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6C33" w:rsidRPr="009D6C33" w:rsidRDefault="009D6C33">
      <w:pPr>
        <w:pStyle w:val="Hemstlrubrik"/>
      </w:pPr>
      <w:r w:rsidRPr="009D6C33">
        <w:t>Förslag till riksdagsbeslut</w:t>
      </w:r>
    </w:p>
    <w:p w:rsidR="009D6C33" w:rsidRPr="009D6C33" w:rsidRDefault="009D6C33">
      <w:pPr>
        <w:pStyle w:val="Hemstlatt"/>
        <w:ind w:left="0"/>
      </w:pPr>
      <w:r w:rsidRPr="009D6C33">
        <w:t xml:space="preserve">Riksdagen tillkännager för regeringen som sin mening vad som anförs i motionen om </w:t>
      </w:r>
      <w:r w:rsidRPr="009D6C33">
        <w:rPr>
          <w:color w:val="000000"/>
        </w:rPr>
        <w:t>att främja tillväxten i Skar</w:t>
      </w:r>
      <w:r w:rsidRPr="009D6C33">
        <w:rPr>
          <w:color w:val="000000"/>
        </w:rPr>
        <w:t>a</w:t>
      </w:r>
      <w:r w:rsidRPr="009D6C33">
        <w:rPr>
          <w:color w:val="000000"/>
        </w:rPr>
        <w:t>borg.</w:t>
      </w:r>
    </w:p>
    <w:p w:rsidR="009D6C33" w:rsidRPr="009D6C33" w:rsidRDefault="009D6C33">
      <w:pPr>
        <w:pStyle w:val="Rubrik1"/>
      </w:pPr>
      <w:r w:rsidRPr="009D6C33">
        <w:t>Motivering</w:t>
      </w:r>
    </w:p>
    <w:p w:rsidR="009D6C33" w:rsidRPr="009D6C33" w:rsidRDefault="009D6C33">
      <w:pPr>
        <w:autoSpaceDE w:val="0"/>
        <w:autoSpaceDN w:val="0"/>
        <w:adjustRightInd w:val="0"/>
        <w:rPr>
          <w:color w:val="000000"/>
        </w:rPr>
      </w:pPr>
      <w:r w:rsidRPr="009D6C33">
        <w:rPr>
          <w:color w:val="000000"/>
        </w:rPr>
        <w:t>Skaraborg är en stor del av Sveriges kornbod. Alliansregeringen utvecklar nu Sverige som matland. Skaraborg är då en viktig inspirationskälla eftersom vi har erfarenheten samt produktion och förädling av mat är något vi länge b</w:t>
      </w:r>
      <w:r w:rsidRPr="009D6C33">
        <w:rPr>
          <w:color w:val="000000"/>
        </w:rPr>
        <w:t>e</w:t>
      </w:r>
      <w:r w:rsidRPr="009D6C33">
        <w:rPr>
          <w:color w:val="000000"/>
        </w:rPr>
        <w:t xml:space="preserve">drivit. Sverige har upprätthållit en hög nationell självförsörjningsgrad på livsmedel. Nu är det viktigt att vi </w:t>
      </w:r>
      <w:r w:rsidRPr="009D6C33">
        <w:rPr>
          <w:bCs/>
          <w:color w:val="000000"/>
        </w:rPr>
        <w:t>öppnar marknader samtidigt som vi utvec</w:t>
      </w:r>
      <w:r w:rsidRPr="009D6C33">
        <w:rPr>
          <w:bCs/>
          <w:color w:val="000000"/>
        </w:rPr>
        <w:t>k</w:t>
      </w:r>
      <w:r w:rsidRPr="009D6C33">
        <w:rPr>
          <w:bCs/>
          <w:color w:val="000000"/>
        </w:rPr>
        <w:t>lar kulturlandskap och möjliggör tillgången</w:t>
      </w:r>
      <w:r w:rsidRPr="009D6C33">
        <w:rPr>
          <w:color w:val="000000"/>
        </w:rPr>
        <w:t xml:space="preserve"> till goda svenska livsmedel av hög kvalitet. Genom att ständigt utveckla jordbruket och livsmedelsindustrin i Sverige och Skaraborg kan vi stärka den ekonomiska tillväxten samt skapa fler arbetstillfällen. </w:t>
      </w:r>
    </w:p>
    <w:p w:rsidR="009D6C33" w:rsidRPr="009D6C33" w:rsidRDefault="009D6C33">
      <w:pPr>
        <w:pStyle w:val="Normaltindrag"/>
      </w:pPr>
      <w:r w:rsidRPr="009D6C33">
        <w:t>I ett globalt perspektiv är det långsiktigt nödvändigt att åkermarken i Sv</w:t>
      </w:r>
      <w:r w:rsidRPr="009D6C33">
        <w:t>e</w:t>
      </w:r>
      <w:r w:rsidRPr="009D6C33">
        <w:t>rige används till kvalitativ livsmedelsproduktion samt tillkommande energ</w:t>
      </w:r>
      <w:r w:rsidRPr="009D6C33">
        <w:t>i</w:t>
      </w:r>
      <w:r w:rsidRPr="009D6C33">
        <w:t>gröda. Möjligheten som finns inom jordbruket att hjälpa till med energifö</w:t>
      </w:r>
      <w:r w:rsidRPr="009D6C33">
        <w:t>r</w:t>
      </w:r>
      <w:r w:rsidRPr="009D6C33">
        <w:t>sörjningen behöver tas till vara. Det är nödvändigt att även långsiktiga milj</w:t>
      </w:r>
      <w:r w:rsidRPr="009D6C33">
        <w:t>ö</w:t>
      </w:r>
      <w:r w:rsidRPr="009D6C33">
        <w:t>aspekter vägs in i jordbrukspolitiken. En övergång till miljövänliga bru</w:t>
      </w:r>
      <w:r w:rsidRPr="009D6C33">
        <w:t>k</w:t>
      </w:r>
      <w:r w:rsidRPr="009D6C33">
        <w:t xml:space="preserve">ningsmetoder skall främjas. </w:t>
      </w:r>
    </w:p>
    <w:p w:rsidR="009D6C33" w:rsidRPr="009D6C33" w:rsidRDefault="009D6C33">
      <w:pPr>
        <w:pStyle w:val="Normaltindrag"/>
      </w:pPr>
      <w:r w:rsidRPr="009D6C33">
        <w:t>Jordbruket och dess förädlingsindustri har en central roll för sysselsät</w:t>
      </w:r>
      <w:r w:rsidRPr="009D6C33">
        <w:t>t</w:t>
      </w:r>
      <w:r w:rsidRPr="009D6C33">
        <w:t>ningen på landsbygden i Skaraborg. I Skaraborg är en stor del av befolknin</w:t>
      </w:r>
      <w:r w:rsidRPr="009D6C33">
        <w:t>g</w:t>
      </w:r>
      <w:r w:rsidRPr="009D6C33">
        <w:t>en, cirka var femte person, sysselsatt med jord- och skogsbruk eller livsm</w:t>
      </w:r>
      <w:r w:rsidRPr="009D6C33">
        <w:t>e</w:t>
      </w:r>
      <w:r w:rsidRPr="009D6C33">
        <w:t xml:space="preserve">delsindustrin. Götene kommun är den kommun som har flest yrkesverksamma kopplade direkt eller indirekt till jordbruk- och/eller livsmedelsförädling, nämligen 45 %. Skaraborg är ett av de mest livsmedelsintensiva områdena i Sverige med en blandning av stora internationella företag sida vid sida med </w:t>
      </w:r>
      <w:r w:rsidRPr="009D6C33">
        <w:lastRenderedPageBreak/>
        <w:t>små familjedrivna. Villkoren för företagande och jordbruk måst</w:t>
      </w:r>
      <w:r w:rsidRPr="009D6C33">
        <w:t>e anpassas för att underlätta för båda typer av företag. Skaraborg har även en fördel i sitt centrala läge när man tänker på att korta transporter.</w:t>
      </w:r>
    </w:p>
    <w:p w:rsidR="009D6C33" w:rsidRPr="009D6C33" w:rsidRDefault="009D6C33">
      <w:pPr>
        <w:pStyle w:val="Rubrik2"/>
      </w:pPr>
      <w:r w:rsidRPr="009D6C33">
        <w:t>Lika konkurrensvillkor</w:t>
      </w:r>
    </w:p>
    <w:p w:rsidR="009D6C33" w:rsidRPr="009D6C33" w:rsidRDefault="009D6C33">
      <w:pPr>
        <w:rPr>
          <w:rFonts w:ascii="Helv" w:hAnsi="Helv" w:cs="Helv"/>
          <w:sz w:val="20"/>
        </w:rPr>
      </w:pPr>
      <w:r w:rsidRPr="009D6C33">
        <w:t>För att svenska jordbrukare skall kunna konkurrera på lika villkor med andra EU-länder är det av stor vikt att så långt som möjligt skapa likartade villkor för svenska jordbrukare som för jordbrukare i övriga EU. En analys bör sa</w:t>
      </w:r>
      <w:r w:rsidRPr="009D6C33">
        <w:t>k</w:t>
      </w:r>
      <w:r w:rsidRPr="009D6C33">
        <w:t>ligt kartlägga vilka förhållanden som råder gentemot omvärlden beträffande den svenska lantbrukarens ekonomiska konkurrenssituation i relation till lantbrukare i varje annat EU-land. Den europeiska unionen utgör en geme</w:t>
      </w:r>
      <w:r w:rsidRPr="009D6C33">
        <w:t>n</w:t>
      </w:r>
      <w:r w:rsidRPr="009D6C33">
        <w:t>sam marknad. Det är därför viktigt att harmonisera villkoren för jordbruket så att svenska bönder kan konkurrera på lika villkor med kollegerna i övriga Europa. Regeringen har påbörjat detta arbete, och det är viktigt för Skar</w:t>
      </w:r>
      <w:r w:rsidRPr="009D6C33">
        <w:t>a</w:t>
      </w:r>
      <w:r w:rsidRPr="009D6C33">
        <w:t xml:space="preserve">borgs fortsatta </w:t>
      </w:r>
      <w:r w:rsidRPr="009D6C33">
        <w:rPr>
          <w:szCs w:val="24"/>
        </w:rPr>
        <w:t xml:space="preserve">utveckling att regeringen håller ett högt tryck </w:t>
      </w:r>
      <w:r w:rsidRPr="009D6C33">
        <w:rPr>
          <w:szCs w:val="24"/>
        </w:rPr>
        <w:t>på frågestäl</w:t>
      </w:r>
      <w:r w:rsidRPr="009D6C33">
        <w:rPr>
          <w:szCs w:val="24"/>
        </w:rPr>
        <w:t>l</w:t>
      </w:r>
      <w:r w:rsidRPr="009D6C33">
        <w:rPr>
          <w:szCs w:val="24"/>
        </w:rPr>
        <w:t>ningarna.</w:t>
      </w:r>
      <w:r w:rsidRPr="009D6C33">
        <w:rPr>
          <w:rFonts w:ascii="Helv" w:hAnsi="Helv" w:cs="Helv"/>
          <w:sz w:val="20"/>
        </w:rPr>
        <w:t xml:space="preserve"> </w:t>
      </w:r>
    </w:p>
    <w:p w:rsidR="009D6C33" w:rsidRPr="009D6C33" w:rsidRDefault="009D6C33">
      <w:pPr>
        <w:pStyle w:val="Rubrik2"/>
      </w:pPr>
      <w:r w:rsidRPr="009D6C33">
        <w:t>Konsekvensanalyser för Sverige</w:t>
      </w:r>
    </w:p>
    <w:p w:rsidR="009D6C33" w:rsidRPr="009D6C33" w:rsidRDefault="009D6C33">
      <w:pPr>
        <w:autoSpaceDE w:val="0"/>
        <w:autoSpaceDN w:val="0"/>
        <w:adjustRightInd w:val="0"/>
        <w:rPr>
          <w:color w:val="000000"/>
        </w:rPr>
      </w:pPr>
      <w:r w:rsidRPr="009D6C33">
        <w:rPr>
          <w:color w:val="000000"/>
        </w:rPr>
        <w:t>Jord- och skogsbruket är en viktig förutsättning för en levande landsbygd, en landsbygd som i dag ger oss tusentals arbetstillfällen i livsmedels- och skog</w:t>
      </w:r>
      <w:r w:rsidRPr="009D6C33">
        <w:rPr>
          <w:color w:val="000000"/>
        </w:rPr>
        <w:t>s</w:t>
      </w:r>
      <w:r w:rsidRPr="009D6C33">
        <w:rPr>
          <w:color w:val="000000"/>
        </w:rPr>
        <w:t>industri och alla serviceföretag. För att få en helhetsbild av jordbrukets bet</w:t>
      </w:r>
      <w:r w:rsidRPr="009D6C33">
        <w:rPr>
          <w:color w:val="000000"/>
        </w:rPr>
        <w:t>y</w:t>
      </w:r>
      <w:r w:rsidRPr="009D6C33">
        <w:rPr>
          <w:color w:val="000000"/>
        </w:rPr>
        <w:t>delse och utveckling bör konsekvens- och lönsamhetsanalyser genomföras löpande. Dessa bör belysa jordbrukets betydelse för sysselsättning, försör</w:t>
      </w:r>
      <w:r w:rsidRPr="009D6C33">
        <w:rPr>
          <w:color w:val="000000"/>
        </w:rPr>
        <w:t>j</w:t>
      </w:r>
      <w:r w:rsidRPr="009D6C33">
        <w:rPr>
          <w:color w:val="000000"/>
        </w:rPr>
        <w:t xml:space="preserve">ningsberedskap, bevarandet av det öppna landskapet, boende och service på landsbygd etc. </w:t>
      </w:r>
    </w:p>
    <w:p w:rsidR="009D6C33" w:rsidRPr="009D6C33" w:rsidRDefault="009D6C33">
      <w:pPr>
        <w:pStyle w:val="Rubrik2"/>
      </w:pPr>
      <w:r w:rsidRPr="009D6C33">
        <w:t>Skaraborgsområdet är lämpat att bli Sveriges analysområde</w:t>
      </w:r>
    </w:p>
    <w:p w:rsidR="009D6C33" w:rsidRPr="009D6C33" w:rsidRDefault="009D6C33">
      <w:pPr>
        <w:autoSpaceDE w:val="0"/>
        <w:autoSpaceDN w:val="0"/>
        <w:adjustRightInd w:val="0"/>
        <w:rPr>
          <w:color w:val="000000"/>
        </w:rPr>
      </w:pPr>
      <w:r w:rsidRPr="009D6C33">
        <w:rPr>
          <w:color w:val="000000"/>
        </w:rPr>
        <w:t>För att snabbt och effektivt kunna utreda konsekvenserna av jordbrukspoliti</w:t>
      </w:r>
      <w:r w:rsidRPr="009D6C33">
        <w:rPr>
          <w:color w:val="000000"/>
        </w:rPr>
        <w:t>s</w:t>
      </w:r>
      <w:r w:rsidRPr="009D6C33">
        <w:rPr>
          <w:color w:val="000000"/>
        </w:rPr>
        <w:t>ka beslut borde Sverige arbeta med ett prognosområde för att testa och utvä</w:t>
      </w:r>
      <w:r w:rsidRPr="009D6C33">
        <w:rPr>
          <w:color w:val="000000"/>
        </w:rPr>
        <w:t>r</w:t>
      </w:r>
      <w:r w:rsidRPr="009D6C33">
        <w:rPr>
          <w:color w:val="000000"/>
        </w:rPr>
        <w:t>dera konsekvenserna för effekter för bl.a. den enskilda bonden. Skaraborg</w:t>
      </w:r>
      <w:r w:rsidRPr="009D6C33">
        <w:rPr>
          <w:color w:val="000000"/>
        </w:rPr>
        <w:t>s</w:t>
      </w:r>
      <w:r w:rsidRPr="009D6C33">
        <w:rPr>
          <w:color w:val="000000"/>
        </w:rPr>
        <w:t>området skulle vara ett mycket lämpligt område där de flesta landsbygdsk</w:t>
      </w:r>
      <w:r w:rsidRPr="009D6C33">
        <w:rPr>
          <w:color w:val="000000"/>
        </w:rPr>
        <w:t>a</w:t>
      </w:r>
      <w:r w:rsidRPr="009D6C33">
        <w:rPr>
          <w:color w:val="000000"/>
        </w:rPr>
        <w:t xml:space="preserve">raktärer, utom ren fjällnatur, finns representerade. </w:t>
      </w:r>
    </w:p>
    <w:p w:rsidR="009D6C33" w:rsidRPr="009D6C33" w:rsidRDefault="009D6C33">
      <w:pPr>
        <w:pStyle w:val="Normaltindrag"/>
      </w:pPr>
      <w:r w:rsidRPr="009D6C33">
        <w:t>Skaraborgsområdet innehåller allt från intensivt slättjordbruk till produ</w:t>
      </w:r>
      <w:r w:rsidRPr="009D6C33">
        <w:t>k</w:t>
      </w:r>
      <w:r w:rsidRPr="009D6C33">
        <w:t>tion i mindre skala i skogs- och mellanbygder. Där finns också en god repr</w:t>
      </w:r>
      <w:r w:rsidRPr="009D6C33">
        <w:t>e</w:t>
      </w:r>
      <w:r w:rsidRPr="009D6C33">
        <w:t>sentation av skogs-, sjö- och bergsområden samt naturreservaten i kulturlan</w:t>
      </w:r>
      <w:r w:rsidRPr="009D6C33">
        <w:t>d</w:t>
      </w:r>
      <w:r w:rsidRPr="009D6C33">
        <w:t>skapet. Skaraborgs livsmedelsproduktion utgör cirka tio procent av svenskt behov av baslivsmedel. I området finns de flesta förädlingsindustrier repr</w:t>
      </w:r>
      <w:r w:rsidRPr="009D6C33">
        <w:t>e</w:t>
      </w:r>
      <w:r w:rsidRPr="009D6C33">
        <w:t>senterade som är direkt efterföljande till jordbrukets primärproduktion. Skara har en rad statliga institutioner för svenskt jordbruk och är ett centrum för jordbruksfrågor i Västra Götaland.</w:t>
      </w:r>
    </w:p>
    <w:p w:rsidR="009D6C33" w:rsidRPr="009D6C33" w:rsidRDefault="009D6C33">
      <w:pPr>
        <w:pStyle w:val="Normaltindrag"/>
      </w:pPr>
      <w:r w:rsidRPr="009D6C33">
        <w:t>Genom att applicer</w:t>
      </w:r>
      <w:r w:rsidRPr="009D6C33">
        <w:t>a produktionsvolymer, lönsamheter, sysselsättning</w:t>
      </w:r>
      <w:r w:rsidRPr="009D6C33">
        <w:t>s</w:t>
      </w:r>
      <w:r w:rsidRPr="009D6C33">
        <w:t>grad, produktivitet m.m. hämtade från den skaraborgska landsbygden i en beräkningsmodell skulle man snabbt kunna göra verklighetsgrundade kons</w:t>
      </w:r>
      <w:r w:rsidRPr="009D6C33">
        <w:t>e</w:t>
      </w:r>
      <w:r w:rsidRPr="009D6C33">
        <w:t>kvensanalyser av hur svensk landsbygd påverkas av förändringar i de politi</w:t>
      </w:r>
      <w:r w:rsidRPr="009D6C33">
        <w:t>s</w:t>
      </w:r>
      <w:r w:rsidRPr="009D6C33">
        <w:t>ka systemen. Denna typ av analyser skulle sannolikt uppfylla krav på både snabbhet, kvalitet och låga 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6C33">
        <w:trPr>
          <w:cantSplit/>
        </w:trPr>
        <w:tc>
          <w:tcPr>
            <w:tcW w:w="3046" w:type="dxa"/>
          </w:tcPr>
          <w:p w:rsidR="009D6C33" w:rsidRPr="009D6C33" w:rsidRDefault="009D6C33">
            <w:pPr>
              <w:pStyle w:val="UnderskriftDatum"/>
              <w:spacing w:before="240"/>
            </w:pPr>
            <w:r w:rsidRPr="009D6C33">
              <w:t>Stockholm den 2 oktober 2008</w:t>
            </w:r>
          </w:p>
        </w:tc>
        <w:tc>
          <w:tcPr>
            <w:tcW w:w="3047" w:type="dxa"/>
          </w:tcPr>
          <w:p w:rsidR="009D6C33" w:rsidRPr="009D6C33" w:rsidRDefault="009D6C33">
            <w:pPr>
              <w:pStyle w:val="Underskrifter"/>
              <w:spacing w:before="240"/>
            </w:pPr>
          </w:p>
        </w:tc>
      </w:tr>
      <w:tr w:rsidR="00000000" w:rsidRPr="009D6C33">
        <w:trPr>
          <w:cantSplit/>
        </w:trPr>
        <w:tc>
          <w:tcPr>
            <w:tcW w:w="3046" w:type="dxa"/>
          </w:tcPr>
          <w:p w:rsidR="009D6C33" w:rsidRPr="009D6C33" w:rsidRDefault="009D6C33">
            <w:pPr>
              <w:pStyle w:val="Underskrifter"/>
            </w:pPr>
            <w:r w:rsidRPr="009D6C33">
              <w:t>Cecilia Widegren (m)</w:t>
            </w:r>
          </w:p>
        </w:tc>
        <w:tc>
          <w:tcPr>
            <w:tcW w:w="3046" w:type="dxa"/>
          </w:tcPr>
          <w:p w:rsidR="009D6C33" w:rsidRPr="009D6C33" w:rsidRDefault="009D6C33">
            <w:pPr>
              <w:pStyle w:val="Underskrifter"/>
            </w:pPr>
          </w:p>
        </w:tc>
      </w:tr>
      <w:tr w:rsidR="00000000" w:rsidRPr="009D6C33">
        <w:trPr>
          <w:cantSplit/>
        </w:trPr>
        <w:tc>
          <w:tcPr>
            <w:tcW w:w="3046" w:type="dxa"/>
          </w:tcPr>
          <w:p w:rsidR="009D6C33" w:rsidRPr="009D6C33" w:rsidRDefault="009D6C33">
            <w:pPr>
              <w:pStyle w:val="Underskrifter"/>
            </w:pPr>
            <w:r w:rsidRPr="009D6C33">
              <w:t>Ulrika Carlsson i Skövde (c)</w:t>
            </w:r>
          </w:p>
        </w:tc>
        <w:tc>
          <w:tcPr>
            <w:tcW w:w="3046" w:type="dxa"/>
          </w:tcPr>
          <w:p w:rsidR="009D6C33" w:rsidRPr="009D6C33" w:rsidRDefault="009D6C33">
            <w:pPr>
              <w:pStyle w:val="Underskrifter"/>
            </w:pPr>
            <w:r w:rsidRPr="009D6C33">
              <w:t>Christer Winbäck (fp)</w:t>
            </w:r>
          </w:p>
        </w:tc>
      </w:tr>
      <w:tr w:rsidR="00000000" w:rsidRPr="009D6C33">
        <w:trPr>
          <w:cantSplit/>
        </w:trPr>
        <w:tc>
          <w:tcPr>
            <w:tcW w:w="3046" w:type="dxa"/>
          </w:tcPr>
          <w:p w:rsidR="009D6C33" w:rsidRPr="009D6C33" w:rsidRDefault="009D6C33">
            <w:pPr>
              <w:pStyle w:val="Underskrifter"/>
            </w:pPr>
            <w:r w:rsidRPr="009D6C33">
              <w:t>Holger Gustafsson (kd)</w:t>
            </w:r>
          </w:p>
        </w:tc>
        <w:tc>
          <w:tcPr>
            <w:tcW w:w="3046" w:type="dxa"/>
          </w:tcPr>
          <w:p w:rsidR="009D6C33" w:rsidRPr="009D6C33" w:rsidRDefault="009D6C33">
            <w:pPr>
              <w:pStyle w:val="Underskrifter"/>
            </w:pPr>
          </w:p>
        </w:tc>
      </w:tr>
    </w:tbl>
    <w:p w:rsidR="009D6C33" w:rsidRPr="009D6C33" w:rsidRDefault="009D6C33">
      <w:pPr>
        <w:pStyle w:val="Normaltindrag"/>
      </w:pPr>
    </w:p>
    <w:sectPr w:rsidR="00000000" w:rsidRPr="009D6C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6C33" w:rsidRPr="009D6C33" w:rsidRDefault="009D6C33">
      <w:r w:rsidRPr="009D6C33">
        <w:separator/>
      </w:r>
    </w:p>
  </w:endnote>
  <w:endnote w:type="continuationSeparator" w:id="0">
    <w:p w:rsidR="009D6C33" w:rsidRPr="009D6C33" w:rsidRDefault="009D6C33">
      <w:r w:rsidRPr="009D6C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C33" w:rsidRPr="009D6C33" w:rsidRDefault="009D6C33">
    <w:pPr>
      <w:pStyle w:val="Sidfot"/>
    </w:pPr>
    <w:r w:rsidRPr="009D6C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66641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C33" w:rsidRDefault="009D6C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6C33" w:rsidRDefault="009D6C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C33" w:rsidRPr="009D6C33" w:rsidRDefault="009D6C33">
    <w:pPr>
      <w:pStyle w:val="Sidfot"/>
    </w:pPr>
    <w:r w:rsidRPr="009D6C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5043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C33" w:rsidRDefault="009D6C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6C33" w:rsidRDefault="009D6C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C33" w:rsidRPr="009D6C33" w:rsidRDefault="009D6C33">
    <w:pPr>
      <w:pStyle w:val="Sidfot"/>
    </w:pPr>
    <w:r w:rsidRPr="009D6C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682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C33" w:rsidRDefault="009D6C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6C33" w:rsidRDefault="009D6C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6C33" w:rsidRPr="009D6C33" w:rsidRDefault="009D6C33">
      <w:r w:rsidRPr="009D6C33">
        <w:separator/>
      </w:r>
    </w:p>
  </w:footnote>
  <w:footnote w:type="continuationSeparator" w:id="0">
    <w:p w:rsidR="009D6C33" w:rsidRPr="009D6C33" w:rsidRDefault="009D6C33">
      <w:r w:rsidRPr="009D6C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C33" w:rsidRPr="009D6C33" w:rsidRDefault="009D6C33">
    <w:pPr>
      <w:pStyle w:val="Sidhuvud"/>
    </w:pPr>
    <w:r w:rsidRPr="009D6C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69310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C33" w:rsidRDefault="009D6C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6C33" w:rsidRDefault="009D6C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C33" w:rsidRPr="009D6C33" w:rsidRDefault="009D6C33">
    <w:pPr>
      <w:pStyle w:val="Sidhuvud"/>
    </w:pPr>
    <w:r w:rsidRPr="009D6C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29604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C33" w:rsidRDefault="009D6C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6C33" w:rsidRDefault="009D6C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C33" w:rsidRPr="009D6C33" w:rsidRDefault="009D6C33">
    <w:pPr>
      <w:pStyle w:val="FSHNormal"/>
      <w:tabs>
        <w:tab w:val="right" w:pos="5840"/>
      </w:tabs>
    </w:pPr>
    <w:r w:rsidRPr="009D6C33">
      <w:br/>
    </w:r>
    <w:r w:rsidRPr="009D6C33">
      <w:fldChar w:fldCharType="begin" w:fldLock="1"/>
    </w:r>
    <w:r w:rsidRPr="009D6C33">
      <w:instrText xml:space="preserve"> DOCPROPERTY</w:instrText>
    </w:r>
    <w:r w:rsidRPr="009D6C33">
      <w:rPr>
        <w:sz w:val="18"/>
      </w:rPr>
      <w:instrText xml:space="preserve"> "YearUser" *\charformat </w:instrText>
    </w:r>
    <w:r w:rsidRPr="009D6C33">
      <w:fldChar w:fldCharType="separate"/>
    </w:r>
    <w:r w:rsidRPr="009D6C33">
      <w:t>2008/09</w:t>
    </w:r>
    <w:r w:rsidRPr="009D6C33">
      <w:fldChar w:fldCharType="end"/>
    </w:r>
    <w:r w:rsidRPr="009D6C33">
      <w:t xml:space="preserve"> </w:t>
    </w:r>
    <w:r w:rsidRPr="009D6C33">
      <w:tab/>
      <w:t xml:space="preserve">mnr: </w:t>
    </w:r>
    <w:r w:rsidRPr="009D6C33">
      <w:fldChar w:fldCharType="begin" w:fldLock="1"/>
    </w:r>
    <w:r w:rsidRPr="009D6C33">
      <w:instrText xml:space="preserve"> DOCPROPERTY</w:instrText>
    </w:r>
    <w:r w:rsidRPr="009D6C33">
      <w:rPr>
        <w:sz w:val="18"/>
      </w:rPr>
      <w:instrText xml:space="preserve"> "Motionsnummer" *\charformat </w:instrText>
    </w:r>
    <w:r w:rsidRPr="009D6C33">
      <w:fldChar w:fldCharType="separate"/>
    </w:r>
    <w:r w:rsidRPr="009D6C33">
      <w:t>MJ473</w:t>
    </w:r>
    <w:r w:rsidRPr="009D6C33">
      <w:fldChar w:fldCharType="end"/>
    </w:r>
    <w:r w:rsidRPr="009D6C33">
      <w:br/>
    </w:r>
    <w:r w:rsidRPr="009D6C33">
      <w:fldChar w:fldCharType="begin" w:fldLock="1"/>
    </w:r>
    <w:r w:rsidRPr="009D6C33">
      <w:instrText xml:space="preserve"> DOCPROPERTY</w:instrText>
    </w:r>
    <w:r w:rsidRPr="009D6C33">
      <w:rPr>
        <w:sz w:val="18"/>
      </w:rPr>
      <w:instrText xml:space="preserve"> "Samling" *\charformat </w:instrText>
    </w:r>
    <w:r w:rsidRPr="009D6C33">
      <w:fldChar w:fldCharType="end"/>
    </w:r>
    <w:r w:rsidRPr="009D6C33">
      <w:tab/>
      <w:t xml:space="preserve">pnr: </w:t>
    </w:r>
    <w:r w:rsidRPr="009D6C33">
      <w:fldChar w:fldCharType="begin" w:fldLock="1"/>
    </w:r>
    <w:r w:rsidRPr="009D6C33">
      <w:instrText xml:space="preserve"> DOCPROPERTY</w:instrText>
    </w:r>
    <w:r w:rsidRPr="009D6C33">
      <w:rPr>
        <w:sz w:val="18"/>
      </w:rPr>
      <w:instrText xml:space="preserve"> "Partinummer" *\charformat </w:instrText>
    </w:r>
    <w:r w:rsidRPr="009D6C33">
      <w:fldChar w:fldCharType="separate"/>
    </w:r>
    <w:r w:rsidRPr="009D6C33">
      <w:t>-m921</w:t>
    </w:r>
    <w:r w:rsidRPr="009D6C33">
      <w:fldChar w:fldCharType="end"/>
    </w:r>
  </w:p>
  <w:p w:rsidR="009D6C33" w:rsidRPr="009D6C33" w:rsidRDefault="009D6C33">
    <w:pPr>
      <w:pStyle w:val="FSHRub1"/>
    </w:pPr>
    <w:r w:rsidRPr="009D6C33">
      <w:t>Motion till riksdagen</w:t>
    </w:r>
    <w:r w:rsidRPr="009D6C33">
      <w:br/>
    </w:r>
    <w:r w:rsidRPr="009D6C33">
      <w:fldChar w:fldCharType="begin" w:fldLock="1"/>
    </w:r>
    <w:r w:rsidRPr="009D6C33">
      <w:instrText xml:space="preserve"> DOCPROPERTY "YearUser" *\charformat </w:instrText>
    </w:r>
    <w:r w:rsidRPr="009D6C33">
      <w:fldChar w:fldCharType="separate"/>
    </w:r>
    <w:r w:rsidRPr="009D6C33">
      <w:t>2008/09</w:t>
    </w:r>
    <w:r w:rsidRPr="009D6C33">
      <w:fldChar w:fldCharType="end"/>
    </w:r>
    <w:r w:rsidRPr="009D6C33">
      <w:t>:</w:t>
    </w:r>
    <w:r w:rsidRPr="009D6C33">
      <w:fldChar w:fldCharType="begin" w:fldLock="1"/>
    </w:r>
    <w:r w:rsidRPr="009D6C33">
      <w:instrText xml:space="preserve"> DOCPROPERTY "Motionsnummer" *\charformat </w:instrText>
    </w:r>
    <w:r w:rsidRPr="009D6C33">
      <w:fldChar w:fldCharType="separate"/>
    </w:r>
    <w:r w:rsidRPr="009D6C33">
      <w:t>MJ473</w:t>
    </w:r>
    <w:r w:rsidRPr="009D6C33">
      <w:fldChar w:fldCharType="end"/>
    </w:r>
  </w:p>
  <w:p w:rsidR="009D6C33" w:rsidRPr="009D6C33" w:rsidRDefault="009D6C33">
    <w:pPr>
      <w:pStyle w:val="FSHNormalS5"/>
    </w:pPr>
    <w:r w:rsidRPr="009D6C33">
      <w:fldChar w:fldCharType="begin" w:fldLock="1"/>
    </w:r>
    <w:r w:rsidRPr="009D6C33">
      <w:instrText xml:space="preserve"> DOCPROPERTY "MotionarText" *\charformat </w:instrText>
    </w:r>
    <w:r w:rsidRPr="009D6C33">
      <w:fldChar w:fldCharType="separate"/>
    </w:r>
    <w:r w:rsidRPr="009D6C33">
      <w:t>av Cecilia Widegren m.fl. (m, c, fp, kd)</w:t>
    </w:r>
    <w:r w:rsidRPr="009D6C33">
      <w:fldChar w:fldCharType="end"/>
    </w:r>
    <w:r w:rsidRPr="009D6C33">
      <w:br/>
    </w:r>
    <w:r w:rsidRPr="009D6C33">
      <w:fldChar w:fldCharType="begin" w:fldLock="1"/>
    </w:r>
    <w:r w:rsidRPr="009D6C33">
      <w:instrText xml:space="preserve"> DOCPROPERTY "SvarFrasKort" *\charformat </w:instrText>
    </w:r>
    <w:r w:rsidRPr="009D6C33">
      <w:fldChar w:fldCharType="end"/>
    </w:r>
  </w:p>
  <w:p w:rsidR="009D6C33" w:rsidRPr="009D6C33" w:rsidRDefault="009D6C33">
    <w:pPr>
      <w:pStyle w:val="FSHTitel"/>
    </w:pPr>
    <w:r w:rsidRPr="009D6C33">
      <w:fldChar w:fldCharType="begin" w:fldLock="1"/>
    </w:r>
    <w:r w:rsidRPr="009D6C33">
      <w:instrText xml:space="preserve"> DOCPROPERTY</w:instrText>
    </w:r>
    <w:r w:rsidRPr="009D6C33">
      <w:rPr>
        <w:sz w:val="18"/>
      </w:rPr>
      <w:instrText xml:space="preserve"> "RubrikSvar" *\charformat </w:instrText>
    </w:r>
    <w:r w:rsidRPr="009D6C33">
      <w:fldChar w:fldCharType="separate"/>
    </w:r>
    <w:r w:rsidRPr="009D6C33">
      <w:t>Skaraborgs jordbruks- och livsmedelsproduktion</w:t>
    </w:r>
    <w:r w:rsidRPr="009D6C33">
      <w:fldChar w:fldCharType="end"/>
    </w:r>
  </w:p>
  <w:p w:rsidR="009D6C33" w:rsidRPr="009D6C33" w:rsidRDefault="009D6C33">
    <w:pPr>
      <w:pStyle w:val="Normal00"/>
    </w:pPr>
  </w:p>
  <w:p w:rsidR="009D6C33" w:rsidRPr="009D6C33" w:rsidRDefault="009D6C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9269224">
    <w:abstractNumId w:val="8"/>
  </w:num>
  <w:num w:numId="2" w16cid:durableId="715155613">
    <w:abstractNumId w:val="9"/>
  </w:num>
  <w:num w:numId="3" w16cid:durableId="253713827">
    <w:abstractNumId w:val="8"/>
  </w:num>
  <w:num w:numId="4" w16cid:durableId="2117628594">
    <w:abstractNumId w:val="9"/>
  </w:num>
  <w:num w:numId="5" w16cid:durableId="1603420062">
    <w:abstractNumId w:val="13"/>
  </w:num>
  <w:num w:numId="6" w16cid:durableId="1533957498">
    <w:abstractNumId w:val="10"/>
  </w:num>
  <w:num w:numId="7" w16cid:durableId="1920479086">
    <w:abstractNumId w:val="11"/>
  </w:num>
  <w:num w:numId="8" w16cid:durableId="1291858552">
    <w:abstractNumId w:val="12"/>
  </w:num>
  <w:num w:numId="9" w16cid:durableId="1730767708">
    <w:abstractNumId w:val="8"/>
  </w:num>
  <w:num w:numId="10" w16cid:durableId="46927001">
    <w:abstractNumId w:val="3"/>
  </w:num>
  <w:num w:numId="11" w16cid:durableId="67700098">
    <w:abstractNumId w:val="2"/>
  </w:num>
  <w:num w:numId="12" w16cid:durableId="1885941924">
    <w:abstractNumId w:val="1"/>
  </w:num>
  <w:num w:numId="13" w16cid:durableId="1124730619">
    <w:abstractNumId w:val="0"/>
  </w:num>
  <w:num w:numId="14" w16cid:durableId="1974092435">
    <w:abstractNumId w:val="9"/>
  </w:num>
  <w:num w:numId="15" w16cid:durableId="1389381066">
    <w:abstractNumId w:val="7"/>
  </w:num>
  <w:num w:numId="16" w16cid:durableId="572592176">
    <w:abstractNumId w:val="6"/>
  </w:num>
  <w:num w:numId="17" w16cid:durableId="641350968">
    <w:abstractNumId w:val="5"/>
  </w:num>
  <w:num w:numId="18" w16cid:durableId="10814833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3C4E085-2221-4A82-ADFF-5DE30C974470},{4FC56436-8597-43D8-8F30-74D360FA7912},{CFF07056-9456-496C-B49E-6961846FBDAC},{54C4CE84-68BE-41E0-8C9C-2B747A7088A0}"/>
  </w:docVars>
  <w:rsids>
    <w:rsidRoot w:val="00CF150E"/>
    <w:rsid w:val="009D6C33"/>
    <w:rsid w:val="00CF15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3E7C6E9-3BA1-44FE-8D28-522B37091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4079</Characters>
  <Application>Microsoft Office Word</Application>
  <DocSecurity>4</DocSecurity>
  <Lines>78</Lines>
  <Paragraphs>21</Paragraphs>
  <ScaleCrop>false</ScaleCrop>
  <HeadingPairs>
    <vt:vector size="2" baseType="variant">
      <vt:variant>
        <vt:lpstr>Rubrik</vt:lpstr>
      </vt:variant>
      <vt:variant>
        <vt:i4>1</vt:i4>
      </vt:variant>
    </vt:vector>
  </HeadingPairs>
  <TitlesOfParts>
    <vt:vector size="1" baseType="lpstr">
      <vt:lpstr>-m921</vt:lpstr>
    </vt:vector>
  </TitlesOfParts>
  <Company>Riksdagen</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-m921</dc:title>
  <dc:subject>-m921</dc:subject>
  <dc:creator>Riksdagen</dc:creator>
  <cp:keywords>Riksdagen</cp:keywords>
  <dc:description>TKG-ktrl, MSMQ4mb, PersReg-Distribution mm b-&gt;ny fplogga</dc:description>
  <cp:lastModifiedBy>Lars Brink</cp:lastModifiedBy>
  <cp:revision>2</cp:revision>
  <cp:lastPrinted>2009-02-13T09:00:00Z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Skaraborgs jordbruks- och livsmedelsproduktion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Skaraborgs jordbruks- och livsmedelsproduktion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Cecilia Widegren m.fl. (m, c, fp, kd)</vt:lpwstr>
  </property>
  <property fmtid="{D5CDD505-2E9C-101B-9397-08002B2CF9AE}" pid="26" name="MotionarLista">
    <vt:lpwstr>Widegren, Cecilia (m)\Carlsson i Skövde, Ulrika (c)\Winbäck, Christer (fp)\Gustafsson,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Ulrika Carlsson i Skövde (c), Christer Winbäck (fp),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177</vt:lpwstr>
  </property>
  <property fmtid="{D5CDD505-2E9C-101B-9397-08002B2CF9AE}" pid="35" name="Samling">
    <vt:lpwstr/>
  </property>
  <property fmtid="{D5CDD505-2E9C-101B-9397-08002B2CF9AE}" pid="36" name="SamlingPrint">
    <vt:lpwstr/>
  </property>
  <property fmtid="{D5CDD505-2E9C-101B-9397-08002B2CF9AE}" pid="37" name="Motionsnummer">
    <vt:lpwstr>MJ473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20082009000000000109000009210070</vt:lpwstr>
  </property>
  <property fmtid="{D5CDD505-2E9C-101B-9397-08002B2CF9AE}" pid="47" name="datum">
    <vt:lpwstr>081002</vt:lpwstr>
  </property>
  <property fmtid="{D5CDD505-2E9C-101B-9397-08002B2CF9AE}" pid="48" name="avsändar-e-post">
    <vt:lpwstr>anders.jonsson@riksdagen.se</vt:lpwstr>
  </property>
  <property fmtid="{D5CDD505-2E9C-101B-9397-08002B2CF9AE}" pid="49" name="id">
    <vt:lpwstr>20082009000000000109000009210070</vt:lpwstr>
  </property>
  <property fmtid="{D5CDD505-2E9C-101B-9397-08002B2CF9AE}" pid="50" name="nummer">
    <vt:lpwstr>473</vt:lpwstr>
  </property>
  <property fmtid="{D5CDD505-2E9C-101B-9397-08002B2CF9AE}" pid="51" name="utskottsbeteckning">
    <vt:lpwstr>MJ</vt:lpwstr>
  </property>
  <property fmtid="{D5CDD505-2E9C-101B-9397-08002B2CF9AE}" pid="52" name="GlobalUID">
    <vt:lpwstr>{44D8A550-285A-4A80-BAE5-5F92BA3AA122}</vt:lpwstr>
  </property>
  <property fmtid="{D5CDD505-2E9C-101B-9397-08002B2CF9AE}" pid="53" name="Överföringar">
    <vt:i4>0</vt:i4>
  </property>
  <property fmtid="{D5CDD505-2E9C-101B-9397-08002B2CF9AE}" pid="54" name="Checksum">
    <vt:lpwstr>*1003711604528*</vt:lpwstr>
  </property>
  <property fmtid="{D5CDD505-2E9C-101B-9397-08002B2CF9AE}" pid="55" name="skuggnummer">
    <vt:lpwstr>3041</vt:lpwstr>
  </property>
  <property fmtid="{D5CDD505-2E9C-101B-9397-08002B2CF9AE}" pid="56" name="urixVersion">
    <vt:lpwstr>3.2.0.8</vt:lpwstr>
  </property>
  <property fmtid="{D5CDD505-2E9C-101B-9397-08002B2CF9AE}" pid="57" name="urixOrigin">
    <vt:lpwstr>090402 18:21:36.709</vt:lpwstr>
  </property>
  <property fmtid="{D5CDD505-2E9C-101B-9397-08002B2CF9AE}" pid="58" name="urixGuid">
    <vt:lpwstr>{8AEF46CB-E98C-4B67-9662-58706C537504}</vt:lpwstr>
  </property>
</Properties>
</file>