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787F76">
              <w:rPr>
                <w:b/>
              </w:rPr>
              <w:t>01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201</w:t>
            </w:r>
            <w:r w:rsidR="00FE5A5A">
              <w:t>9</w:t>
            </w:r>
            <w:r w:rsidR="00520D71">
              <w:t>-</w:t>
            </w:r>
            <w:r w:rsidR="00787F76">
              <w:t>09</w:t>
            </w:r>
            <w:r w:rsidR="00520D71">
              <w:t>-</w:t>
            </w:r>
            <w:r w:rsidR="00787F76">
              <w:t>12</w:t>
            </w:r>
          </w:p>
        </w:tc>
      </w:tr>
      <w:tr w:rsidR="00447E69">
        <w:tc>
          <w:tcPr>
            <w:tcW w:w="1985" w:type="dxa"/>
          </w:tcPr>
          <w:p w:rsidR="00447E69" w:rsidRDefault="00447E69">
            <w:r>
              <w:t>TID</w:t>
            </w:r>
          </w:p>
        </w:tc>
        <w:tc>
          <w:tcPr>
            <w:tcW w:w="6463" w:type="dxa"/>
          </w:tcPr>
          <w:p w:rsidR="00447E69" w:rsidRDefault="00BF5F58">
            <w:r>
              <w:t>1</w:t>
            </w:r>
            <w:r w:rsidR="00787F76">
              <w:t>0</w:t>
            </w:r>
            <w:r>
              <w:t>:</w:t>
            </w:r>
            <w:r w:rsidR="00B2693D">
              <w:t>00</w:t>
            </w:r>
            <w:r w:rsidR="00FA543D">
              <w:t>–</w:t>
            </w:r>
            <w:r w:rsidR="00B378BC">
              <w:t>10:40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8482C" w:rsidTr="0001177E">
        <w:tc>
          <w:tcPr>
            <w:tcW w:w="567" w:type="dxa"/>
          </w:tcPr>
          <w:p w:rsidR="0048482C" w:rsidRPr="004A423E" w:rsidRDefault="0048482C" w:rsidP="003B4DE8">
            <w:pPr>
              <w:pStyle w:val="Liststycke"/>
              <w:numPr>
                <w:ilvl w:val="0"/>
                <w:numId w:val="2"/>
              </w:numPr>
              <w:tabs>
                <w:tab w:val="left" w:pos="1701"/>
              </w:tabs>
              <w:rPr>
                <w:b/>
                <w:snapToGrid w:val="0"/>
              </w:rPr>
            </w:pPr>
          </w:p>
        </w:tc>
        <w:tc>
          <w:tcPr>
            <w:tcW w:w="6946" w:type="dxa"/>
            <w:gridSpan w:val="2"/>
          </w:tcPr>
          <w:p w:rsidR="0048482C" w:rsidRPr="004A423E" w:rsidRDefault="0048482C">
            <w:pPr>
              <w:tabs>
                <w:tab w:val="left" w:pos="1701"/>
              </w:tabs>
              <w:rPr>
                <w:b/>
                <w:bCs/>
                <w:color w:val="000000"/>
                <w:szCs w:val="24"/>
              </w:rPr>
            </w:pPr>
            <w:r w:rsidRPr="004A423E">
              <w:rPr>
                <w:b/>
                <w:bCs/>
                <w:color w:val="000000"/>
                <w:szCs w:val="24"/>
              </w:rPr>
              <w:t>EU-överläggningar</w:t>
            </w:r>
          </w:p>
          <w:p w:rsidR="0048482C" w:rsidRPr="004A423E" w:rsidRDefault="0048482C">
            <w:pPr>
              <w:tabs>
                <w:tab w:val="left" w:pos="1701"/>
              </w:tabs>
              <w:rPr>
                <w:b/>
                <w:bCs/>
                <w:color w:val="000000"/>
                <w:szCs w:val="24"/>
              </w:rPr>
            </w:pPr>
          </w:p>
          <w:p w:rsidR="0048482C" w:rsidRPr="004A423E" w:rsidRDefault="0048482C" w:rsidP="0048482C">
            <w:pPr>
              <w:tabs>
                <w:tab w:val="left" w:pos="1701"/>
              </w:tabs>
              <w:rPr>
                <w:bCs/>
                <w:color w:val="000000"/>
                <w:szCs w:val="24"/>
              </w:rPr>
            </w:pPr>
            <w:r w:rsidRPr="004A423E">
              <w:rPr>
                <w:bCs/>
                <w:color w:val="000000"/>
                <w:szCs w:val="24"/>
              </w:rPr>
              <w:t xml:space="preserve">Utskottet beslutade enligt 7 kap. 12 § RO att </w:t>
            </w:r>
            <w:r w:rsidR="007D42F0" w:rsidRPr="004A423E">
              <w:rPr>
                <w:bCs/>
                <w:color w:val="000000"/>
                <w:szCs w:val="24"/>
              </w:rPr>
              <w:t xml:space="preserve">överlägga med regeringen </w:t>
            </w:r>
            <w:r w:rsidRPr="004A423E">
              <w:rPr>
                <w:bCs/>
                <w:color w:val="000000"/>
                <w:szCs w:val="24"/>
              </w:rPr>
              <w:t>om:</w:t>
            </w:r>
          </w:p>
          <w:p w:rsidR="0048482C" w:rsidRPr="004A423E" w:rsidRDefault="0048482C" w:rsidP="0048482C">
            <w:pPr>
              <w:numPr>
                <w:ilvl w:val="0"/>
                <w:numId w:val="3"/>
              </w:numPr>
              <w:tabs>
                <w:tab w:val="left" w:pos="1701"/>
              </w:tabs>
              <w:rPr>
                <w:bCs/>
                <w:color w:val="000000"/>
                <w:szCs w:val="24"/>
              </w:rPr>
            </w:pPr>
            <w:r w:rsidRPr="004A423E">
              <w:rPr>
                <w:bCs/>
                <w:color w:val="000000"/>
                <w:szCs w:val="24"/>
              </w:rPr>
              <w:t xml:space="preserve">Horisont Europa: synergier med andra program </w:t>
            </w:r>
          </w:p>
          <w:p w:rsidR="0048482C" w:rsidRPr="004A423E" w:rsidRDefault="00E02301" w:rsidP="0048482C">
            <w:pPr>
              <w:numPr>
                <w:ilvl w:val="0"/>
                <w:numId w:val="3"/>
              </w:numPr>
              <w:tabs>
                <w:tab w:val="left" w:pos="1701"/>
              </w:tabs>
              <w:rPr>
                <w:bCs/>
                <w:color w:val="000000"/>
                <w:szCs w:val="24"/>
              </w:rPr>
            </w:pPr>
            <w:r w:rsidRPr="004A423E">
              <w:rPr>
                <w:bCs/>
                <w:color w:val="000000"/>
                <w:szCs w:val="24"/>
              </w:rPr>
              <w:t>E</w:t>
            </w:r>
            <w:r w:rsidR="0048482C" w:rsidRPr="004A423E">
              <w:rPr>
                <w:bCs/>
                <w:color w:val="000000"/>
                <w:szCs w:val="24"/>
              </w:rPr>
              <w:t>n långsiktig strategi för hållbar tillväxt</w:t>
            </w:r>
          </w:p>
          <w:p w:rsidR="0048482C" w:rsidRPr="004A423E" w:rsidRDefault="0048482C">
            <w:pPr>
              <w:tabs>
                <w:tab w:val="left" w:pos="1701"/>
              </w:tabs>
              <w:rPr>
                <w:b/>
                <w:bCs/>
                <w:color w:val="000000"/>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787F76">
            <w:pPr>
              <w:tabs>
                <w:tab w:val="left" w:pos="1701"/>
              </w:tabs>
              <w:rPr>
                <w:b/>
                <w:bCs/>
                <w:color w:val="000000"/>
                <w:szCs w:val="24"/>
              </w:rPr>
            </w:pPr>
            <w:r>
              <w:rPr>
                <w:b/>
                <w:bCs/>
                <w:color w:val="000000"/>
                <w:szCs w:val="24"/>
              </w:rPr>
              <w:t xml:space="preserve">EU-överläggning </w:t>
            </w:r>
            <w:r w:rsidR="008C6AED">
              <w:rPr>
                <w:b/>
                <w:bCs/>
                <w:color w:val="000000"/>
                <w:szCs w:val="24"/>
              </w:rPr>
              <w:t xml:space="preserve">med regeringen enligt RO 7 kap. 12 § </w:t>
            </w:r>
            <w:r>
              <w:rPr>
                <w:b/>
                <w:bCs/>
                <w:color w:val="000000"/>
                <w:szCs w:val="24"/>
              </w:rPr>
              <w:t>om Horisont Europa: synergier med andra program</w:t>
            </w:r>
          </w:p>
          <w:p w:rsidR="00F26DE0" w:rsidRDefault="00F26DE0">
            <w:pPr>
              <w:tabs>
                <w:tab w:val="left" w:pos="1701"/>
              </w:tabs>
              <w:rPr>
                <w:b/>
                <w:bCs/>
                <w:color w:val="000000"/>
                <w:szCs w:val="24"/>
              </w:rPr>
            </w:pPr>
          </w:p>
          <w:p w:rsidR="00787F76" w:rsidRDefault="002D1B9D">
            <w:pPr>
              <w:tabs>
                <w:tab w:val="left" w:pos="1701"/>
              </w:tabs>
              <w:rPr>
                <w:snapToGrid w:val="0"/>
              </w:rPr>
            </w:pPr>
            <w:r>
              <w:rPr>
                <w:snapToGrid w:val="0"/>
              </w:rPr>
              <w:t xml:space="preserve">Utskottet överlade med statssekreteraren </w:t>
            </w:r>
            <w:r w:rsidRPr="002D1B9D">
              <w:rPr>
                <w:snapToGrid w:val="0"/>
              </w:rPr>
              <w:t>Malin Cederfeldt Östberg</w:t>
            </w:r>
            <w:r>
              <w:rPr>
                <w:snapToGrid w:val="0"/>
              </w:rPr>
              <w:t xml:space="preserve"> med medarbetare från Utbildningsdepartementet om synergier för Horisont Europa med andra program. </w:t>
            </w:r>
          </w:p>
          <w:p w:rsidR="002D1B9D" w:rsidRDefault="002D1B9D">
            <w:pPr>
              <w:tabs>
                <w:tab w:val="left" w:pos="1701"/>
              </w:tabs>
              <w:rPr>
                <w:snapToGrid w:val="0"/>
              </w:rPr>
            </w:pPr>
          </w:p>
          <w:p w:rsidR="002D1B9D" w:rsidRDefault="002D1B9D">
            <w:pPr>
              <w:tabs>
                <w:tab w:val="left" w:pos="1701"/>
              </w:tabs>
              <w:rPr>
                <w:i/>
                <w:snapToGrid w:val="0"/>
              </w:rPr>
            </w:pPr>
            <w:r>
              <w:rPr>
                <w:i/>
                <w:snapToGrid w:val="0"/>
              </w:rPr>
              <w:t>Underlag för överläggningen</w:t>
            </w:r>
          </w:p>
          <w:p w:rsidR="002D1B9D" w:rsidRDefault="002D1B9D">
            <w:pPr>
              <w:tabs>
                <w:tab w:val="left" w:pos="1701"/>
              </w:tabs>
              <w:rPr>
                <w:snapToGrid w:val="0"/>
              </w:rPr>
            </w:pPr>
            <w:r>
              <w:rPr>
                <w:snapToGrid w:val="0"/>
              </w:rPr>
              <w:t>Promemoria från Utbildningsdepartementet (</w:t>
            </w:r>
            <w:r w:rsidRPr="002D1B9D">
              <w:rPr>
                <w:snapToGrid w:val="0"/>
              </w:rPr>
              <w:t>Dnr 3075-2018/19</w:t>
            </w:r>
            <w:r>
              <w:rPr>
                <w:snapToGrid w:val="0"/>
              </w:rPr>
              <w:t>)</w:t>
            </w:r>
          </w:p>
          <w:p w:rsidR="002D1B9D" w:rsidRPr="002D1B9D" w:rsidRDefault="002D1B9D">
            <w:pPr>
              <w:tabs>
                <w:tab w:val="left" w:pos="1701"/>
              </w:tabs>
              <w:rPr>
                <w:snapToGrid w:val="0"/>
              </w:rPr>
            </w:pPr>
          </w:p>
          <w:p w:rsidR="002D1B9D" w:rsidRPr="002D1B9D" w:rsidRDefault="002D1B9D" w:rsidP="002D1B9D">
            <w:pPr>
              <w:tabs>
                <w:tab w:val="left" w:pos="1701"/>
              </w:tabs>
              <w:rPr>
                <w:snapToGrid w:val="0"/>
              </w:rPr>
            </w:pPr>
            <w:r>
              <w:rPr>
                <w:i/>
                <w:snapToGrid w:val="0"/>
              </w:rPr>
              <w:t>Regeringens förslag till svensk ståndpunkt</w:t>
            </w:r>
            <w:r>
              <w:rPr>
                <w:i/>
                <w:snapToGrid w:val="0"/>
              </w:rPr>
              <w:br/>
            </w:r>
            <w:r w:rsidRPr="002D1B9D">
              <w:rPr>
                <w:snapToGrid w:val="0"/>
              </w:rPr>
              <w:t>Regeringen anser att det är av hög vikt att tydliga synergier mellan olika EU-program kan uppnås. Det är därför viktigt att program som berör forskning och innovation har tydliga regler och avgränsningar så att direkta överlappningar mellan program inte sker.</w:t>
            </w:r>
          </w:p>
          <w:p w:rsidR="002D1B9D" w:rsidRPr="002D1B9D" w:rsidRDefault="002D1B9D" w:rsidP="002D1B9D">
            <w:pPr>
              <w:tabs>
                <w:tab w:val="left" w:pos="1701"/>
              </w:tabs>
              <w:rPr>
                <w:snapToGrid w:val="0"/>
              </w:rPr>
            </w:pPr>
          </w:p>
          <w:p w:rsidR="002D1B9D" w:rsidRDefault="002D1B9D" w:rsidP="002D1B9D">
            <w:pPr>
              <w:tabs>
                <w:tab w:val="left" w:pos="1701"/>
              </w:tabs>
              <w:rPr>
                <w:snapToGrid w:val="0"/>
              </w:rPr>
            </w:pPr>
            <w:r w:rsidRPr="002D1B9D">
              <w:rPr>
                <w:snapToGrid w:val="0"/>
              </w:rPr>
              <w:t>Många potentiella synergier, till exempel mellan strukturfonder och ramprogrammet för forskning och innovation, skapas av de som genomför projekten. Det är därför viktigt att de som tar emot bidrag från flera program är medvetna om möjligheterna och begränsningarna i de olika programmen. Här har kommissionen en viktig informationsroll.</w:t>
            </w:r>
          </w:p>
          <w:p w:rsidR="002D1B9D" w:rsidRPr="002D1B9D" w:rsidRDefault="002D1B9D" w:rsidP="002D1B9D">
            <w:pPr>
              <w:tabs>
                <w:tab w:val="left" w:pos="1701"/>
              </w:tabs>
              <w:rPr>
                <w:snapToGrid w:val="0"/>
              </w:rPr>
            </w:pPr>
          </w:p>
          <w:p w:rsidR="002D1B9D" w:rsidRDefault="002D1B9D" w:rsidP="002D1B9D">
            <w:pPr>
              <w:tabs>
                <w:tab w:val="left" w:pos="1701"/>
              </w:tabs>
              <w:rPr>
                <w:i/>
                <w:snapToGrid w:val="0"/>
              </w:rPr>
            </w:pPr>
            <w:r w:rsidRPr="002D1B9D">
              <w:rPr>
                <w:snapToGrid w:val="0"/>
              </w:rPr>
              <w:t>Regeringen anser också att synergier även med nationella satsningar bör uppmuntras under nästa ramprogram. Det görs lättast genom att forskningsfinansiärer deltar i gemensamma programaktiviteter, där även nationell finansiering krävs. På det sättet skapas synergier som förstärker satsningar både på nationell och EU-nivå.</w:t>
            </w:r>
            <w:r>
              <w:rPr>
                <w:snapToGrid w:val="0"/>
              </w:rPr>
              <w:br/>
            </w:r>
            <w:r>
              <w:rPr>
                <w:i/>
                <w:snapToGrid w:val="0"/>
              </w:rPr>
              <w:br/>
              <w:t>Utskottet</w:t>
            </w:r>
          </w:p>
          <w:p w:rsidR="002D1B9D" w:rsidRDefault="002D1B9D" w:rsidP="002D1B9D">
            <w:pPr>
              <w:tabs>
                <w:tab w:val="left" w:pos="1701"/>
              </w:tabs>
              <w:rPr>
                <w:snapToGrid w:val="0"/>
                <w:highlight w:val="yellow"/>
              </w:rPr>
            </w:pPr>
            <w:r w:rsidRPr="002D1B9D">
              <w:rPr>
                <w:snapToGrid w:val="0"/>
              </w:rPr>
              <w:t xml:space="preserve">Ordföranden konstaterade att det fanns majoritet i utskottet för </w:t>
            </w:r>
            <w:r w:rsidRPr="002D1B9D">
              <w:rPr>
                <w:snapToGrid w:val="0"/>
              </w:rPr>
              <w:lastRenderedPageBreak/>
              <w:t>regeringens ståndpunkt.</w:t>
            </w:r>
          </w:p>
          <w:p w:rsidR="002D1B9D" w:rsidRDefault="002D1B9D" w:rsidP="002D1B9D">
            <w:pPr>
              <w:tabs>
                <w:tab w:val="left" w:pos="1701"/>
              </w:tabs>
              <w:rPr>
                <w:snapToGrid w:val="0"/>
              </w:rPr>
            </w:pPr>
          </w:p>
          <w:p w:rsidR="002D1B9D" w:rsidRDefault="0048482C" w:rsidP="002D1B9D">
            <w:pPr>
              <w:tabs>
                <w:tab w:val="left" w:pos="1701"/>
              </w:tabs>
              <w:rPr>
                <w:snapToGrid w:val="0"/>
              </w:rPr>
            </w:pPr>
            <w:r>
              <w:rPr>
                <w:snapToGrid w:val="0"/>
              </w:rPr>
              <w:t xml:space="preserve">Ledamöterna från </w:t>
            </w:r>
            <w:r w:rsidR="002D1B9D">
              <w:rPr>
                <w:snapToGrid w:val="0"/>
              </w:rPr>
              <w:t>Sverigedemokraterna anmälde en avvikande mening, om att det första stycket</w:t>
            </w:r>
            <w:r>
              <w:rPr>
                <w:snapToGrid w:val="0"/>
              </w:rPr>
              <w:t xml:space="preserve"> i regeringens ståndpunkt</w:t>
            </w:r>
            <w:r w:rsidR="002D1B9D">
              <w:rPr>
                <w:snapToGrid w:val="0"/>
              </w:rPr>
              <w:t xml:space="preserve"> borde tillföras följande mening: Varje program ska också ha en avgränsad budget, så att det inte bidrar till en ökning av EU:s totala budget, utan helst en minskning av densamma.  </w:t>
            </w:r>
          </w:p>
          <w:p w:rsidR="007675B9" w:rsidRDefault="007675B9" w:rsidP="002D1B9D">
            <w:pPr>
              <w:tabs>
                <w:tab w:val="left" w:pos="1701"/>
              </w:tabs>
              <w:rPr>
                <w:snapToGrid w:val="0"/>
              </w:rPr>
            </w:pPr>
          </w:p>
          <w:p w:rsidR="007675B9" w:rsidRPr="007675B9" w:rsidRDefault="007675B9" w:rsidP="002D1B9D">
            <w:pPr>
              <w:tabs>
                <w:tab w:val="left" w:pos="1701"/>
              </w:tabs>
              <w:rPr>
                <w:bCs/>
                <w:color w:val="000000"/>
                <w:szCs w:val="24"/>
              </w:rPr>
            </w:pPr>
            <w:r w:rsidRPr="008C6AED">
              <w:rPr>
                <w:bCs/>
                <w:color w:val="000000"/>
                <w:szCs w:val="24"/>
              </w:rPr>
              <w:t>Denna paragraf förklarades omedelbart justerad.</w:t>
            </w:r>
          </w:p>
          <w:p w:rsidR="00787F76" w:rsidRDefault="00787F76">
            <w:pPr>
              <w:tabs>
                <w:tab w:val="left" w:pos="1701"/>
              </w:tabs>
              <w:rPr>
                <w:b/>
                <w:snapToGrid w:val="0"/>
              </w:rPr>
            </w:pPr>
          </w:p>
        </w:tc>
      </w:tr>
      <w:tr w:rsidR="00787F76" w:rsidTr="0001177E">
        <w:tc>
          <w:tcPr>
            <w:tcW w:w="567" w:type="dxa"/>
          </w:tcPr>
          <w:p w:rsidR="00787F76" w:rsidRPr="003B4DE8" w:rsidRDefault="00787F76" w:rsidP="003B4DE8">
            <w:pPr>
              <w:pStyle w:val="Liststycke"/>
              <w:numPr>
                <w:ilvl w:val="0"/>
                <w:numId w:val="2"/>
              </w:numPr>
              <w:tabs>
                <w:tab w:val="left" w:pos="1701"/>
              </w:tabs>
              <w:rPr>
                <w:b/>
                <w:snapToGrid w:val="0"/>
              </w:rPr>
            </w:pPr>
          </w:p>
        </w:tc>
        <w:tc>
          <w:tcPr>
            <w:tcW w:w="6946" w:type="dxa"/>
            <w:gridSpan w:val="2"/>
          </w:tcPr>
          <w:p w:rsidR="00787F76" w:rsidRDefault="008C6AED">
            <w:pPr>
              <w:tabs>
                <w:tab w:val="left" w:pos="1701"/>
              </w:tabs>
              <w:rPr>
                <w:b/>
                <w:bCs/>
                <w:color w:val="000000"/>
                <w:szCs w:val="24"/>
              </w:rPr>
            </w:pPr>
            <w:r>
              <w:rPr>
                <w:b/>
                <w:bCs/>
                <w:color w:val="000000"/>
                <w:szCs w:val="24"/>
              </w:rPr>
              <w:t xml:space="preserve">EU-överläggning med regeringen enligt RO 7 kap. 12 § </w:t>
            </w:r>
            <w:r w:rsidR="00787F76">
              <w:rPr>
                <w:b/>
                <w:bCs/>
                <w:color w:val="000000"/>
                <w:szCs w:val="24"/>
              </w:rPr>
              <w:t>om en långsiktig strategi för hållbar tillväxt</w:t>
            </w:r>
          </w:p>
          <w:p w:rsidR="00F26DE0" w:rsidRDefault="00F26DE0">
            <w:pPr>
              <w:tabs>
                <w:tab w:val="left" w:pos="1701"/>
              </w:tabs>
              <w:rPr>
                <w:b/>
                <w:bCs/>
                <w:color w:val="000000"/>
                <w:szCs w:val="24"/>
              </w:rPr>
            </w:pPr>
          </w:p>
          <w:p w:rsidR="002D1B9D" w:rsidRDefault="002D1B9D" w:rsidP="002D1B9D">
            <w:pPr>
              <w:tabs>
                <w:tab w:val="left" w:pos="1701"/>
              </w:tabs>
              <w:rPr>
                <w:snapToGrid w:val="0"/>
              </w:rPr>
            </w:pPr>
            <w:r>
              <w:rPr>
                <w:snapToGrid w:val="0"/>
              </w:rPr>
              <w:t xml:space="preserve">Utskottet överlade med statssekreteraren </w:t>
            </w:r>
            <w:r w:rsidRPr="002D1B9D">
              <w:rPr>
                <w:snapToGrid w:val="0"/>
              </w:rPr>
              <w:t>Malin Cederfeldt Östberg</w:t>
            </w:r>
            <w:r>
              <w:rPr>
                <w:snapToGrid w:val="0"/>
              </w:rPr>
              <w:t xml:space="preserve"> med medarbetare från Utbildningsdepartementet om en långsiktig strategi för hållbar tillväxt. </w:t>
            </w:r>
          </w:p>
          <w:p w:rsidR="002D1B9D" w:rsidRDefault="002D1B9D" w:rsidP="002D1B9D">
            <w:pPr>
              <w:tabs>
                <w:tab w:val="left" w:pos="1701"/>
              </w:tabs>
              <w:rPr>
                <w:snapToGrid w:val="0"/>
              </w:rPr>
            </w:pPr>
          </w:p>
          <w:p w:rsidR="002D1B9D" w:rsidRDefault="002D1B9D" w:rsidP="002D1B9D">
            <w:pPr>
              <w:tabs>
                <w:tab w:val="left" w:pos="1701"/>
              </w:tabs>
              <w:rPr>
                <w:i/>
                <w:snapToGrid w:val="0"/>
              </w:rPr>
            </w:pPr>
            <w:r>
              <w:rPr>
                <w:i/>
                <w:snapToGrid w:val="0"/>
              </w:rPr>
              <w:t>Underlag för överläggningen</w:t>
            </w:r>
          </w:p>
          <w:p w:rsidR="002D1B9D" w:rsidRDefault="002D1B9D" w:rsidP="002D1B9D">
            <w:pPr>
              <w:tabs>
                <w:tab w:val="left" w:pos="1701"/>
              </w:tabs>
              <w:rPr>
                <w:snapToGrid w:val="0"/>
              </w:rPr>
            </w:pPr>
            <w:r>
              <w:rPr>
                <w:snapToGrid w:val="0"/>
              </w:rPr>
              <w:t>Promemoria från Utbildningsdepartementet (</w:t>
            </w:r>
            <w:r w:rsidRPr="002D1B9D">
              <w:rPr>
                <w:snapToGrid w:val="0"/>
              </w:rPr>
              <w:t>Dnr 307</w:t>
            </w:r>
            <w:r>
              <w:rPr>
                <w:snapToGrid w:val="0"/>
              </w:rPr>
              <w:t>6</w:t>
            </w:r>
            <w:r w:rsidRPr="002D1B9D">
              <w:rPr>
                <w:snapToGrid w:val="0"/>
              </w:rPr>
              <w:t>-2018/19</w:t>
            </w:r>
            <w:r>
              <w:rPr>
                <w:snapToGrid w:val="0"/>
              </w:rPr>
              <w:t>)</w:t>
            </w:r>
          </w:p>
          <w:p w:rsidR="002D1B9D" w:rsidRPr="002D1B9D" w:rsidRDefault="002D1B9D" w:rsidP="002D1B9D">
            <w:pPr>
              <w:tabs>
                <w:tab w:val="left" w:pos="1701"/>
              </w:tabs>
              <w:rPr>
                <w:snapToGrid w:val="0"/>
              </w:rPr>
            </w:pPr>
          </w:p>
          <w:p w:rsidR="002D1B9D" w:rsidRDefault="002D1B9D" w:rsidP="002D1B9D">
            <w:pPr>
              <w:tabs>
                <w:tab w:val="left" w:pos="1701"/>
              </w:tabs>
              <w:rPr>
                <w:snapToGrid w:val="0"/>
              </w:rPr>
            </w:pPr>
            <w:r>
              <w:rPr>
                <w:i/>
                <w:snapToGrid w:val="0"/>
              </w:rPr>
              <w:t>Regeringens förslag till svensk ståndpunkt</w:t>
            </w:r>
            <w:r>
              <w:rPr>
                <w:i/>
                <w:snapToGrid w:val="0"/>
              </w:rPr>
              <w:br/>
            </w:r>
            <w:r w:rsidRPr="002D1B9D">
              <w:rPr>
                <w:snapToGrid w:val="0"/>
              </w:rPr>
              <w:t xml:space="preserve">Regeringen anser att det är positivt att det finländska ordförandeskapet har ett holistiskt angreppssätt kring att nå en hållbar tillväxt. Forskning och innovation har en viktig roll om vi ska uppnå hållbar tillväxt. </w:t>
            </w:r>
          </w:p>
          <w:p w:rsidR="002D1B9D" w:rsidRPr="002D1B9D" w:rsidRDefault="002D1B9D" w:rsidP="002D1B9D">
            <w:pPr>
              <w:tabs>
                <w:tab w:val="left" w:pos="1701"/>
              </w:tabs>
              <w:rPr>
                <w:snapToGrid w:val="0"/>
              </w:rPr>
            </w:pPr>
          </w:p>
          <w:p w:rsidR="002D1B9D" w:rsidRDefault="002D1B9D" w:rsidP="002D1B9D">
            <w:pPr>
              <w:tabs>
                <w:tab w:val="left" w:pos="1701"/>
              </w:tabs>
              <w:rPr>
                <w:snapToGrid w:val="0"/>
              </w:rPr>
            </w:pPr>
            <w:r w:rsidRPr="002D1B9D">
              <w:rPr>
                <w:snapToGrid w:val="0"/>
              </w:rPr>
              <w:t xml:space="preserve">Nästa ramprogram för forskning och innovation, Horisont Europa, har en struktur och inriktning som tydligt bidrar till en hållbar tillväxt. Även Europeiska forskningsområdet, ERA, kan bidra genom fri rörlighet av kunskap och forskare. </w:t>
            </w:r>
          </w:p>
          <w:p w:rsidR="002D1B9D" w:rsidRPr="002D1B9D" w:rsidRDefault="002D1B9D" w:rsidP="002D1B9D">
            <w:pPr>
              <w:tabs>
                <w:tab w:val="left" w:pos="1701"/>
              </w:tabs>
              <w:rPr>
                <w:snapToGrid w:val="0"/>
              </w:rPr>
            </w:pPr>
          </w:p>
          <w:p w:rsidR="002D1B9D" w:rsidRPr="002D1B9D" w:rsidRDefault="002D1B9D" w:rsidP="002D1B9D">
            <w:pPr>
              <w:tabs>
                <w:tab w:val="left" w:pos="1701"/>
              </w:tabs>
              <w:rPr>
                <w:snapToGrid w:val="0"/>
              </w:rPr>
            </w:pPr>
            <w:r w:rsidRPr="002D1B9D">
              <w:rPr>
                <w:snapToGrid w:val="0"/>
              </w:rPr>
              <w:t>Regeringen anser också att forskningsinfrastrukturer som finns i EU, som ESS eller Sci-Life Lab, kan främja utvecklingen av en hållbar tillväxt. Utvecklingen av rymdteknik är ytterligare ett område som regeringen anser bör lyftas i sammanhanget.</w:t>
            </w:r>
            <w:r>
              <w:rPr>
                <w:snapToGrid w:val="0"/>
              </w:rPr>
              <w:br/>
            </w:r>
            <w:r>
              <w:rPr>
                <w:i/>
                <w:snapToGrid w:val="0"/>
              </w:rPr>
              <w:br/>
              <w:t>Utskottet</w:t>
            </w:r>
          </w:p>
          <w:p w:rsidR="002D1B9D" w:rsidRDefault="002D1B9D">
            <w:pPr>
              <w:tabs>
                <w:tab w:val="left" w:pos="1701"/>
              </w:tabs>
              <w:rPr>
                <w:snapToGrid w:val="0"/>
              </w:rPr>
            </w:pPr>
            <w:r w:rsidRPr="002D1B9D">
              <w:rPr>
                <w:snapToGrid w:val="0"/>
              </w:rPr>
              <w:t xml:space="preserve">Ordföranden konstaterade att det fanns </w:t>
            </w:r>
            <w:r w:rsidR="00535E96">
              <w:rPr>
                <w:snapToGrid w:val="0"/>
              </w:rPr>
              <w:t>stöd</w:t>
            </w:r>
            <w:r w:rsidRPr="002D1B9D">
              <w:rPr>
                <w:snapToGrid w:val="0"/>
              </w:rPr>
              <w:t xml:space="preserve"> i utskottet för regeringens ståndpunkt.</w:t>
            </w:r>
          </w:p>
          <w:p w:rsidR="007675B9" w:rsidRDefault="007675B9">
            <w:pPr>
              <w:tabs>
                <w:tab w:val="left" w:pos="1701"/>
              </w:tabs>
              <w:rPr>
                <w:snapToGrid w:val="0"/>
                <w:highlight w:val="yellow"/>
              </w:rPr>
            </w:pPr>
          </w:p>
          <w:p w:rsidR="007675B9" w:rsidRPr="007675B9" w:rsidRDefault="007675B9">
            <w:pPr>
              <w:tabs>
                <w:tab w:val="left" w:pos="1701"/>
              </w:tabs>
              <w:rPr>
                <w:bCs/>
                <w:color w:val="000000"/>
                <w:szCs w:val="24"/>
              </w:rPr>
            </w:pPr>
            <w:r w:rsidRPr="008C6AED">
              <w:rPr>
                <w:bCs/>
                <w:color w:val="000000"/>
                <w:szCs w:val="24"/>
              </w:rPr>
              <w:t>Denna paragraf förklarades omedelbart justerad.</w:t>
            </w:r>
          </w:p>
          <w:p w:rsidR="00787F76" w:rsidRDefault="00787F76">
            <w:pPr>
              <w:tabs>
                <w:tab w:val="left" w:pos="1701"/>
              </w:tabs>
              <w:rPr>
                <w:b/>
                <w:bCs/>
                <w:color w:val="000000"/>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803038" w:rsidP="003B4DE8">
            <w:pPr>
              <w:tabs>
                <w:tab w:val="left" w:pos="1701"/>
              </w:tabs>
              <w:rPr>
                <w:b/>
                <w:bCs/>
                <w:color w:val="000000"/>
                <w:szCs w:val="24"/>
              </w:rPr>
            </w:pPr>
            <w:r>
              <w:rPr>
                <w:b/>
                <w:bCs/>
                <w:color w:val="000000"/>
                <w:szCs w:val="24"/>
              </w:rPr>
              <w:t>Kommissionens förslag till beslut om ett strategiskt innovationsprogram för Europeiska institutet för innovation och teknik (EIT) 2021-2027 samt förordning om Europeiska institutet för innovation och teknik (omarbetning)</w:t>
            </w:r>
          </w:p>
          <w:p w:rsidR="008C6AED" w:rsidRDefault="008C6AED" w:rsidP="003B4DE8">
            <w:pPr>
              <w:tabs>
                <w:tab w:val="left" w:pos="1701"/>
              </w:tabs>
              <w:rPr>
                <w:b/>
                <w:bCs/>
                <w:color w:val="000000"/>
                <w:szCs w:val="24"/>
              </w:rPr>
            </w:pPr>
          </w:p>
          <w:p w:rsidR="008C6AED" w:rsidRPr="008C6AED" w:rsidRDefault="008C6AED" w:rsidP="008C6AED">
            <w:pPr>
              <w:tabs>
                <w:tab w:val="left" w:pos="1701"/>
              </w:tabs>
              <w:rPr>
                <w:color w:val="000000"/>
                <w:szCs w:val="24"/>
              </w:rPr>
            </w:pPr>
            <w:r w:rsidRPr="008C6AED">
              <w:rPr>
                <w:bCs/>
                <w:color w:val="000000"/>
                <w:szCs w:val="24"/>
              </w:rPr>
              <w:t xml:space="preserve">Utskottet behandlade frågan om subsidiaritetsprövning av kommissionens förslag till beslut om ett strategiskt innovationsprogram för Europeiska institutet för innovation och teknik (EIT) 2021-2027 samt förordning om Europeiska institutet för innovation och teknik (omarbetning), </w:t>
            </w:r>
            <w:r w:rsidRPr="008C6AED">
              <w:rPr>
                <w:color w:val="000000"/>
                <w:szCs w:val="24"/>
              </w:rPr>
              <w:t>COM(2019) 330 och COM(2019) 331.</w:t>
            </w:r>
          </w:p>
          <w:p w:rsidR="008C6AED" w:rsidRPr="008C6AED" w:rsidRDefault="008C6AED" w:rsidP="008C6AED">
            <w:pPr>
              <w:tabs>
                <w:tab w:val="left" w:pos="1701"/>
              </w:tabs>
              <w:rPr>
                <w:bCs/>
                <w:color w:val="000000"/>
                <w:szCs w:val="24"/>
              </w:rPr>
            </w:pPr>
          </w:p>
          <w:p w:rsidR="008C6AED" w:rsidRPr="008C6AED" w:rsidRDefault="008C6AED" w:rsidP="008C6AED">
            <w:pPr>
              <w:tabs>
                <w:tab w:val="left" w:pos="1701"/>
              </w:tabs>
              <w:rPr>
                <w:bCs/>
                <w:color w:val="000000"/>
                <w:szCs w:val="24"/>
              </w:rPr>
            </w:pPr>
            <w:r w:rsidRPr="008C6AED">
              <w:rPr>
                <w:bCs/>
                <w:color w:val="000000"/>
                <w:szCs w:val="24"/>
              </w:rPr>
              <w:t xml:space="preserve">Utskottet </w:t>
            </w:r>
            <w:r>
              <w:rPr>
                <w:bCs/>
                <w:color w:val="000000"/>
                <w:szCs w:val="24"/>
              </w:rPr>
              <w:t>ansåg att förslage</w:t>
            </w:r>
            <w:r w:rsidR="003E6505">
              <w:rPr>
                <w:bCs/>
                <w:color w:val="000000"/>
                <w:szCs w:val="24"/>
              </w:rPr>
              <w:t>n</w:t>
            </w:r>
            <w:r>
              <w:rPr>
                <w:bCs/>
                <w:color w:val="000000"/>
                <w:szCs w:val="24"/>
              </w:rPr>
              <w:t xml:space="preserve"> inte strider mot </w:t>
            </w:r>
            <w:r w:rsidRPr="008C6AED">
              <w:rPr>
                <w:bCs/>
                <w:color w:val="000000"/>
                <w:szCs w:val="24"/>
              </w:rPr>
              <w:t>subsidiaritetsprincipen.</w:t>
            </w:r>
          </w:p>
          <w:p w:rsidR="008C6AED" w:rsidRDefault="008C6AED" w:rsidP="003B4DE8">
            <w:pPr>
              <w:tabs>
                <w:tab w:val="left" w:pos="1701"/>
              </w:tabs>
              <w:rPr>
                <w:b/>
                <w:bCs/>
                <w:color w:val="000000"/>
                <w:szCs w:val="24"/>
              </w:rPr>
            </w:pPr>
            <w:r>
              <w:rPr>
                <w:b/>
                <w:bCs/>
                <w:color w:val="000000"/>
                <w:szCs w:val="24"/>
              </w:rPr>
              <w:t xml:space="preserve"> </w:t>
            </w:r>
          </w:p>
          <w:p w:rsidR="008C6AED" w:rsidRPr="008C6AED" w:rsidRDefault="008C6AED" w:rsidP="003B4DE8">
            <w:pPr>
              <w:tabs>
                <w:tab w:val="left" w:pos="1701"/>
              </w:tabs>
              <w:rPr>
                <w:bCs/>
                <w:color w:val="000000"/>
                <w:szCs w:val="24"/>
              </w:rPr>
            </w:pPr>
            <w:r w:rsidRPr="008C6AED">
              <w:rPr>
                <w:bCs/>
                <w:color w:val="000000"/>
                <w:szCs w:val="24"/>
              </w:rPr>
              <w:t>Denna paragraf förklarades omedelbart justerad.</w:t>
            </w:r>
          </w:p>
          <w:p w:rsidR="00803038" w:rsidRDefault="0080303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803038" w:rsidP="003B4DE8">
            <w:pPr>
              <w:tabs>
                <w:tab w:val="left" w:pos="1701"/>
              </w:tabs>
              <w:rPr>
                <w:b/>
                <w:bCs/>
                <w:color w:val="000000"/>
                <w:szCs w:val="24"/>
              </w:rPr>
            </w:pPr>
            <w:r>
              <w:rPr>
                <w:b/>
                <w:bCs/>
                <w:color w:val="000000"/>
                <w:szCs w:val="24"/>
              </w:rPr>
              <w:t>Utskottsresor</w:t>
            </w:r>
          </w:p>
          <w:p w:rsidR="008A028F" w:rsidRDefault="008A028F" w:rsidP="003B4DE8">
            <w:pPr>
              <w:tabs>
                <w:tab w:val="left" w:pos="1701"/>
              </w:tabs>
              <w:rPr>
                <w:b/>
                <w:bCs/>
                <w:color w:val="000000"/>
                <w:szCs w:val="24"/>
              </w:rPr>
            </w:pPr>
          </w:p>
          <w:p w:rsidR="008A028F" w:rsidRPr="008A028F" w:rsidRDefault="008A028F" w:rsidP="003B4DE8">
            <w:pPr>
              <w:tabs>
                <w:tab w:val="left" w:pos="1701"/>
              </w:tabs>
              <w:rPr>
                <w:bCs/>
                <w:color w:val="000000"/>
                <w:szCs w:val="24"/>
              </w:rPr>
            </w:pPr>
            <w:r w:rsidRPr="008A028F">
              <w:rPr>
                <w:bCs/>
                <w:color w:val="000000"/>
                <w:szCs w:val="24"/>
              </w:rPr>
              <w:t>Utbildningsutskottet beslutade att genomföra utskottsresor enligt förslag i bilaga 4.</w:t>
            </w:r>
          </w:p>
          <w:p w:rsidR="00803038" w:rsidRPr="000A2204" w:rsidRDefault="0080303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936911" w:rsidP="0040376B">
            <w:pPr>
              <w:widowControl/>
              <w:autoSpaceDE w:val="0"/>
              <w:autoSpaceDN w:val="0"/>
              <w:adjustRightInd w:val="0"/>
              <w:rPr>
                <w:b/>
                <w:bCs/>
                <w:szCs w:val="24"/>
              </w:rPr>
            </w:pPr>
            <w:r>
              <w:rPr>
                <w:b/>
                <w:bCs/>
                <w:szCs w:val="24"/>
              </w:rPr>
              <w:t>Studiebesök</w:t>
            </w:r>
          </w:p>
          <w:p w:rsidR="0040376B" w:rsidRDefault="0040376B" w:rsidP="0040376B">
            <w:pPr>
              <w:tabs>
                <w:tab w:val="left" w:pos="1701"/>
              </w:tabs>
              <w:rPr>
                <w:szCs w:val="24"/>
              </w:rPr>
            </w:pPr>
          </w:p>
          <w:p w:rsidR="003B4DE8" w:rsidRDefault="002A5DE4" w:rsidP="00F816D5">
            <w:pPr>
              <w:tabs>
                <w:tab w:val="left" w:pos="1701"/>
              </w:tabs>
              <w:rPr>
                <w:snapToGrid w:val="0"/>
              </w:rPr>
            </w:pPr>
            <w:r w:rsidRPr="003C4B78">
              <w:rPr>
                <w:szCs w:val="24"/>
              </w:rPr>
              <w:t xml:space="preserve">Utskottet gör ett studiebesök hos Skolverket onsdagen den 25 september </w:t>
            </w:r>
            <w:r w:rsidR="003C4B78" w:rsidRPr="003C4B78">
              <w:rPr>
                <w:szCs w:val="24"/>
              </w:rPr>
              <w:t xml:space="preserve">ca </w:t>
            </w:r>
            <w:r w:rsidRPr="003C4B78">
              <w:rPr>
                <w:szCs w:val="24"/>
              </w:rPr>
              <w:t>kl. 17.00.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8A028F"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3C4B78">
              <w:t xml:space="preserve">Justeras </w:t>
            </w:r>
            <w:r w:rsidR="00143FBB">
              <w:t xml:space="preserve">tisdagen den 1 oktober </w:t>
            </w:r>
            <w:r w:rsidR="00553DE6" w:rsidRPr="003C4B78">
              <w:t>2019</w:t>
            </w:r>
          </w:p>
          <w:p w:rsidR="00553DE6" w:rsidRDefault="00553DE6"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787F76">
              <w:t>01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553DE6">
              <w:rPr>
                <w:sz w:val="22"/>
              </w:rPr>
              <w:t>1-5</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53DE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6110B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förste vice ordförande</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 (M), andre vice ordförande</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00117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Pr="00EC27A5"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Arnholm (L)</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26DE0"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26DE0"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9E1FCA"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26DE0"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26DE0"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Vepsä (S)</w:t>
            </w: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26DE0" w:rsidRPr="00402D5D"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Pr="003D41A2" w:rsidRDefault="00F26DE0" w:rsidP="00F26DE0">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Pr>
                <w:sz w:val="22"/>
                <w:szCs w:val="22"/>
              </w:rPr>
              <w:t>Elsemarie Bjellqvist (S)</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26DE0" w:rsidRDefault="00F26DE0" w:rsidP="00F26DE0">
            <w:pPr>
              <w:rPr>
                <w:sz w:val="22"/>
                <w:szCs w:val="22"/>
              </w:rPr>
            </w:pPr>
            <w:r w:rsidRPr="008929D2">
              <w:rPr>
                <w:sz w:val="22"/>
                <w:szCs w:val="22"/>
              </w:rPr>
              <w:t>Lars-Arne Staxäng (M)</w:t>
            </w: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F26DE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F26DE0" w:rsidRPr="003D41A2"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F26DE0" w:rsidRDefault="00F26DE0" w:rsidP="00F26D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4C58D5" w:rsidRDefault="004C58D5" w:rsidP="00670279">
      <w:pPr>
        <w:tabs>
          <w:tab w:val="left" w:pos="1276"/>
        </w:tabs>
        <w:ind w:left="-1134" w:firstLine="1134"/>
      </w:pPr>
    </w:p>
    <w:sectPr w:rsidR="004C58D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A8825DB"/>
    <w:multiLevelType w:val="hybridMultilevel"/>
    <w:tmpl w:val="E4180148"/>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29"/>
    <w:rsid w:val="00001172"/>
    <w:rsid w:val="0001177E"/>
    <w:rsid w:val="00013FF4"/>
    <w:rsid w:val="0001407C"/>
    <w:rsid w:val="00022A7C"/>
    <w:rsid w:val="00026856"/>
    <w:rsid w:val="00033465"/>
    <w:rsid w:val="00071F8E"/>
    <w:rsid w:val="00073768"/>
    <w:rsid w:val="000867B0"/>
    <w:rsid w:val="0009467D"/>
    <w:rsid w:val="00097DF0"/>
    <w:rsid w:val="000A2204"/>
    <w:rsid w:val="000A37EC"/>
    <w:rsid w:val="000B5D40"/>
    <w:rsid w:val="000C0C72"/>
    <w:rsid w:val="000C5953"/>
    <w:rsid w:val="000D534A"/>
    <w:rsid w:val="000E5FA0"/>
    <w:rsid w:val="000E611E"/>
    <w:rsid w:val="000F18FE"/>
    <w:rsid w:val="000F3EEE"/>
    <w:rsid w:val="000F4556"/>
    <w:rsid w:val="00100A34"/>
    <w:rsid w:val="00126727"/>
    <w:rsid w:val="00127778"/>
    <w:rsid w:val="00135412"/>
    <w:rsid w:val="0014254D"/>
    <w:rsid w:val="00143656"/>
    <w:rsid w:val="00143FBB"/>
    <w:rsid w:val="00161A87"/>
    <w:rsid w:val="001634B9"/>
    <w:rsid w:val="001671DE"/>
    <w:rsid w:val="001712BC"/>
    <w:rsid w:val="00186651"/>
    <w:rsid w:val="001A287E"/>
    <w:rsid w:val="001D5522"/>
    <w:rsid w:val="001E3399"/>
    <w:rsid w:val="001F5AC6"/>
    <w:rsid w:val="002059AD"/>
    <w:rsid w:val="00207D45"/>
    <w:rsid w:val="0022226E"/>
    <w:rsid w:val="002462FF"/>
    <w:rsid w:val="00253162"/>
    <w:rsid w:val="002608E3"/>
    <w:rsid w:val="00267FC1"/>
    <w:rsid w:val="002871AD"/>
    <w:rsid w:val="002A5DE4"/>
    <w:rsid w:val="002D1B9D"/>
    <w:rsid w:val="002D5CD8"/>
    <w:rsid w:val="002E7435"/>
    <w:rsid w:val="002E7751"/>
    <w:rsid w:val="002F31F6"/>
    <w:rsid w:val="002F53A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C4B78"/>
    <w:rsid w:val="003D41A2"/>
    <w:rsid w:val="003E6505"/>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482C"/>
    <w:rsid w:val="004875DF"/>
    <w:rsid w:val="004A423E"/>
    <w:rsid w:val="004C4C01"/>
    <w:rsid w:val="004C58D5"/>
    <w:rsid w:val="004E024A"/>
    <w:rsid w:val="00501D18"/>
    <w:rsid w:val="00520D71"/>
    <w:rsid w:val="005331E3"/>
    <w:rsid w:val="005349AA"/>
    <w:rsid w:val="00535E96"/>
    <w:rsid w:val="00540629"/>
    <w:rsid w:val="00553DE6"/>
    <w:rsid w:val="005739C0"/>
    <w:rsid w:val="00576AFA"/>
    <w:rsid w:val="00587BBF"/>
    <w:rsid w:val="005A3941"/>
    <w:rsid w:val="005A4EAC"/>
    <w:rsid w:val="005A63E8"/>
    <w:rsid w:val="005D0198"/>
    <w:rsid w:val="005D63F2"/>
    <w:rsid w:val="005E36F0"/>
    <w:rsid w:val="005F5155"/>
    <w:rsid w:val="00601C28"/>
    <w:rsid w:val="00602725"/>
    <w:rsid w:val="0060305B"/>
    <w:rsid w:val="0060467B"/>
    <w:rsid w:val="006110B5"/>
    <w:rsid w:val="00622525"/>
    <w:rsid w:val="00637376"/>
    <w:rsid w:val="00650ADB"/>
    <w:rsid w:val="00656ECC"/>
    <w:rsid w:val="00666846"/>
    <w:rsid w:val="00667E8B"/>
    <w:rsid w:val="00670279"/>
    <w:rsid w:val="0067487F"/>
    <w:rsid w:val="00680665"/>
    <w:rsid w:val="006965E4"/>
    <w:rsid w:val="006A2991"/>
    <w:rsid w:val="006B026C"/>
    <w:rsid w:val="006B1BCF"/>
    <w:rsid w:val="006B1D76"/>
    <w:rsid w:val="006B4C5A"/>
    <w:rsid w:val="006B65A5"/>
    <w:rsid w:val="006B7A08"/>
    <w:rsid w:val="006E0945"/>
    <w:rsid w:val="006E6B54"/>
    <w:rsid w:val="007070D5"/>
    <w:rsid w:val="00711344"/>
    <w:rsid w:val="00721260"/>
    <w:rsid w:val="00740F7D"/>
    <w:rsid w:val="00766B40"/>
    <w:rsid w:val="0076736F"/>
    <w:rsid w:val="007675B9"/>
    <w:rsid w:val="00775DBD"/>
    <w:rsid w:val="007765ED"/>
    <w:rsid w:val="00776CA2"/>
    <w:rsid w:val="007801D9"/>
    <w:rsid w:val="00786FC6"/>
    <w:rsid w:val="00787F76"/>
    <w:rsid w:val="007A1350"/>
    <w:rsid w:val="007A2471"/>
    <w:rsid w:val="007B32E2"/>
    <w:rsid w:val="007B38F0"/>
    <w:rsid w:val="007B66A7"/>
    <w:rsid w:val="007B6F35"/>
    <w:rsid w:val="007C0DFA"/>
    <w:rsid w:val="007C52B4"/>
    <w:rsid w:val="007D23C1"/>
    <w:rsid w:val="007D3639"/>
    <w:rsid w:val="007D42F0"/>
    <w:rsid w:val="007D47AC"/>
    <w:rsid w:val="007D76A1"/>
    <w:rsid w:val="007E5066"/>
    <w:rsid w:val="007E738E"/>
    <w:rsid w:val="007F73E1"/>
    <w:rsid w:val="00803038"/>
    <w:rsid w:val="00823C8C"/>
    <w:rsid w:val="00827DBD"/>
    <w:rsid w:val="00832BA8"/>
    <w:rsid w:val="0083501D"/>
    <w:rsid w:val="00841B9D"/>
    <w:rsid w:val="00872753"/>
    <w:rsid w:val="00876835"/>
    <w:rsid w:val="00886BA6"/>
    <w:rsid w:val="008929D2"/>
    <w:rsid w:val="008A028F"/>
    <w:rsid w:val="008B080B"/>
    <w:rsid w:val="008B4A0D"/>
    <w:rsid w:val="008C35C4"/>
    <w:rsid w:val="008C6AED"/>
    <w:rsid w:val="008F6C98"/>
    <w:rsid w:val="008F7983"/>
    <w:rsid w:val="009171C9"/>
    <w:rsid w:val="00923EFE"/>
    <w:rsid w:val="00925ABE"/>
    <w:rsid w:val="00936911"/>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10DD1"/>
    <w:rsid w:val="00B1265F"/>
    <w:rsid w:val="00B2693D"/>
    <w:rsid w:val="00B378BC"/>
    <w:rsid w:val="00B40576"/>
    <w:rsid w:val="00B432F2"/>
    <w:rsid w:val="00B529AF"/>
    <w:rsid w:val="00B6136A"/>
    <w:rsid w:val="00B63606"/>
    <w:rsid w:val="00B73227"/>
    <w:rsid w:val="00B734EF"/>
    <w:rsid w:val="00BA1F9C"/>
    <w:rsid w:val="00BA404C"/>
    <w:rsid w:val="00BB4FC6"/>
    <w:rsid w:val="00BB6E1B"/>
    <w:rsid w:val="00BB7028"/>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B4D99"/>
    <w:rsid w:val="00DE08F2"/>
    <w:rsid w:val="00DE3264"/>
    <w:rsid w:val="00E02301"/>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B577E"/>
    <w:rsid w:val="00EC27A5"/>
    <w:rsid w:val="00EC418A"/>
    <w:rsid w:val="00EE4C8A"/>
    <w:rsid w:val="00EE73D8"/>
    <w:rsid w:val="00F07962"/>
    <w:rsid w:val="00F12574"/>
    <w:rsid w:val="00F23954"/>
    <w:rsid w:val="00F26DE0"/>
    <w:rsid w:val="00F33EF9"/>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0F9F2-7645-4CA9-81BD-94C4089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0A37EC"/>
    <w:rPr>
      <w:color w:val="0000FF"/>
      <w:u w:val="single"/>
    </w:rPr>
  </w:style>
  <w:style w:type="character" w:customStyle="1" w:styleId="UnresolvedMention">
    <w:name w:val="Unresolved Mention"/>
    <w:basedOn w:val="Standardstycketeckensnitt"/>
    <w:uiPriority w:val="99"/>
    <w:semiHidden/>
    <w:unhideWhenUsed/>
    <w:rsid w:val="000A37EC"/>
    <w:rPr>
      <w:color w:val="605E5C"/>
      <w:shd w:val="clear" w:color="auto" w:fill="E1DFDD"/>
    </w:rPr>
  </w:style>
  <w:style w:type="paragraph" w:styleId="Ballongtext">
    <w:name w:val="Balloon Text"/>
    <w:basedOn w:val="Normal"/>
    <w:link w:val="BallongtextChar"/>
    <w:rsid w:val="00F26DE0"/>
    <w:rPr>
      <w:rFonts w:ascii="Segoe UI" w:hAnsi="Segoe UI" w:cs="Segoe UI"/>
      <w:sz w:val="18"/>
      <w:szCs w:val="18"/>
    </w:rPr>
  </w:style>
  <w:style w:type="character" w:customStyle="1" w:styleId="BallongtextChar">
    <w:name w:val="Ballongtext Char"/>
    <w:basedOn w:val="Standardstycketeckensnitt"/>
    <w:link w:val="Ballongtext"/>
    <w:rsid w:val="00F26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5436">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5693</Characters>
  <Application>Microsoft Office Word</Application>
  <DocSecurity>4</DocSecurity>
  <Lines>1138</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2019-09-12T11:56:00Z</cp:lastPrinted>
  <dcterms:created xsi:type="dcterms:W3CDTF">2019-10-01T13:37:00Z</dcterms:created>
  <dcterms:modified xsi:type="dcterms:W3CDTF">2019-10-01T13:37:00Z</dcterms:modified>
</cp:coreProperties>
</file>