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725A21" w:rsidRPr="00E40FD7" w:rsidTr="00725A21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25A21" w:rsidRPr="00E40FD7" w:rsidRDefault="00725A21" w:rsidP="00725A21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5A21" w:rsidRPr="00E40FD7" w:rsidRDefault="00725A21" w:rsidP="00725A21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725A21" w:rsidRPr="00E40FD7" w:rsidTr="00725A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5A21" w:rsidRPr="00E40FD7" w:rsidRDefault="00910DF6" w:rsidP="00725A21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E40FD7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725A21" w:rsidRPr="00E40FD7" w:rsidTr="00725A2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5A21" w:rsidRPr="00E40FD7" w:rsidRDefault="00725A21" w:rsidP="00725A21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725A21" w:rsidRPr="00E40FD7" w:rsidRDefault="00725A21" w:rsidP="00725A21">
            <w:pPr>
              <w:framePr w:w="4400" w:h="1644" w:wrap="notBeside" w:vAnchor="page" w:hAnchor="page" w:x="6573" w:y="721"/>
            </w:pPr>
          </w:p>
        </w:tc>
      </w:tr>
      <w:tr w:rsidR="00725A21" w:rsidRPr="00E40FD7" w:rsidTr="00725A21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25A21" w:rsidRPr="00E40FD7" w:rsidRDefault="00150BC3" w:rsidP="00725A21">
            <w:pPr>
              <w:framePr w:w="4400" w:h="1644" w:wrap="notBeside" w:vAnchor="page" w:hAnchor="page" w:x="6573" w:y="721"/>
            </w:pPr>
            <w:bookmarkStart w:id="0" w:name="Datum"/>
            <w:bookmarkEnd w:id="0"/>
            <w:r w:rsidRPr="00E40FD7">
              <w:t>2011-05-</w:t>
            </w:r>
            <w:r w:rsidR="00276A17" w:rsidRPr="00E40FD7">
              <w:t>2</w:t>
            </w:r>
            <w:r w:rsidR="00D176D1" w:rsidRPr="00E40FD7">
              <w:t>8</w:t>
            </w:r>
          </w:p>
        </w:tc>
        <w:tc>
          <w:tcPr>
            <w:tcW w:w="2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5A21" w:rsidRPr="00E40FD7" w:rsidRDefault="00725A21" w:rsidP="00725A21">
            <w:pPr>
              <w:framePr w:w="4400" w:h="1644" w:wrap="notBeside" w:vAnchor="page" w:hAnchor="page" w:x="6573" w:y="721"/>
            </w:pPr>
          </w:p>
        </w:tc>
      </w:tr>
      <w:tr w:rsidR="00725A21" w:rsidRPr="00E40FD7" w:rsidTr="00725A21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25A21" w:rsidRPr="00E40FD7" w:rsidRDefault="00725A21" w:rsidP="00725A21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5A21" w:rsidRPr="00E40FD7" w:rsidRDefault="00725A21" w:rsidP="00725A21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725A21" w:rsidRPr="00E40FD7" w:rsidTr="00725A2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:rsidR="00725A21" w:rsidRPr="00E40FD7" w:rsidRDefault="00725A21" w:rsidP="00725A2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E40FD7">
              <w:rPr>
                <w:b/>
                <w:i w:val="0"/>
                <w:sz w:val="22"/>
              </w:rPr>
              <w:t>Justitiedepartementet</w:t>
            </w:r>
          </w:p>
        </w:tc>
      </w:tr>
      <w:tr w:rsidR="00725A21" w:rsidRPr="00E40FD7" w:rsidTr="00725A2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:rsidR="00725A21" w:rsidRPr="00E40FD7" w:rsidRDefault="00725A21" w:rsidP="00725A21">
            <w:pPr>
              <w:pStyle w:val="Avsndare"/>
              <w:framePr w:h="2483" w:wrap="notBeside" w:x="1504"/>
            </w:pPr>
          </w:p>
        </w:tc>
      </w:tr>
      <w:tr w:rsidR="00725A21" w:rsidRPr="00E40FD7" w:rsidTr="00725A2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:rsidR="00725A21" w:rsidRPr="00E40FD7" w:rsidRDefault="00150BC3" w:rsidP="00725A21">
            <w:pPr>
              <w:pStyle w:val="Avsndare"/>
              <w:framePr w:h="2483" w:wrap="notBeside" w:x="1504"/>
            </w:pPr>
            <w:bookmarkStart w:id="1" w:name="Enhet"/>
            <w:bookmarkEnd w:id="1"/>
            <w:r w:rsidRPr="00E40FD7">
              <w:t>Kriminalpolitiska enheten</w:t>
            </w:r>
          </w:p>
        </w:tc>
      </w:tr>
      <w:tr w:rsidR="00725A21" w:rsidRPr="00E40FD7" w:rsidTr="00725A2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:rsidR="00725A21" w:rsidRPr="00E40FD7" w:rsidRDefault="00725A21" w:rsidP="00725A21">
            <w:pPr>
              <w:pStyle w:val="Avsndare"/>
              <w:framePr w:h="2483" w:wrap="notBeside" w:x="1504"/>
            </w:pPr>
          </w:p>
        </w:tc>
      </w:tr>
    </w:tbl>
    <w:p w:rsidR="00910DF6" w:rsidRPr="00E40FD7" w:rsidRDefault="00D176D1" w:rsidP="00910DF6">
      <w:pPr>
        <w:pStyle w:val="RKrubrik"/>
        <w:pBdr>
          <w:bottom w:val="single" w:sz="6" w:space="1" w:color="auto"/>
        </w:pBdr>
      </w:pPr>
      <w:r w:rsidRPr="00E40FD7">
        <w:t>R</w:t>
      </w:r>
      <w:r w:rsidR="0061371B" w:rsidRPr="00E40FD7">
        <w:t>ådets möte</w:t>
      </w:r>
      <w:r w:rsidR="00910DF6" w:rsidRPr="00E40FD7">
        <w:t xml:space="preserve"> </w:t>
      </w:r>
      <w:r w:rsidRPr="00E40FD7">
        <w:t xml:space="preserve">(rättsliga och inrikes frågor) </w:t>
      </w:r>
      <w:r w:rsidR="00910DF6" w:rsidRPr="00E40FD7">
        <w:t>den 9-10 juni 2011</w:t>
      </w:r>
    </w:p>
    <w:p w:rsidR="00910DF6" w:rsidRPr="00E40FD7" w:rsidRDefault="00910DF6" w:rsidP="00D176D1">
      <w:pPr>
        <w:pStyle w:val="RKrubrik"/>
      </w:pPr>
      <w:r w:rsidRPr="00E40FD7">
        <w:t xml:space="preserve">Dagordningspunkt </w:t>
      </w:r>
      <w:r w:rsidR="00D176D1" w:rsidRPr="00E40FD7">
        <w:t>20</w:t>
      </w:r>
    </w:p>
    <w:p w:rsidR="00910DF6" w:rsidRPr="00E40FD7" w:rsidRDefault="00910DF6" w:rsidP="00910DF6">
      <w:pPr>
        <w:pStyle w:val="RKrubrik"/>
      </w:pPr>
      <w:r w:rsidRPr="00E40FD7">
        <w:t xml:space="preserve">Rubrik </w:t>
      </w:r>
    </w:p>
    <w:p w:rsidR="00910DF6" w:rsidRPr="00E40FD7" w:rsidRDefault="00910DF6" w:rsidP="00910DF6">
      <w:pPr>
        <w:pStyle w:val="RKnormal"/>
      </w:pPr>
      <w:r w:rsidRPr="00E40FD7">
        <w:t>Resolution om en färdplan för att stärka brottsoffers rättigheter och skyddet av brottsoffer särskilt i samband med straffrättsliga förfaranden – rådsslutsatser</w:t>
      </w:r>
    </w:p>
    <w:p w:rsidR="004D2E32" w:rsidRPr="00E40FD7" w:rsidRDefault="004D2E32" w:rsidP="004D2E32">
      <w:pPr>
        <w:pStyle w:val="RKrubrik"/>
      </w:pPr>
      <w:r w:rsidRPr="00E40FD7">
        <w:t xml:space="preserve">Dokument </w:t>
      </w:r>
    </w:p>
    <w:p w:rsidR="0010095F" w:rsidRPr="00E40FD7" w:rsidRDefault="00D176D1" w:rsidP="00910DF6">
      <w:pPr>
        <w:pStyle w:val="RKnormal"/>
      </w:pPr>
      <w:r w:rsidRPr="00E40FD7">
        <w:t xml:space="preserve">Det har ännu inte </w:t>
      </w:r>
      <w:r w:rsidR="004D2E32" w:rsidRPr="00E40FD7">
        <w:t>presenterats</w:t>
      </w:r>
      <w:r w:rsidRPr="00E40FD7">
        <w:t xml:space="preserve"> något dokument för behandlingen i rådet</w:t>
      </w:r>
      <w:r w:rsidR="004D2E32" w:rsidRPr="00E40FD7">
        <w:t>.</w:t>
      </w:r>
    </w:p>
    <w:p w:rsidR="0010095F" w:rsidRPr="00E40FD7" w:rsidRDefault="0010095F" w:rsidP="00910DF6">
      <w:pPr>
        <w:pStyle w:val="RKnormal"/>
        <w:rPr>
          <w:i/>
        </w:rPr>
      </w:pPr>
    </w:p>
    <w:p w:rsidR="008E74CA" w:rsidRPr="00E40FD7" w:rsidRDefault="0010095F" w:rsidP="00910DF6">
      <w:pPr>
        <w:pStyle w:val="RKnormal"/>
      </w:pPr>
      <w:r w:rsidRPr="00E40FD7">
        <w:rPr>
          <w:rStyle w:val="RKrubrikChar"/>
        </w:rPr>
        <w:t>Tidigare dokument</w:t>
      </w:r>
    </w:p>
    <w:p w:rsidR="00910DF6" w:rsidRPr="00E40FD7" w:rsidRDefault="00910DF6" w:rsidP="00910DF6">
      <w:pPr>
        <w:pStyle w:val="RKnormal"/>
      </w:pPr>
      <w:r w:rsidRPr="00E40FD7">
        <w:t xml:space="preserve">         </w:t>
      </w:r>
    </w:p>
    <w:p w:rsidR="0010095F" w:rsidRPr="00E40FD7" w:rsidRDefault="0010095F" w:rsidP="00910DF6">
      <w:pPr>
        <w:pStyle w:val="RKnormal"/>
      </w:pPr>
      <w:r w:rsidRPr="00E40FD7">
        <w:t>10488</w:t>
      </w:r>
      <w:r w:rsidR="00D176D1" w:rsidRPr="00E40FD7">
        <w:t>/</w:t>
      </w:r>
      <w:r w:rsidRPr="00E40FD7">
        <w:t>11</w:t>
      </w:r>
      <w:r w:rsidR="008E74CA" w:rsidRPr="00E40FD7">
        <w:t xml:space="preserve"> DROIPEN 44 COPEN 118 JUSTCIV 139 ENFOPOL 160 FREMP 58 (Förslag till en rådsresolution om en färdplan för brottsoffers rättigheter)</w:t>
      </w:r>
    </w:p>
    <w:p w:rsidR="00910DF6" w:rsidRPr="00E40FD7" w:rsidRDefault="00910DF6" w:rsidP="00910DF6">
      <w:pPr>
        <w:pStyle w:val="RKnormal"/>
      </w:pPr>
    </w:p>
    <w:p w:rsidR="00910DF6" w:rsidRPr="00E40FD7" w:rsidRDefault="00910DF6" w:rsidP="00910DF6">
      <w:pPr>
        <w:pStyle w:val="RKnormal"/>
      </w:pPr>
      <w:r w:rsidRPr="00E40FD7">
        <w:rPr>
          <w:rStyle w:val="RKrubrikChar"/>
        </w:rPr>
        <w:t xml:space="preserve">Tidigare behandlad </w:t>
      </w:r>
      <w:r w:rsidR="00B84969" w:rsidRPr="00E40FD7">
        <w:rPr>
          <w:rStyle w:val="RKrubrikChar"/>
        </w:rPr>
        <w:t>vid samråd med EU-nämnden</w:t>
      </w:r>
      <w:r w:rsidR="00B84969" w:rsidRPr="00E40FD7">
        <w:t>: -</w:t>
      </w:r>
    </w:p>
    <w:p w:rsidR="00910DF6" w:rsidRPr="00E40FD7" w:rsidRDefault="00910DF6" w:rsidP="00910DF6">
      <w:pPr>
        <w:pStyle w:val="RKnormal"/>
      </w:pPr>
    </w:p>
    <w:p w:rsidR="00910DF6" w:rsidRPr="00E40FD7" w:rsidRDefault="00910DF6" w:rsidP="00910DF6">
      <w:pPr>
        <w:pStyle w:val="RKnormal"/>
      </w:pPr>
      <w:r w:rsidRPr="00E40FD7">
        <w:rPr>
          <w:rStyle w:val="RKrubrikChar"/>
        </w:rPr>
        <w:t>Tidigare behandlad vid överläggning med eller informa</w:t>
      </w:r>
      <w:r w:rsidR="0010095F" w:rsidRPr="00E40FD7">
        <w:rPr>
          <w:rStyle w:val="RKrubrikChar"/>
        </w:rPr>
        <w:t>tion till riksdagsutskott</w:t>
      </w:r>
      <w:r w:rsidR="0010095F" w:rsidRPr="00E40FD7">
        <w:t>: -</w:t>
      </w:r>
    </w:p>
    <w:p w:rsidR="00910DF6" w:rsidRPr="00E40FD7" w:rsidRDefault="00910DF6" w:rsidP="00910DF6">
      <w:pPr>
        <w:pStyle w:val="RKnormal"/>
      </w:pPr>
    </w:p>
    <w:p w:rsidR="00725A21" w:rsidRPr="00E40FD7" w:rsidRDefault="00910DF6" w:rsidP="00725A21">
      <w:pPr>
        <w:pStyle w:val="RKrubrik"/>
      </w:pPr>
      <w:r w:rsidRPr="00E40FD7">
        <w:t>Bakgrund</w:t>
      </w:r>
    </w:p>
    <w:p w:rsidR="0010095F" w:rsidRPr="00E40FD7" w:rsidRDefault="0010095F" w:rsidP="0010095F">
      <w:pPr>
        <w:pStyle w:val="RKnormal"/>
      </w:pPr>
      <w:bookmarkStart w:id="2" w:name="Text9"/>
      <w:r w:rsidRPr="00E40FD7">
        <w:t xml:space="preserve">Kommissionen </w:t>
      </w:r>
      <w:r w:rsidR="00D176D1" w:rsidRPr="00E40FD7">
        <w:t>planerade under</w:t>
      </w:r>
      <w:r w:rsidRPr="00E40FD7">
        <w:t xml:space="preserve"> 2008 att i september 2009 lägga fram </w:t>
      </w:r>
      <w:r w:rsidR="00D176D1" w:rsidRPr="00E40FD7">
        <w:t xml:space="preserve">ett </w:t>
      </w:r>
      <w:r w:rsidRPr="00E40FD7">
        <w:t xml:space="preserve">förslag till revidering av rambeslutet om brottsoffers ställning i straffrättsliga förfaranden (2001/220/RIF). Detta mot bakgrund av </w:t>
      </w:r>
      <w:r w:rsidR="00D176D1" w:rsidRPr="00E40FD7">
        <w:t xml:space="preserve">att </w:t>
      </w:r>
      <w:r w:rsidRPr="00E40FD7">
        <w:t xml:space="preserve">ett flertal utvärderingar hade pekat på att rambeslutet delvis är dåligt genomfört. Kommissionen valde dock att invänta Lissabonfördragets ikraftträdande innan man påbörjade arbetet med </w:t>
      </w:r>
      <w:r w:rsidR="00B23CF3" w:rsidRPr="00E40FD7">
        <w:t>ett nytt brottsoffer-direktiv</w:t>
      </w:r>
      <w:r w:rsidRPr="00E40FD7">
        <w:t xml:space="preserve">, ett direktiv som är tänkt att ersätta ovan nämnda rambeslut. </w:t>
      </w:r>
    </w:p>
    <w:p w:rsidR="0010095F" w:rsidRPr="00E40FD7" w:rsidRDefault="0010095F" w:rsidP="0010095F">
      <w:pPr>
        <w:pStyle w:val="RKnormal"/>
      </w:pPr>
    </w:p>
    <w:p w:rsidR="0010095F" w:rsidRPr="00E40FD7" w:rsidRDefault="0010095F" w:rsidP="0010095F">
      <w:pPr>
        <w:pStyle w:val="RKnormal"/>
      </w:pPr>
      <w:r w:rsidRPr="00E40FD7">
        <w:lastRenderedPageBreak/>
        <w:t xml:space="preserve">Under det svenska ordförandeskapet i EU 2009 antogs bl.a. råds-slutsatser, som </w:t>
      </w:r>
      <w:r w:rsidR="00B23CF3" w:rsidRPr="00E40FD7">
        <w:t>syftade till att höja ambitionsnivån</w:t>
      </w:r>
      <w:r w:rsidRPr="00E40FD7">
        <w:t xml:space="preserve"> gällande genomförandet av brottsoffers rättigheter inom unionen. Ett avsnitt om brottsoffers rättigheter finns också med i Stockholmsprogrammet.</w:t>
      </w:r>
    </w:p>
    <w:p w:rsidR="0010095F" w:rsidRPr="00E40FD7" w:rsidRDefault="0010095F" w:rsidP="0010095F">
      <w:pPr>
        <w:pStyle w:val="RKnormal"/>
      </w:pPr>
    </w:p>
    <w:p w:rsidR="0010095F" w:rsidRPr="00E40FD7" w:rsidRDefault="0010095F" w:rsidP="0010095F">
      <w:pPr>
        <w:pStyle w:val="RKnormal"/>
      </w:pPr>
      <w:r w:rsidRPr="00E40FD7">
        <w:t xml:space="preserve">Den 18 maj 2011 antog kommissionen ett åtgärdspaket för att stärka brottsoffers rättigheter i EU. Kommissionens förslag är ett steg mot ökat fokus på brottsoffer och deras behov i EU-ländernas rättssystem. Brottsofferpaketet består av tre delar; ett meddelande, ett förslag till direktiv om miniminormer för brottsoffer och ett förslag till förordning om ömsesidigt erkännande av skyddsåtgärder i civilrättsliga förfaranden. </w:t>
      </w:r>
    </w:p>
    <w:p w:rsidR="004D2E32" w:rsidRPr="00E40FD7" w:rsidRDefault="004D2E32" w:rsidP="0010095F">
      <w:pPr>
        <w:pStyle w:val="RKnormal"/>
      </w:pPr>
    </w:p>
    <w:p w:rsidR="0010095F" w:rsidRPr="00E40FD7" w:rsidRDefault="0010095F" w:rsidP="0010095F">
      <w:pPr>
        <w:pStyle w:val="RKnormal"/>
      </w:pPr>
      <w:r w:rsidRPr="00E40FD7">
        <w:t xml:space="preserve">Det ungerska ordförandeskapet </w:t>
      </w:r>
      <w:r w:rsidR="00D176D1" w:rsidRPr="00E40FD7">
        <w:t xml:space="preserve">i EU </w:t>
      </w:r>
      <w:r w:rsidRPr="00E40FD7">
        <w:t xml:space="preserve">har som komplement till kommissionens </w:t>
      </w:r>
      <w:r w:rsidR="004D2E32" w:rsidRPr="00E40FD7">
        <w:t>åtgärds</w:t>
      </w:r>
      <w:r w:rsidRPr="00E40FD7">
        <w:t xml:space="preserve">paket </w:t>
      </w:r>
      <w:r w:rsidR="004D2E32" w:rsidRPr="00E40FD7">
        <w:t xml:space="preserve">för att stärka brottsoffers rättigheter </w:t>
      </w:r>
      <w:r w:rsidRPr="00E40FD7">
        <w:t xml:space="preserve">tagit initiativ till en ”färdplan” </w:t>
      </w:r>
      <w:r w:rsidR="004D2E32" w:rsidRPr="00E40FD7">
        <w:t>(</w:t>
      </w:r>
      <w:r w:rsidR="008E74CA" w:rsidRPr="00E40FD7">
        <w:t>råds</w:t>
      </w:r>
      <w:r w:rsidR="004D2E32" w:rsidRPr="00E40FD7">
        <w:t xml:space="preserve">resolution) </w:t>
      </w:r>
      <w:r w:rsidRPr="00E40FD7">
        <w:t>för brottsoffers rättigheter. Färdplanen presenterades den 12 april 2011 och den har behandlats vid fyra mötestillfällen</w:t>
      </w:r>
      <w:r w:rsidR="002676FB" w:rsidRPr="00E40FD7">
        <w:t xml:space="preserve"> i rådet</w:t>
      </w:r>
      <w:r w:rsidR="00D176D1" w:rsidRPr="00E40FD7">
        <w:t xml:space="preserve"> (tjänstemannanivå)</w:t>
      </w:r>
      <w:r w:rsidR="004D2E32" w:rsidRPr="00E40FD7">
        <w:t>.</w:t>
      </w:r>
    </w:p>
    <w:p w:rsidR="00D176D1" w:rsidRPr="00E40FD7" w:rsidRDefault="00D176D1" w:rsidP="0010095F">
      <w:pPr>
        <w:pStyle w:val="RKnormal"/>
      </w:pPr>
    </w:p>
    <w:p w:rsidR="00D176D1" w:rsidRPr="00E40FD7" w:rsidRDefault="00D176D1" w:rsidP="0010095F">
      <w:pPr>
        <w:pStyle w:val="RKnormal"/>
      </w:pPr>
      <w:r w:rsidRPr="00E40FD7">
        <w:t>Vid rådets möte (rättsliga och inrikes frågor) den 9-10 juni förväntas rådet godkänna rådsslutsatser om ”färdplanen” för brottsoffers rättigheter. Ordförandeskapet har ännu inte presenterat dessa rådsslutsat</w:t>
      </w:r>
      <w:r w:rsidR="00F7308D" w:rsidRPr="00E40FD7">
        <w:t>s</w:t>
      </w:r>
      <w:r w:rsidRPr="00E40FD7">
        <w:t>er.</w:t>
      </w:r>
    </w:p>
    <w:bookmarkEnd w:id="2"/>
    <w:p w:rsidR="00910DF6" w:rsidRPr="00E40FD7" w:rsidRDefault="00910DF6" w:rsidP="00910DF6">
      <w:pPr>
        <w:pStyle w:val="RKrubrik"/>
      </w:pPr>
      <w:r w:rsidRPr="00E40FD7">
        <w:t>Rättslig grund och beslutsförfarande</w:t>
      </w:r>
    </w:p>
    <w:p w:rsidR="0010095F" w:rsidRPr="00E40FD7" w:rsidRDefault="00D87843" w:rsidP="0010095F">
      <w:pPr>
        <w:pStyle w:val="RKnormal"/>
      </w:pPr>
      <w:r w:rsidRPr="00E40FD7">
        <w:t>Varken resolutionen eller rådsslutsatserna är rättsligt bindande</w:t>
      </w:r>
      <w:r w:rsidR="00B23CF3" w:rsidRPr="00E40FD7">
        <w:t>.</w:t>
      </w:r>
      <w:r w:rsidRPr="00E40FD7">
        <w:t xml:space="preserve"> </w:t>
      </w:r>
    </w:p>
    <w:p w:rsidR="00910DF6" w:rsidRPr="00E40FD7" w:rsidRDefault="00910DF6" w:rsidP="00910DF6">
      <w:pPr>
        <w:pStyle w:val="RKrubrik"/>
        <w:rPr>
          <w:iCs/>
        </w:rPr>
      </w:pPr>
      <w:r w:rsidRPr="00E40FD7">
        <w:rPr>
          <w:iCs/>
        </w:rPr>
        <w:t>Svensk ståndpunkt</w:t>
      </w:r>
    </w:p>
    <w:p w:rsidR="0010095F" w:rsidRPr="00E40FD7" w:rsidRDefault="00433F31" w:rsidP="0010095F">
      <w:pPr>
        <w:pStyle w:val="RKnormal"/>
      </w:pPr>
      <w:r w:rsidRPr="00E40FD7">
        <w:t xml:space="preserve">Arbetet med att stärka rättigheterna för brottsoffer i EU är en viktig fråga, som Sverige har drivit under lång tid. </w:t>
      </w:r>
      <w:r w:rsidR="008E74CA" w:rsidRPr="00E40FD7">
        <w:t>Sverige är</w:t>
      </w:r>
      <w:r w:rsidR="0010095F" w:rsidRPr="00E40FD7">
        <w:t xml:space="preserve"> positiv</w:t>
      </w:r>
      <w:r w:rsidR="008E74CA" w:rsidRPr="00E40FD7">
        <w:t>t</w:t>
      </w:r>
      <w:r w:rsidR="004A21E3" w:rsidRPr="00E40FD7">
        <w:t xml:space="preserve"> till ordförandeskapets</w:t>
      </w:r>
      <w:r w:rsidR="0010095F" w:rsidRPr="00E40FD7">
        <w:t xml:space="preserve"> initiativ. </w:t>
      </w:r>
    </w:p>
    <w:p w:rsidR="00910DF6" w:rsidRPr="00E40FD7" w:rsidRDefault="00910DF6" w:rsidP="00910DF6">
      <w:pPr>
        <w:pStyle w:val="RKrubrik"/>
      </w:pPr>
      <w:r w:rsidRPr="00E40FD7">
        <w:t>Europaparlamentets inställning</w:t>
      </w:r>
    </w:p>
    <w:p w:rsidR="00910DF6" w:rsidRPr="00E40FD7" w:rsidRDefault="004A21E3" w:rsidP="00910DF6">
      <w:pPr>
        <w:pStyle w:val="RKnormal"/>
      </w:pPr>
      <w:r w:rsidRPr="00E40FD7">
        <w:t xml:space="preserve">Europarlamentet konsulteras inte vid framtagandet av </w:t>
      </w:r>
      <w:r w:rsidR="00387BFC" w:rsidRPr="00E40FD7">
        <w:t xml:space="preserve">rådsresolutioner eller </w:t>
      </w:r>
      <w:r w:rsidRPr="00E40FD7">
        <w:t>rådsslutsatser</w:t>
      </w:r>
      <w:r w:rsidR="00387BFC" w:rsidRPr="00E40FD7">
        <w:t>.</w:t>
      </w:r>
      <w:r w:rsidR="003479F3" w:rsidRPr="00E40FD7">
        <w:t xml:space="preserve"> Parlamentet är dock generellt sett positivt inställt till att stärka brottsoffers rättigheter i EU.</w:t>
      </w:r>
    </w:p>
    <w:p w:rsidR="00910DF6" w:rsidRPr="00E40FD7" w:rsidRDefault="00910DF6" w:rsidP="00910DF6">
      <w:pPr>
        <w:pStyle w:val="RKrubrik"/>
        <w:rPr>
          <w:iCs/>
        </w:rPr>
      </w:pPr>
      <w:r w:rsidRPr="00E40FD7">
        <w:rPr>
          <w:iCs/>
        </w:rPr>
        <w:t>Förslaget</w:t>
      </w:r>
    </w:p>
    <w:p w:rsidR="00910DF6" w:rsidRPr="00E40FD7" w:rsidRDefault="00FD1747" w:rsidP="00910DF6">
      <w:pPr>
        <w:pStyle w:val="RKnormal"/>
      </w:pPr>
      <w:r w:rsidRPr="00E40FD7">
        <w:t>Rådsslutsatserna har ännu inte presente</w:t>
      </w:r>
      <w:r w:rsidR="00387BFC" w:rsidRPr="00E40FD7">
        <w:t>rats, varför innehållet i nuläget är okänt.</w:t>
      </w:r>
    </w:p>
    <w:p w:rsidR="00910DF6" w:rsidRPr="00E40FD7" w:rsidRDefault="00910DF6" w:rsidP="00910DF6">
      <w:pPr>
        <w:pStyle w:val="RKrubrik"/>
        <w:rPr>
          <w:iCs/>
        </w:rPr>
      </w:pPr>
      <w:r w:rsidRPr="00E40FD7">
        <w:rPr>
          <w:iCs/>
        </w:rPr>
        <w:t>Gällande svenska regler och förslagets effekter på dessa</w:t>
      </w:r>
    </w:p>
    <w:p w:rsidR="00910DF6" w:rsidRPr="00E40FD7" w:rsidRDefault="00E93C03" w:rsidP="00910DF6">
      <w:pPr>
        <w:pStyle w:val="RKnormal"/>
      </w:pPr>
      <w:r w:rsidRPr="00E40FD7">
        <w:t>Varken resolutionen eller rådsslutsatserna är rättsligt bindande. Dessa b</w:t>
      </w:r>
      <w:r w:rsidR="00374DA5" w:rsidRPr="00E40FD7">
        <w:t xml:space="preserve">åda dokument påverkar därför </w:t>
      </w:r>
      <w:r w:rsidR="00FD1747" w:rsidRPr="00E40FD7">
        <w:t xml:space="preserve">inte </w:t>
      </w:r>
      <w:r w:rsidR="00374DA5" w:rsidRPr="00E40FD7">
        <w:t xml:space="preserve">svenska regler. </w:t>
      </w:r>
    </w:p>
    <w:p w:rsidR="00910DF6" w:rsidRPr="00E40FD7" w:rsidRDefault="00910DF6" w:rsidP="00910DF6">
      <w:pPr>
        <w:pStyle w:val="RKrubrik"/>
      </w:pPr>
      <w:r w:rsidRPr="00E40FD7">
        <w:t>Ekonomiska konsekvenser</w:t>
      </w:r>
    </w:p>
    <w:p w:rsidR="00910DF6" w:rsidRPr="00E40FD7" w:rsidRDefault="00433F31" w:rsidP="00910DF6">
      <w:pPr>
        <w:pStyle w:val="RKnormal"/>
      </w:pPr>
      <w:r w:rsidRPr="00E40FD7">
        <w:t>Varken resolutionen eller rådsslutsatserna är rättsligt bindande. Dessa båda dokument medför därför in</w:t>
      </w:r>
      <w:r w:rsidR="00204EEA" w:rsidRPr="00E40FD7">
        <w:t>ga ekonomiska konsekvenser</w:t>
      </w:r>
      <w:r w:rsidRPr="00E40FD7">
        <w:t xml:space="preserve">. </w:t>
      </w:r>
    </w:p>
    <w:p w:rsidR="00363EC6" w:rsidRPr="00E40FD7" w:rsidRDefault="00363EC6" w:rsidP="00910DF6">
      <w:pPr>
        <w:pStyle w:val="RKnormal"/>
      </w:pPr>
    </w:p>
    <w:sectPr w:rsidR="00363EC6" w:rsidRPr="00E40FD7" w:rsidSect="00725A21">
      <w:headerReference w:type="even" r:id="rId6"/>
      <w:headerReference w:type="default" r:id="rId7"/>
      <w:headerReference w:type="first" r:id="rId8"/>
      <w:pgSz w:w="11907" w:h="16840" w:code="9"/>
      <w:pgMar w:top="567" w:right="1701" w:bottom="1134" w:left="2835" w:header="720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60F5" w:rsidRPr="00E40FD7" w:rsidRDefault="00C860F5">
      <w:r w:rsidRPr="00E40FD7">
        <w:separator/>
      </w:r>
    </w:p>
  </w:endnote>
  <w:endnote w:type="continuationSeparator" w:id="0">
    <w:p w:rsidR="00C860F5" w:rsidRPr="00E40FD7" w:rsidRDefault="00C860F5">
      <w:r w:rsidRPr="00E40F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60F5" w:rsidRPr="00E40FD7" w:rsidRDefault="00C860F5">
      <w:r w:rsidRPr="00E40FD7">
        <w:separator/>
      </w:r>
    </w:p>
  </w:footnote>
  <w:footnote w:type="continuationSeparator" w:id="0">
    <w:p w:rsidR="00C860F5" w:rsidRPr="00E40FD7" w:rsidRDefault="00C860F5">
      <w:r w:rsidRPr="00E40F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E23" w:rsidRPr="00E40FD7" w:rsidRDefault="00302E23">
    <w:pPr>
      <w:pStyle w:val="Sidhuvud"/>
      <w:framePr w:wrap="auto" w:vAnchor="text" w:hAnchor="margin" w:xAlign="right" w:y="1"/>
      <w:rPr>
        <w:rStyle w:val="Sidnummer"/>
      </w:rPr>
    </w:pPr>
    <w:r w:rsidRPr="00E40FD7">
      <w:rPr>
        <w:rStyle w:val="Sidnummer"/>
      </w:rPr>
      <w:fldChar w:fldCharType="begin" w:fldLock="1"/>
    </w:r>
    <w:r w:rsidRPr="00E40FD7">
      <w:rPr>
        <w:rStyle w:val="Sidnummer"/>
      </w:rPr>
      <w:instrText xml:space="preserve">PAGE  </w:instrText>
    </w:r>
    <w:r w:rsidRPr="00E40FD7">
      <w:rPr>
        <w:rStyle w:val="Sidnummer"/>
      </w:rPr>
      <w:fldChar w:fldCharType="separate"/>
    </w:r>
    <w:r w:rsidRPr="00E40FD7">
      <w:rPr>
        <w:rStyle w:val="Sidnummer"/>
      </w:rPr>
      <w:t>2</w:t>
    </w:r>
    <w:r w:rsidRPr="00E40FD7">
      <w:rPr>
        <w:rStyle w:val="Sidnummer"/>
      </w:rPr>
      <w:fldChar w:fldCharType="end"/>
    </w:r>
  </w:p>
  <w:p w:rsidR="00302E23" w:rsidRPr="00E40FD7" w:rsidRDefault="00302E23">
    <w:pPr>
      <w:pStyle w:val="Sidhuvud"/>
      <w:ind w:right="360"/>
      <w:rPr>
        <w:rStyle w:val="Sidnummer"/>
        <w:sz w:val="20"/>
      </w:rPr>
    </w:pPr>
  </w:p>
  <w:p w:rsidR="00302E23" w:rsidRPr="00E40FD7" w:rsidRDefault="00302E2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E23" w:rsidRPr="00E40FD7" w:rsidRDefault="00302E23">
    <w:pPr>
      <w:pStyle w:val="Sidhuvud"/>
      <w:framePr w:wrap="auto" w:vAnchor="text" w:hAnchor="margin" w:xAlign="right" w:y="1"/>
      <w:rPr>
        <w:rStyle w:val="Sidnummer"/>
      </w:rPr>
    </w:pPr>
    <w:r w:rsidRPr="00E40FD7">
      <w:rPr>
        <w:rStyle w:val="Sidnummer"/>
      </w:rPr>
      <w:fldChar w:fldCharType="begin" w:fldLock="1"/>
    </w:r>
    <w:r w:rsidRPr="00E40FD7">
      <w:rPr>
        <w:rStyle w:val="Sidnummer"/>
      </w:rPr>
      <w:instrText xml:space="preserve">PAGE  </w:instrText>
    </w:r>
    <w:r w:rsidRPr="00E40FD7">
      <w:rPr>
        <w:rStyle w:val="Sidnummer"/>
      </w:rPr>
      <w:fldChar w:fldCharType="separate"/>
    </w:r>
    <w:r w:rsidRPr="00E40FD7">
      <w:rPr>
        <w:rStyle w:val="Sidnummer"/>
      </w:rPr>
      <w:t>3</w:t>
    </w:r>
    <w:r w:rsidRPr="00E40FD7">
      <w:rPr>
        <w:rStyle w:val="Sidnummer"/>
      </w:rPr>
      <w:fldChar w:fldCharType="end"/>
    </w:r>
  </w:p>
  <w:p w:rsidR="00302E23" w:rsidRPr="00E40FD7" w:rsidRDefault="00302E23">
    <w:pPr>
      <w:pStyle w:val="Sidhuvud"/>
      <w:ind w:right="360"/>
      <w:rPr>
        <w:rStyle w:val="Sidnummer"/>
        <w:sz w:val="20"/>
      </w:rPr>
    </w:pPr>
  </w:p>
  <w:p w:rsidR="00302E23" w:rsidRPr="00E40FD7" w:rsidRDefault="00302E2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E23" w:rsidRPr="00E40FD7" w:rsidRDefault="00E40FD7">
    <w:pPr>
      <w:framePr w:w="2948" w:h="1321" w:hRule="exact" w:wrap="notBeside" w:vAnchor="page" w:hAnchor="page" w:x="1362" w:y="653"/>
    </w:pPr>
    <w:r w:rsidRPr="00E40FD7">
      <w:rPr>
        <w:noProof/>
        <w:sz w:val="20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2E23" w:rsidRPr="00E40FD7" w:rsidRDefault="00302E2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</w:pPr>
  </w:p>
  <w:p w:rsidR="00302E23" w:rsidRPr="00E40FD7" w:rsidRDefault="00302E23">
    <w:pPr>
      <w:rPr>
        <w:rFonts w:ascii="TradeGothic" w:hAnsi="TradeGothic"/>
        <w:b/>
        <w:spacing w:val="12"/>
        <w:sz w:val="22"/>
      </w:rPr>
    </w:pPr>
  </w:p>
  <w:p w:rsidR="00302E23" w:rsidRPr="00E40FD7" w:rsidRDefault="00302E2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</w:pPr>
  </w:p>
  <w:p w:rsidR="00302E23" w:rsidRPr="00E40FD7" w:rsidRDefault="00302E23">
    <w:pPr>
      <w:rPr>
        <w:rFonts w:ascii="TradeGothic" w:hAnsi="TradeGothic"/>
        <w:i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21"/>
    <w:rsid w:val="00054FEA"/>
    <w:rsid w:val="00075642"/>
    <w:rsid w:val="00084128"/>
    <w:rsid w:val="00097E4B"/>
    <w:rsid w:val="000B5F1A"/>
    <w:rsid w:val="0010095F"/>
    <w:rsid w:val="0010582D"/>
    <w:rsid w:val="00150BC3"/>
    <w:rsid w:val="001873DB"/>
    <w:rsid w:val="00196CD3"/>
    <w:rsid w:val="001C4DB8"/>
    <w:rsid w:val="001D0A52"/>
    <w:rsid w:val="001E0AB1"/>
    <w:rsid w:val="00204C68"/>
    <w:rsid w:val="00204EEA"/>
    <w:rsid w:val="00235803"/>
    <w:rsid w:val="00236A6D"/>
    <w:rsid w:val="00255767"/>
    <w:rsid w:val="002676FB"/>
    <w:rsid w:val="00276A17"/>
    <w:rsid w:val="00293E95"/>
    <w:rsid w:val="002A5C40"/>
    <w:rsid w:val="002B3C27"/>
    <w:rsid w:val="002C32E0"/>
    <w:rsid w:val="0030208D"/>
    <w:rsid w:val="00302E23"/>
    <w:rsid w:val="003157D2"/>
    <w:rsid w:val="00331B67"/>
    <w:rsid w:val="003479F3"/>
    <w:rsid w:val="003505B4"/>
    <w:rsid w:val="0036275A"/>
    <w:rsid w:val="00363EC6"/>
    <w:rsid w:val="00367D3A"/>
    <w:rsid w:val="00371389"/>
    <w:rsid w:val="00374DA5"/>
    <w:rsid w:val="00382E55"/>
    <w:rsid w:val="00387BFC"/>
    <w:rsid w:val="00392419"/>
    <w:rsid w:val="003A56E2"/>
    <w:rsid w:val="003D3807"/>
    <w:rsid w:val="0041541C"/>
    <w:rsid w:val="00433F31"/>
    <w:rsid w:val="00434175"/>
    <w:rsid w:val="00481CA1"/>
    <w:rsid w:val="004A21E3"/>
    <w:rsid w:val="004C4670"/>
    <w:rsid w:val="004D2E32"/>
    <w:rsid w:val="004F6163"/>
    <w:rsid w:val="00502E2D"/>
    <w:rsid w:val="005077B6"/>
    <w:rsid w:val="00550272"/>
    <w:rsid w:val="0056351D"/>
    <w:rsid w:val="005C51CD"/>
    <w:rsid w:val="0061371B"/>
    <w:rsid w:val="00670E9B"/>
    <w:rsid w:val="0067553B"/>
    <w:rsid w:val="00687757"/>
    <w:rsid w:val="006A3308"/>
    <w:rsid w:val="006A3EAF"/>
    <w:rsid w:val="006A4BE5"/>
    <w:rsid w:val="006C715D"/>
    <w:rsid w:val="006F36D1"/>
    <w:rsid w:val="0070293C"/>
    <w:rsid w:val="00725A21"/>
    <w:rsid w:val="0077179B"/>
    <w:rsid w:val="007C0A5B"/>
    <w:rsid w:val="007F4B8D"/>
    <w:rsid w:val="008475F2"/>
    <w:rsid w:val="008967A6"/>
    <w:rsid w:val="008E1454"/>
    <w:rsid w:val="008E6898"/>
    <w:rsid w:val="008E74CA"/>
    <w:rsid w:val="00910DF6"/>
    <w:rsid w:val="00933B16"/>
    <w:rsid w:val="00941988"/>
    <w:rsid w:val="00971C2B"/>
    <w:rsid w:val="009B4D8C"/>
    <w:rsid w:val="009C6E97"/>
    <w:rsid w:val="00A87F25"/>
    <w:rsid w:val="00AA1DFF"/>
    <w:rsid w:val="00AD1D15"/>
    <w:rsid w:val="00AE2B80"/>
    <w:rsid w:val="00AF7CA3"/>
    <w:rsid w:val="00B204A9"/>
    <w:rsid w:val="00B23CF3"/>
    <w:rsid w:val="00B40D29"/>
    <w:rsid w:val="00B6220E"/>
    <w:rsid w:val="00B84969"/>
    <w:rsid w:val="00B93F72"/>
    <w:rsid w:val="00BC4CEB"/>
    <w:rsid w:val="00BD138C"/>
    <w:rsid w:val="00BF028E"/>
    <w:rsid w:val="00C40900"/>
    <w:rsid w:val="00C47491"/>
    <w:rsid w:val="00C5677A"/>
    <w:rsid w:val="00C72FCE"/>
    <w:rsid w:val="00C860F5"/>
    <w:rsid w:val="00C962FE"/>
    <w:rsid w:val="00CA2546"/>
    <w:rsid w:val="00D176D1"/>
    <w:rsid w:val="00D35301"/>
    <w:rsid w:val="00D728B3"/>
    <w:rsid w:val="00D87843"/>
    <w:rsid w:val="00E13C10"/>
    <w:rsid w:val="00E158A4"/>
    <w:rsid w:val="00E224C5"/>
    <w:rsid w:val="00E40FD7"/>
    <w:rsid w:val="00E439DA"/>
    <w:rsid w:val="00E93C03"/>
    <w:rsid w:val="00EC08F0"/>
    <w:rsid w:val="00F52D4D"/>
    <w:rsid w:val="00F55ED6"/>
    <w:rsid w:val="00F7308D"/>
    <w:rsid w:val="00F802EC"/>
    <w:rsid w:val="00FD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4DD29DA-B766-4C8D-AF1D-52246B9A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A21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rsid w:val="00725A21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rsid w:val="00725A21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725A21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link w:val="RKrubrikChar"/>
    <w:rsid w:val="00725A2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725A21"/>
  </w:style>
  <w:style w:type="character" w:customStyle="1" w:styleId="RKnormalChar">
    <w:name w:val="RKnormal Char"/>
    <w:basedOn w:val="Standardstycketeckensnitt"/>
    <w:link w:val="RKnormal"/>
    <w:rsid w:val="004F6163"/>
    <w:rPr>
      <w:rFonts w:ascii="OrigGarmnd BT" w:hAnsi="OrigGarmnd BT"/>
      <w:sz w:val="24"/>
      <w:lang w:val="sv-SE" w:eastAsia="sv-SE" w:bidi="ar-SA"/>
    </w:rPr>
  </w:style>
  <w:style w:type="paragraph" w:styleId="Sidfot">
    <w:name w:val="footer"/>
    <w:basedOn w:val="Normal"/>
    <w:rsid w:val="0010095F"/>
    <w:pPr>
      <w:tabs>
        <w:tab w:val="center" w:pos="4536"/>
        <w:tab w:val="right" w:pos="9072"/>
      </w:tabs>
    </w:pPr>
  </w:style>
  <w:style w:type="character" w:customStyle="1" w:styleId="RKrubrikChar">
    <w:name w:val="RKrubrik Char"/>
    <w:basedOn w:val="RKnormalChar"/>
    <w:link w:val="RKrubrik"/>
    <w:rsid w:val="0010095F"/>
    <w:rPr>
      <w:rFonts w:ascii="TradeGothic" w:hAnsi="TradeGothic"/>
      <w:b/>
      <w:sz w:val="22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2962</Characters>
  <Application>Microsoft Office Word</Application>
  <DocSecurity>4</DocSecurity>
  <Lines>87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Underlag RIF</vt:lpstr>
    </vt:vector>
  </TitlesOfParts>
  <Company>Regeringskansliet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Underlag RIF</dc:title>
  <dc:subject>Underlag RIF</dc:subject>
  <dc:creator>Riksdagen</dc:creator>
  <cp:keywords>Riksdagen</cp:keywords>
  <dc:description/>
  <cp:lastModifiedBy>Lars Brink</cp:lastModifiedBy>
  <cp:revision>2</cp:revision>
  <cp:lastPrinted>2011-06-01T13:14:00Z</cp:lastPrinted>
  <dcterms:created xsi:type="dcterms:W3CDTF">2025-12-18T03:59:00Z</dcterms:created>
  <dcterms:modified xsi:type="dcterms:W3CDTF">2025-12-18T03:59:00Z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Word</vt:lpwstr>
  </property>
  <property fmtid="{D5CDD505-2E9C-101B-9397-08002B2CF9AE}" pid="3" name="RKOrdnaDepartement">
    <vt:lpwstr>Justitiedepartementet</vt:lpwstr>
  </property>
  <property fmtid="{D5CDD505-2E9C-101B-9397-08002B2CF9AE}" pid="4" name="RKOrdnaActivityCategory">
    <vt:lpwstr>4.1. Europeiska unionen</vt:lpwstr>
  </property>
  <property fmtid="{D5CDD505-2E9C-101B-9397-08002B2CF9AE}" pid="5" name="RKOrdnaDiarienummer">
    <vt:lpwstr/>
  </property>
  <property fmtid="{D5CDD505-2E9C-101B-9397-08002B2CF9AE}" pid="6" name="RKOrdnaSearchKeywords">
    <vt:lpwstr/>
  </property>
  <property fmtid="{D5CDD505-2E9C-101B-9397-08002B2CF9AE}" pid="7" name="RKOrdnaSarskildSkyddsvard">
    <vt:lpwstr>0</vt:lpwstr>
  </property>
</Properties>
</file>