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1355C" w:rsidRPr="0073482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1355C" w:rsidRPr="00734823" w:rsidRDefault="00D1355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1355C" w:rsidRPr="00734823" w:rsidRDefault="00D1355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1355C" w:rsidRPr="00734823" w:rsidRDefault="00D1355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1355C" w:rsidRPr="00734823" w:rsidRDefault="00D1355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1355C" w:rsidRPr="00734823" w:rsidRDefault="00D1355C">
            <w:pPr>
              <w:framePr w:w="4400" w:h="1644" w:wrap="notBeside" w:vAnchor="page" w:hAnchor="page" w:x="6573" w:y="721"/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E6F66" w:rsidRPr="00734823" w:rsidRDefault="00E519B7">
            <w:pPr>
              <w:framePr w:w="4400" w:h="1644" w:wrap="notBeside" w:vAnchor="page" w:hAnchor="page" w:x="6573" w:y="721"/>
            </w:pPr>
            <w:r w:rsidRPr="00734823">
              <w:t>2008-09-24</w:t>
            </w:r>
          </w:p>
        </w:tc>
        <w:tc>
          <w:tcPr>
            <w:tcW w:w="2347" w:type="dxa"/>
            <w:gridSpan w:val="2"/>
          </w:tcPr>
          <w:p w:rsidR="00D1355C" w:rsidRPr="00734823" w:rsidRDefault="00D1355C">
            <w:pPr>
              <w:framePr w:w="4400" w:h="1644" w:wrap="notBeside" w:vAnchor="page" w:hAnchor="page" w:x="6573" w:y="721"/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1355C" w:rsidRPr="00734823" w:rsidRDefault="00D1355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1355C" w:rsidRPr="00734823" w:rsidRDefault="00D1355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1355C" w:rsidRPr="0073482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1355C" w:rsidRPr="00734823" w:rsidRDefault="00D135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34823">
              <w:rPr>
                <w:b/>
                <w:i w:val="0"/>
                <w:sz w:val="22"/>
              </w:rPr>
              <w:t>Näringsdepartementet</w:t>
            </w: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1355C" w:rsidRPr="00734823" w:rsidRDefault="00D135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1355C" w:rsidRPr="00734823" w:rsidRDefault="00D135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1355C" w:rsidRPr="00734823" w:rsidRDefault="00D135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1355C" w:rsidRPr="00734823" w:rsidRDefault="00D135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1355C" w:rsidRPr="00734823" w:rsidRDefault="00D135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1355C" w:rsidRPr="00734823" w:rsidRDefault="00D135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1355C" w:rsidRPr="00734823" w:rsidRDefault="00D135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1355C" w:rsidRPr="0073482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1355C" w:rsidRPr="00734823" w:rsidRDefault="00D135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1355C" w:rsidRPr="00734823" w:rsidRDefault="00D1355C">
      <w:pPr>
        <w:framePr w:w="4400" w:h="2523" w:wrap="notBeside" w:vAnchor="page" w:hAnchor="page" w:x="6453" w:y="2445"/>
        <w:ind w:left="142"/>
        <w:rPr>
          <w:b/>
        </w:rPr>
      </w:pPr>
    </w:p>
    <w:p w:rsidR="00D1355C" w:rsidRPr="00734823" w:rsidRDefault="005A577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34823">
        <w:t>Rådets</w:t>
      </w:r>
      <w:r w:rsidR="00D1355C" w:rsidRPr="00734823">
        <w:t xml:space="preserve">möte </w:t>
      </w:r>
      <w:r w:rsidR="007E1A49" w:rsidRPr="00734823">
        <w:t xml:space="preserve">(energi) den </w:t>
      </w:r>
      <w:r w:rsidR="00384E16" w:rsidRPr="00734823">
        <w:t>10 oktober</w:t>
      </w:r>
      <w:r w:rsidR="007E1A49" w:rsidRPr="00734823">
        <w:t xml:space="preserve"> 2008</w:t>
      </w:r>
    </w:p>
    <w:p w:rsidR="00D1355C" w:rsidRPr="00734823" w:rsidRDefault="00D1355C">
      <w:pPr>
        <w:pStyle w:val="RKnormal"/>
      </w:pPr>
    </w:p>
    <w:p w:rsidR="007E1A49" w:rsidRPr="00734823" w:rsidRDefault="00D1355C" w:rsidP="007E1A49">
      <w:pPr>
        <w:pStyle w:val="RKnormal"/>
      </w:pPr>
      <w:r w:rsidRPr="00734823">
        <w:t xml:space="preserve">Dagordningspunkt </w:t>
      </w:r>
      <w:r w:rsidR="005A5343" w:rsidRPr="00734823">
        <w:t>10</w:t>
      </w:r>
    </w:p>
    <w:p w:rsidR="00D1355C" w:rsidRPr="00734823" w:rsidRDefault="00D1355C">
      <w:pPr>
        <w:pStyle w:val="RKnormal"/>
      </w:pPr>
    </w:p>
    <w:p w:rsidR="00D1355C" w:rsidRPr="00734823" w:rsidRDefault="00D1355C">
      <w:pPr>
        <w:pStyle w:val="RKnormal"/>
      </w:pPr>
      <w:r w:rsidRPr="00734823">
        <w:t>Rubrik:</w:t>
      </w:r>
      <w:r w:rsidR="007E1A49" w:rsidRPr="00734823">
        <w:t xml:space="preserve"> Inre marknadspaketet</w:t>
      </w:r>
      <w:r w:rsidR="000F3457" w:rsidRPr="00734823">
        <w:t xml:space="preserve"> för energi</w:t>
      </w:r>
    </w:p>
    <w:p w:rsidR="00D1355C" w:rsidRPr="00734823" w:rsidRDefault="00D1355C">
      <w:pPr>
        <w:pStyle w:val="RKnormal"/>
      </w:pPr>
    </w:p>
    <w:p w:rsidR="00953D56" w:rsidRPr="00734823" w:rsidRDefault="00953D56" w:rsidP="00953D56">
      <w:pPr>
        <w:pStyle w:val="RKnormal"/>
      </w:pPr>
    </w:p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</w:tblGrid>
      <w:tr w:rsidR="00953D56" w:rsidRPr="00734823" w:rsidTr="00C6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55" w:type="dxa"/>
          </w:tcPr>
          <w:p w:rsidR="00953D56" w:rsidRPr="00734823" w:rsidRDefault="00953D56" w:rsidP="00C6418F">
            <w:r w:rsidRPr="00734823">
              <w:t xml:space="preserve">a) </w:t>
            </w:r>
            <w:r w:rsidRPr="00734823">
              <w:fldChar w:fldCharType="begin" w:fldLock="1"/>
            </w:r>
            <w:r w:rsidRPr="00734823">
              <w:instrText xml:space="preserve"> DOCVARIABLE"GDB1", PreserveFormatting:=False \* MERGEFORMAT </w:instrText>
            </w:r>
            <w:r w:rsidRPr="00734823">
              <w:fldChar w:fldCharType="separate"/>
            </w:r>
            <w:r w:rsidRPr="00734823">
              <w:t>KOM (2007) 528</w:t>
            </w:r>
            <w:r w:rsidRPr="00734823">
              <w:fldChar w:fldCharType="end"/>
            </w:r>
          </w:p>
        </w:tc>
      </w:tr>
      <w:tr w:rsidR="00953D56" w:rsidRPr="00734823" w:rsidTr="00C6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55" w:type="dxa"/>
          </w:tcPr>
          <w:p w:rsidR="00953D56" w:rsidRPr="00734823" w:rsidRDefault="00953D56" w:rsidP="00C6418F">
            <w:pPr>
              <w:pStyle w:val="Dokumentbeteckning-titel"/>
            </w:pPr>
            <w:r w:rsidRPr="00734823">
              <w:fldChar w:fldCharType="begin" w:fldLock="1"/>
            </w:r>
            <w:r w:rsidRPr="00734823">
              <w:instrText xml:space="preserve"> DOCVARIABLE"GDT1", PreserveFormatting:=False \* MERGEFORMAT </w:instrText>
            </w:r>
            <w:r w:rsidRPr="00734823">
              <w:fldChar w:fldCharType="separate"/>
            </w:r>
            <w:r w:rsidRPr="00734823">
              <w:t>Förslag till Europaparlamentets och rådets direktiv om ändring av direktiv 2003/54/EG om gemensamma regler för den inre marknaden för el</w:t>
            </w:r>
            <w:r w:rsidRPr="00734823">
              <w:fldChar w:fldCharType="end"/>
            </w:r>
            <w:r w:rsidRPr="00734823">
              <w:t>. (</w:t>
            </w:r>
            <w:r w:rsidR="00494E95" w:rsidRPr="00734823">
              <w:t>13043/07</w:t>
            </w:r>
            <w:r w:rsidRPr="00734823">
              <w:t xml:space="preserve"> ENER 221 CODEC 948)</w:t>
            </w:r>
          </w:p>
        </w:tc>
      </w:tr>
      <w:tr w:rsidR="00953D56" w:rsidRPr="00734823" w:rsidTr="00C6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55" w:type="dxa"/>
          </w:tcPr>
          <w:p w:rsidR="00953D56" w:rsidRPr="00734823" w:rsidRDefault="00953D56" w:rsidP="00C6418F">
            <w:r w:rsidRPr="00734823">
              <w:t xml:space="preserve">b) </w:t>
            </w:r>
            <w:r w:rsidRPr="00734823">
              <w:fldChar w:fldCharType="begin" w:fldLock="1"/>
            </w:r>
            <w:r w:rsidRPr="00734823">
              <w:instrText xml:space="preserve"> DOCVARIABLE"GDB2", PreserveFormatting:=False \* MERGEFORMAT </w:instrText>
            </w:r>
            <w:r w:rsidRPr="00734823">
              <w:fldChar w:fldCharType="separate"/>
            </w:r>
            <w:r w:rsidRPr="00734823">
              <w:t>KOM (2007) 529</w:t>
            </w:r>
            <w:r w:rsidRPr="00734823">
              <w:fldChar w:fldCharType="end"/>
            </w:r>
          </w:p>
        </w:tc>
      </w:tr>
      <w:tr w:rsidR="00953D56" w:rsidRPr="00734823" w:rsidTr="00C6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55" w:type="dxa"/>
          </w:tcPr>
          <w:p w:rsidR="00953D56" w:rsidRPr="00734823" w:rsidRDefault="00953D56" w:rsidP="00C6418F">
            <w:pPr>
              <w:pStyle w:val="Dokumentbeteckning-titel"/>
            </w:pPr>
            <w:r w:rsidRPr="00734823">
              <w:fldChar w:fldCharType="begin" w:fldLock="1"/>
            </w:r>
            <w:r w:rsidRPr="00734823">
              <w:instrText xml:space="preserve"> DOCVARIABLE"GDT2", PreserveFormatting:=False \* MERGEFORMAT </w:instrText>
            </w:r>
            <w:r w:rsidRPr="00734823">
              <w:fldChar w:fldCharType="separate"/>
            </w:r>
            <w:r w:rsidRPr="00734823">
              <w:t>Förslag till Europaparlamentets och rådets direktiv om ändring av direktiv 2003/55/EG om gemensamma regler för den inre marknaden för naturgas</w:t>
            </w:r>
            <w:r w:rsidRPr="00734823">
              <w:fldChar w:fldCharType="end"/>
            </w:r>
            <w:r w:rsidRPr="00734823">
              <w:t xml:space="preserve"> (</w:t>
            </w:r>
            <w:r w:rsidR="00494E95" w:rsidRPr="00734823">
              <w:t xml:space="preserve">13045/07 </w:t>
            </w:r>
            <w:r w:rsidRPr="00734823">
              <w:t>ENER 222 CODEC 949)</w:t>
            </w:r>
          </w:p>
        </w:tc>
      </w:tr>
      <w:tr w:rsidR="00953D56" w:rsidRPr="00734823" w:rsidTr="00C6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55" w:type="dxa"/>
          </w:tcPr>
          <w:p w:rsidR="00953D56" w:rsidRPr="00734823" w:rsidRDefault="00953D56" w:rsidP="00C6418F">
            <w:r w:rsidRPr="00734823">
              <w:t xml:space="preserve">c) </w:t>
            </w:r>
            <w:r w:rsidRPr="00734823">
              <w:fldChar w:fldCharType="begin" w:fldLock="1"/>
            </w:r>
            <w:r w:rsidRPr="00734823">
              <w:instrText xml:space="preserve"> DOCVARIABLE"GDB3", PreserveFormatting:=False \* MERGEFORMAT </w:instrText>
            </w:r>
            <w:r w:rsidRPr="00734823">
              <w:fldChar w:fldCharType="separate"/>
            </w:r>
            <w:r w:rsidRPr="00734823">
              <w:t>KOM (2007) 530</w:t>
            </w:r>
            <w:r w:rsidRPr="00734823">
              <w:fldChar w:fldCharType="end"/>
            </w:r>
          </w:p>
        </w:tc>
      </w:tr>
      <w:tr w:rsidR="00953D56" w:rsidRPr="00734823" w:rsidTr="00C6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55" w:type="dxa"/>
          </w:tcPr>
          <w:p w:rsidR="00953D56" w:rsidRPr="00734823" w:rsidRDefault="00953D56" w:rsidP="00C6418F">
            <w:pPr>
              <w:pStyle w:val="Dokumentbeteckning-titel"/>
            </w:pPr>
            <w:r w:rsidRPr="00734823">
              <w:fldChar w:fldCharType="begin" w:fldLock="1"/>
            </w:r>
            <w:r w:rsidRPr="00734823">
              <w:instrText xml:space="preserve"> DOCVARIABLE"GDT3", PreserveFormatting:=False \* MERGEFORMAT </w:instrText>
            </w:r>
            <w:r w:rsidRPr="00734823">
              <w:fldChar w:fldCharType="separate"/>
            </w:r>
            <w:r w:rsidRPr="00734823">
              <w:t>Europaparlamentet och rådets förordning om inrättande av en byrå för samarbete mellan energitillsynsmyndigheter</w:t>
            </w:r>
            <w:r w:rsidRPr="00734823">
              <w:fldChar w:fldCharType="end"/>
            </w:r>
            <w:r w:rsidRPr="00734823">
              <w:t xml:space="preserve"> (</w:t>
            </w:r>
            <w:r w:rsidR="00494E95" w:rsidRPr="00734823">
              <w:t xml:space="preserve">13046/07 </w:t>
            </w:r>
            <w:r w:rsidRPr="00734823">
              <w:t>ENER 223 CODEC 950)</w:t>
            </w:r>
          </w:p>
        </w:tc>
      </w:tr>
      <w:tr w:rsidR="00953D56" w:rsidRPr="00734823" w:rsidTr="00C6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55" w:type="dxa"/>
          </w:tcPr>
          <w:p w:rsidR="00953D56" w:rsidRPr="00734823" w:rsidRDefault="00953D56" w:rsidP="00C6418F">
            <w:r w:rsidRPr="00734823">
              <w:t xml:space="preserve">d) </w:t>
            </w:r>
            <w:r w:rsidRPr="00734823">
              <w:fldChar w:fldCharType="begin" w:fldLock="1"/>
            </w:r>
            <w:r w:rsidRPr="00734823">
              <w:instrText xml:space="preserve"> DOCVARIABLE"GDB4", PreserveFormatting:=False \* MERGEFORMAT </w:instrText>
            </w:r>
            <w:r w:rsidRPr="00734823">
              <w:fldChar w:fldCharType="separate"/>
            </w:r>
            <w:r w:rsidRPr="00734823">
              <w:t>KOM (2007) 531</w:t>
            </w:r>
            <w:r w:rsidRPr="00734823">
              <w:fldChar w:fldCharType="end"/>
            </w:r>
          </w:p>
        </w:tc>
      </w:tr>
      <w:tr w:rsidR="00953D56" w:rsidRPr="00734823" w:rsidTr="00C6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55" w:type="dxa"/>
          </w:tcPr>
          <w:p w:rsidR="00953D56" w:rsidRPr="00734823" w:rsidRDefault="00953D56" w:rsidP="00C6418F">
            <w:pPr>
              <w:pStyle w:val="Dokumentbeteckning-titel"/>
            </w:pPr>
            <w:r w:rsidRPr="00734823">
              <w:fldChar w:fldCharType="begin" w:fldLock="1"/>
            </w:r>
            <w:r w:rsidRPr="00734823">
              <w:instrText xml:space="preserve"> DOCVARIABLE"GDT4", PreserveFormatting:=False \* MERGEFORMAT </w:instrText>
            </w:r>
            <w:r w:rsidRPr="00734823">
              <w:fldChar w:fldCharType="separate"/>
            </w:r>
            <w:r w:rsidRPr="00734823">
              <w:t>Europaparlamentet och rådets förordning om ändring av förordning 1228/2003/EG om villkor för tillträde till nät för gränsöverskridande elhandel</w:t>
            </w:r>
            <w:r w:rsidRPr="00734823">
              <w:fldChar w:fldCharType="end"/>
            </w:r>
            <w:r w:rsidRPr="00734823">
              <w:t xml:space="preserve"> (</w:t>
            </w:r>
            <w:r w:rsidR="00494E95" w:rsidRPr="00734823">
              <w:t xml:space="preserve">13048/07 </w:t>
            </w:r>
            <w:r w:rsidRPr="00734823">
              <w:t>ENER 224 CODEC 951)</w:t>
            </w:r>
          </w:p>
        </w:tc>
      </w:tr>
      <w:tr w:rsidR="00953D56" w:rsidRPr="00734823" w:rsidTr="00C6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55" w:type="dxa"/>
          </w:tcPr>
          <w:p w:rsidR="00953D56" w:rsidRPr="00734823" w:rsidRDefault="00953D56" w:rsidP="00C6418F">
            <w:r w:rsidRPr="00734823">
              <w:t xml:space="preserve">e) </w:t>
            </w:r>
            <w:r w:rsidRPr="00734823">
              <w:fldChar w:fldCharType="begin" w:fldLock="1"/>
            </w:r>
            <w:r w:rsidRPr="00734823">
              <w:instrText xml:space="preserve"> DOCVARIABLE"GDB5", PreserveFormatting:=False \* MERGEFORMAT </w:instrText>
            </w:r>
            <w:r w:rsidRPr="00734823">
              <w:fldChar w:fldCharType="separate"/>
            </w:r>
            <w:r w:rsidRPr="00734823">
              <w:t>KOM (2007) 532</w:t>
            </w:r>
            <w:r w:rsidRPr="00734823">
              <w:fldChar w:fldCharType="end"/>
            </w:r>
          </w:p>
        </w:tc>
      </w:tr>
      <w:tr w:rsidR="00953D56" w:rsidRPr="00734823" w:rsidTr="00C64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7655" w:type="dxa"/>
          </w:tcPr>
          <w:p w:rsidR="00953D56" w:rsidRPr="00734823" w:rsidRDefault="00953D56" w:rsidP="00C6418F">
            <w:pPr>
              <w:pStyle w:val="Dokumentbeteckning-titel"/>
            </w:pPr>
            <w:r w:rsidRPr="00734823">
              <w:fldChar w:fldCharType="begin" w:fldLock="1"/>
            </w:r>
            <w:r w:rsidRPr="00734823">
              <w:instrText xml:space="preserve"> DOCVARIABLE"GDT5", PreserveFormatting:=False \* MERGEFORMAT </w:instrText>
            </w:r>
            <w:r w:rsidRPr="00734823">
              <w:fldChar w:fldCharType="separate"/>
            </w:r>
            <w:r w:rsidRPr="00734823">
              <w:t>Europaparlamentet och rådets förordning om ändring av förordning 1775/2005/EG om villkor för tillträde till naturgasöverföringsnäten</w:t>
            </w:r>
            <w:r w:rsidRPr="00734823">
              <w:fldChar w:fldCharType="end"/>
            </w:r>
            <w:r w:rsidRPr="00734823">
              <w:t xml:space="preserve"> (</w:t>
            </w:r>
            <w:r w:rsidR="00494E95" w:rsidRPr="00734823">
              <w:t xml:space="preserve">13049/07 </w:t>
            </w:r>
            <w:r w:rsidRPr="00734823">
              <w:t>ENER 225 CODEC 956)</w:t>
            </w:r>
          </w:p>
        </w:tc>
      </w:tr>
    </w:tbl>
    <w:p w:rsidR="00953D56" w:rsidRPr="00734823" w:rsidRDefault="00953D56">
      <w:pPr>
        <w:pStyle w:val="RKnormal"/>
      </w:pPr>
    </w:p>
    <w:p w:rsidR="00D1355C" w:rsidRPr="00734823" w:rsidRDefault="00FA4D89">
      <w:pPr>
        <w:pStyle w:val="RKnormal"/>
      </w:pPr>
      <w:r w:rsidRPr="00734823">
        <w:t xml:space="preserve">Tidigare dokument: Fakta-PM </w:t>
      </w:r>
      <w:r w:rsidRPr="00734823">
        <w:fldChar w:fldCharType="begin" w:fldLock="1"/>
      </w:r>
      <w:r w:rsidRPr="00734823">
        <w:instrText>DOCPROPERTY Ar</w:instrText>
      </w:r>
      <w:r w:rsidRPr="00734823">
        <w:fldChar w:fldCharType="separate"/>
      </w:r>
      <w:r w:rsidRPr="00734823">
        <w:t>2007/08</w:t>
      </w:r>
      <w:r w:rsidRPr="00734823">
        <w:fldChar w:fldCharType="end"/>
      </w:r>
      <w:r w:rsidRPr="00734823">
        <w:t>:</w:t>
      </w:r>
      <w:r w:rsidRPr="00734823">
        <w:fldChar w:fldCharType="begin" w:fldLock="1"/>
      </w:r>
      <w:r w:rsidRPr="00734823">
        <w:instrText>DOCPROPERTY Typ</w:instrText>
      </w:r>
      <w:r w:rsidRPr="00734823">
        <w:fldChar w:fldCharType="separate"/>
      </w:r>
      <w:r w:rsidRPr="00734823">
        <w:t>FPM</w:t>
      </w:r>
      <w:r w:rsidRPr="00734823">
        <w:fldChar w:fldCharType="end"/>
      </w:r>
      <w:r w:rsidRPr="00734823">
        <w:fldChar w:fldCharType="begin" w:fldLock="1"/>
      </w:r>
      <w:r w:rsidRPr="00734823">
        <w:instrText>DOCPROPERTY Nr</w:instrText>
      </w:r>
      <w:r w:rsidRPr="00734823">
        <w:fldChar w:fldCharType="separate"/>
      </w:r>
      <w:r w:rsidRPr="00734823">
        <w:t>16</w:t>
      </w:r>
      <w:r w:rsidRPr="00734823">
        <w:fldChar w:fldCharType="end"/>
      </w:r>
      <w:r w:rsidRPr="00734823">
        <w:t xml:space="preserve"> </w:t>
      </w:r>
    </w:p>
    <w:p w:rsidR="00FA4D89" w:rsidRPr="00734823" w:rsidRDefault="00FA4D89">
      <w:pPr>
        <w:pStyle w:val="RKnormal"/>
      </w:pPr>
    </w:p>
    <w:p w:rsidR="00D1355C" w:rsidRPr="00734823" w:rsidRDefault="00D1355C">
      <w:pPr>
        <w:pStyle w:val="RKnormal"/>
      </w:pPr>
      <w:r w:rsidRPr="00734823">
        <w:t xml:space="preserve">Tidigare behandlad vid samråd med EU-nämnden: </w:t>
      </w:r>
    </w:p>
    <w:p w:rsidR="000875B1" w:rsidRPr="00734823" w:rsidRDefault="00384E16" w:rsidP="000875B1">
      <w:pPr>
        <w:pStyle w:val="RKnormal"/>
      </w:pPr>
      <w:r w:rsidRPr="00734823">
        <w:t xml:space="preserve">23 november 2007, </w:t>
      </w:r>
      <w:r w:rsidR="000875B1" w:rsidRPr="00734823">
        <w:t>2</w:t>
      </w:r>
      <w:r w:rsidR="00953D56" w:rsidRPr="00734823">
        <w:t>2</w:t>
      </w:r>
      <w:r w:rsidR="000875B1" w:rsidRPr="00734823">
        <w:t xml:space="preserve"> februari </w:t>
      </w:r>
      <w:r w:rsidR="00953D56" w:rsidRPr="00734823">
        <w:t>och 30</w:t>
      </w:r>
      <w:r w:rsidRPr="00734823">
        <w:t xml:space="preserve"> maj </w:t>
      </w:r>
      <w:r w:rsidR="000875B1" w:rsidRPr="00734823">
        <w:t>2008</w:t>
      </w:r>
      <w:r w:rsidRPr="00734823">
        <w:t xml:space="preserve"> </w:t>
      </w:r>
    </w:p>
    <w:p w:rsidR="00D1355C" w:rsidRPr="00734823" w:rsidRDefault="00D1355C">
      <w:pPr>
        <w:pStyle w:val="RKrubrik"/>
      </w:pPr>
      <w:r w:rsidRPr="00734823">
        <w:t>Bakgrund</w:t>
      </w:r>
    </w:p>
    <w:p w:rsidR="005A5343" w:rsidRPr="00734823" w:rsidRDefault="005A5343" w:rsidP="00BA3339">
      <w:pPr>
        <w:pStyle w:val="Default"/>
        <w:rPr>
          <w:rFonts w:ascii="OrigGarmnd BT" w:hAnsi="OrigGarmnd BT"/>
        </w:rPr>
      </w:pPr>
      <w:r w:rsidRPr="00734823">
        <w:rPr>
          <w:rFonts w:ascii="OrigGarmnd BT" w:hAnsi="OrigGarmnd BT" w:cs="OrigGarmnd BT"/>
        </w:rPr>
        <w:t xml:space="preserve">Vid TTE-rådet den 10 oktober ska energiministrarna anta </w:t>
      </w:r>
      <w:r w:rsidRPr="00734823">
        <w:rPr>
          <w:rFonts w:ascii="OrigGarmnd BT" w:hAnsi="OrigGarmnd BT"/>
        </w:rPr>
        <w:t>en politisk överenskommelse om de fem rubricerade rättsakterna, två direktiv samt tre förordningar</w:t>
      </w:r>
      <w:r w:rsidR="00C34FC3" w:rsidRPr="00734823">
        <w:rPr>
          <w:rFonts w:ascii="OrigGarmnd BT" w:hAnsi="OrigGarmnd BT"/>
        </w:rPr>
        <w:t xml:space="preserve">. </w:t>
      </w:r>
    </w:p>
    <w:p w:rsidR="00BA3339" w:rsidRPr="00734823" w:rsidRDefault="00BA3339" w:rsidP="00BA3339">
      <w:pPr>
        <w:pStyle w:val="Default"/>
      </w:pPr>
    </w:p>
    <w:p w:rsidR="00E222F0" w:rsidRPr="00734823" w:rsidRDefault="00BA3339" w:rsidP="00E222F0">
      <w:r w:rsidRPr="00734823">
        <w:t xml:space="preserve">EG-kommissionen lade </w:t>
      </w:r>
      <w:r w:rsidR="00725824" w:rsidRPr="00734823">
        <w:t>i</w:t>
      </w:r>
      <w:r w:rsidR="00417F6D" w:rsidRPr="00734823">
        <w:t xml:space="preserve"> </w:t>
      </w:r>
      <w:r w:rsidR="00CC1136" w:rsidRPr="00734823">
        <w:t xml:space="preserve">september </w:t>
      </w:r>
      <w:r w:rsidR="00725824" w:rsidRPr="00734823">
        <w:t xml:space="preserve">2007 </w:t>
      </w:r>
      <w:r w:rsidR="00E222F0" w:rsidRPr="00734823">
        <w:t xml:space="preserve">fram </w:t>
      </w:r>
      <w:r w:rsidRPr="00734823">
        <w:t>ett tredje inre marknads</w:t>
      </w:r>
      <w:r w:rsidR="00417F6D" w:rsidRPr="00734823">
        <w:t>-</w:t>
      </w:r>
      <w:r w:rsidR="00E222F0" w:rsidRPr="00734823">
        <w:t>paket med förslag som följer upp Europeiska rådets Energihand</w:t>
      </w:r>
      <w:r w:rsidR="00E222F0" w:rsidRPr="00734823">
        <w:lastRenderedPageBreak/>
        <w:t>lings</w:t>
      </w:r>
      <w:r w:rsidR="00417F6D" w:rsidRPr="00734823">
        <w:t>-</w:t>
      </w:r>
      <w:r w:rsidR="00E222F0" w:rsidRPr="00734823">
        <w:t>plan</w:t>
      </w:r>
      <w:r w:rsidR="00C34FC3" w:rsidRPr="00734823">
        <w:t>.</w:t>
      </w:r>
      <w:r w:rsidR="00E222F0" w:rsidRPr="00734823">
        <w:t xml:space="preserve"> Detta paket är det tredje i ordningen och utgör en revidering av det senaste lagstiftningspaketet, som antogs 2003 och som bl.a. </w:t>
      </w:r>
      <w:r w:rsidR="00725824" w:rsidRPr="00734823">
        <w:t xml:space="preserve">innebar </w:t>
      </w:r>
      <w:r w:rsidR="00E222F0" w:rsidRPr="00734823">
        <w:t xml:space="preserve">att såväl företags- som hushållskunder fritt kan </w:t>
      </w:r>
      <w:r w:rsidR="003C1A99" w:rsidRPr="00734823">
        <w:t>välja leverantör från och med 1 </w:t>
      </w:r>
      <w:r w:rsidR="00E222F0" w:rsidRPr="00734823">
        <w:t>juli 2007.</w:t>
      </w:r>
    </w:p>
    <w:p w:rsidR="00E222F0" w:rsidRPr="00734823" w:rsidRDefault="00E222F0" w:rsidP="00E222F0"/>
    <w:p w:rsidR="00E222F0" w:rsidRPr="00734823" w:rsidRDefault="00E222F0" w:rsidP="00E222F0">
      <w:r w:rsidRPr="00734823">
        <w:t xml:space="preserve">I </w:t>
      </w:r>
      <w:r w:rsidR="005E22C0" w:rsidRPr="00734823">
        <w:t xml:space="preserve">kommissionens förslag till ett </w:t>
      </w:r>
      <w:r w:rsidR="00D47081" w:rsidRPr="00734823">
        <w:t xml:space="preserve">tredje </w:t>
      </w:r>
      <w:r w:rsidRPr="00734823">
        <w:t xml:space="preserve">paket </w:t>
      </w:r>
      <w:r w:rsidR="009F0373" w:rsidRPr="00734823">
        <w:t xml:space="preserve">läggs tonvikten på </w:t>
      </w:r>
      <w:r w:rsidRPr="00734823">
        <w:t xml:space="preserve">åtgärder för </w:t>
      </w:r>
      <w:r w:rsidR="00D47081" w:rsidRPr="00734823">
        <w:t>att förbättra konkurrensen och öka transpar</w:t>
      </w:r>
      <w:r w:rsidR="00C34FC3" w:rsidRPr="00734823">
        <w:t>e</w:t>
      </w:r>
      <w:r w:rsidR="00D47081" w:rsidRPr="00734823">
        <w:t>ns</w:t>
      </w:r>
      <w:r w:rsidR="00B45A56" w:rsidRPr="00734823">
        <w:t>en</w:t>
      </w:r>
      <w:r w:rsidR="00D47081" w:rsidRPr="00734823">
        <w:t xml:space="preserve"> </w:t>
      </w:r>
      <w:r w:rsidR="009F0373" w:rsidRPr="00734823">
        <w:t xml:space="preserve">samt förbättra </w:t>
      </w:r>
      <w:r w:rsidR="00D47081" w:rsidRPr="00734823">
        <w:t>el och gasmarknaderna</w:t>
      </w:r>
      <w:r w:rsidR="009F0373" w:rsidRPr="00734823">
        <w:t>s funktion</w:t>
      </w:r>
      <w:r w:rsidR="00D47081" w:rsidRPr="00734823">
        <w:t xml:space="preserve">. </w:t>
      </w:r>
      <w:r w:rsidR="005E22C0" w:rsidRPr="00734823">
        <w:t>Ett av h</w:t>
      </w:r>
      <w:r w:rsidR="00D47081" w:rsidRPr="00734823">
        <w:t xml:space="preserve">uvudförslagen rör sk. </w:t>
      </w:r>
      <w:r w:rsidRPr="00734823">
        <w:t>effektiv åtskillnad</w:t>
      </w:r>
      <w:r w:rsidR="00D47081" w:rsidRPr="00734823">
        <w:t xml:space="preserve"> mellan transmissionsverksamhet och handel respektive produktion av el och gas</w:t>
      </w:r>
      <w:r w:rsidR="005E22C0" w:rsidRPr="00734823">
        <w:t>. Vidare föreslås d</w:t>
      </w:r>
      <w:r w:rsidRPr="00734823">
        <w:t>e nationella tillsyns</w:t>
      </w:r>
      <w:r w:rsidR="00417F6D" w:rsidRPr="00734823">
        <w:t>-</w:t>
      </w:r>
      <w:r w:rsidRPr="00734823">
        <w:t xml:space="preserve">myndigheterna </w:t>
      </w:r>
      <w:r w:rsidR="005E22C0" w:rsidRPr="00734823">
        <w:t xml:space="preserve">för el - och gasmarknaderna </w:t>
      </w:r>
      <w:r w:rsidRPr="00734823">
        <w:t xml:space="preserve">få stärkt oberoende och mer harmoniserade befogenheter, liksom utökade uppgifter. </w:t>
      </w:r>
      <w:r w:rsidR="003B516B" w:rsidRPr="00734823">
        <w:t xml:space="preserve">Vidare </w:t>
      </w:r>
      <w:r w:rsidR="005E22C0" w:rsidRPr="00734823">
        <w:t xml:space="preserve">föreslås det </w:t>
      </w:r>
      <w:r w:rsidR="003B516B" w:rsidRPr="00734823">
        <w:t>inrättas e</w:t>
      </w:r>
      <w:r w:rsidRPr="00734823">
        <w:t>n</w:t>
      </w:r>
      <w:r w:rsidR="005E22C0" w:rsidRPr="00734823">
        <w:t xml:space="preserve"> ny europeisk myndighet, en s.k.</w:t>
      </w:r>
      <w:r w:rsidRPr="00734823">
        <w:t xml:space="preserve"> </w:t>
      </w:r>
      <w:r w:rsidR="009F0373" w:rsidRPr="00734823">
        <w:t>E</w:t>
      </w:r>
      <w:r w:rsidR="005E22C0" w:rsidRPr="00734823">
        <w:t>nergi</w:t>
      </w:r>
      <w:r w:rsidRPr="00734823">
        <w:t>byrå för</w:t>
      </w:r>
      <w:r w:rsidR="009F0373" w:rsidRPr="00734823">
        <w:t xml:space="preserve"> el och gas där de nationella </w:t>
      </w:r>
      <w:r w:rsidRPr="00734823">
        <w:t>tillsynsmyndigheter</w:t>
      </w:r>
      <w:r w:rsidR="009F0373" w:rsidRPr="00734823">
        <w:t xml:space="preserve">na </w:t>
      </w:r>
      <w:r w:rsidR="00B45A56" w:rsidRPr="00734823">
        <w:t>är representerade</w:t>
      </w:r>
      <w:r w:rsidR="003B516B" w:rsidRPr="00734823">
        <w:t>.</w:t>
      </w:r>
      <w:r w:rsidR="00B12F6E" w:rsidRPr="00734823">
        <w:t xml:space="preserve"> </w:t>
      </w:r>
      <w:r w:rsidR="00B45A56" w:rsidRPr="00734823">
        <w:t>Vidare</w:t>
      </w:r>
      <w:r w:rsidRPr="00734823">
        <w:t xml:space="preserve"> föreslås exempelvis inrättande</w:t>
      </w:r>
      <w:r w:rsidR="00B45A56" w:rsidRPr="00734823">
        <w:t>t</w:t>
      </w:r>
      <w:r w:rsidRPr="00734823">
        <w:t xml:space="preserve"> av ett organ för europeiskt samarbete mellan </w:t>
      </w:r>
      <w:r w:rsidR="00B12F6E" w:rsidRPr="00734823">
        <w:t>transmissions</w:t>
      </w:r>
      <w:r w:rsidRPr="00734823">
        <w:t xml:space="preserve">systemoperatörer och </w:t>
      </w:r>
      <w:r w:rsidR="00B45A56" w:rsidRPr="00734823">
        <w:t xml:space="preserve">åtgärder som syftar </w:t>
      </w:r>
      <w:r w:rsidRPr="00734823">
        <w:t>till stärkt marknadstransparens.</w:t>
      </w:r>
    </w:p>
    <w:p w:rsidR="009F0373" w:rsidRPr="00734823" w:rsidRDefault="009F0373" w:rsidP="001A29BB">
      <w:pPr>
        <w:pStyle w:val="Default"/>
        <w:rPr>
          <w:rFonts w:ascii="OrigGarmnd BT" w:hAnsi="OrigGarmnd BT"/>
        </w:rPr>
      </w:pPr>
    </w:p>
    <w:p w:rsidR="001A29BB" w:rsidRPr="00734823" w:rsidRDefault="001A29BB" w:rsidP="001A29BB">
      <w:pPr>
        <w:pStyle w:val="Default"/>
        <w:rPr>
          <w:rFonts w:ascii="OrigGarmnd BT" w:hAnsi="OrigGarmnd BT" w:cs="Times New Roman"/>
          <w:color w:val="auto"/>
          <w:szCs w:val="20"/>
          <w:lang w:eastAsia="en-US"/>
        </w:rPr>
      </w:pPr>
      <w:r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Vid TTE-rådet i februari </w:t>
      </w:r>
      <w:r w:rsidR="00D341FE"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2008 </w:t>
      </w:r>
      <w:r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och vid Europeiska rådets vårtoppmöte </w:t>
      </w:r>
      <w:r w:rsidR="00D341FE" w:rsidRPr="00734823">
        <w:rPr>
          <w:rFonts w:ascii="OrigGarmnd BT" w:hAnsi="OrigGarmnd BT" w:cs="Times New Roman"/>
          <w:color w:val="auto"/>
          <w:szCs w:val="20"/>
          <w:lang w:eastAsia="en-US"/>
        </w:rPr>
        <w:t>2008</w:t>
      </w:r>
      <w:r w:rsidR="005A5343"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 </w:t>
      </w:r>
      <w:r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misslyckades medlemsstaterna att nå en samsyn i </w:t>
      </w:r>
      <w:r w:rsidR="00D341FE" w:rsidRPr="00734823">
        <w:rPr>
          <w:rFonts w:ascii="OrigGarmnd BT" w:hAnsi="OrigGarmnd BT" w:cs="Times New Roman"/>
          <w:color w:val="auto"/>
          <w:szCs w:val="20"/>
          <w:lang w:eastAsia="en-US"/>
        </w:rPr>
        <w:t>åtskillnads</w:t>
      </w:r>
      <w:r w:rsidRPr="00734823">
        <w:rPr>
          <w:rFonts w:ascii="OrigGarmnd BT" w:hAnsi="OrigGarmnd BT" w:cs="Times New Roman"/>
          <w:color w:val="auto"/>
          <w:szCs w:val="20"/>
          <w:lang w:eastAsia="en-US"/>
        </w:rPr>
        <w:t>fråga</w:t>
      </w:r>
      <w:r w:rsidR="00D341FE" w:rsidRPr="00734823">
        <w:rPr>
          <w:rFonts w:ascii="OrigGarmnd BT" w:hAnsi="OrigGarmnd BT" w:cs="Times New Roman"/>
          <w:color w:val="auto"/>
          <w:szCs w:val="20"/>
          <w:lang w:eastAsia="en-US"/>
        </w:rPr>
        <w:t>n</w:t>
      </w:r>
      <w:r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 och därmed även i övriga frågor</w:t>
      </w:r>
      <w:r w:rsidR="00D341FE"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 rörande det tredje paketet</w:t>
      </w:r>
      <w:r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. </w:t>
      </w:r>
      <w:r w:rsidR="00384E16" w:rsidRPr="00734823">
        <w:rPr>
          <w:rFonts w:ascii="OrigGarmnd BT" w:hAnsi="OrigGarmnd BT" w:cs="Times New Roman"/>
          <w:color w:val="auto"/>
          <w:szCs w:val="20"/>
          <w:lang w:eastAsia="en-US"/>
        </w:rPr>
        <w:t>Vid v</w:t>
      </w:r>
      <w:r w:rsidRPr="00734823">
        <w:rPr>
          <w:rFonts w:ascii="OrigGarmnd BT" w:hAnsi="OrigGarmnd BT" w:cs="Times New Roman"/>
          <w:color w:val="auto"/>
          <w:szCs w:val="20"/>
          <w:lang w:eastAsia="en-US"/>
        </w:rPr>
        <w:t>år</w:t>
      </w:r>
      <w:r w:rsidR="00417F6D" w:rsidRPr="00734823">
        <w:rPr>
          <w:rFonts w:ascii="OrigGarmnd BT" w:hAnsi="OrigGarmnd BT" w:cs="Times New Roman"/>
          <w:color w:val="auto"/>
          <w:szCs w:val="20"/>
          <w:lang w:eastAsia="en-US"/>
        </w:rPr>
        <w:t>-</w:t>
      </w:r>
      <w:r w:rsidRPr="00734823">
        <w:rPr>
          <w:rFonts w:ascii="OrigGarmnd BT" w:hAnsi="OrigGarmnd BT" w:cs="Times New Roman"/>
          <w:color w:val="auto"/>
          <w:szCs w:val="20"/>
          <w:lang w:eastAsia="en-US"/>
        </w:rPr>
        <w:t>toppmötet uppmanade</w:t>
      </w:r>
      <w:r w:rsidR="00384E16"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s </w:t>
      </w:r>
      <w:r w:rsidR="00D341FE"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dock </w:t>
      </w:r>
      <w:r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rådet att nå en överenskommelse </w:t>
      </w:r>
      <w:r w:rsidR="00D341FE" w:rsidRPr="00734823">
        <w:rPr>
          <w:rFonts w:ascii="OrigGarmnd BT" w:hAnsi="OrigGarmnd BT" w:cs="Times New Roman"/>
          <w:color w:val="auto"/>
          <w:szCs w:val="20"/>
          <w:lang w:eastAsia="en-US"/>
        </w:rPr>
        <w:t xml:space="preserve">avseende paketet </w:t>
      </w:r>
      <w:r w:rsidRPr="00734823">
        <w:rPr>
          <w:rFonts w:ascii="OrigGarmnd BT" w:hAnsi="OrigGarmnd BT" w:cs="Times New Roman"/>
          <w:color w:val="auto"/>
          <w:szCs w:val="20"/>
          <w:lang w:eastAsia="en-US"/>
        </w:rPr>
        <w:t>senast i juni.</w:t>
      </w:r>
    </w:p>
    <w:p w:rsidR="00E222F0" w:rsidRPr="00734823" w:rsidRDefault="00E222F0" w:rsidP="00FA4D89">
      <w:pPr>
        <w:pStyle w:val="Default"/>
        <w:rPr>
          <w:rFonts w:ascii="OrigGarmnd BT" w:hAnsi="OrigGarmnd BT" w:cs="Times New Roman"/>
          <w:color w:val="auto"/>
        </w:rPr>
      </w:pPr>
    </w:p>
    <w:p w:rsidR="00494E95" w:rsidRPr="00734823" w:rsidRDefault="00D341FE" w:rsidP="00D341FE">
      <w:pPr>
        <w:pStyle w:val="Default"/>
        <w:rPr>
          <w:rFonts w:ascii="OrigGarmnd BT" w:hAnsi="OrigGarmnd BT"/>
        </w:rPr>
      </w:pPr>
      <w:r w:rsidRPr="00734823">
        <w:rPr>
          <w:rFonts w:ascii="OrigGarmnd BT" w:hAnsi="OrigGarmnd BT"/>
        </w:rPr>
        <w:t>Inför TTE rådet i juni 2008 presenterade ordförandeskapet ett förslag till</w:t>
      </w:r>
      <w:r w:rsidR="001B7A49" w:rsidRPr="00734823">
        <w:rPr>
          <w:rFonts w:ascii="OrigGarmnd BT" w:hAnsi="OrigGarmnd BT"/>
        </w:rPr>
        <w:t xml:space="preserve"> allmän inriktning</w:t>
      </w:r>
      <w:r w:rsidRPr="00734823">
        <w:rPr>
          <w:rFonts w:ascii="OrigGarmnd BT" w:hAnsi="OrigGarmnd BT"/>
        </w:rPr>
        <w:t xml:space="preserve"> med kompromissförslag avseende de utestående frågorna</w:t>
      </w:r>
      <w:r w:rsidR="00725824" w:rsidRPr="00734823">
        <w:rPr>
          <w:rFonts w:ascii="OrigGarmnd BT" w:hAnsi="OrigGarmnd BT"/>
        </w:rPr>
        <w:t>,</w:t>
      </w:r>
      <w:r w:rsidR="00C34FC3" w:rsidRPr="00734823">
        <w:rPr>
          <w:rFonts w:ascii="OrigGarmnd BT" w:hAnsi="OrigGarmnd BT"/>
        </w:rPr>
        <w:t xml:space="preserve"> bl</w:t>
      </w:r>
      <w:r w:rsidR="00B45A56" w:rsidRPr="00734823">
        <w:rPr>
          <w:rFonts w:ascii="OrigGarmnd BT" w:hAnsi="OrigGarmnd BT"/>
        </w:rPr>
        <w:t>.</w:t>
      </w:r>
      <w:r w:rsidR="00C34FC3" w:rsidRPr="00734823">
        <w:rPr>
          <w:rFonts w:ascii="OrigGarmnd BT" w:hAnsi="OrigGarmnd BT"/>
        </w:rPr>
        <w:t xml:space="preserve">a. åtskillnadsfrågan, </w:t>
      </w:r>
      <w:r w:rsidR="00494E95" w:rsidRPr="00734823">
        <w:rPr>
          <w:rFonts w:ascii="OrigGarmnd BT" w:hAnsi="OrigGarmnd BT"/>
        </w:rPr>
        <w:t>tredj</w:t>
      </w:r>
      <w:r w:rsidR="00B45A56" w:rsidRPr="00734823">
        <w:rPr>
          <w:rFonts w:ascii="OrigGarmnd BT" w:hAnsi="OrigGarmnd BT"/>
        </w:rPr>
        <w:t>e</w:t>
      </w:r>
      <w:r w:rsidR="00494E95" w:rsidRPr="00734823">
        <w:rPr>
          <w:rFonts w:ascii="OrigGarmnd BT" w:hAnsi="OrigGarmnd BT"/>
        </w:rPr>
        <w:t>landsklausulen</w:t>
      </w:r>
      <w:r w:rsidR="00B45A56" w:rsidRPr="00734823">
        <w:rPr>
          <w:rFonts w:ascii="OrigGarmnd BT" w:hAnsi="OrigGarmnd BT"/>
        </w:rPr>
        <w:t>,</w:t>
      </w:r>
      <w:r w:rsidR="00494E95" w:rsidRPr="00734823">
        <w:rPr>
          <w:rFonts w:ascii="OrigGarmnd BT" w:hAnsi="OrigGarmnd BT"/>
        </w:rPr>
        <w:t xml:space="preserve"> </w:t>
      </w:r>
      <w:r w:rsidR="00C34FC3" w:rsidRPr="00734823">
        <w:rPr>
          <w:rFonts w:ascii="OrigGarmnd BT" w:hAnsi="OrigGarmnd BT"/>
        </w:rPr>
        <w:t>procedur</w:t>
      </w:r>
      <w:r w:rsidR="00B45A56" w:rsidRPr="00734823">
        <w:rPr>
          <w:rFonts w:ascii="OrigGarmnd BT" w:hAnsi="OrigGarmnd BT"/>
        </w:rPr>
        <w:t>er</w:t>
      </w:r>
      <w:r w:rsidR="00C34FC3" w:rsidRPr="00734823">
        <w:rPr>
          <w:rFonts w:ascii="OrigGarmnd BT" w:hAnsi="OrigGarmnd BT"/>
        </w:rPr>
        <w:t xml:space="preserve"> för att fastställa </w:t>
      </w:r>
      <w:r w:rsidR="0017174A" w:rsidRPr="00734823">
        <w:rPr>
          <w:rFonts w:ascii="OrigGarmnd BT" w:hAnsi="OrigGarmnd BT"/>
        </w:rPr>
        <w:t>tekniska koder</w:t>
      </w:r>
      <w:r w:rsidR="00C34FC3" w:rsidRPr="00734823">
        <w:rPr>
          <w:rFonts w:ascii="OrigGarmnd BT" w:hAnsi="OrigGarmnd BT"/>
        </w:rPr>
        <w:t xml:space="preserve"> för el och gasnäten, Energibyråns roll, kommittologiförfarande</w:t>
      </w:r>
      <w:r w:rsidR="00B45A56" w:rsidRPr="00734823">
        <w:rPr>
          <w:rFonts w:ascii="OrigGarmnd BT" w:hAnsi="OrigGarmnd BT"/>
        </w:rPr>
        <w:t xml:space="preserve"> m.m.</w:t>
      </w:r>
      <w:r w:rsidR="00725824" w:rsidRPr="00734823">
        <w:rPr>
          <w:rFonts w:ascii="OrigGarmnd BT" w:hAnsi="OrigGarmnd BT"/>
        </w:rPr>
        <w:t xml:space="preserve"> </w:t>
      </w:r>
    </w:p>
    <w:p w:rsidR="00494E95" w:rsidRPr="00734823" w:rsidRDefault="00494E95" w:rsidP="00D341FE">
      <w:pPr>
        <w:pStyle w:val="Default"/>
        <w:rPr>
          <w:rFonts w:ascii="OrigGarmnd BT" w:hAnsi="OrigGarmnd BT"/>
        </w:rPr>
      </w:pPr>
    </w:p>
    <w:p w:rsidR="005A5343" w:rsidRPr="00734823" w:rsidRDefault="00725824" w:rsidP="00D341FE">
      <w:pPr>
        <w:pStyle w:val="Default"/>
        <w:rPr>
          <w:rFonts w:ascii="OrigGarmnd BT" w:hAnsi="OrigGarmnd BT"/>
        </w:rPr>
      </w:pPr>
      <w:r w:rsidRPr="00734823">
        <w:rPr>
          <w:rFonts w:ascii="OrigGarmnd BT" w:hAnsi="OrigGarmnd BT"/>
        </w:rPr>
        <w:t>Det mest centrala förslaget var att ett tredje alternativ till att uppnå effektiv åtskillnad introducerades, vid sidan om kommissionens ursprungliga två, full ägarskapsåtskillnad och oberoende system</w:t>
      </w:r>
      <w:r w:rsidR="00417F6D" w:rsidRPr="00734823">
        <w:rPr>
          <w:rFonts w:ascii="OrigGarmnd BT" w:hAnsi="OrigGarmnd BT"/>
        </w:rPr>
        <w:t>-</w:t>
      </w:r>
      <w:r w:rsidRPr="00734823">
        <w:rPr>
          <w:rFonts w:ascii="OrigGarmnd BT" w:hAnsi="OrigGarmnd BT"/>
        </w:rPr>
        <w:t xml:space="preserve">operatörer. Detta tredje alternativ medgav </w:t>
      </w:r>
      <w:r w:rsidR="00494E95" w:rsidRPr="00734823">
        <w:rPr>
          <w:rFonts w:ascii="OrigGarmnd BT" w:hAnsi="OrigGarmnd BT"/>
        </w:rPr>
        <w:t xml:space="preserve">att transmissionsverksamhet får bedrivas i </w:t>
      </w:r>
      <w:r w:rsidRPr="00734823">
        <w:rPr>
          <w:rFonts w:ascii="OrigGarmnd BT" w:hAnsi="OrigGarmnd BT"/>
        </w:rPr>
        <w:t xml:space="preserve">vertikalt integrerade företag </w:t>
      </w:r>
      <w:r w:rsidR="00494E95" w:rsidRPr="00734823">
        <w:rPr>
          <w:rFonts w:ascii="OrigGarmnd BT" w:hAnsi="OrigGarmnd BT"/>
        </w:rPr>
        <w:t>men då med tillämpande av</w:t>
      </w:r>
      <w:r w:rsidRPr="00734823">
        <w:rPr>
          <w:rFonts w:ascii="OrigGarmnd BT" w:hAnsi="OrigGarmnd BT"/>
        </w:rPr>
        <w:t xml:space="preserve"> </w:t>
      </w:r>
      <w:r w:rsidR="00494E95" w:rsidRPr="00734823">
        <w:rPr>
          <w:rFonts w:ascii="OrigGarmnd BT" w:hAnsi="OrigGarmnd BT"/>
        </w:rPr>
        <w:t xml:space="preserve">en särskild regleringsregim för </w:t>
      </w:r>
      <w:r w:rsidR="00EA4F57" w:rsidRPr="00734823">
        <w:rPr>
          <w:rFonts w:ascii="OrigGarmnd BT" w:hAnsi="OrigGarmnd BT"/>
        </w:rPr>
        <w:t xml:space="preserve"> att </w:t>
      </w:r>
      <w:r w:rsidR="00494E95" w:rsidRPr="00734823">
        <w:rPr>
          <w:rFonts w:ascii="OrigGarmnd BT" w:hAnsi="OrigGarmnd BT"/>
        </w:rPr>
        <w:t xml:space="preserve">säkerhetsställa att </w:t>
      </w:r>
      <w:r w:rsidR="00EA4F57" w:rsidRPr="00734823">
        <w:rPr>
          <w:rFonts w:ascii="OrigGarmnd BT" w:hAnsi="OrigGarmnd BT"/>
        </w:rPr>
        <w:t>en effektiv åtskillnad ändå uppnås.</w:t>
      </w:r>
    </w:p>
    <w:p w:rsidR="005A5343" w:rsidRPr="00734823" w:rsidRDefault="005A5343" w:rsidP="00D341FE">
      <w:pPr>
        <w:pStyle w:val="Default"/>
        <w:rPr>
          <w:rFonts w:ascii="OrigGarmnd BT" w:hAnsi="OrigGarmnd BT"/>
        </w:rPr>
      </w:pPr>
    </w:p>
    <w:p w:rsidR="00A63D55" w:rsidRPr="00734823" w:rsidRDefault="001B7A49" w:rsidP="001B7A49">
      <w:pPr>
        <w:pStyle w:val="RKnormal"/>
      </w:pPr>
      <w:r w:rsidRPr="00734823">
        <w:t>Vid TTE rådet den 6 juni vidtog långa förhandlingar om</w:t>
      </w:r>
      <w:r w:rsidR="00A63D55" w:rsidRPr="00734823">
        <w:t xml:space="preserve"> </w:t>
      </w:r>
      <w:r w:rsidR="00CE57D6" w:rsidRPr="00734823">
        <w:t>ordförande</w:t>
      </w:r>
      <w:r w:rsidR="00417F6D" w:rsidRPr="00734823">
        <w:t>-</w:t>
      </w:r>
      <w:r w:rsidR="00CE57D6" w:rsidRPr="00734823">
        <w:t>skapets</w:t>
      </w:r>
      <w:r w:rsidRPr="00734823">
        <w:t xml:space="preserve"> förslag till allmän inriktning. Inriktningen godtogs slutlig</w:t>
      </w:r>
      <w:r w:rsidR="00B45A56" w:rsidRPr="00734823">
        <w:t>t</w:t>
      </w:r>
      <w:r w:rsidRPr="00734823">
        <w:t xml:space="preserve"> efter vissa justeringar. I huvudsak rörde </w:t>
      </w:r>
      <w:r w:rsidR="008A36CB" w:rsidRPr="00734823">
        <w:t>justeringarna</w:t>
      </w:r>
      <w:r w:rsidRPr="00734823">
        <w:t xml:space="preserve"> texte</w:t>
      </w:r>
      <w:r w:rsidR="00CE57D6" w:rsidRPr="00734823">
        <w:t>r</w:t>
      </w:r>
      <w:r w:rsidRPr="00734823">
        <w:t>n</w:t>
      </w:r>
      <w:r w:rsidR="00CE57D6" w:rsidRPr="00734823">
        <w:t>a</w:t>
      </w:r>
      <w:r w:rsidRPr="00734823">
        <w:t xml:space="preserve"> avseende effektiv åtskillnad</w:t>
      </w:r>
      <w:r w:rsidR="00EA4F57" w:rsidRPr="00734823">
        <w:t>,</w:t>
      </w:r>
      <w:r w:rsidRPr="00734823">
        <w:t xml:space="preserve"> där </w:t>
      </w:r>
      <w:r w:rsidR="00D341FE" w:rsidRPr="00734823">
        <w:t xml:space="preserve">majoriteten av medlemsstater </w:t>
      </w:r>
      <w:r w:rsidR="00EA4F57" w:rsidRPr="00734823">
        <w:t>fick acceptera att det tredje åtskillnadsalternativet också skulle gälla för</w:t>
      </w:r>
      <w:r w:rsidR="00A636BF" w:rsidRPr="00734823">
        <w:t xml:space="preserve"> både</w:t>
      </w:r>
      <w:r w:rsidR="00EA4F57" w:rsidRPr="00734823">
        <w:t xml:space="preserve"> el</w:t>
      </w:r>
      <w:r w:rsidR="00A636BF" w:rsidRPr="00734823">
        <w:t xml:space="preserve"> och gas</w:t>
      </w:r>
      <w:r w:rsidR="00EA4F57" w:rsidRPr="00734823">
        <w:t xml:space="preserve">, men i gengäld fick till stånd en del skärpningar när det gäller </w:t>
      </w:r>
      <w:r w:rsidR="00B45A56" w:rsidRPr="00734823">
        <w:t>transmissionsverk</w:t>
      </w:r>
      <w:r w:rsidR="00EA4F57" w:rsidRPr="00734823">
        <w:t xml:space="preserve">samhetens oberoende. </w:t>
      </w:r>
      <w:r w:rsidR="001B1F32" w:rsidRPr="00734823">
        <w:t xml:space="preserve">Man </w:t>
      </w:r>
      <w:r w:rsidR="008A36CB" w:rsidRPr="00734823">
        <w:t xml:space="preserve">enades också om en </w:t>
      </w:r>
      <w:r w:rsidR="00CE57D6" w:rsidRPr="00734823">
        <w:t>sträng</w:t>
      </w:r>
      <w:r w:rsidR="008A36CB" w:rsidRPr="00734823">
        <w:t xml:space="preserve"> översyn</w:t>
      </w:r>
      <w:r w:rsidR="00CE57D6" w:rsidRPr="00734823">
        <w:t>sklausul</w:t>
      </w:r>
      <w:r w:rsidR="008A36CB" w:rsidRPr="00734823">
        <w:t xml:space="preserve"> </w:t>
      </w:r>
      <w:r w:rsidR="00CE57D6" w:rsidRPr="00734823">
        <w:t>beträffande</w:t>
      </w:r>
      <w:r w:rsidR="008A36CB" w:rsidRPr="00734823">
        <w:t xml:space="preserve"> vertikalt integrerad transmissionsverksamhet när regelverket varit i kraft en tid. </w:t>
      </w:r>
      <w:r w:rsidR="00C34FC3" w:rsidRPr="00734823">
        <w:t xml:space="preserve">Vidare </w:t>
      </w:r>
      <w:r w:rsidR="00AB34FB" w:rsidRPr="00734823">
        <w:t>introducerades</w:t>
      </w:r>
      <w:r w:rsidR="008A36CB" w:rsidRPr="00734823">
        <w:t xml:space="preserve"> </w:t>
      </w:r>
      <w:r w:rsidR="00CE57D6" w:rsidRPr="00734823">
        <w:t xml:space="preserve">en princip om </w:t>
      </w:r>
      <w:r w:rsidR="008A36CB" w:rsidRPr="00734823">
        <w:t xml:space="preserve">sk. </w:t>
      </w:r>
      <w:r w:rsidRPr="00734823">
        <w:t>gemensam spelplan (”level playing field)</w:t>
      </w:r>
      <w:r w:rsidR="00C34FC3" w:rsidRPr="00734823">
        <w:t xml:space="preserve"> för den inre marknaden</w:t>
      </w:r>
      <w:r w:rsidRPr="00734823">
        <w:t xml:space="preserve">. </w:t>
      </w:r>
      <w:r w:rsidR="008A36CB" w:rsidRPr="00734823">
        <w:t>En sådan b</w:t>
      </w:r>
      <w:r w:rsidRPr="00734823">
        <w:t xml:space="preserve">estämmelse ska ge utrymme för </w:t>
      </w:r>
      <w:r w:rsidR="00C735A9" w:rsidRPr="00734823">
        <w:t>medlemsstaterna</w:t>
      </w:r>
      <w:r w:rsidRPr="00734823">
        <w:t xml:space="preserve"> att </w:t>
      </w:r>
      <w:r w:rsidR="008A36CB" w:rsidRPr="00734823">
        <w:t xml:space="preserve">med iakttagande av gemenskapsrätten, </w:t>
      </w:r>
      <w:r w:rsidRPr="00734823">
        <w:t xml:space="preserve">vidta åtgärder </w:t>
      </w:r>
      <w:r w:rsidR="00494E95" w:rsidRPr="00734823">
        <w:t xml:space="preserve">främst i syfte att </w:t>
      </w:r>
      <w:r w:rsidR="001B1F32" w:rsidRPr="00734823">
        <w:t>hindra att vertikalt integrerade företag köp</w:t>
      </w:r>
      <w:r w:rsidR="00494E95" w:rsidRPr="00734823">
        <w:t>er</w:t>
      </w:r>
      <w:r w:rsidR="001B1F32" w:rsidRPr="00734823">
        <w:t xml:space="preserve"> upp företag som </w:t>
      </w:r>
      <w:r w:rsidR="00B45A56" w:rsidRPr="00734823">
        <w:t xml:space="preserve">är </w:t>
      </w:r>
      <w:r w:rsidR="001B1F32" w:rsidRPr="00734823">
        <w:t>ägarskapsåtskilld</w:t>
      </w:r>
      <w:r w:rsidR="00B45A56" w:rsidRPr="00734823">
        <w:t>a</w:t>
      </w:r>
      <w:r w:rsidR="00AB34FB" w:rsidRPr="00734823">
        <w:t>.</w:t>
      </w:r>
      <w:r w:rsidR="00B45A56" w:rsidRPr="00734823">
        <w:t xml:space="preserve"> </w:t>
      </w:r>
      <w:r w:rsidRPr="00734823">
        <w:t>Vissa justeringar skedde också av text</w:t>
      </w:r>
      <w:r w:rsidR="00A62EA2" w:rsidRPr="00734823">
        <w:t>en</w:t>
      </w:r>
      <w:r w:rsidRPr="00734823">
        <w:t xml:space="preserve"> avseende </w:t>
      </w:r>
      <w:r w:rsidR="00CE57D6" w:rsidRPr="00734823">
        <w:t>den sk.</w:t>
      </w:r>
      <w:r w:rsidR="00B45A56" w:rsidRPr="00734823">
        <w:t xml:space="preserve"> </w:t>
      </w:r>
      <w:r w:rsidRPr="00734823">
        <w:t xml:space="preserve">”tredjelandsklausulen” </w:t>
      </w:r>
      <w:r w:rsidR="00CE57D6" w:rsidRPr="00734823">
        <w:t>som rör förutsätt</w:t>
      </w:r>
      <w:r w:rsidR="00B45A56" w:rsidRPr="00734823">
        <w:t>-</w:t>
      </w:r>
      <w:r w:rsidR="00CE57D6" w:rsidRPr="00734823">
        <w:t xml:space="preserve">ningarna för att transmissionsverksamhet ska </w:t>
      </w:r>
      <w:r w:rsidR="00494E95" w:rsidRPr="00734823">
        <w:t xml:space="preserve">få </w:t>
      </w:r>
      <w:r w:rsidR="00CE57D6" w:rsidRPr="00734823">
        <w:t xml:space="preserve">kontrolleras av </w:t>
      </w:r>
      <w:r w:rsidR="00494E95" w:rsidRPr="00734823">
        <w:t xml:space="preserve">ett </w:t>
      </w:r>
      <w:r w:rsidR="00CE57D6" w:rsidRPr="00734823">
        <w:t>land</w:t>
      </w:r>
      <w:r w:rsidR="00494E95" w:rsidRPr="00734823">
        <w:t xml:space="preserve"> utom EU</w:t>
      </w:r>
      <w:r w:rsidR="00CE57D6" w:rsidRPr="00734823">
        <w:t>.</w:t>
      </w:r>
      <w:r w:rsidR="005A5343" w:rsidRPr="00734823">
        <w:t xml:space="preserve"> S</w:t>
      </w:r>
      <w:r w:rsidRPr="00734823">
        <w:t xml:space="preserve">ärskilt framhölls </w:t>
      </w:r>
      <w:r w:rsidR="00273CF5" w:rsidRPr="00734823">
        <w:t xml:space="preserve">vikten av att </w:t>
      </w:r>
      <w:r w:rsidR="00CE57D6" w:rsidRPr="00734823">
        <w:t>det ska</w:t>
      </w:r>
      <w:r w:rsidR="00273CF5" w:rsidRPr="00734823">
        <w:t xml:space="preserve"> säkerhetsställa</w:t>
      </w:r>
      <w:r w:rsidR="00CE57D6" w:rsidRPr="00734823">
        <w:t>s</w:t>
      </w:r>
      <w:r w:rsidR="00273CF5" w:rsidRPr="00734823">
        <w:t xml:space="preserve"> </w:t>
      </w:r>
      <w:r w:rsidR="00CE57D6" w:rsidRPr="00734823">
        <w:t xml:space="preserve">att </w:t>
      </w:r>
      <w:r w:rsidRPr="00734823">
        <w:t>leveranssäkerhet</w:t>
      </w:r>
      <w:r w:rsidR="00273CF5" w:rsidRPr="00734823">
        <w:t>en</w:t>
      </w:r>
      <w:r w:rsidR="00CE57D6" w:rsidRPr="00734823">
        <w:t xml:space="preserve"> </w:t>
      </w:r>
      <w:r w:rsidR="00494E95" w:rsidRPr="00734823">
        <w:t xml:space="preserve">under sådana förhållanden </w:t>
      </w:r>
      <w:r w:rsidR="00CE57D6" w:rsidRPr="00734823">
        <w:t xml:space="preserve">kan </w:t>
      </w:r>
      <w:r w:rsidR="00494E95" w:rsidRPr="00734823">
        <w:t xml:space="preserve">säkerhetsställas och </w:t>
      </w:r>
      <w:r w:rsidR="00CE57D6" w:rsidRPr="00734823">
        <w:t>upprätthållas</w:t>
      </w:r>
      <w:r w:rsidRPr="00734823">
        <w:t xml:space="preserve">. </w:t>
      </w:r>
      <w:r w:rsidR="00A63D55" w:rsidRPr="00734823">
        <w:t xml:space="preserve">Det överenskoms också att </w:t>
      </w:r>
      <w:r w:rsidR="005A5343" w:rsidRPr="00734823">
        <w:t>kommissionen</w:t>
      </w:r>
      <w:r w:rsidRPr="00734823">
        <w:t xml:space="preserve"> </w:t>
      </w:r>
      <w:r w:rsidR="00A63D55" w:rsidRPr="00734823">
        <w:t xml:space="preserve">ska </w:t>
      </w:r>
      <w:r w:rsidR="00494E95" w:rsidRPr="00734823">
        <w:t xml:space="preserve">få </w:t>
      </w:r>
      <w:r w:rsidR="00A63D55" w:rsidRPr="00734823">
        <w:t xml:space="preserve">yttra sig över </w:t>
      </w:r>
      <w:r w:rsidR="00CE57D6" w:rsidRPr="00734823">
        <w:t xml:space="preserve">en nationell </w:t>
      </w:r>
      <w:r w:rsidRPr="00734823">
        <w:t xml:space="preserve">tillsynsmyndighets utkast till beslut </w:t>
      </w:r>
      <w:r w:rsidR="00A63D55" w:rsidRPr="00734823">
        <w:t>om certifiering av transmissionsverksamhet</w:t>
      </w:r>
      <w:r w:rsidR="001B1F32" w:rsidRPr="00734823">
        <w:t>,</w:t>
      </w:r>
      <w:r w:rsidR="00A63D55" w:rsidRPr="00734823">
        <w:t xml:space="preserve"> men att tillsynsmyndigheterna inte är </w:t>
      </w:r>
      <w:r w:rsidR="00494E95" w:rsidRPr="00734823">
        <w:t xml:space="preserve">juridiskt </w:t>
      </w:r>
      <w:r w:rsidR="00B45A56" w:rsidRPr="00734823">
        <w:t xml:space="preserve">bundna </w:t>
      </w:r>
      <w:r w:rsidR="00A63D55" w:rsidRPr="00734823">
        <w:t xml:space="preserve">att följa </w:t>
      </w:r>
      <w:r w:rsidR="00B45A56" w:rsidRPr="00734823">
        <w:t>kommissionens yttrande</w:t>
      </w:r>
      <w:r w:rsidR="00A63D55" w:rsidRPr="00734823">
        <w:t>.</w:t>
      </w:r>
    </w:p>
    <w:p w:rsidR="00273CF5" w:rsidRPr="00734823" w:rsidRDefault="00A63D55" w:rsidP="001B7A49">
      <w:pPr>
        <w:pStyle w:val="RKnormal"/>
      </w:pPr>
      <w:r w:rsidRPr="00734823">
        <w:t xml:space="preserve"> </w:t>
      </w:r>
    </w:p>
    <w:p w:rsidR="005A779A" w:rsidRPr="00734823" w:rsidRDefault="001B7A49" w:rsidP="005A779A">
      <w:pPr>
        <w:pStyle w:val="RKnormal"/>
        <w:rPr>
          <w:rFonts w:cs="OrigGarmnd BT"/>
          <w:color w:val="000000"/>
          <w:lang w:eastAsia="sv-SE"/>
        </w:rPr>
      </w:pPr>
      <w:r w:rsidRPr="00734823">
        <w:t>In i det sista var det oklart om det skulle gå att uppnå en överens</w:t>
      </w:r>
      <w:r w:rsidR="00417F6D" w:rsidRPr="00734823">
        <w:t>-</w:t>
      </w:r>
      <w:r w:rsidRPr="00734823">
        <w:t>kommelse</w:t>
      </w:r>
      <w:r w:rsidR="00273CF5" w:rsidRPr="00734823">
        <w:t xml:space="preserve"> kring förslag</w:t>
      </w:r>
      <w:r w:rsidR="00A62EA2" w:rsidRPr="00734823">
        <w:t>et</w:t>
      </w:r>
      <w:r w:rsidRPr="00734823">
        <w:t xml:space="preserve">. </w:t>
      </w:r>
      <w:r w:rsidR="005A779A" w:rsidRPr="00734823">
        <w:rPr>
          <w:rFonts w:cs="OrigGarmnd BT"/>
          <w:color w:val="000000"/>
          <w:lang w:eastAsia="sv-SE"/>
        </w:rPr>
        <w:t xml:space="preserve">I slutskedet </w:t>
      </w:r>
      <w:r w:rsidR="00A62EA2" w:rsidRPr="00734823">
        <w:rPr>
          <w:rFonts w:cs="OrigGarmnd BT"/>
          <w:color w:val="000000"/>
          <w:lang w:eastAsia="sv-SE"/>
        </w:rPr>
        <w:t xml:space="preserve">genomfördes </w:t>
      </w:r>
      <w:r w:rsidR="00CE57D6" w:rsidRPr="00734823">
        <w:rPr>
          <w:rFonts w:cs="OrigGarmnd BT"/>
          <w:color w:val="000000"/>
          <w:lang w:eastAsia="sv-SE"/>
        </w:rPr>
        <w:t xml:space="preserve">också </w:t>
      </w:r>
      <w:r w:rsidR="00A62EA2" w:rsidRPr="00734823">
        <w:rPr>
          <w:rFonts w:cs="OrigGarmnd BT"/>
          <w:color w:val="000000"/>
          <w:lang w:eastAsia="sv-SE"/>
        </w:rPr>
        <w:t xml:space="preserve">vissa </w:t>
      </w:r>
      <w:r w:rsidR="005A779A" w:rsidRPr="00734823">
        <w:rPr>
          <w:rFonts w:cs="OrigGarmnd BT"/>
          <w:color w:val="000000"/>
          <w:lang w:eastAsia="sv-SE"/>
        </w:rPr>
        <w:t>korriger</w:t>
      </w:r>
      <w:r w:rsidR="00A62EA2" w:rsidRPr="00734823">
        <w:rPr>
          <w:rFonts w:cs="OrigGarmnd BT"/>
          <w:color w:val="000000"/>
          <w:lang w:eastAsia="sv-SE"/>
        </w:rPr>
        <w:t xml:space="preserve">ingar </w:t>
      </w:r>
      <w:r w:rsidR="00CE57D6" w:rsidRPr="00734823">
        <w:rPr>
          <w:rFonts w:cs="OrigGarmnd BT"/>
          <w:color w:val="000000"/>
          <w:lang w:eastAsia="sv-SE"/>
        </w:rPr>
        <w:t>i</w:t>
      </w:r>
      <w:r w:rsidR="005A779A" w:rsidRPr="00734823">
        <w:rPr>
          <w:rFonts w:cs="OrigGarmnd BT"/>
          <w:color w:val="000000"/>
          <w:lang w:eastAsia="sv-SE"/>
        </w:rPr>
        <w:t xml:space="preserve"> </w:t>
      </w:r>
      <w:r w:rsidR="00B45A56" w:rsidRPr="00734823">
        <w:rPr>
          <w:rFonts w:cs="OrigGarmnd BT"/>
          <w:color w:val="000000"/>
          <w:lang w:eastAsia="sv-SE"/>
        </w:rPr>
        <w:t>texterna</w:t>
      </w:r>
      <w:r w:rsidR="005A779A" w:rsidRPr="00734823">
        <w:rPr>
          <w:rFonts w:cs="OrigGarmnd BT"/>
          <w:color w:val="000000"/>
          <w:lang w:eastAsia="sv-SE"/>
        </w:rPr>
        <w:t xml:space="preserve"> så att det framgick att inte alla medlemsländer stödde alla detaljer i den allmänna inriktningen</w:t>
      </w:r>
      <w:r w:rsidR="00CE57D6" w:rsidRPr="00734823">
        <w:rPr>
          <w:rFonts w:cs="OrigGarmnd BT"/>
          <w:color w:val="000000"/>
          <w:lang w:eastAsia="sv-SE"/>
        </w:rPr>
        <w:t xml:space="preserve">. </w:t>
      </w:r>
    </w:p>
    <w:p w:rsidR="005B5133" w:rsidRPr="00734823" w:rsidRDefault="005B5133" w:rsidP="005A779A">
      <w:pPr>
        <w:pStyle w:val="RKnormal"/>
        <w:rPr>
          <w:rFonts w:cs="OrigGarmnd BT"/>
          <w:color w:val="000000"/>
          <w:lang w:eastAsia="sv-SE"/>
        </w:rPr>
      </w:pPr>
    </w:p>
    <w:p w:rsidR="00485543" w:rsidRPr="00734823" w:rsidRDefault="004F50BC" w:rsidP="00485543">
      <w:pPr>
        <w:pStyle w:val="RKnormal"/>
      </w:pPr>
      <w:r w:rsidRPr="00734823">
        <w:t xml:space="preserve">Efter TTE-rådet i juni har det tredje paketet </w:t>
      </w:r>
      <w:r w:rsidR="007A5766" w:rsidRPr="00734823">
        <w:t>fortsatt att beredas</w:t>
      </w:r>
      <w:r w:rsidRPr="00734823">
        <w:t xml:space="preserve">. Modifieringar har skett av rättsakterna </w:t>
      </w:r>
      <w:r w:rsidR="00AB34FB" w:rsidRPr="00734823">
        <w:t>för att säkerställa kongruens med</w:t>
      </w:r>
      <w:r w:rsidRPr="00734823">
        <w:t xml:space="preserve"> den antagna allmänna inriktningen</w:t>
      </w:r>
      <w:r w:rsidR="00CE57D6" w:rsidRPr="00734823">
        <w:t xml:space="preserve"> eller i övrigt för att förtydliga texterna</w:t>
      </w:r>
      <w:r w:rsidRPr="00734823">
        <w:t>. Den sk. tredjelandsklausulen</w:t>
      </w:r>
      <w:r w:rsidR="000E0038" w:rsidRPr="00734823">
        <w:t xml:space="preserve">s slutliga utformning liksom hur principen om sk. ”level playing field” ska komma till uttryck </w:t>
      </w:r>
      <w:r w:rsidR="00AB34FB" w:rsidRPr="00734823">
        <w:t>har varit</w:t>
      </w:r>
      <w:r w:rsidR="000E0038" w:rsidRPr="00734823">
        <w:t xml:space="preserve"> föremål för </w:t>
      </w:r>
      <w:r w:rsidR="00AB34FB" w:rsidRPr="00734823">
        <w:t xml:space="preserve">mest </w:t>
      </w:r>
      <w:r w:rsidR="000E0038" w:rsidRPr="00734823">
        <w:t>diskussion</w:t>
      </w:r>
      <w:r w:rsidR="00AB34FB" w:rsidRPr="00734823">
        <w:t>, då dessa var förhållandevis outvecklade i den allmänna inriktning</w:t>
      </w:r>
      <w:r w:rsidR="00B45A56" w:rsidRPr="00734823">
        <w:t>en</w:t>
      </w:r>
      <w:r w:rsidR="00AB34FB" w:rsidRPr="00734823">
        <w:t xml:space="preserve"> som antogs i juni</w:t>
      </w:r>
      <w:r w:rsidR="00DD1444" w:rsidRPr="00734823">
        <w:t xml:space="preserve">. </w:t>
      </w:r>
    </w:p>
    <w:p w:rsidR="00485543" w:rsidRPr="00734823" w:rsidRDefault="00485543" w:rsidP="00485543">
      <w:pPr>
        <w:pStyle w:val="RKnormal"/>
      </w:pPr>
    </w:p>
    <w:p w:rsidR="00485543" w:rsidRPr="00734823" w:rsidRDefault="00485543" w:rsidP="00485543">
      <w:pPr>
        <w:pStyle w:val="RKnormal"/>
      </w:pPr>
      <w:r w:rsidRPr="00734823">
        <w:t>När det gäller tredjelandsklausulen har flera versioner med olika innehåll diskuterats. Den version som kunnat accepteras av majoriteten av medlemsstaterna innebär att transmissionsverksamhet som är kontrollerad av person eller företag i tredjeland ska certifieras av den nationella tillsynsmyndigheten. Vid certifieringen ska klarläggas att reglerna om åtskillnad</w:t>
      </w:r>
      <w:r w:rsidR="00B45A56" w:rsidRPr="00734823">
        <w:t xml:space="preserve"> är uppfyllda</w:t>
      </w:r>
      <w:r w:rsidRPr="00734823">
        <w:t xml:space="preserve">. Vidare ska </w:t>
      </w:r>
      <w:r w:rsidR="00934D0F" w:rsidRPr="00734823">
        <w:t xml:space="preserve">det </w:t>
      </w:r>
      <w:r w:rsidRPr="00734823">
        <w:t>klarläggas att försörjningstryggheten inte är hotad. Vid certifieringen ska eventuella avtal och överenskommelser med tredje land beaktas. Hur stort inflytande kommissionens bedömning ska ha för utfallet i certifieringsproceduren är i skrivande stund under förhandling.</w:t>
      </w:r>
    </w:p>
    <w:p w:rsidR="00485543" w:rsidRPr="00734823" w:rsidRDefault="00485543" w:rsidP="00485543">
      <w:pPr>
        <w:pStyle w:val="RKnormal"/>
      </w:pPr>
    </w:p>
    <w:p w:rsidR="00A23586" w:rsidRPr="00734823" w:rsidRDefault="00485543" w:rsidP="00485543">
      <w:pPr>
        <w:pStyle w:val="RKnormal"/>
      </w:pPr>
      <w:r w:rsidRPr="00734823">
        <w:t>När det gäller utformningen av principen om levelplayingfield så förs i skrivande stund en diskussion om en sådan ska inkluderas i paketet genom beaktandesats</w:t>
      </w:r>
      <w:r w:rsidR="00B45A56" w:rsidRPr="00734823">
        <w:t>er</w:t>
      </w:r>
      <w:r w:rsidRPr="00734823">
        <w:t xml:space="preserve"> eller i form av artikl</w:t>
      </w:r>
      <w:r w:rsidR="00B45A56" w:rsidRPr="00734823">
        <w:t>ar</w:t>
      </w:r>
      <w:r w:rsidRPr="00734823">
        <w:t>. För närvarande finns ett förslag från ordförandeskapet om att principen kommer till uttryck i en be</w:t>
      </w:r>
      <w:r w:rsidR="00934D0F" w:rsidRPr="00734823">
        <w:t>a</w:t>
      </w:r>
      <w:r w:rsidRPr="00734823">
        <w:t xml:space="preserve">ktandesats samt ett mer omfattande förslag </w:t>
      </w:r>
      <w:r w:rsidR="00934D0F" w:rsidRPr="00734823">
        <w:t xml:space="preserve">från några medlemsstater </w:t>
      </w:r>
      <w:r w:rsidRPr="00734823">
        <w:t xml:space="preserve">där principen föreslås utformas i </w:t>
      </w:r>
      <w:r w:rsidR="00934D0F" w:rsidRPr="00734823">
        <w:t xml:space="preserve">både </w:t>
      </w:r>
      <w:r w:rsidRPr="00734823">
        <w:t xml:space="preserve">artiklar </w:t>
      </w:r>
      <w:r w:rsidR="00934D0F" w:rsidRPr="00734823">
        <w:t xml:space="preserve">och </w:t>
      </w:r>
      <w:r w:rsidRPr="00734823">
        <w:t>beaktandesatser</w:t>
      </w:r>
      <w:r w:rsidR="00934D0F" w:rsidRPr="00734823">
        <w:t>.</w:t>
      </w:r>
      <w:r w:rsidRPr="00734823">
        <w:t xml:space="preserve"> Det råder förhoppningar om att dessa frågor får sin slutliga utformning innan TTE-rådet. </w:t>
      </w:r>
      <w:r w:rsidR="00EF4267" w:rsidRPr="00734823">
        <w:t>Vidare finns det</w:t>
      </w:r>
      <w:r w:rsidR="00A62EA2" w:rsidRPr="00734823">
        <w:t xml:space="preserve"> </w:t>
      </w:r>
      <w:r w:rsidR="00303C71" w:rsidRPr="00734823">
        <w:t xml:space="preserve">också </w:t>
      </w:r>
      <w:r w:rsidR="00CE57D6" w:rsidRPr="00734823">
        <w:t>vissa kvarstående</w:t>
      </w:r>
      <w:r w:rsidR="00C735A9" w:rsidRPr="00734823">
        <w:t xml:space="preserve"> </w:t>
      </w:r>
      <w:r w:rsidR="00AB34FB" w:rsidRPr="00734823">
        <w:t>detalj</w:t>
      </w:r>
      <w:r w:rsidR="00A62EA2" w:rsidRPr="00734823">
        <w:t xml:space="preserve">invändningar från medlemsstater </w:t>
      </w:r>
      <w:r w:rsidRPr="00734823">
        <w:t>avseende bl.a. införandet av fler undantag för små isolerade elsystem, att minska inslagen av kommittologiförfarandet, sekretess, röstningsregler inom Energibyrån</w:t>
      </w:r>
      <w:r w:rsidR="00EF4267" w:rsidRPr="00734823">
        <w:t xml:space="preserve"> m.m</w:t>
      </w:r>
      <w:r w:rsidRPr="00734823">
        <w:t xml:space="preserve">. Det är </w:t>
      </w:r>
      <w:r w:rsidR="00B35441" w:rsidRPr="00734823">
        <w:t xml:space="preserve"> i skrivande stund </w:t>
      </w:r>
      <w:r w:rsidR="00EF4267" w:rsidRPr="00734823">
        <w:t xml:space="preserve">då coreper </w:t>
      </w:r>
      <w:r w:rsidR="00B35441" w:rsidRPr="00734823">
        <w:t xml:space="preserve">inte har ägt rum, svårt att sia om någon av dessa </w:t>
      </w:r>
      <w:r w:rsidR="00EF4267" w:rsidRPr="00734823">
        <w:t xml:space="preserve">frågor </w:t>
      </w:r>
      <w:r w:rsidR="00B35441" w:rsidRPr="00734823">
        <w:t xml:space="preserve">kommer att kvarstå som utestående vid ministermötet. </w:t>
      </w:r>
      <w:r w:rsidR="00EF4267" w:rsidRPr="00734823">
        <w:t>Bortsett från tredjelan</w:t>
      </w:r>
      <w:r w:rsidR="009F4C2B" w:rsidRPr="00734823">
        <w:t>ds</w:t>
      </w:r>
      <w:r w:rsidR="00EF4267" w:rsidRPr="00734823">
        <w:t>klausulen och levelplayingfield bedöms i</w:t>
      </w:r>
      <w:r w:rsidR="00B35441" w:rsidRPr="00734823">
        <w:t xml:space="preserve">ngen av dessa </w:t>
      </w:r>
      <w:r w:rsidR="00EF4267" w:rsidRPr="00734823">
        <w:t xml:space="preserve">övriga frågor </w:t>
      </w:r>
      <w:r w:rsidR="00C735A9" w:rsidRPr="00734823">
        <w:t>ha tillräckligt stöd</w:t>
      </w:r>
      <w:r w:rsidR="00AB34FB" w:rsidRPr="00734823">
        <w:t xml:space="preserve"> i rådet för att hota att en politisk överenskommelsen ska kunna nås vid TTE-rådet den 10 oktober</w:t>
      </w:r>
      <w:r w:rsidR="00CE57D6" w:rsidRPr="00734823">
        <w:t>.</w:t>
      </w:r>
      <w:r w:rsidR="00C735A9" w:rsidRPr="00734823">
        <w:t xml:space="preserve"> </w:t>
      </w:r>
    </w:p>
    <w:p w:rsidR="00D1355C" w:rsidRPr="00734823" w:rsidRDefault="00D1355C">
      <w:pPr>
        <w:pStyle w:val="RKrubrik"/>
      </w:pPr>
      <w:r w:rsidRPr="00734823">
        <w:t>Rättslig grund och beslutsförfarande</w:t>
      </w:r>
    </w:p>
    <w:p w:rsidR="00D1355C" w:rsidRPr="00734823" w:rsidRDefault="00FA4D89">
      <w:pPr>
        <w:pStyle w:val="RKnormal"/>
      </w:pPr>
      <w:r w:rsidRPr="00734823">
        <w:t xml:space="preserve">För lagstiftningspaketet gäller artikel 95 i EG-fördraget. Frågan kräver kvalificerad majoritet. EP är medbeslutande. </w:t>
      </w:r>
    </w:p>
    <w:p w:rsidR="00D52C67" w:rsidRPr="00734823" w:rsidRDefault="00D52C67">
      <w:pPr>
        <w:pStyle w:val="RKnormal"/>
      </w:pPr>
    </w:p>
    <w:p w:rsidR="007F1533" w:rsidRPr="00734823" w:rsidRDefault="00D52C67" w:rsidP="00706FAC">
      <w:pPr>
        <w:pStyle w:val="RKrubrik"/>
      </w:pPr>
      <w:r w:rsidRPr="00734823">
        <w:t>S</w:t>
      </w:r>
      <w:r w:rsidR="00D1355C" w:rsidRPr="00734823">
        <w:t>vensk ståndpunkt</w:t>
      </w:r>
    </w:p>
    <w:p w:rsidR="003A3DE2" w:rsidRPr="00734823" w:rsidRDefault="00C34FC3" w:rsidP="00240FAE">
      <w:pPr>
        <w:pStyle w:val="RKnormal"/>
      </w:pPr>
      <w:r w:rsidRPr="00734823">
        <w:t>Regeringen</w:t>
      </w:r>
      <w:r w:rsidR="0034694B" w:rsidRPr="00734823">
        <w:t xml:space="preserve"> ställde sig redan i juni bakom den allmänna inriktning som då antogs och</w:t>
      </w:r>
      <w:r w:rsidRPr="00734823">
        <w:t xml:space="preserve"> kan</w:t>
      </w:r>
      <w:r w:rsidR="0034694B" w:rsidRPr="00734823">
        <w:t xml:space="preserve"> nu</w:t>
      </w:r>
      <w:r w:rsidRPr="00734823">
        <w:t xml:space="preserve"> ställa sig bakom det förslag till politisk överens</w:t>
      </w:r>
      <w:r w:rsidR="00417F6D" w:rsidRPr="00734823">
        <w:t>-</w:t>
      </w:r>
      <w:r w:rsidRPr="00734823">
        <w:t xml:space="preserve">kommelse som </w:t>
      </w:r>
      <w:r w:rsidR="0034694B" w:rsidRPr="00734823">
        <w:t xml:space="preserve"> formaliserar och konkretiserar den tidigare överens</w:t>
      </w:r>
      <w:r w:rsidR="00417F6D" w:rsidRPr="00734823">
        <w:t>-</w:t>
      </w:r>
      <w:r w:rsidR="0034694B" w:rsidRPr="00734823">
        <w:t>kommelsen i rådet</w:t>
      </w:r>
      <w:r w:rsidRPr="00734823">
        <w:t xml:space="preserve">. </w:t>
      </w:r>
      <w:r w:rsidR="00240FAE" w:rsidRPr="00734823">
        <w:t xml:space="preserve">Enligt regeringen är det tredje inre marknadspaketet nödvändigt för att komma närmare målet om en gemensam, välfungerande, konkurrensutsatt gemensam el och gasmarknad. </w:t>
      </w:r>
    </w:p>
    <w:p w:rsidR="00C34FC3" w:rsidRPr="00734823" w:rsidRDefault="00C34FC3" w:rsidP="00E519B7">
      <w:pPr>
        <w:pStyle w:val="RKnormal"/>
      </w:pPr>
    </w:p>
    <w:p w:rsidR="00C90F73" w:rsidRPr="00734823" w:rsidRDefault="006979B7" w:rsidP="00E519B7">
      <w:pPr>
        <w:pStyle w:val="RKnormal"/>
      </w:pPr>
      <w:r w:rsidRPr="00734823">
        <w:t xml:space="preserve">Den </w:t>
      </w:r>
      <w:r w:rsidR="00C90F73" w:rsidRPr="00734823">
        <w:t xml:space="preserve">allmänna inriktningen från energirådsmötet i juni </w:t>
      </w:r>
      <w:r w:rsidRPr="00734823">
        <w:t>slog fast att</w:t>
      </w:r>
      <w:r w:rsidR="00C90F73" w:rsidRPr="00734823">
        <w:t xml:space="preserve"> det inre marknadspaketet </w:t>
      </w:r>
      <w:r w:rsidR="007C304F" w:rsidRPr="00734823">
        <w:t>ska</w:t>
      </w:r>
      <w:r w:rsidR="00C90F73" w:rsidRPr="00734823">
        <w:t xml:space="preserve"> </w:t>
      </w:r>
      <w:r w:rsidRPr="00734823">
        <w:t xml:space="preserve">innehålla </w:t>
      </w:r>
      <w:r w:rsidR="00C90F73" w:rsidRPr="00734823">
        <w:t xml:space="preserve">en sk. tredjelandsklausul samt en bestämmelse om jämlik spelplan (level playing field). Om dessa frågor  </w:t>
      </w:r>
      <w:r w:rsidRPr="00734823">
        <w:t xml:space="preserve"> inte nått en slutlig utformning före</w:t>
      </w:r>
      <w:r w:rsidR="0034694B" w:rsidRPr="00734823">
        <w:t xml:space="preserve"> rådsmötet</w:t>
      </w:r>
      <w:r w:rsidR="00E519B7" w:rsidRPr="00734823">
        <w:t xml:space="preserve"> </w:t>
      </w:r>
      <w:r w:rsidRPr="00734823">
        <w:t xml:space="preserve">avser regeringen </w:t>
      </w:r>
      <w:r w:rsidR="00E519B7" w:rsidRPr="00734823">
        <w:t xml:space="preserve">verka för att bestämmelserna får en utformning som </w:t>
      </w:r>
      <w:r w:rsidR="00C34FC3" w:rsidRPr="00734823">
        <w:t xml:space="preserve">inte </w:t>
      </w:r>
      <w:r w:rsidR="00E519B7" w:rsidRPr="00734823">
        <w:t>urvattnar den politiska överenskommelse</w:t>
      </w:r>
      <w:r w:rsidR="00C34FC3" w:rsidRPr="00734823">
        <w:t>n</w:t>
      </w:r>
      <w:r w:rsidR="00E519B7" w:rsidRPr="00734823">
        <w:t xml:space="preserve"> i övriga delar.</w:t>
      </w:r>
    </w:p>
    <w:p w:rsidR="00D1355C" w:rsidRPr="00734823" w:rsidRDefault="00D1355C">
      <w:pPr>
        <w:pStyle w:val="RKrubrik"/>
      </w:pPr>
      <w:r w:rsidRPr="00734823">
        <w:t>Europaparlamentets inställning</w:t>
      </w:r>
      <w:r w:rsidR="00C34FC3" w:rsidRPr="00734823">
        <w:t xml:space="preserve"> </w:t>
      </w:r>
    </w:p>
    <w:p w:rsidR="00B32EC3" w:rsidRPr="00734823" w:rsidRDefault="00B32EC3" w:rsidP="00B32EC3">
      <w:pPr>
        <w:pStyle w:val="RKnormal"/>
        <w:rPr>
          <w:szCs w:val="24"/>
        </w:rPr>
      </w:pPr>
      <w:r w:rsidRPr="00734823">
        <w:rPr>
          <w:szCs w:val="24"/>
        </w:rPr>
        <w:t>Europa parlamentets röstade i plenum den 18 juni 2008 om elmarknads</w:t>
      </w:r>
      <w:r w:rsidR="00417F6D" w:rsidRPr="00734823">
        <w:rPr>
          <w:szCs w:val="24"/>
        </w:rPr>
        <w:t>-</w:t>
      </w:r>
      <w:r w:rsidRPr="00734823">
        <w:rPr>
          <w:szCs w:val="24"/>
        </w:rPr>
        <w:t>direktivet (2007/0195(COD)), Energibyråförordningen (2007/0197(COD))och Elförordningen (2007/0198(COD)) samt den 9 juli 2008 om gasmarknadsdirektivet (</w:t>
      </w:r>
      <w:hyperlink r:id="rId7" w:history="1">
        <w:r w:rsidRPr="00734823">
          <w:rPr>
            <w:rStyle w:val="Hyperlnk"/>
            <w:rFonts w:cs="Arial"/>
            <w:bCs/>
            <w:color w:val="auto"/>
            <w:szCs w:val="24"/>
            <w:u w:val="none"/>
          </w:rPr>
          <w:t>2007/0196(COD)</w:t>
        </w:r>
      </w:hyperlink>
      <w:r w:rsidRPr="00734823">
        <w:rPr>
          <w:rFonts w:cs="Arial"/>
          <w:szCs w:val="24"/>
        </w:rPr>
        <w:t>)</w:t>
      </w:r>
      <w:r w:rsidRPr="00734823">
        <w:rPr>
          <w:szCs w:val="24"/>
        </w:rPr>
        <w:t xml:space="preserve"> och gasförsörj</w:t>
      </w:r>
      <w:r w:rsidR="00417F6D" w:rsidRPr="00734823">
        <w:rPr>
          <w:szCs w:val="24"/>
        </w:rPr>
        <w:t>-</w:t>
      </w:r>
      <w:r w:rsidRPr="00734823">
        <w:rPr>
          <w:szCs w:val="24"/>
        </w:rPr>
        <w:t xml:space="preserve">ningsdirektivet (2007/0199(COD)). </w:t>
      </w:r>
      <w:r w:rsidR="00A860BA" w:rsidRPr="00734823">
        <w:rPr>
          <w:szCs w:val="24"/>
        </w:rPr>
        <w:t xml:space="preserve">Sammanfattningsvis kan konstateras att </w:t>
      </w:r>
      <w:r w:rsidRPr="00734823">
        <w:rPr>
          <w:szCs w:val="24"/>
        </w:rPr>
        <w:t xml:space="preserve">Europaparlamentet </w:t>
      </w:r>
      <w:r w:rsidR="00A860BA" w:rsidRPr="00734823">
        <w:rPr>
          <w:szCs w:val="24"/>
        </w:rPr>
        <w:t xml:space="preserve">inte helt delar </w:t>
      </w:r>
      <w:r w:rsidRPr="00734823">
        <w:rPr>
          <w:szCs w:val="24"/>
        </w:rPr>
        <w:t xml:space="preserve">Rådet </w:t>
      </w:r>
      <w:r w:rsidR="00A860BA" w:rsidRPr="00734823">
        <w:rPr>
          <w:szCs w:val="24"/>
        </w:rPr>
        <w:t xml:space="preserve">syn på hur det tredje inre marknadspaketet ska utformas. De viktigaste skillnaderna är bl.a. att </w:t>
      </w:r>
      <w:r w:rsidRPr="00734823">
        <w:rPr>
          <w:szCs w:val="24"/>
        </w:rPr>
        <w:t xml:space="preserve">Europaparlamentet inte </w:t>
      </w:r>
      <w:r w:rsidR="00791E4E" w:rsidRPr="00734823">
        <w:rPr>
          <w:szCs w:val="24"/>
        </w:rPr>
        <w:t>medge</w:t>
      </w:r>
      <w:r w:rsidR="00A860BA" w:rsidRPr="00734823">
        <w:rPr>
          <w:szCs w:val="24"/>
        </w:rPr>
        <w:t>r</w:t>
      </w:r>
      <w:r w:rsidR="00791E4E" w:rsidRPr="00734823">
        <w:rPr>
          <w:szCs w:val="24"/>
        </w:rPr>
        <w:t xml:space="preserve"> </w:t>
      </w:r>
      <w:r w:rsidR="00A860BA" w:rsidRPr="00734823">
        <w:rPr>
          <w:szCs w:val="24"/>
        </w:rPr>
        <w:t xml:space="preserve">att </w:t>
      </w:r>
      <w:r w:rsidR="00791E4E" w:rsidRPr="00734823">
        <w:rPr>
          <w:szCs w:val="24"/>
        </w:rPr>
        <w:t>något</w:t>
      </w:r>
      <w:r w:rsidRPr="00734823">
        <w:rPr>
          <w:szCs w:val="24"/>
        </w:rPr>
        <w:t xml:space="preserve"> tredje åtskillnads</w:t>
      </w:r>
      <w:r w:rsidR="00417F6D" w:rsidRPr="00734823">
        <w:rPr>
          <w:szCs w:val="24"/>
        </w:rPr>
        <w:t>-</w:t>
      </w:r>
      <w:r w:rsidRPr="00734823">
        <w:rPr>
          <w:szCs w:val="24"/>
        </w:rPr>
        <w:t>alternativ avseende elmarknaden</w:t>
      </w:r>
      <w:r w:rsidR="00A860BA" w:rsidRPr="00734823">
        <w:rPr>
          <w:szCs w:val="24"/>
        </w:rPr>
        <w:t xml:space="preserve"> får existera</w:t>
      </w:r>
      <w:r w:rsidRPr="00734823">
        <w:rPr>
          <w:szCs w:val="24"/>
        </w:rPr>
        <w:t xml:space="preserve">, </w:t>
      </w:r>
      <w:r w:rsidR="00A860BA" w:rsidRPr="00734823">
        <w:rPr>
          <w:szCs w:val="24"/>
        </w:rPr>
        <w:t xml:space="preserve">att </w:t>
      </w:r>
      <w:r w:rsidRPr="00734823">
        <w:rPr>
          <w:szCs w:val="24"/>
        </w:rPr>
        <w:t xml:space="preserve">Energibyrån </w:t>
      </w:r>
      <w:r w:rsidR="00A860BA" w:rsidRPr="00734823">
        <w:rPr>
          <w:szCs w:val="24"/>
        </w:rPr>
        <w:t xml:space="preserve">ska ha </w:t>
      </w:r>
      <w:r w:rsidRPr="00734823">
        <w:rPr>
          <w:szCs w:val="24"/>
        </w:rPr>
        <w:t xml:space="preserve">en </w:t>
      </w:r>
      <w:r w:rsidR="009F4C2B" w:rsidRPr="00734823">
        <w:rPr>
          <w:szCs w:val="24"/>
        </w:rPr>
        <w:t xml:space="preserve">starkare </w:t>
      </w:r>
      <w:r w:rsidRPr="00734823">
        <w:rPr>
          <w:szCs w:val="24"/>
        </w:rPr>
        <w:t>roll</w:t>
      </w:r>
      <w:r w:rsidR="009F4C2B" w:rsidRPr="00734823">
        <w:rPr>
          <w:szCs w:val="24"/>
        </w:rPr>
        <w:t>,</w:t>
      </w:r>
      <w:r w:rsidRPr="00734823">
        <w:rPr>
          <w:szCs w:val="24"/>
        </w:rPr>
        <w:t xml:space="preserve"> samt att man vill </w:t>
      </w:r>
      <w:r w:rsidR="00A860BA" w:rsidRPr="00734823">
        <w:rPr>
          <w:szCs w:val="24"/>
        </w:rPr>
        <w:t xml:space="preserve">stärka </w:t>
      </w:r>
      <w:r w:rsidRPr="00734823">
        <w:rPr>
          <w:szCs w:val="24"/>
        </w:rPr>
        <w:t>konsument</w:t>
      </w:r>
      <w:r w:rsidR="00A860BA" w:rsidRPr="00734823">
        <w:rPr>
          <w:szCs w:val="24"/>
        </w:rPr>
        <w:t xml:space="preserve">ers </w:t>
      </w:r>
      <w:r w:rsidRPr="00734823">
        <w:rPr>
          <w:szCs w:val="24"/>
        </w:rPr>
        <w:t xml:space="preserve">rättigheter. </w:t>
      </w:r>
    </w:p>
    <w:p w:rsidR="00D1355C" w:rsidRPr="00734823" w:rsidRDefault="0017174A">
      <w:pPr>
        <w:pStyle w:val="RKrubrik"/>
      </w:pPr>
      <w:r w:rsidRPr="00734823">
        <w:t>Förslagen</w:t>
      </w:r>
    </w:p>
    <w:p w:rsidR="0017174A" w:rsidRPr="00734823" w:rsidRDefault="00505FB8" w:rsidP="00E65106">
      <w:pPr>
        <w:spacing w:line="240" w:lineRule="atLeast"/>
      </w:pPr>
      <w:r w:rsidRPr="00734823">
        <w:t xml:space="preserve">Syftet med </w:t>
      </w:r>
      <w:r w:rsidR="00EF4267" w:rsidRPr="00734823">
        <w:t>de förslag som utgör innehållet i den</w:t>
      </w:r>
      <w:r w:rsidR="00AB34FB" w:rsidRPr="00734823">
        <w:t xml:space="preserve"> </w:t>
      </w:r>
      <w:r w:rsidR="0034694B" w:rsidRPr="00734823">
        <w:t>politisk</w:t>
      </w:r>
      <w:r w:rsidR="00EF4267" w:rsidRPr="00734823">
        <w:t>a</w:t>
      </w:r>
      <w:r w:rsidR="0034694B" w:rsidRPr="00734823">
        <w:t xml:space="preserve"> överens</w:t>
      </w:r>
      <w:r w:rsidR="00417F6D" w:rsidRPr="00734823">
        <w:t>-</w:t>
      </w:r>
      <w:r w:rsidR="0034694B" w:rsidRPr="00734823">
        <w:t>kommelse</w:t>
      </w:r>
      <w:r w:rsidR="00EF4267" w:rsidRPr="00734823">
        <w:t xml:space="preserve">n </w:t>
      </w:r>
      <w:r w:rsidRPr="00734823">
        <w:t xml:space="preserve"> är att skapa en konkurrensutsatt inre marknad för el och gas. </w:t>
      </w:r>
      <w:r w:rsidR="00CE57D6" w:rsidRPr="00734823">
        <w:t>F</w:t>
      </w:r>
      <w:r w:rsidRPr="00734823">
        <w:t>örslage</w:t>
      </w:r>
      <w:r w:rsidR="00CE57D6" w:rsidRPr="00734823">
        <w:t>n</w:t>
      </w:r>
      <w:r w:rsidRPr="00734823">
        <w:t xml:space="preserve"> medför ytterligare harmonisering </w:t>
      </w:r>
      <w:r w:rsidR="00CE57D6" w:rsidRPr="00734823">
        <w:t xml:space="preserve">av </w:t>
      </w:r>
      <w:r w:rsidR="00934D0F" w:rsidRPr="00734823">
        <w:t xml:space="preserve">medlemsstaternas </w:t>
      </w:r>
      <w:r w:rsidR="00EF4267" w:rsidRPr="00734823">
        <w:t xml:space="preserve">regelverk </w:t>
      </w:r>
      <w:r w:rsidR="00934D0F" w:rsidRPr="00734823">
        <w:t xml:space="preserve">och </w:t>
      </w:r>
      <w:r w:rsidR="00CE57D6" w:rsidRPr="00734823">
        <w:t>den inre marknaden</w:t>
      </w:r>
      <w:r w:rsidR="00EF4267" w:rsidRPr="00734823">
        <w:t>s funktion</w:t>
      </w:r>
      <w:r w:rsidRPr="00734823">
        <w:t xml:space="preserve">. </w:t>
      </w:r>
    </w:p>
    <w:p w:rsidR="0017174A" w:rsidRPr="00734823" w:rsidRDefault="0017174A" w:rsidP="00E65106">
      <w:pPr>
        <w:spacing w:line="240" w:lineRule="atLeast"/>
      </w:pPr>
    </w:p>
    <w:p w:rsidR="00505FB8" w:rsidRPr="00734823" w:rsidRDefault="00505FB8" w:rsidP="00E65106">
      <w:pPr>
        <w:spacing w:line="240" w:lineRule="atLeast"/>
      </w:pPr>
      <w:r w:rsidRPr="00734823">
        <w:t>I huvudsak innebär paketet att nuvarande el och gasförordning samt el</w:t>
      </w:r>
      <w:r w:rsidR="00CE57D6" w:rsidRPr="00734823">
        <w:t>-</w:t>
      </w:r>
      <w:r w:rsidRPr="00734823">
        <w:t xml:space="preserve"> och gasmarknadsdirektiv kompletteras med minimikrav för </w:t>
      </w:r>
      <w:r w:rsidR="00CE57D6" w:rsidRPr="00734823">
        <w:t>marknadens utformning och funktion</w:t>
      </w:r>
      <w:r w:rsidRPr="00734823">
        <w:t xml:space="preserve"> samt att ett antal procedurregler införs som klargör</w:t>
      </w:r>
      <w:r w:rsidR="00EF4267" w:rsidRPr="00734823">
        <w:t xml:space="preserve"> maktbalansen,</w:t>
      </w:r>
      <w:r w:rsidRPr="00734823">
        <w:t xml:space="preserve"> rolle</w:t>
      </w:r>
      <w:r w:rsidR="0017174A" w:rsidRPr="00734823">
        <w:t>r</w:t>
      </w:r>
      <w:r w:rsidRPr="00734823">
        <w:t>n</w:t>
      </w:r>
      <w:r w:rsidR="0017174A" w:rsidRPr="00734823">
        <w:t>a och uppgifterna</w:t>
      </w:r>
      <w:r w:rsidRPr="00734823">
        <w:t xml:space="preserve"> mellan de nationella tillsynsmyndigheterna, medlemsstaterna, kommissionen, Energibyrån samt transmissionssystemoperatörerna.</w:t>
      </w:r>
      <w:r w:rsidR="0017174A" w:rsidRPr="00734823">
        <w:t xml:space="preserve"> Förordningen om Energibyrån är ny</w:t>
      </w:r>
      <w:r w:rsidR="00EF4267" w:rsidRPr="00734823">
        <w:t xml:space="preserve"> och har till syfte att ange </w:t>
      </w:r>
      <w:r w:rsidR="0017174A" w:rsidRPr="00734823">
        <w:t xml:space="preserve">hur energibyråns inre verksamhet ska utformas samt vilka </w:t>
      </w:r>
      <w:r w:rsidR="00EF4267" w:rsidRPr="00734823">
        <w:t xml:space="preserve">uppgifter och </w:t>
      </w:r>
      <w:r w:rsidR="0017174A" w:rsidRPr="00734823">
        <w:t xml:space="preserve">befogenheter byrån ska ha på el och gasmarknaderna. </w:t>
      </w:r>
    </w:p>
    <w:p w:rsidR="00A860BA" w:rsidRPr="00734823" w:rsidRDefault="00505FB8" w:rsidP="00E65106">
      <w:pPr>
        <w:spacing w:line="240" w:lineRule="atLeast"/>
      </w:pPr>
      <w:r w:rsidRPr="00734823">
        <w:t xml:space="preserve"> </w:t>
      </w:r>
    </w:p>
    <w:p w:rsidR="0017174A" w:rsidRPr="00734823" w:rsidRDefault="0017174A" w:rsidP="00D64575">
      <w:pPr>
        <w:spacing w:line="240" w:lineRule="atLeast"/>
      </w:pPr>
      <w:r w:rsidRPr="00734823">
        <w:t xml:space="preserve">När det gäller sakinnehållet i det tredje paketet kan bl.a. följande nämnas. </w:t>
      </w:r>
    </w:p>
    <w:p w:rsidR="0017174A" w:rsidRPr="00734823" w:rsidRDefault="0017174A" w:rsidP="00D64575">
      <w:pPr>
        <w:spacing w:line="240" w:lineRule="atLeast"/>
      </w:pPr>
    </w:p>
    <w:p w:rsidR="00D64575" w:rsidRPr="00734823" w:rsidRDefault="00EF4267" w:rsidP="00D64575">
      <w:pPr>
        <w:spacing w:line="240" w:lineRule="atLeast"/>
      </w:pPr>
      <w:r w:rsidRPr="00734823">
        <w:t>D</w:t>
      </w:r>
      <w:r w:rsidR="00505FB8" w:rsidRPr="00734823">
        <w:t xml:space="preserve">en omtvistade </w:t>
      </w:r>
      <w:r w:rsidR="00A860BA" w:rsidRPr="00734823">
        <w:t xml:space="preserve">åtskillnadsfrågan </w:t>
      </w:r>
      <w:r w:rsidR="00CE57D6" w:rsidRPr="00734823">
        <w:t xml:space="preserve">i det liggande förslaget </w:t>
      </w:r>
      <w:r w:rsidRPr="00734823">
        <w:t xml:space="preserve">innefattar </w:t>
      </w:r>
      <w:r w:rsidR="00A860BA" w:rsidRPr="00734823">
        <w:t>tre huvudalternativ för effektiv åtskillnad</w:t>
      </w:r>
      <w:r w:rsidRPr="00734823">
        <w:t xml:space="preserve">. Dessa alternativ </w:t>
      </w:r>
      <w:r w:rsidR="00505FB8" w:rsidRPr="00734823">
        <w:t>ska existera parallellt</w:t>
      </w:r>
      <w:r w:rsidRPr="00734823">
        <w:t xml:space="preserve"> och anses likvärdiga</w:t>
      </w:r>
      <w:r w:rsidR="00D64575" w:rsidRPr="00734823">
        <w:t xml:space="preserve">. </w:t>
      </w:r>
      <w:r w:rsidRPr="00734823">
        <w:t>Varje åtskillnad</w:t>
      </w:r>
      <w:r w:rsidR="00934D0F" w:rsidRPr="00734823">
        <w:t>s</w:t>
      </w:r>
      <w:r w:rsidRPr="00734823">
        <w:t xml:space="preserve">alternativ har dock sin specifika regleringsregim för att säkerhetsställa att en effektiv åtskillnad upprätthålls. </w:t>
      </w:r>
      <w:r w:rsidR="00505FB8" w:rsidRPr="00734823">
        <w:t xml:space="preserve">Efter att regelverket tillämpats en tid ska kommissionen se över om </w:t>
      </w:r>
      <w:r w:rsidR="00CE57D6" w:rsidRPr="00734823">
        <w:t>transmissionsverksamhet som bedrivs inom vertikalt integrerade företag</w:t>
      </w:r>
      <w:r w:rsidR="00505FB8" w:rsidRPr="00734823">
        <w:t xml:space="preserve"> uppfyller </w:t>
      </w:r>
      <w:r w:rsidR="00D64575" w:rsidRPr="00734823">
        <w:t xml:space="preserve">kravet på effektiv åtskillnad. </w:t>
      </w:r>
      <w:r w:rsidRPr="00734823">
        <w:t>Vidare ska s</w:t>
      </w:r>
      <w:r w:rsidR="00D64575" w:rsidRPr="00734823">
        <w:t xml:space="preserve">taten </w:t>
      </w:r>
      <w:r w:rsidR="00B65267" w:rsidRPr="00734823">
        <w:t>ges förutsättning</w:t>
      </w:r>
      <w:r w:rsidRPr="00734823">
        <w:t>en</w:t>
      </w:r>
      <w:r w:rsidR="00B65267" w:rsidRPr="00734823">
        <w:t xml:space="preserve"> </w:t>
      </w:r>
      <w:r w:rsidR="00D64575" w:rsidRPr="00734823">
        <w:t>att äga både produktion och trans</w:t>
      </w:r>
      <w:r w:rsidR="00417F6D" w:rsidRPr="00734823">
        <w:t>-</w:t>
      </w:r>
      <w:r w:rsidR="00D64575" w:rsidRPr="00734823">
        <w:t>missions</w:t>
      </w:r>
      <w:r w:rsidR="00505FB8" w:rsidRPr="00734823">
        <w:t xml:space="preserve">verksamhet samtidigt som </w:t>
      </w:r>
      <w:r w:rsidR="00D64575" w:rsidRPr="00734823">
        <w:t>transmissions</w:t>
      </w:r>
      <w:r w:rsidR="00505FB8" w:rsidRPr="00734823">
        <w:t xml:space="preserve">verksamheten </w:t>
      </w:r>
      <w:r w:rsidR="00D64575" w:rsidRPr="00734823">
        <w:t>betraktas som ägarskapsmässigt åtskild.</w:t>
      </w:r>
      <w:r w:rsidRPr="00734823">
        <w:t xml:space="preserve"> </w:t>
      </w:r>
    </w:p>
    <w:p w:rsidR="00D64575" w:rsidRPr="00734823" w:rsidRDefault="00D64575" w:rsidP="00D64575">
      <w:pPr>
        <w:spacing w:line="240" w:lineRule="atLeast"/>
      </w:pPr>
    </w:p>
    <w:p w:rsidR="005D5190" w:rsidRPr="00734823" w:rsidRDefault="00EF4267" w:rsidP="00D64575">
      <w:pPr>
        <w:spacing w:line="240" w:lineRule="atLeast"/>
      </w:pPr>
      <w:r w:rsidRPr="00734823">
        <w:t>V</w:t>
      </w:r>
      <w:r w:rsidR="00505FB8" w:rsidRPr="00734823">
        <w:t xml:space="preserve">issa </w:t>
      </w:r>
      <w:r w:rsidRPr="00734823">
        <w:t xml:space="preserve">länder har </w:t>
      </w:r>
      <w:r w:rsidR="005D5190" w:rsidRPr="00734823">
        <w:t>undantag</w:t>
      </w:r>
      <w:r w:rsidRPr="00734823">
        <w:t>its</w:t>
      </w:r>
      <w:r w:rsidR="005D5190" w:rsidRPr="00734823">
        <w:t xml:space="preserve"> </w:t>
      </w:r>
      <w:r w:rsidR="00584C3D" w:rsidRPr="00734823">
        <w:t xml:space="preserve">från kravet på åtskillnad </w:t>
      </w:r>
      <w:r w:rsidRPr="00734823">
        <w:t>på den grunden att</w:t>
      </w:r>
      <w:r w:rsidR="00B65267" w:rsidRPr="00734823">
        <w:t xml:space="preserve"> </w:t>
      </w:r>
      <w:r w:rsidR="00505FB8" w:rsidRPr="00734823">
        <w:t xml:space="preserve">länderna betraktas som </w:t>
      </w:r>
      <w:r w:rsidR="005D5190" w:rsidRPr="00734823">
        <w:t xml:space="preserve">små och isolerade </w:t>
      </w:r>
      <w:r w:rsidR="00505FB8" w:rsidRPr="00734823">
        <w:t>marknader</w:t>
      </w:r>
      <w:r w:rsidR="005D5190" w:rsidRPr="00734823">
        <w:t xml:space="preserve">. </w:t>
      </w:r>
    </w:p>
    <w:p w:rsidR="00D64575" w:rsidRPr="00734823" w:rsidRDefault="00D64575" w:rsidP="00D64575">
      <w:pPr>
        <w:spacing w:line="240" w:lineRule="atLeast"/>
      </w:pPr>
    </w:p>
    <w:p w:rsidR="00584C3D" w:rsidRPr="00734823" w:rsidRDefault="00934D0F" w:rsidP="00584C3D">
      <w:pPr>
        <w:pStyle w:val="RKnormal"/>
        <w:spacing w:line="320" w:lineRule="atLeast"/>
      </w:pPr>
      <w:r w:rsidRPr="00734823">
        <w:t>Samtliga</w:t>
      </w:r>
      <w:r w:rsidR="00584C3D" w:rsidRPr="00734823">
        <w:t xml:space="preserve"> </w:t>
      </w:r>
      <w:r w:rsidR="0017174A" w:rsidRPr="00734823">
        <w:t>transmissionsverksa</w:t>
      </w:r>
      <w:r w:rsidR="00B65267" w:rsidRPr="00734823">
        <w:t>m</w:t>
      </w:r>
      <w:r w:rsidR="0017174A" w:rsidRPr="00734823">
        <w:t>het</w:t>
      </w:r>
      <w:r w:rsidRPr="00734823">
        <w:t>er</w:t>
      </w:r>
      <w:r w:rsidR="00584C3D" w:rsidRPr="00734823">
        <w:t xml:space="preserve"> ska genomgå</w:t>
      </w:r>
      <w:r w:rsidR="0017174A" w:rsidRPr="00734823">
        <w:t xml:space="preserve"> en </w:t>
      </w:r>
      <w:r w:rsidR="00584C3D" w:rsidRPr="00734823">
        <w:t>certifiering</w:t>
      </w:r>
      <w:r w:rsidR="00B65267" w:rsidRPr="00734823">
        <w:t>s</w:t>
      </w:r>
      <w:r w:rsidR="0017174A" w:rsidRPr="00734823">
        <w:t>procedur</w:t>
      </w:r>
      <w:r w:rsidR="00106121" w:rsidRPr="00734823">
        <w:t xml:space="preserve">. Liggande förslag innehåller också </w:t>
      </w:r>
      <w:r w:rsidR="00584C3D" w:rsidRPr="00734823">
        <w:t xml:space="preserve">procedurreglerna för en sådan certifiering. </w:t>
      </w:r>
    </w:p>
    <w:p w:rsidR="00584C3D" w:rsidRPr="00734823" w:rsidRDefault="00584C3D" w:rsidP="00D64575">
      <w:pPr>
        <w:spacing w:line="240" w:lineRule="atLeast"/>
      </w:pPr>
    </w:p>
    <w:p w:rsidR="00D64575" w:rsidRPr="00734823" w:rsidRDefault="00106121" w:rsidP="00584C3D">
      <w:pPr>
        <w:pStyle w:val="RKnormal"/>
        <w:spacing w:line="320" w:lineRule="atLeast"/>
      </w:pPr>
      <w:r w:rsidRPr="00734823">
        <w:t>E</w:t>
      </w:r>
      <w:r w:rsidR="00584C3D" w:rsidRPr="00734823">
        <w:t>n europeisk organisation bestående av</w:t>
      </w:r>
      <w:r w:rsidR="00D64575" w:rsidRPr="00734823">
        <w:t xml:space="preserve"> transmissionsföretagen</w:t>
      </w:r>
      <w:r w:rsidR="00584C3D" w:rsidRPr="00734823">
        <w:t xml:space="preserve">. ENTSO </w:t>
      </w:r>
      <w:r w:rsidRPr="00734823">
        <w:t xml:space="preserve">ska inrättas och </w:t>
      </w:r>
      <w:r w:rsidR="00584C3D" w:rsidRPr="00734823">
        <w:t xml:space="preserve">ha till uppgift att inom givna ramar föreslå tekniska föreskrifter </w:t>
      </w:r>
      <w:r w:rsidR="0017174A" w:rsidRPr="00734823">
        <w:t>för el och gasmarknaderna</w:t>
      </w:r>
      <w:r w:rsidR="00584C3D" w:rsidRPr="00734823">
        <w:t xml:space="preserve">. </w:t>
      </w:r>
      <w:r w:rsidR="00B65267" w:rsidRPr="00734823">
        <w:t xml:space="preserve">Det </w:t>
      </w:r>
      <w:r w:rsidR="007F14D3" w:rsidRPr="00734823">
        <w:t xml:space="preserve">anges </w:t>
      </w:r>
      <w:r w:rsidR="00B65267" w:rsidRPr="00734823">
        <w:t xml:space="preserve">också en procedur som ska iakttas vid utformningen av sådana tekniska regler samt ett alternativt förfarande </w:t>
      </w:r>
      <w:r w:rsidR="007F14D3" w:rsidRPr="00734823">
        <w:t xml:space="preserve">för att anta tekniska föreskrifter </w:t>
      </w:r>
      <w:r w:rsidR="00B65267" w:rsidRPr="00734823">
        <w:t>om ENTSO inte kan enas om de</w:t>
      </w:r>
      <w:r w:rsidR="00934D0F" w:rsidRPr="00734823">
        <w:t>ss utformning</w:t>
      </w:r>
      <w:r w:rsidR="00B65267" w:rsidRPr="00734823">
        <w:t>.</w:t>
      </w:r>
    </w:p>
    <w:p w:rsidR="00E80161" w:rsidRPr="00734823" w:rsidRDefault="00E80161" w:rsidP="00E80161">
      <w:pPr>
        <w:pStyle w:val="RKnormal"/>
        <w:spacing w:line="320" w:lineRule="atLeast"/>
      </w:pPr>
    </w:p>
    <w:p w:rsidR="00B65267" w:rsidRPr="00734823" w:rsidRDefault="007F14D3" w:rsidP="00584C3D">
      <w:pPr>
        <w:pStyle w:val="RKnormal"/>
      </w:pPr>
      <w:r w:rsidRPr="00734823">
        <w:t>E</w:t>
      </w:r>
      <w:r w:rsidR="006A14C8" w:rsidRPr="00734823">
        <w:t>n europeisk</w:t>
      </w:r>
      <w:r w:rsidR="006A14C8" w:rsidRPr="00734823">
        <w:rPr>
          <w:b/>
        </w:rPr>
        <w:t xml:space="preserve"> </w:t>
      </w:r>
      <w:r w:rsidR="006A14C8" w:rsidRPr="00734823">
        <w:t xml:space="preserve">energibyrå inrättas. Den ska </w:t>
      </w:r>
      <w:r w:rsidR="00B65267" w:rsidRPr="00734823">
        <w:t xml:space="preserve">bl.a. ha till uppgift att </w:t>
      </w:r>
      <w:r w:rsidR="006A14C8" w:rsidRPr="00734823">
        <w:t xml:space="preserve">fatta bindande beslut i frågor som rör </w:t>
      </w:r>
      <w:r w:rsidR="007A5766" w:rsidRPr="00734823">
        <w:t>gränsöverskridande el och gasför</w:t>
      </w:r>
      <w:r w:rsidR="00417F6D" w:rsidRPr="00734823">
        <w:t>-</w:t>
      </w:r>
      <w:r w:rsidR="007A5766" w:rsidRPr="00734823">
        <w:t>bindelser</w:t>
      </w:r>
      <w:r w:rsidR="006A14C8" w:rsidRPr="00734823">
        <w:t xml:space="preserve">. </w:t>
      </w:r>
      <w:r w:rsidRPr="00734823">
        <w:t>E</w:t>
      </w:r>
      <w:r w:rsidR="00286753" w:rsidRPr="00734823">
        <w:t xml:space="preserve">n tvåstegsansats </w:t>
      </w:r>
      <w:r w:rsidRPr="00734823">
        <w:t xml:space="preserve">ska tillämpas </w:t>
      </w:r>
      <w:r w:rsidR="00286753" w:rsidRPr="00734823">
        <w:t xml:space="preserve">där ett gränsöverskridande ärende först prövas nationellt och </w:t>
      </w:r>
      <w:r w:rsidR="007A5766" w:rsidRPr="00734823">
        <w:t xml:space="preserve">endast av energibyrån </w:t>
      </w:r>
      <w:r w:rsidR="00B65267" w:rsidRPr="00734823">
        <w:t xml:space="preserve">om </w:t>
      </w:r>
      <w:r w:rsidR="007A5766" w:rsidRPr="00734823">
        <w:t xml:space="preserve">inte överenskommelse </w:t>
      </w:r>
      <w:r w:rsidRPr="00734823">
        <w:t xml:space="preserve">har </w:t>
      </w:r>
      <w:r w:rsidR="007A5766" w:rsidRPr="00734823">
        <w:t>träffa</w:t>
      </w:r>
      <w:r w:rsidRPr="00734823">
        <w:t>t</w:t>
      </w:r>
      <w:r w:rsidR="007A5766" w:rsidRPr="00734823">
        <w:t>s</w:t>
      </w:r>
      <w:r w:rsidRPr="00734823">
        <w:t xml:space="preserve"> mellan tillsynsmyndigheterna</w:t>
      </w:r>
      <w:r w:rsidR="00934D0F" w:rsidRPr="00734823">
        <w:t xml:space="preserve"> i den berörda länderna</w:t>
      </w:r>
      <w:r w:rsidR="00286753" w:rsidRPr="00734823">
        <w:t xml:space="preserve">. </w:t>
      </w:r>
      <w:r w:rsidRPr="00734823">
        <w:t>B</w:t>
      </w:r>
      <w:r w:rsidR="007A5766" w:rsidRPr="00734823">
        <w:t xml:space="preserve">yrån </w:t>
      </w:r>
      <w:r w:rsidRPr="00734823">
        <w:t xml:space="preserve">ska </w:t>
      </w:r>
      <w:r w:rsidR="00934D0F" w:rsidRPr="00734823">
        <w:t xml:space="preserve">vidare </w:t>
      </w:r>
      <w:r w:rsidR="007A5766" w:rsidRPr="00734823">
        <w:t>bl.a. delta i utformningen av tekniska föreskrifter och avge yttrande</w:t>
      </w:r>
      <w:r w:rsidR="00934D0F" w:rsidRPr="00734823">
        <w:t>n</w:t>
      </w:r>
      <w:r w:rsidR="007A5766" w:rsidRPr="00734823">
        <w:t xml:space="preserve"> kring hur de gemensamma regelverken för el och gas ska tolkas.</w:t>
      </w:r>
    </w:p>
    <w:p w:rsidR="00B65267" w:rsidRPr="00734823" w:rsidRDefault="00B65267" w:rsidP="00584C3D">
      <w:pPr>
        <w:pStyle w:val="RKnormal"/>
      </w:pPr>
    </w:p>
    <w:p w:rsidR="00444552" w:rsidRPr="00734823" w:rsidRDefault="007F14D3" w:rsidP="00584C3D">
      <w:pPr>
        <w:pStyle w:val="RKnormal"/>
      </w:pPr>
      <w:r w:rsidRPr="00734823">
        <w:t>N</w:t>
      </w:r>
      <w:r w:rsidR="005014AD" w:rsidRPr="00734823">
        <w:t>ationella tillsynsmyndigheter</w:t>
      </w:r>
      <w:r w:rsidRPr="00734823">
        <w:t xml:space="preserve">s uppgifter </w:t>
      </w:r>
      <w:r w:rsidR="005014AD" w:rsidRPr="00734823">
        <w:t>och</w:t>
      </w:r>
      <w:r w:rsidR="00444552" w:rsidRPr="00734823">
        <w:t xml:space="preserve"> </w:t>
      </w:r>
      <w:r w:rsidR="00AA7FD0" w:rsidRPr="00734823">
        <w:t xml:space="preserve">befogenheter </w:t>
      </w:r>
      <w:r w:rsidRPr="00734823">
        <w:t xml:space="preserve">harmoniseras och </w:t>
      </w:r>
      <w:r w:rsidR="00584C3D" w:rsidRPr="00734823">
        <w:t xml:space="preserve">stärks. </w:t>
      </w:r>
      <w:r w:rsidR="007A5766" w:rsidRPr="00734823">
        <w:t xml:space="preserve">Tillsynsmyndigheten ska ges en </w:t>
      </w:r>
      <w:r w:rsidR="00584C3D" w:rsidRPr="00734823">
        <w:t xml:space="preserve">fristående roll </w:t>
      </w:r>
      <w:r w:rsidRPr="00734823">
        <w:t xml:space="preserve">samt </w:t>
      </w:r>
      <w:r w:rsidR="00584C3D" w:rsidRPr="00734823">
        <w:t xml:space="preserve">ha möjlighet att fatta kraftfulla beslut. </w:t>
      </w:r>
    </w:p>
    <w:p w:rsidR="007A5766" w:rsidRPr="00734823" w:rsidRDefault="007A5766" w:rsidP="00584C3D">
      <w:pPr>
        <w:pStyle w:val="RKnormal"/>
      </w:pPr>
    </w:p>
    <w:p w:rsidR="009E670B" w:rsidRPr="00734823" w:rsidRDefault="007F14D3" w:rsidP="00111335">
      <w:pPr>
        <w:pStyle w:val="RKnormal"/>
        <w:spacing w:line="320" w:lineRule="atLeast"/>
      </w:pPr>
      <w:r w:rsidRPr="00734823">
        <w:t>K</w:t>
      </w:r>
      <w:r w:rsidR="00557B52" w:rsidRPr="00734823">
        <w:t>ommissionen</w:t>
      </w:r>
      <w:r w:rsidR="002715E2" w:rsidRPr="00734823">
        <w:t xml:space="preserve"> </w:t>
      </w:r>
      <w:r w:rsidRPr="00734823">
        <w:t xml:space="preserve">ges </w:t>
      </w:r>
      <w:r w:rsidR="0017174A" w:rsidRPr="00734823">
        <w:t xml:space="preserve">utökade </w:t>
      </w:r>
      <w:r w:rsidR="002715E2" w:rsidRPr="00734823">
        <w:t xml:space="preserve">befogenheter att </w:t>
      </w:r>
      <w:r w:rsidR="007A5766" w:rsidRPr="00734823">
        <w:t xml:space="preserve">t.ex. </w:t>
      </w:r>
      <w:r w:rsidR="002715E2" w:rsidRPr="00734823">
        <w:t xml:space="preserve">utfärda närmare riktlinjer </w:t>
      </w:r>
      <w:r w:rsidR="0017174A" w:rsidRPr="00734823">
        <w:t>för hur regelverken ska tillämpas</w:t>
      </w:r>
      <w:r w:rsidRPr="00734823">
        <w:t>.</w:t>
      </w:r>
    </w:p>
    <w:p w:rsidR="00D1355C" w:rsidRPr="00734823" w:rsidRDefault="00D1355C">
      <w:pPr>
        <w:pStyle w:val="RKrubrik"/>
      </w:pPr>
      <w:r w:rsidRPr="00734823">
        <w:t>Gällande svenska regler och förslagets effekter på dessa</w:t>
      </w:r>
    </w:p>
    <w:p w:rsidR="00687358" w:rsidRPr="00734823" w:rsidRDefault="00505FB8" w:rsidP="00592A0A">
      <w:pPr>
        <w:pStyle w:val="RKnormal"/>
        <w:spacing w:line="320" w:lineRule="atLeast"/>
      </w:pPr>
      <w:r w:rsidRPr="00734823">
        <w:t>Antagandet av de fem rättsakterna</w:t>
      </w:r>
      <w:r w:rsidR="00687358" w:rsidRPr="00734823">
        <w:t xml:space="preserve"> innebär att ländernas </w:t>
      </w:r>
      <w:r w:rsidR="00815912" w:rsidRPr="00734823">
        <w:t>nationella lagstiftning</w:t>
      </w:r>
      <w:r w:rsidR="008D10DE" w:rsidRPr="00734823">
        <w:t xml:space="preserve"> </w:t>
      </w:r>
      <w:r w:rsidR="00687358" w:rsidRPr="00734823">
        <w:t xml:space="preserve">kommer </w:t>
      </w:r>
      <w:r w:rsidR="008D10DE" w:rsidRPr="00734823">
        <w:t xml:space="preserve">att behöva ändras. </w:t>
      </w:r>
      <w:r w:rsidR="00687358" w:rsidRPr="00734823">
        <w:t>För svensk del rör ändringarna f</w:t>
      </w:r>
      <w:r w:rsidR="008D10DE" w:rsidRPr="00734823">
        <w:t xml:space="preserve">rämst ellagen (199:857) och naturgaslagen (2005:403) men även förordningar genom myndighetsinstruktioner </w:t>
      </w:r>
      <w:r w:rsidR="00303C71" w:rsidRPr="00734823">
        <w:t>kommer</w:t>
      </w:r>
      <w:r w:rsidR="008D10DE" w:rsidRPr="00734823">
        <w:t xml:space="preserve"> att påverkas av förslagen.</w:t>
      </w:r>
      <w:r w:rsidR="00592A0A" w:rsidRPr="00734823">
        <w:t xml:space="preserve"> </w:t>
      </w:r>
    </w:p>
    <w:p w:rsidR="00687358" w:rsidRPr="00734823" w:rsidRDefault="00687358" w:rsidP="00592A0A">
      <w:pPr>
        <w:pStyle w:val="RKnormal"/>
        <w:spacing w:line="320" w:lineRule="atLeast"/>
      </w:pPr>
    </w:p>
    <w:p w:rsidR="008666AE" w:rsidRPr="00734823" w:rsidRDefault="00AB133A" w:rsidP="00592A0A">
      <w:pPr>
        <w:pStyle w:val="RKnormal"/>
        <w:spacing w:line="320" w:lineRule="atLeast"/>
      </w:pPr>
      <w:r w:rsidRPr="00734823">
        <w:t>Införandet av Energibyrån kommer att innebära att en ny europeisk myndighet etableras. Denna myndighet kommer att ges rätten att fatta vissa för medlemsstaterna bindande beslut</w:t>
      </w:r>
      <w:r w:rsidR="00934D0F" w:rsidRPr="00734823">
        <w:t>.</w:t>
      </w:r>
      <w:r w:rsidRPr="00734823">
        <w:t xml:space="preserve"> </w:t>
      </w:r>
      <w:r w:rsidR="00687358" w:rsidRPr="00734823">
        <w:t xml:space="preserve">Inrättandet av byrån kommer också få betydelse för svensk lagstiftning då </w:t>
      </w:r>
      <w:r w:rsidR="007A5766" w:rsidRPr="00734823">
        <w:t>b</w:t>
      </w:r>
      <w:r w:rsidR="00687358" w:rsidRPr="00734823">
        <w:t>yrån ska avge yttrande</w:t>
      </w:r>
      <w:r w:rsidR="00934D0F" w:rsidRPr="00734823">
        <w:t>n</w:t>
      </w:r>
      <w:r w:rsidR="00687358" w:rsidRPr="00734823">
        <w:t xml:space="preserve"> kring hur de gemensamma regelverken för el och gas ska tolkas.</w:t>
      </w:r>
    </w:p>
    <w:p w:rsidR="00C22871" w:rsidRPr="00734823" w:rsidRDefault="00D1355C" w:rsidP="00D842DB">
      <w:pPr>
        <w:pStyle w:val="RKrubrik"/>
      </w:pPr>
      <w:r w:rsidRPr="00734823">
        <w:t>Ekonomiska konsekvenser</w:t>
      </w:r>
    </w:p>
    <w:p w:rsidR="00592A0A" w:rsidRPr="00734823" w:rsidRDefault="00592A0A" w:rsidP="00C22871">
      <w:pPr>
        <w:pStyle w:val="RKrubrik"/>
        <w:spacing w:before="0" w:after="0" w:line="320" w:lineRule="atLeast"/>
      </w:pPr>
      <w:r w:rsidRPr="00734823">
        <w:rPr>
          <w:rFonts w:ascii="OrigGarmnd BT" w:hAnsi="OrigGarmnd BT"/>
          <w:b w:val="0"/>
          <w:sz w:val="24"/>
        </w:rPr>
        <w:t>Förslaget kan förväntas medföra budgetära konsekvenser genom att tillsynsmyndigheterna föreslås få nya och utökade uppgifter samt stärkta tillsynsbefogenheter. Det kan inte uteslutas att viss</w:t>
      </w:r>
      <w:r w:rsidR="00C22871" w:rsidRPr="00734823">
        <w:rPr>
          <w:rFonts w:ascii="OrigGarmnd BT" w:hAnsi="OrigGarmnd BT"/>
          <w:b w:val="0"/>
          <w:sz w:val="24"/>
        </w:rPr>
        <w:t>a</w:t>
      </w:r>
      <w:r w:rsidRPr="00734823">
        <w:rPr>
          <w:rFonts w:ascii="OrigGarmnd BT" w:hAnsi="OrigGarmnd BT"/>
          <w:b w:val="0"/>
          <w:sz w:val="24"/>
        </w:rPr>
        <w:t xml:space="preserve"> av bestäm</w:t>
      </w:r>
      <w:r w:rsidR="008969FD" w:rsidRPr="00734823">
        <w:rPr>
          <w:rFonts w:ascii="OrigGarmnd BT" w:hAnsi="OrigGarmnd BT"/>
          <w:b w:val="0"/>
          <w:sz w:val="24"/>
        </w:rPr>
        <w:t>m</w:t>
      </w:r>
      <w:r w:rsidRPr="00734823">
        <w:rPr>
          <w:rFonts w:ascii="OrigGarmnd BT" w:hAnsi="OrigGarmnd BT"/>
          <w:b w:val="0"/>
          <w:sz w:val="24"/>
        </w:rPr>
        <w:t>elserna också kan få ekonomiska konsekvenser för den systemansvariga myndigheten Affärsverket svenska kraftnät. Omfattningen är i dagsläget svår att precisera</w:t>
      </w:r>
      <w:r w:rsidR="00C22871" w:rsidRPr="00734823">
        <w:rPr>
          <w:rFonts w:ascii="OrigGarmnd BT" w:hAnsi="OrigGarmnd BT"/>
          <w:b w:val="0"/>
          <w:sz w:val="24"/>
        </w:rPr>
        <w:t>.</w:t>
      </w:r>
      <w:r w:rsidR="0017174A" w:rsidRPr="00734823">
        <w:rPr>
          <w:rFonts w:ascii="OrigGarmnd BT" w:hAnsi="OrigGarmnd BT"/>
          <w:b w:val="0"/>
          <w:sz w:val="24"/>
        </w:rPr>
        <w:t xml:space="preserve"> Inrättandet av Energibyrån kommer att få vissa budgetära konsekvenser för gemenskapen. </w:t>
      </w:r>
    </w:p>
    <w:p w:rsidR="00BF41A8" w:rsidRPr="00734823" w:rsidRDefault="00BF41A8" w:rsidP="00ED5C86">
      <w:pPr>
        <w:pStyle w:val="Rubrik2"/>
      </w:pPr>
      <w:r w:rsidRPr="00734823">
        <w:t>Fackuttryck</w:t>
      </w:r>
    </w:p>
    <w:p w:rsidR="0034694B" w:rsidRPr="00734823" w:rsidRDefault="00934D0F" w:rsidP="0034694B">
      <w:pPr>
        <w:pStyle w:val="RKnormal"/>
      </w:pPr>
      <w:r w:rsidRPr="00734823">
        <w:t>Transmissionsverksamhet</w:t>
      </w:r>
      <w:r w:rsidRPr="00734823">
        <w:tab/>
      </w:r>
      <w:r w:rsidRPr="00734823">
        <w:tab/>
      </w:r>
      <w:r w:rsidRPr="00734823">
        <w:tab/>
        <w:t xml:space="preserve">Nätverksamhet som innefattar </w:t>
      </w:r>
      <w:r w:rsidRPr="00734823">
        <w:tab/>
      </w:r>
      <w:r w:rsidRPr="00734823">
        <w:tab/>
      </w:r>
      <w:r w:rsidRPr="00734823">
        <w:tab/>
      </w:r>
      <w:r w:rsidRPr="00734823">
        <w:tab/>
        <w:t xml:space="preserve">stamnäten och vanligen </w:t>
      </w:r>
      <w:r w:rsidRPr="00734823">
        <w:tab/>
      </w:r>
      <w:r w:rsidRPr="00734823">
        <w:tab/>
      </w:r>
      <w:r w:rsidRPr="00734823">
        <w:tab/>
      </w:r>
      <w:r w:rsidRPr="00734823">
        <w:tab/>
      </w:r>
      <w:r w:rsidRPr="00734823">
        <w:tab/>
        <w:t xml:space="preserve">de gränsöverskridande </w:t>
      </w:r>
      <w:r w:rsidRPr="00734823">
        <w:tab/>
      </w:r>
      <w:r w:rsidRPr="00734823">
        <w:tab/>
      </w:r>
      <w:r w:rsidRPr="00734823">
        <w:tab/>
      </w:r>
      <w:r w:rsidRPr="00734823">
        <w:tab/>
      </w:r>
      <w:r w:rsidRPr="00734823">
        <w:tab/>
        <w:t xml:space="preserve">förbindelserna mellan </w:t>
      </w:r>
      <w:r w:rsidRPr="00734823">
        <w:tab/>
      </w:r>
      <w:r w:rsidRPr="00734823">
        <w:tab/>
      </w:r>
      <w:r w:rsidRPr="00734823">
        <w:tab/>
      </w:r>
      <w:r w:rsidRPr="00734823">
        <w:tab/>
      </w:r>
      <w:r w:rsidRPr="00734823">
        <w:tab/>
        <w:t>medlemsstaterna</w:t>
      </w:r>
    </w:p>
    <w:sectPr w:rsidR="0034694B" w:rsidRPr="00734823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3B2" w:rsidRPr="00734823" w:rsidRDefault="00DC33B2">
      <w:r w:rsidRPr="00734823">
        <w:separator/>
      </w:r>
    </w:p>
  </w:endnote>
  <w:endnote w:type="continuationSeparator" w:id="0">
    <w:p w:rsidR="00DC33B2" w:rsidRPr="00734823" w:rsidRDefault="00DC33B2">
      <w:r w:rsidRPr="00734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3B2" w:rsidRPr="00734823" w:rsidRDefault="00DC33B2">
      <w:r w:rsidRPr="00734823">
        <w:separator/>
      </w:r>
    </w:p>
  </w:footnote>
  <w:footnote w:type="continuationSeparator" w:id="0">
    <w:p w:rsidR="00DC33B2" w:rsidRPr="00734823" w:rsidRDefault="00DC33B2">
      <w:r w:rsidRPr="007348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3C7" w:rsidRPr="00734823" w:rsidRDefault="004763C7">
    <w:pPr>
      <w:pStyle w:val="Sidhuvud"/>
      <w:framePr w:wrap="around" w:vAnchor="text" w:hAnchor="margin" w:xAlign="right" w:y="1"/>
      <w:rPr>
        <w:rStyle w:val="Sidnummer"/>
        <w:rPrChange w:id="1" w:author="Lars Brink" w:date="2025-12-17T20:34:00Z" w16du:dateUtc="2025-12-17T19:34:00Z">
          <w:rPr>
            <w:rStyle w:val="Sidnummer"/>
          </w:rPr>
        </w:rPrChange>
      </w:rPr>
    </w:pPr>
    <w:r w:rsidRPr="00734823">
      <w:rPr>
        <w:rStyle w:val="Sidnummer"/>
      </w:rPr>
      <w:fldChar w:fldCharType="begin" w:fldLock="1"/>
    </w:r>
    <w:r w:rsidRPr="00734823">
      <w:rPr>
        <w:rStyle w:val="Sidnummer"/>
      </w:rPr>
      <w:instrText xml:space="preserve">PAGE  </w:instrText>
    </w:r>
    <w:r w:rsidRPr="00734823">
      <w:rPr>
        <w:rStyle w:val="Sidnummer"/>
      </w:rPr>
      <w:fldChar w:fldCharType="separate"/>
    </w:r>
    <w:r w:rsidR="009F4C2B" w:rsidRPr="00734823">
      <w:rPr>
        <w:rStyle w:val="Sidnummer"/>
        <w:rPrChange w:id="2" w:author="Lars Brink" w:date="2025-12-17T20:34:00Z" w16du:dateUtc="2025-12-17T19:34:00Z">
          <w:rPr>
            <w:rStyle w:val="Sidnummer"/>
            <w:noProof/>
          </w:rPr>
        </w:rPrChange>
      </w:rPr>
      <w:t>4</w:t>
    </w:r>
    <w:r w:rsidRPr="00734823">
      <w:rPr>
        <w:rStyle w:val="Sidnummer"/>
        <w:rPrChange w:id="3" w:author="Lars Brink" w:date="2025-12-17T20:34:00Z" w16du:dateUtc="2025-12-17T19:34:00Z">
          <w:rPr>
            <w:rStyle w:val="Sidnummer"/>
          </w:rPr>
        </w:rPrChange>
      </w:rPr>
      <w:fldChar w:fldCharType="end"/>
    </w:r>
  </w:p>
  <w:p w:rsidR="004763C7" w:rsidRPr="00734823" w:rsidRDefault="004763C7">
    <w:pPr>
      <w:pStyle w:val="Sidhuvud"/>
      <w:ind w:right="360"/>
      <w:rPr>
        <w:rPrChange w:id="4" w:author="Lars Brink" w:date="2025-12-17T20:34:00Z" w16du:dateUtc="2025-12-17T19:34:00Z">
          <w:rPr/>
        </w:rPrChange>
      </w:rPr>
    </w:pPr>
  </w:p>
  <w:p w:rsidR="004763C7" w:rsidRPr="00734823" w:rsidRDefault="004763C7">
    <w:pPr>
      <w:pStyle w:val="Sidhuvud"/>
      <w:ind w:right="357" w:firstLine="357"/>
      <w:rPr>
        <w:rPrChange w:id="5" w:author="Lars Brink" w:date="2025-12-17T20:34:00Z" w16du:dateUtc="2025-12-17T19:34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3C7" w:rsidRPr="00734823" w:rsidRDefault="004763C7">
    <w:pPr>
      <w:pStyle w:val="Sidhuvud"/>
      <w:framePr w:wrap="around" w:vAnchor="text" w:hAnchor="margin" w:xAlign="right" w:y="1"/>
      <w:rPr>
        <w:rStyle w:val="Sidnummer"/>
        <w:rPrChange w:id="6" w:author="Lars Brink" w:date="2025-12-17T20:34:00Z" w16du:dateUtc="2025-12-17T19:34:00Z">
          <w:rPr>
            <w:rStyle w:val="Sidnummer"/>
          </w:rPr>
        </w:rPrChange>
      </w:rPr>
    </w:pPr>
    <w:r w:rsidRPr="00734823">
      <w:rPr>
        <w:rStyle w:val="Sidnummer"/>
      </w:rPr>
      <w:fldChar w:fldCharType="begin" w:fldLock="1"/>
    </w:r>
    <w:r w:rsidRPr="00734823">
      <w:rPr>
        <w:rStyle w:val="Sidnummer"/>
      </w:rPr>
      <w:instrText xml:space="preserve">PAGE  </w:instrText>
    </w:r>
    <w:r w:rsidRPr="00734823">
      <w:rPr>
        <w:rStyle w:val="Sidnummer"/>
      </w:rPr>
      <w:fldChar w:fldCharType="separate"/>
    </w:r>
    <w:r w:rsidR="009F4C2B" w:rsidRPr="00734823">
      <w:rPr>
        <w:rStyle w:val="Sidnummer"/>
        <w:rPrChange w:id="7" w:author="Lars Brink" w:date="2025-12-17T20:34:00Z" w16du:dateUtc="2025-12-17T19:34:00Z">
          <w:rPr>
            <w:rStyle w:val="Sidnummer"/>
            <w:noProof/>
          </w:rPr>
        </w:rPrChange>
      </w:rPr>
      <w:t>5</w:t>
    </w:r>
    <w:r w:rsidRPr="00734823">
      <w:rPr>
        <w:rStyle w:val="Sidnummer"/>
        <w:rPrChange w:id="8" w:author="Lars Brink" w:date="2025-12-17T20:34:00Z" w16du:dateUtc="2025-12-17T19:34:00Z">
          <w:rPr>
            <w:rStyle w:val="Sidnummer"/>
          </w:rPr>
        </w:rPrChange>
      </w:rPr>
      <w:fldChar w:fldCharType="end"/>
    </w:r>
  </w:p>
  <w:p w:rsidR="004763C7" w:rsidRPr="00734823" w:rsidRDefault="004763C7">
    <w:pPr>
      <w:pStyle w:val="Sidhuvud"/>
      <w:ind w:right="360"/>
      <w:rPr>
        <w:rPrChange w:id="9" w:author="Lars Brink" w:date="2025-12-17T20:34:00Z" w16du:dateUtc="2025-12-17T19:34:00Z">
          <w:rPr/>
        </w:rPrChange>
      </w:rPr>
    </w:pPr>
  </w:p>
  <w:p w:rsidR="004763C7" w:rsidRPr="00734823" w:rsidRDefault="004763C7">
    <w:pPr>
      <w:pStyle w:val="Sidhuvud"/>
      <w:ind w:right="357" w:firstLine="357"/>
      <w:rPr>
        <w:rPrChange w:id="10" w:author="Lars Brink" w:date="2025-12-17T20:34:00Z" w16du:dateUtc="2025-12-17T19:34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3C7" w:rsidRPr="00734823" w:rsidRDefault="00734823">
    <w:pPr>
      <w:framePr w:w="2948" w:h="1321" w:hRule="exact" w:wrap="notBeside" w:vAnchor="page" w:hAnchor="page" w:x="1362" w:y="653"/>
    </w:pPr>
    <w:r w:rsidRPr="00734823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3C7" w:rsidRPr="00734823" w:rsidRDefault="004763C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763C7" w:rsidRPr="00734823" w:rsidRDefault="004763C7">
    <w:pPr>
      <w:rPr>
        <w:rFonts w:ascii="TradeGothic" w:hAnsi="TradeGothic"/>
        <w:b/>
        <w:bCs/>
        <w:spacing w:val="12"/>
        <w:sz w:val="22"/>
      </w:rPr>
    </w:pPr>
  </w:p>
  <w:p w:rsidR="004763C7" w:rsidRPr="00734823" w:rsidRDefault="004763C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763C7" w:rsidRPr="00734823" w:rsidRDefault="004763C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073D"/>
    <w:multiLevelType w:val="hybridMultilevel"/>
    <w:tmpl w:val="E1004502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3F4A"/>
    <w:multiLevelType w:val="hybridMultilevel"/>
    <w:tmpl w:val="8D1C0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85D80"/>
    <w:multiLevelType w:val="hybridMultilevel"/>
    <w:tmpl w:val="0E2029A4"/>
    <w:lvl w:ilvl="0" w:tplc="08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0AF7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7493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4025116">
    <w:abstractNumId w:val="2"/>
  </w:num>
  <w:num w:numId="2" w16cid:durableId="1364787210">
    <w:abstractNumId w:val="1"/>
  </w:num>
  <w:num w:numId="3" w16cid:durableId="10764410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6A25D1"/>
    <w:rsid w:val="000014D6"/>
    <w:rsid w:val="00011F78"/>
    <w:rsid w:val="00022E33"/>
    <w:rsid w:val="00025722"/>
    <w:rsid w:val="0004352A"/>
    <w:rsid w:val="00044A40"/>
    <w:rsid w:val="00081294"/>
    <w:rsid w:val="0008711D"/>
    <w:rsid w:val="000875B1"/>
    <w:rsid w:val="000A766F"/>
    <w:rsid w:val="000E0038"/>
    <w:rsid w:val="000F3457"/>
    <w:rsid w:val="00105FBC"/>
    <w:rsid w:val="00106121"/>
    <w:rsid w:val="00111335"/>
    <w:rsid w:val="0017174A"/>
    <w:rsid w:val="00177BE8"/>
    <w:rsid w:val="001A29BB"/>
    <w:rsid w:val="001B1F32"/>
    <w:rsid w:val="001B287E"/>
    <w:rsid w:val="001B7A49"/>
    <w:rsid w:val="001D000A"/>
    <w:rsid w:val="001F0F1A"/>
    <w:rsid w:val="001F4CB5"/>
    <w:rsid w:val="0023796B"/>
    <w:rsid w:val="00240FAE"/>
    <w:rsid w:val="00254D1E"/>
    <w:rsid w:val="002715E2"/>
    <w:rsid w:val="00273CF5"/>
    <w:rsid w:val="00282FE9"/>
    <w:rsid w:val="00286753"/>
    <w:rsid w:val="002B2E2F"/>
    <w:rsid w:val="002E6F66"/>
    <w:rsid w:val="00303C71"/>
    <w:rsid w:val="0034694B"/>
    <w:rsid w:val="0038235D"/>
    <w:rsid w:val="00384E16"/>
    <w:rsid w:val="003966BC"/>
    <w:rsid w:val="003A3DE2"/>
    <w:rsid w:val="003B516B"/>
    <w:rsid w:val="003B71E1"/>
    <w:rsid w:val="003C1A99"/>
    <w:rsid w:val="003D6291"/>
    <w:rsid w:val="00400BFD"/>
    <w:rsid w:val="00417F6D"/>
    <w:rsid w:val="00444552"/>
    <w:rsid w:val="004763C7"/>
    <w:rsid w:val="00485543"/>
    <w:rsid w:val="00491C1E"/>
    <w:rsid w:val="00494E95"/>
    <w:rsid w:val="004A3815"/>
    <w:rsid w:val="004D10C3"/>
    <w:rsid w:val="004F50BC"/>
    <w:rsid w:val="005014AD"/>
    <w:rsid w:val="00505FB8"/>
    <w:rsid w:val="00510560"/>
    <w:rsid w:val="0051422F"/>
    <w:rsid w:val="0054780F"/>
    <w:rsid w:val="00557B52"/>
    <w:rsid w:val="0058032B"/>
    <w:rsid w:val="00584C3D"/>
    <w:rsid w:val="00592A0A"/>
    <w:rsid w:val="005A5343"/>
    <w:rsid w:val="005A5771"/>
    <w:rsid w:val="005A779A"/>
    <w:rsid w:val="005B5133"/>
    <w:rsid w:val="005D5190"/>
    <w:rsid w:val="005E22C0"/>
    <w:rsid w:val="005E5B49"/>
    <w:rsid w:val="006649EE"/>
    <w:rsid w:val="00687358"/>
    <w:rsid w:val="006979B7"/>
    <w:rsid w:val="006A14C8"/>
    <w:rsid w:val="006A25D1"/>
    <w:rsid w:val="006E373B"/>
    <w:rsid w:val="00701A23"/>
    <w:rsid w:val="00706FAC"/>
    <w:rsid w:val="00725824"/>
    <w:rsid w:val="00734823"/>
    <w:rsid w:val="00751011"/>
    <w:rsid w:val="00791E4E"/>
    <w:rsid w:val="007A2578"/>
    <w:rsid w:val="007A5766"/>
    <w:rsid w:val="007C22B8"/>
    <w:rsid w:val="007C3029"/>
    <w:rsid w:val="007C304F"/>
    <w:rsid w:val="007C7EA8"/>
    <w:rsid w:val="007E1A49"/>
    <w:rsid w:val="007F14D3"/>
    <w:rsid w:val="007F1533"/>
    <w:rsid w:val="00815912"/>
    <w:rsid w:val="008236EB"/>
    <w:rsid w:val="00842E21"/>
    <w:rsid w:val="008541B5"/>
    <w:rsid w:val="008666AE"/>
    <w:rsid w:val="00872131"/>
    <w:rsid w:val="008969FD"/>
    <w:rsid w:val="008A1B55"/>
    <w:rsid w:val="008A36CB"/>
    <w:rsid w:val="008C2F47"/>
    <w:rsid w:val="008D10DE"/>
    <w:rsid w:val="008E4BB5"/>
    <w:rsid w:val="008F36B9"/>
    <w:rsid w:val="00923F23"/>
    <w:rsid w:val="0092519E"/>
    <w:rsid w:val="0093362E"/>
    <w:rsid w:val="00934D0F"/>
    <w:rsid w:val="00943757"/>
    <w:rsid w:val="00953D56"/>
    <w:rsid w:val="009A3014"/>
    <w:rsid w:val="009A739D"/>
    <w:rsid w:val="009E670B"/>
    <w:rsid w:val="009F0373"/>
    <w:rsid w:val="009F4C2B"/>
    <w:rsid w:val="00A0416B"/>
    <w:rsid w:val="00A23586"/>
    <w:rsid w:val="00A23ECC"/>
    <w:rsid w:val="00A27F18"/>
    <w:rsid w:val="00A542AE"/>
    <w:rsid w:val="00A62EA2"/>
    <w:rsid w:val="00A63295"/>
    <w:rsid w:val="00A636BF"/>
    <w:rsid w:val="00A63D55"/>
    <w:rsid w:val="00A7380D"/>
    <w:rsid w:val="00A860BA"/>
    <w:rsid w:val="00AA7FD0"/>
    <w:rsid w:val="00AB133A"/>
    <w:rsid w:val="00AB34FB"/>
    <w:rsid w:val="00AC4FD3"/>
    <w:rsid w:val="00AC5AC3"/>
    <w:rsid w:val="00AE32F1"/>
    <w:rsid w:val="00AE65B2"/>
    <w:rsid w:val="00AF3689"/>
    <w:rsid w:val="00B0443C"/>
    <w:rsid w:val="00B12F6E"/>
    <w:rsid w:val="00B1591F"/>
    <w:rsid w:val="00B17891"/>
    <w:rsid w:val="00B32EC3"/>
    <w:rsid w:val="00B35441"/>
    <w:rsid w:val="00B45A56"/>
    <w:rsid w:val="00B57493"/>
    <w:rsid w:val="00B65267"/>
    <w:rsid w:val="00B74B65"/>
    <w:rsid w:val="00B768CE"/>
    <w:rsid w:val="00BA3339"/>
    <w:rsid w:val="00BF41A8"/>
    <w:rsid w:val="00C22871"/>
    <w:rsid w:val="00C34FC3"/>
    <w:rsid w:val="00C47D1A"/>
    <w:rsid w:val="00C6418F"/>
    <w:rsid w:val="00C65440"/>
    <w:rsid w:val="00C735A9"/>
    <w:rsid w:val="00C90F73"/>
    <w:rsid w:val="00C973AF"/>
    <w:rsid w:val="00CB087F"/>
    <w:rsid w:val="00CC1136"/>
    <w:rsid w:val="00CD7A54"/>
    <w:rsid w:val="00CE57D6"/>
    <w:rsid w:val="00D01B6F"/>
    <w:rsid w:val="00D1355C"/>
    <w:rsid w:val="00D341FE"/>
    <w:rsid w:val="00D47081"/>
    <w:rsid w:val="00D52C67"/>
    <w:rsid w:val="00D57B27"/>
    <w:rsid w:val="00D64575"/>
    <w:rsid w:val="00D65B09"/>
    <w:rsid w:val="00D842DB"/>
    <w:rsid w:val="00D85EE5"/>
    <w:rsid w:val="00D96A0A"/>
    <w:rsid w:val="00DB4237"/>
    <w:rsid w:val="00DC33B2"/>
    <w:rsid w:val="00DD1444"/>
    <w:rsid w:val="00DD4A46"/>
    <w:rsid w:val="00DE3B25"/>
    <w:rsid w:val="00DF68CF"/>
    <w:rsid w:val="00E222F0"/>
    <w:rsid w:val="00E35834"/>
    <w:rsid w:val="00E40C44"/>
    <w:rsid w:val="00E519B7"/>
    <w:rsid w:val="00E615A2"/>
    <w:rsid w:val="00E65106"/>
    <w:rsid w:val="00E671E4"/>
    <w:rsid w:val="00E80161"/>
    <w:rsid w:val="00E9152B"/>
    <w:rsid w:val="00EA4F57"/>
    <w:rsid w:val="00EB62CF"/>
    <w:rsid w:val="00ED5C86"/>
    <w:rsid w:val="00EF4267"/>
    <w:rsid w:val="00EF6D41"/>
    <w:rsid w:val="00F10854"/>
    <w:rsid w:val="00F32DE9"/>
    <w:rsid w:val="00F96E4C"/>
    <w:rsid w:val="00FA4D89"/>
    <w:rsid w:val="00FB1E58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96B35C-8D27-410E-B6F5-8283F1B7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FA4D89"/>
    <w:pPr>
      <w:widowControl w:val="0"/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  <w:lang w:val="sv-SE" w:eastAsia="sv-SE"/>
    </w:rPr>
  </w:style>
  <w:style w:type="character" w:customStyle="1" w:styleId="RKnormalChar">
    <w:name w:val="RKnormal Char"/>
    <w:basedOn w:val="Standardstycketeckensnitt"/>
    <w:link w:val="RKnormal"/>
    <w:rsid w:val="00FA4D89"/>
    <w:rPr>
      <w:rFonts w:ascii="OrigGarmnd BT" w:hAnsi="OrigGarmnd BT"/>
      <w:sz w:val="24"/>
      <w:lang w:val="sv-SE" w:eastAsia="en-US" w:bidi="ar-SA"/>
    </w:rPr>
  </w:style>
  <w:style w:type="paragraph" w:styleId="Fotnotstext">
    <w:name w:val="footnote text"/>
    <w:basedOn w:val="Normal"/>
    <w:semiHidden/>
    <w:rsid w:val="00E615A2"/>
    <w:rPr>
      <w:sz w:val="20"/>
    </w:rPr>
  </w:style>
  <w:style w:type="character" w:styleId="Fotnotsreferens">
    <w:name w:val="footnote reference"/>
    <w:basedOn w:val="Standardstycketeckensnitt"/>
    <w:semiHidden/>
    <w:rsid w:val="00E615A2"/>
    <w:rPr>
      <w:vertAlign w:val="superscript"/>
    </w:rPr>
  </w:style>
  <w:style w:type="paragraph" w:customStyle="1" w:styleId="UDrubrik">
    <w:name w:val="UDrubrik"/>
    <w:basedOn w:val="Normal"/>
    <w:next w:val="Brdtext"/>
    <w:link w:val="UDrubrikChar"/>
    <w:rsid w:val="00510560"/>
    <w:pPr>
      <w:overflowPunct/>
      <w:autoSpaceDE/>
      <w:autoSpaceDN/>
      <w:adjustRightInd/>
      <w:spacing w:line="320" w:lineRule="exact"/>
      <w:textAlignment w:val="auto"/>
    </w:pPr>
    <w:rPr>
      <w:rFonts w:ascii="TradeGothic Bold" w:hAnsi="TradeGothic Bold"/>
      <w:b/>
      <w:sz w:val="22"/>
    </w:rPr>
  </w:style>
  <w:style w:type="character" w:customStyle="1" w:styleId="UDrubrikChar">
    <w:name w:val="UDrubrik Char"/>
    <w:basedOn w:val="Standardstycketeckensnitt"/>
    <w:link w:val="UDrubrik"/>
    <w:rsid w:val="00510560"/>
    <w:rPr>
      <w:rFonts w:ascii="TradeGothic Bold" w:hAnsi="TradeGothic Bold"/>
      <w:b/>
      <w:sz w:val="22"/>
      <w:lang w:val="sv-SE" w:eastAsia="en-US" w:bidi="ar-SA"/>
    </w:rPr>
  </w:style>
  <w:style w:type="paragraph" w:styleId="Brdtext">
    <w:name w:val="Body Text"/>
    <w:basedOn w:val="Normal"/>
    <w:rsid w:val="00510560"/>
    <w:pPr>
      <w:spacing w:after="120"/>
    </w:pPr>
  </w:style>
  <w:style w:type="paragraph" w:customStyle="1" w:styleId="Dokumentbeteckning-titel">
    <w:name w:val="Dokumentbeteckning - titel"/>
    <w:basedOn w:val="Normal"/>
    <w:rsid w:val="00E671E4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styleId="Ballongtext">
    <w:name w:val="Balloon Text"/>
    <w:basedOn w:val="Normal"/>
    <w:semiHidden/>
    <w:rsid w:val="00384E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B32EC3"/>
    <w:rPr>
      <w:color w:val="0000FF"/>
      <w:u w:val="single"/>
    </w:rPr>
  </w:style>
  <w:style w:type="paragraph" w:styleId="Revision">
    <w:name w:val="Revision"/>
    <w:hidden/>
    <w:uiPriority w:val="99"/>
    <w:semiHidden/>
    <w:rsid w:val="00734823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uroparl.europa.eu/oeil/FindByProcnum.do?lang=2&amp;procnum=COD/2007/0196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1913</Words>
  <Characters>12479</Characters>
  <Application>Microsoft Office Word</Application>
  <DocSecurity>4</DocSecurity>
  <Lines>290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14325</CharactersWithSpaces>
  <SharedDoc>false</SharedDoc>
  <HLinks>
    <vt:vector size="6" baseType="variant">
      <vt:variant>
        <vt:i4>13</vt:i4>
      </vt:variant>
      <vt:variant>
        <vt:i4>39</vt:i4>
      </vt:variant>
      <vt:variant>
        <vt:i4>0</vt:i4>
      </vt:variant>
      <vt:variant>
        <vt:i4>5</vt:i4>
      </vt:variant>
      <vt:variant>
        <vt:lpwstr>http://www.europarl.europa.eu/oeil/FindByProcnum.do?lang=2&amp;procnum=COD/2007/0196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2008-09-26T06:38:00Z</cp:lastPrinted>
  <dcterms:created xsi:type="dcterms:W3CDTF">2025-12-17T19:34:00Z</dcterms:created>
  <dcterms:modified xsi:type="dcterms:W3CDTF">2025-12-17T19:34:00Z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