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7CD" w:rsidRPr="00693533" w:rsidRDefault="006657CD">
      <w:pPr>
        <w:pStyle w:val="Hemstlrubrik"/>
        <w:shd w:val="clear" w:color="000000" w:fill="auto"/>
      </w:pPr>
      <w:bookmarkStart w:id="0" w:name="_Toc179200764"/>
      <w:r w:rsidRPr="00693533">
        <w:t>Förslag till riksdagsbeslut</w:t>
      </w:r>
      <w:bookmarkEnd w:id="0"/>
    </w:p>
    <w:p w:rsidR="006657CD" w:rsidRPr="00693533" w:rsidRDefault="006657CD">
      <w:pPr>
        <w:pStyle w:val="Hemstlatt"/>
        <w:numPr>
          <w:ilvl w:val="0"/>
          <w:numId w:val="1"/>
        </w:numPr>
        <w:shd w:val="clear" w:color="000000" w:fill="auto"/>
      </w:pPr>
      <w:r w:rsidRPr="00693533">
        <w:t>Riksdagen tillkännager för regeringen som sin mening vad som anförs i motionen om ytterligare skärpning av sexua</w:t>
      </w:r>
      <w:r w:rsidRPr="00693533">
        <w:t>l</w:t>
      </w:r>
      <w:r w:rsidRPr="00693533">
        <w:t>lagstiftningen.</w:t>
      </w:r>
    </w:p>
    <w:p w:rsidR="006657CD" w:rsidRPr="00693533" w:rsidRDefault="006657CD">
      <w:pPr>
        <w:pStyle w:val="Hemstlatt"/>
        <w:numPr>
          <w:ilvl w:val="0"/>
          <w:numId w:val="1"/>
        </w:numPr>
        <w:shd w:val="clear" w:color="000000" w:fill="auto"/>
      </w:pPr>
      <w:r w:rsidRPr="00693533">
        <w:t>Riksdagen tillkännager för regeringen som sin mening vad som anförs i motionen om placeringar på Statens institutionsstyre</w:t>
      </w:r>
      <w:r w:rsidRPr="00693533">
        <w:t>l</w:t>
      </w:r>
      <w:r w:rsidRPr="00693533">
        <w:t>se.</w:t>
      </w:r>
      <w:r w:rsidRPr="00693533">
        <w:rPr>
          <w:rStyle w:val="Fotnotsreferens"/>
        </w:rPr>
        <w:t>1</w:t>
      </w:r>
    </w:p>
    <w:p w:rsidR="006657CD" w:rsidRPr="00693533" w:rsidRDefault="006657CD">
      <w:pPr>
        <w:pStyle w:val="Hemstlatt"/>
        <w:numPr>
          <w:ilvl w:val="0"/>
          <w:numId w:val="1"/>
        </w:numPr>
        <w:shd w:val="clear" w:color="000000" w:fill="auto"/>
      </w:pPr>
      <w:r w:rsidRPr="00693533">
        <w:t>Riksdagen tillkännager för regeringen som sin mening vad som anförs i motionen om behandling av vuxna sexualföröv</w:t>
      </w:r>
      <w:r w:rsidRPr="00693533">
        <w:t>a</w:t>
      </w:r>
      <w:r w:rsidRPr="00693533">
        <w:t>re.</w:t>
      </w:r>
    </w:p>
    <w:p w:rsidR="006657CD" w:rsidRPr="00693533" w:rsidRDefault="006657CD">
      <w:pPr>
        <w:pStyle w:val="Hemstlatt"/>
        <w:numPr>
          <w:ilvl w:val="0"/>
          <w:numId w:val="1"/>
        </w:numPr>
        <w:shd w:val="clear" w:color="000000" w:fill="auto"/>
      </w:pPr>
      <w:r w:rsidRPr="00693533">
        <w:t>Riksdagen tillkännager för regeringen som sin mening vad som anförs i motionen om aktiva åtgärder för förbättrade utredningsr</w:t>
      </w:r>
      <w:r w:rsidRPr="00693533">
        <w:t>e</w:t>
      </w:r>
      <w:r w:rsidRPr="00693533">
        <w:t>sultat av våldtäktsbrott.</w:t>
      </w:r>
    </w:p>
    <w:p w:rsidR="006657CD" w:rsidRPr="00693533" w:rsidRDefault="006657CD">
      <w:pPr>
        <w:pStyle w:val="Hemstlatt"/>
        <w:numPr>
          <w:ilvl w:val="0"/>
          <w:numId w:val="1"/>
        </w:numPr>
        <w:shd w:val="clear" w:color="000000" w:fill="auto"/>
      </w:pPr>
      <w:r w:rsidRPr="00693533">
        <w:t>Riksdagen tillkännager för regeringen som sin mening vad som anförs i motionen om krav på aktiva målsägandebiträden.</w:t>
      </w:r>
    </w:p>
    <w:p w:rsidR="006657CD" w:rsidRPr="00693533" w:rsidRDefault="006657CD">
      <w:pPr>
        <w:pStyle w:val="Hemstlatt"/>
        <w:numPr>
          <w:ilvl w:val="0"/>
          <w:numId w:val="1"/>
        </w:numPr>
        <w:shd w:val="clear" w:color="000000" w:fill="auto"/>
      </w:pPr>
      <w:r w:rsidRPr="00693533">
        <w:t>Riksdagen tillkännager för regeringen som sin mening vad som anförs i motionen om forskning om sexualbrott.</w:t>
      </w:r>
    </w:p>
    <w:p w:rsidR="006657CD" w:rsidRPr="00693533" w:rsidRDefault="006657CD">
      <w:pPr>
        <w:pStyle w:val="Hemstlatt"/>
        <w:numPr>
          <w:ilvl w:val="0"/>
          <w:numId w:val="1"/>
        </w:numPr>
        <w:shd w:val="clear" w:color="000000" w:fill="auto"/>
      </w:pPr>
      <w:r w:rsidRPr="00693533">
        <w:t>Riksdagen tillkännager för regeringen som sin mening vad som anförs i motionen om en ökad tillgänglighet hos vård och polis i sy</w:t>
      </w:r>
      <w:r w:rsidRPr="00693533">
        <w:t>f</w:t>
      </w:r>
      <w:r w:rsidRPr="00693533">
        <w:t>te att öka anmälningsbenägenheten.</w:t>
      </w:r>
    </w:p>
    <w:p w:rsidR="006657CD" w:rsidRPr="00693533" w:rsidRDefault="006657CD">
      <w:pPr>
        <w:shd w:val="clear" w:color="000000" w:fill="auto"/>
      </w:pPr>
    </w:p>
    <w:p w:rsidR="006657CD" w:rsidRPr="00693533" w:rsidRDefault="006657CD">
      <w:pPr>
        <w:pStyle w:val="Normaltindrag"/>
        <w:shd w:val="clear" w:color="000000" w:fill="auto"/>
      </w:pPr>
    </w:p>
    <w:p w:rsidR="006657CD" w:rsidRPr="00693533" w:rsidRDefault="006657CD">
      <w:pPr>
        <w:pStyle w:val="Normaltindrag"/>
        <w:shd w:val="clear" w:color="000000" w:fill="auto"/>
      </w:pPr>
    </w:p>
    <w:p w:rsidR="006657CD" w:rsidRPr="00693533" w:rsidRDefault="006657CD">
      <w:pPr>
        <w:pStyle w:val="Normaltindrag"/>
        <w:shd w:val="clear" w:color="000000" w:fill="auto"/>
      </w:pPr>
    </w:p>
    <w:p w:rsidR="006657CD" w:rsidRPr="00693533" w:rsidRDefault="006657CD">
      <w:pPr>
        <w:pStyle w:val="Normaltindrag"/>
        <w:shd w:val="clear" w:color="000000" w:fill="auto"/>
      </w:pPr>
    </w:p>
    <w:p w:rsidR="006657CD" w:rsidRPr="00693533" w:rsidRDefault="006657CD">
      <w:pPr>
        <w:shd w:val="clear" w:color="000000" w:fill="auto"/>
      </w:pPr>
      <w:r w:rsidRPr="00693533">
        <w:rPr>
          <w:rStyle w:val="Fotnotsreferens"/>
        </w:rPr>
        <w:t>1</w:t>
      </w:r>
      <w:r w:rsidRPr="00693533">
        <w:t xml:space="preserve"> Yrkande 2 hänvisat till SoU.</w:t>
      </w:r>
    </w:p>
    <w:p w:rsidR="006657CD" w:rsidRPr="00693533" w:rsidRDefault="006657CD">
      <w:pPr>
        <w:pStyle w:val="Rubrik1"/>
        <w:pageBreakBefore/>
        <w:shd w:val="clear" w:color="000000" w:fill="auto"/>
        <w:spacing w:before="0"/>
      </w:pPr>
      <w:bookmarkStart w:id="1" w:name="_Toc179200766"/>
      <w:r w:rsidRPr="00693533">
        <w:lastRenderedPageBreak/>
        <w:t>Ett nej är ett nej</w:t>
      </w:r>
      <w:bookmarkEnd w:id="1"/>
    </w:p>
    <w:p w:rsidR="006657CD" w:rsidRPr="00693533" w:rsidRDefault="006657CD">
      <w:pPr>
        <w:shd w:val="clear" w:color="000000" w:fill="auto"/>
      </w:pPr>
      <w:r w:rsidRPr="00693533">
        <w:t>Ända fram till 1960-talet var det i Sverige lagligt för en man att våldta sin hustru. Synen att en kvinna var sin mans egendom har tack och lov förän</w:t>
      </w:r>
      <w:r w:rsidRPr="00693533">
        <w:t>d</w:t>
      </w:r>
      <w:r w:rsidRPr="00693533">
        <w:t>rats. Däremot finns det fortfarande områden som släpar efter i synen på kvi</w:t>
      </w:r>
      <w:r w:rsidRPr="00693533">
        <w:t>n</w:t>
      </w:r>
      <w:r w:rsidRPr="00693533">
        <w:t>nans rätt till sexuellt självbestämmande, inte minst inom rättsväsendet.</w:t>
      </w:r>
    </w:p>
    <w:p w:rsidR="006657CD" w:rsidRPr="00693533" w:rsidRDefault="006657CD">
      <w:pPr>
        <w:pStyle w:val="Normaltindrag"/>
        <w:shd w:val="clear" w:color="000000" w:fill="auto"/>
      </w:pPr>
      <w:r w:rsidRPr="00693533">
        <w:t>Situationen för våldtagna kvinnor i Sverige idag är kränkande. Inte enbart i den aspekten att kvinnorna ofta kränks på nytt i en rättegångsprocess utan det stora problemet är att majoriteten av de våldtagna inte ens kommer till rätt</w:t>
      </w:r>
      <w:r w:rsidRPr="00693533">
        <w:t>e</w:t>
      </w:r>
      <w:r w:rsidRPr="00693533">
        <w:t>gångssalen. 95 av 100 utredningar läggs ner, enligt en undersökning av Stockholms universitet.</w:t>
      </w:r>
    </w:p>
    <w:p w:rsidR="006657CD" w:rsidRPr="00693533" w:rsidRDefault="006657CD">
      <w:pPr>
        <w:pStyle w:val="Normaltindrag"/>
        <w:shd w:val="clear" w:color="000000" w:fill="auto"/>
      </w:pPr>
      <w:r w:rsidRPr="00693533">
        <w:t>Skälet till det är ofta brister i utredningsarbetet, eller att en förundersö</w:t>
      </w:r>
      <w:r w:rsidRPr="00693533">
        <w:t>k</w:t>
      </w:r>
      <w:r w:rsidRPr="00693533">
        <w:t>ning aldrig inletts då polisen uppfattat ärendet som omöjligt att utreda eller att den misstänkte skyllt på att kvinnan var med på att ha samlag med honom</w:t>
      </w:r>
      <w:r w:rsidRPr="00693533">
        <w:rPr>
          <w:rStyle w:val="Fotnotsreferens"/>
        </w:rPr>
        <w:footnoteReference w:id="1"/>
      </w:r>
      <w:r w:rsidRPr="00693533">
        <w:t xml:space="preserve">. </w:t>
      </w:r>
    </w:p>
    <w:p w:rsidR="006657CD" w:rsidRPr="00693533" w:rsidRDefault="006657CD">
      <w:pPr>
        <w:pStyle w:val="Normaltindrag"/>
        <w:shd w:val="clear" w:color="000000" w:fill="auto"/>
      </w:pPr>
      <w:r w:rsidRPr="00693533">
        <w:t>Forskare har också hittat samband mellan sämre utredningskvalitet och ”icke ideala brottsoffer” som de med missbruksproblem, funktionsnedsät</w:t>
      </w:r>
      <w:r w:rsidRPr="00693533">
        <w:t>t</w:t>
      </w:r>
      <w:r w:rsidRPr="00693533">
        <w:t xml:space="preserve">ning, tonåringar, kvinnor som lever i misshandelsförhållanden etc. I praktiken har det varit svårt för en kvinna som inte blivit överfallsvåldtagen att hävda sin rätt i domstol. Om den misstänkte däremot är en bekant eller ett krogragg till henne och sen kommer med samtyckesinvändning blir hennes chans till upprättelse minimal. </w:t>
      </w:r>
    </w:p>
    <w:p w:rsidR="006657CD" w:rsidRPr="00693533" w:rsidRDefault="006657CD">
      <w:pPr>
        <w:pStyle w:val="Normaltindrag"/>
        <w:shd w:val="clear" w:color="000000" w:fill="auto"/>
      </w:pPr>
      <w:r w:rsidRPr="00693533">
        <w:t>Det senaste året debatt om våldtäkter fortsätter. Ett nej är ett nej, men ändå kan ett nej i en rättsprocess behandlas som ett ja. Detta trots att Högsta do</w:t>
      </w:r>
      <w:r w:rsidRPr="00693533">
        <w:t>m</w:t>
      </w:r>
      <w:r w:rsidRPr="00693533">
        <w:t>stolens prejudikat är mycket tydliga på den punkten – att kvinnans rätt till sexuellt självbestämmande ska respekteras.</w:t>
      </w:r>
    </w:p>
    <w:p w:rsidR="006657CD" w:rsidRPr="00693533" w:rsidRDefault="006657CD">
      <w:pPr>
        <w:pStyle w:val="Normaltindrag"/>
        <w:shd w:val="clear" w:color="000000" w:fill="auto"/>
      </w:pPr>
      <w:r w:rsidRPr="00693533">
        <w:t>Det är inte enbart djupt kränkande mot den kvinna som behandlas efter å</w:t>
      </w:r>
      <w:r w:rsidRPr="00693533">
        <w:t>l</w:t>
      </w:r>
      <w:r w:rsidRPr="00693533">
        <w:t>derdomliga normer och värderingar. Samtidigt drabbas även mannen eftersom det finns djupt orättvisa föreställningar om mäns sexualitet som bygger på att han är ett djur som inte kan stoppas om han blir tillräckligt eggad. Alla dessa snedvridna föreställningar bör lyftas upp och omkullkastas. Inte enbart för de drabbade kvinnornas skull utan även för männens.</w:t>
      </w:r>
    </w:p>
    <w:p w:rsidR="006657CD" w:rsidRPr="00693533" w:rsidRDefault="006657CD">
      <w:pPr>
        <w:pStyle w:val="Normaltindrag"/>
        <w:shd w:val="clear" w:color="000000" w:fill="auto"/>
      </w:pPr>
      <w:r w:rsidRPr="00693533">
        <w:t>Allvaret ligger i att bevisa en våldtäkt i rena ord-mot-ord-situationer. Sju</w:t>
      </w:r>
      <w:r w:rsidRPr="00693533">
        <w:t>k</w:t>
      </w:r>
      <w:r w:rsidRPr="00693533">
        <w:t>vården som tar emot våldtäktsoffer har vittnat om att offren ofta blir paralys</w:t>
      </w:r>
      <w:r w:rsidRPr="00693533">
        <w:t>e</w:t>
      </w:r>
      <w:r w:rsidRPr="00693533">
        <w:t>rade och överhuvudtaget inte kan röra sig. Det trauma en våldtäkt innebär ger fysiska såväl som psykiska verkningar som att offret i ren överlevelsedrift fryser till is. Denna kunskap från sjukvården bör givetvis också finnas med i en rättsprocess.</w:t>
      </w:r>
    </w:p>
    <w:p w:rsidR="006657CD" w:rsidRPr="00693533" w:rsidRDefault="006657CD">
      <w:pPr>
        <w:pStyle w:val="Normaltindrag"/>
        <w:shd w:val="clear" w:color="000000" w:fill="auto"/>
      </w:pPr>
      <w:r w:rsidRPr="00693533">
        <w:t>Risken är att de låga åtalsprocenten leder till att kvinnor inte polisanmäler. Redan idag vittnar sjukvården för våldtagna att många kvinnor undviker p</w:t>
      </w:r>
      <w:r w:rsidRPr="00693533">
        <w:t>o</w:t>
      </w:r>
      <w:r w:rsidRPr="00693533">
        <w:t>lisanmälan eftersom de dels är medvetna om den låga sannolikheten att ma</w:t>
      </w:r>
      <w:r w:rsidRPr="00693533">
        <w:t>n</w:t>
      </w:r>
      <w:r w:rsidRPr="00693533">
        <w:t>nen blir dömd, dels att många inledningsvis vill förtränga vad som inträffat.</w:t>
      </w:r>
    </w:p>
    <w:p w:rsidR="006657CD" w:rsidRPr="00693533" w:rsidRDefault="006657CD">
      <w:pPr>
        <w:pStyle w:val="Rubrik1"/>
        <w:shd w:val="clear" w:color="000000" w:fill="auto"/>
      </w:pPr>
      <w:r w:rsidRPr="00693533">
        <w:t>Skärpt sexuallagstiftning</w:t>
      </w:r>
    </w:p>
    <w:p w:rsidR="006657CD" w:rsidRPr="00693533" w:rsidRDefault="006657CD">
      <w:pPr>
        <w:shd w:val="clear" w:color="000000" w:fill="auto"/>
      </w:pPr>
      <w:r w:rsidRPr="00693533">
        <w:t>Eftersom det inte bör vara kvinnans skyldighet att bevisa att hon sagt nej bör krav på samtycke i sexuallagstiftningen övervägas. I England och Norge har man gått betydligt längre. Där kan man döma för ”oaktsam våldtäkt”, vilket innebär att mannen borde ha förstått att kvinnan inte var med på det. Idag kan nämligen mannen skylla på att han inte förstod att kvinnan inte ville, trots hennes rop på hjälp. Det finns därmed anledning att överväga om också Sv</w:t>
      </w:r>
      <w:r w:rsidRPr="00693533">
        <w:t>e</w:t>
      </w:r>
      <w:r w:rsidRPr="00693533">
        <w:t xml:space="preserve">rige bör införa grov oaktsamhet i lagstiftningen. </w:t>
      </w:r>
    </w:p>
    <w:p w:rsidR="006657CD" w:rsidRPr="00693533" w:rsidRDefault="006657CD">
      <w:pPr>
        <w:pStyle w:val="Normaltindrag"/>
        <w:shd w:val="clear" w:color="000000" w:fill="auto"/>
      </w:pPr>
      <w:r w:rsidRPr="00693533">
        <w:t>Skulle domstolarna tvingas ta upp frågan om samtycke skulle det förhop</w:t>
      </w:r>
      <w:r w:rsidRPr="00693533">
        <w:t>p</w:t>
      </w:r>
      <w:r w:rsidRPr="00693533">
        <w:t>ningsvis leda till att fokus skulle förflyttas från offrets sexuella vanor till den anklagades.</w:t>
      </w:r>
    </w:p>
    <w:p w:rsidR="006657CD" w:rsidRPr="00693533" w:rsidRDefault="006657CD">
      <w:pPr>
        <w:pStyle w:val="Rubrik1"/>
        <w:shd w:val="clear" w:color="000000" w:fill="auto"/>
      </w:pPr>
      <w:r w:rsidRPr="00693533">
        <w:t>Bristande utredningar</w:t>
      </w:r>
    </w:p>
    <w:p w:rsidR="006657CD" w:rsidRPr="00693533" w:rsidRDefault="006657CD">
      <w:pPr>
        <w:shd w:val="clear" w:color="000000" w:fill="auto"/>
      </w:pPr>
      <w:r w:rsidRPr="00693533">
        <w:t xml:space="preserve">Om man ser till förhållandet mellan anmälningar och fällande dom i Europa år 2003 ligger exempelvis länder som Island på 21 %, Frankrike 32 %, Norge 15 % men Sverige enbart på 7 %. Med lagföring menas att anmälan leder till åtal, strafföreläggande eller åtalsunderlåtelse. Eftersom en person kan åtalas för flera anmälda brott kan man inte direkt sätta relation emellan anmälda brott och lagföringar men det kan ändå ge en fingervisning om läget. </w:t>
      </w:r>
    </w:p>
    <w:p w:rsidR="006657CD" w:rsidRPr="00693533" w:rsidRDefault="006657CD">
      <w:pPr>
        <w:pStyle w:val="Normaltindrag"/>
        <w:shd w:val="clear" w:color="000000" w:fill="auto"/>
      </w:pPr>
      <w:r w:rsidRPr="00693533">
        <w:t>BRÅ gjorde 2005 en undersökning av alla anmälda våldtäkter 1995 och 2000, totalt 2 370 anmälda brott och 2 745 förövare. 60 % av dessa klarades aldrig upp. 12 % ledde till åtal, åtalsfrekvensen för barn under 15 var bara 4 %. När det rör gruppvåldtäkter utgjorde de 11 % av alla anmälda våldtäkter 1995 och 2000. 78 % av dessa brott klarades inte upp.</w:t>
      </w:r>
    </w:p>
    <w:p w:rsidR="006657CD" w:rsidRPr="00693533" w:rsidRDefault="006657CD">
      <w:pPr>
        <w:pStyle w:val="Normaltindrag"/>
        <w:shd w:val="clear" w:color="000000" w:fill="auto"/>
      </w:pPr>
      <w:r w:rsidRPr="00693533">
        <w:t>Med uppklaring menas i brottstatistiken att anmälan leder till lagföring e</w:t>
      </w:r>
      <w:r w:rsidRPr="00693533">
        <w:t>l</w:t>
      </w:r>
      <w:r w:rsidRPr="00693533">
        <w:t>ler avskrivs på en annan grund än bristande spaningsresultat och med pers</w:t>
      </w:r>
      <w:r w:rsidRPr="00693533">
        <w:t>o</w:t>
      </w:r>
      <w:r w:rsidRPr="00693533">
        <w:t>nuppklaring att utredningen lett fram till en skäligen misstänkt person. I båda fallen sker nedläggning vanligtvis på grunden ”brott kan ej styrkas”. Så även om det kan ske en uppklaring kan det alltså innebära att utredningen läggs ned. Utredningsresultaten skiljer sig också markant över landet och det finns anledning att arbeta för att rättssäkerheten är lika god oavsett var i Sverige man bor.</w:t>
      </w:r>
    </w:p>
    <w:p w:rsidR="006657CD" w:rsidRPr="00693533" w:rsidRDefault="006657CD">
      <w:pPr>
        <w:pStyle w:val="Normaltindrag"/>
        <w:shd w:val="clear" w:color="000000" w:fill="auto"/>
      </w:pPr>
      <w:r w:rsidRPr="00693533">
        <w:t>Däremot är det värt att notera att tro</w:t>
      </w:r>
      <w:r w:rsidRPr="00693533">
        <w:t xml:space="preserve">ts att anmälningarna ökat kraftigt har det varit mellan 100 och 200 åtalade för våldtäkt under hela perioden 1965 till 2004, och det är alarmerande dåliga siffror. </w:t>
      </w:r>
    </w:p>
    <w:p w:rsidR="006657CD" w:rsidRPr="00693533" w:rsidRDefault="006657CD">
      <w:pPr>
        <w:pStyle w:val="Normaltindrag"/>
        <w:shd w:val="clear" w:color="000000" w:fill="auto"/>
      </w:pPr>
      <w:r w:rsidRPr="00693533">
        <w:t>Rikspolisstyrelsen och Åklagarmyndigheten har gemensamt granskat ärenden gällande våldtäkt och grov våldtäkt och sammanfattat en rad iaktt</w:t>
      </w:r>
      <w:r w:rsidRPr="00693533">
        <w:t>a</w:t>
      </w:r>
      <w:r w:rsidRPr="00693533">
        <w:t>gelser och synpunkter. Bland annat görs många anmälningar en lång tid efter händelsen. Ökad tidsrymd mellan brotten och anmälan medför ofta negativa konsekve</w:t>
      </w:r>
      <w:r w:rsidRPr="00693533">
        <w:t>n</w:t>
      </w:r>
      <w:r w:rsidRPr="00693533">
        <w:t>ser för utredningen om brotten, framförallt i fråga om bevisläget. Därför har det stor betydelse att anmälan görs skyndsamt så att rättsintyg kan säkerstä</w:t>
      </w:r>
      <w:r w:rsidRPr="00693533">
        <w:t>l</w:t>
      </w:r>
      <w:r w:rsidRPr="00693533">
        <w:t>las. En tredjedel av de granskade anmälningarna hade också gjorts utom ko</w:t>
      </w:r>
      <w:r w:rsidRPr="00693533">
        <w:t>n</w:t>
      </w:r>
      <w:r w:rsidRPr="00693533">
        <w:t>torstid. Det finns mot denna bakgrund skäl att framhålla vikten av att det oavsett tidpunkt på dygnet finns kunnig personal,</w:t>
      </w:r>
      <w:r w:rsidRPr="00693533">
        <w:t xml:space="preserve"> inte bara hos polis och åklagare utan också hos sjukvården, som kan garantera rättssäkerheten. Idag finns det exempelvis akutmottagningar för våldtäktsoffer i Stockholm, men ofta beskrivs tyvärr situationen som ett geografiskt lotteri därför att kv</w:t>
      </w:r>
      <w:r w:rsidRPr="00693533">
        <w:t>a</w:t>
      </w:r>
      <w:r w:rsidRPr="00693533">
        <w:t xml:space="preserve">liteten av vården skiljer sig markant beroende på var i Sverige man bor. </w:t>
      </w:r>
    </w:p>
    <w:p w:rsidR="006657CD" w:rsidRPr="00693533" w:rsidRDefault="006657CD">
      <w:pPr>
        <w:pStyle w:val="Normaltindrag"/>
        <w:shd w:val="clear" w:color="000000" w:fill="auto"/>
      </w:pPr>
      <w:r w:rsidRPr="00693533">
        <w:t>Det är också av stor vikt att offren förordnas målsägarbiträde och att dessa är aktiva i kontakterna med offren under hela processen. Ofta inkommer ra</w:t>
      </w:r>
      <w:r w:rsidRPr="00693533">
        <w:t>p</w:t>
      </w:r>
      <w:r w:rsidRPr="00693533">
        <w:t>po</w:t>
      </w:r>
      <w:r w:rsidRPr="00693533">
        <w:t>r</w:t>
      </w:r>
      <w:r w:rsidRPr="00693533">
        <w:t>ter om att offren inte hör något från sina målsägarbiträden och på så sätt up</w:t>
      </w:r>
      <w:r w:rsidRPr="00693533">
        <w:t>p</w:t>
      </w:r>
      <w:r w:rsidRPr="00693533">
        <w:t>lever en stor osäkerhet om vad som händer. Särskilt allvarligt blir det när det saknas motivering och en förklaring till varför brott inte kan styrkas. Dä</w:t>
      </w:r>
      <w:r w:rsidRPr="00693533">
        <w:t>r</w:t>
      </w:r>
      <w:r w:rsidRPr="00693533">
        <w:t>för bör det inte enbart finnas tillgängliga målsägarbiträden, det bör också finnas krav på att de skall vara aktiva.</w:t>
      </w:r>
    </w:p>
    <w:p w:rsidR="006657CD" w:rsidRPr="00693533" w:rsidRDefault="006657CD">
      <w:pPr>
        <w:pStyle w:val="Normaltindrag"/>
        <w:shd w:val="clear" w:color="000000" w:fill="auto"/>
      </w:pPr>
      <w:r w:rsidRPr="00693533">
        <w:t>Det bör därutöver alltid ske förhör med den misstänkte. Häktning, hu</w:t>
      </w:r>
      <w:r w:rsidRPr="00693533">
        <w:t>s</w:t>
      </w:r>
      <w:r w:rsidRPr="00693533">
        <w:t>rannsakan och brottsplatsundersökning bör också övervägas i större omfat</w:t>
      </w:r>
      <w:r w:rsidRPr="00693533">
        <w:t>t</w:t>
      </w:r>
      <w:r w:rsidRPr="00693533">
        <w:t>ning.</w:t>
      </w:r>
    </w:p>
    <w:p w:rsidR="006657CD" w:rsidRPr="00693533" w:rsidRDefault="006657CD">
      <w:pPr>
        <w:pStyle w:val="Rubrik1"/>
        <w:shd w:val="clear" w:color="000000" w:fill="auto"/>
      </w:pPr>
      <w:r w:rsidRPr="00693533">
        <w:t>Förebyggande åtgärder</w:t>
      </w:r>
    </w:p>
    <w:p w:rsidR="006657CD" w:rsidRPr="00693533" w:rsidRDefault="006657CD">
      <w:pPr>
        <w:shd w:val="clear" w:color="000000" w:fill="auto"/>
      </w:pPr>
      <w:r w:rsidRPr="00693533">
        <w:t>Det är viktigt att inte hamna i fällan att tro att bara för att det införs en sa</w:t>
      </w:r>
      <w:r w:rsidRPr="00693533">
        <w:t>m</w:t>
      </w:r>
      <w:r w:rsidRPr="00693533">
        <w:t>tyckesparagraf så löser sig allt. Ibland är det nämligen lätt att få den bilden när vissa debattörer argumenterar. Finns det en genuin vilja att ta sig an up</w:t>
      </w:r>
      <w:r w:rsidRPr="00693533">
        <w:t>p</w:t>
      </w:r>
      <w:r w:rsidRPr="00693533">
        <w:t>giften att motverka våldtäkter så handlar det också om att se till vilka för</w:t>
      </w:r>
      <w:r w:rsidRPr="00693533">
        <w:t>e</w:t>
      </w:r>
      <w:r w:rsidRPr="00693533">
        <w:t xml:space="preserve">byggande åtgärder som krävs. </w:t>
      </w:r>
    </w:p>
    <w:p w:rsidR="006657CD" w:rsidRPr="00693533" w:rsidRDefault="006657CD">
      <w:pPr>
        <w:pStyle w:val="Normaltindrag"/>
        <w:shd w:val="clear" w:color="000000" w:fill="auto"/>
      </w:pPr>
      <w:r w:rsidRPr="00693533">
        <w:t>För att få ett slut på den stora mängden sexualbrott måste vi börja med våra unga. Någonstans har det gått snett när barn fostras till att betrakta och behandla kvinnor som är onyktra med djup urringning som horor och allmän egendom. Föräldrars a</w:t>
      </w:r>
      <w:r w:rsidRPr="00693533">
        <w:t>nsvar till uppfostring är en viktig del av lösningen sa</w:t>
      </w:r>
      <w:r w:rsidRPr="00693533">
        <w:t>m</w:t>
      </w:r>
      <w:r w:rsidRPr="00693533">
        <w:t>tidigt som många av de unga killar som idag är dömda för sexualvård ko</w:t>
      </w:r>
      <w:r w:rsidRPr="00693533">
        <w:t>m</w:t>
      </w:r>
      <w:r w:rsidRPr="00693533">
        <w:t>mer från trasiga uppväxtförhållanden. Därför bör också skolan få ett förstärkt uppdrag att behandla dessa frågor genom en förstärkt sexualundervisning.</w:t>
      </w:r>
    </w:p>
    <w:p w:rsidR="006657CD" w:rsidRPr="00693533" w:rsidRDefault="006657CD">
      <w:pPr>
        <w:pStyle w:val="Normaltindrag"/>
        <w:shd w:val="clear" w:color="000000" w:fill="auto"/>
      </w:pPr>
      <w:r w:rsidRPr="00693533">
        <w:t>Samtidigt saknar vi forskning om vilka mekanismer som driver män att våldta. Idag vet vi inte säkert vilka faktorer som ligger bakom sexualbrott. Är det främst ett normrelaterat problem eller handlar det om makt? Dessa frågor måste b</w:t>
      </w:r>
      <w:r w:rsidRPr="00693533">
        <w:t>esvaras för att överhuvudtaget kunna komma till rätta med våldtäkt</w:t>
      </w:r>
      <w:r w:rsidRPr="00693533">
        <w:t>s</w:t>
      </w:r>
      <w:r w:rsidRPr="00693533">
        <w:t>problematiken långsiktigt. Av den anledningen bör regeringen ta initiativ till ett forskningsprojekt som studerar vad som ligger bakom det höga antalet våldtäktsanmälningar i Sverige och vilka drivkrafter det är som styr gä</w:t>
      </w:r>
      <w:r w:rsidRPr="00693533">
        <w:t>r</w:t>
      </w:r>
      <w:r w:rsidRPr="00693533">
        <w:t>ningsmännen.</w:t>
      </w:r>
    </w:p>
    <w:p w:rsidR="006657CD" w:rsidRPr="00693533" w:rsidRDefault="006657CD">
      <w:pPr>
        <w:pStyle w:val="Normaltindrag"/>
        <w:shd w:val="clear" w:color="000000" w:fill="auto"/>
      </w:pPr>
      <w:r w:rsidRPr="00693533">
        <w:t>Det är av stor vikt att de unga som döms för sexualbrott genomgår behan</w:t>
      </w:r>
      <w:r w:rsidRPr="00693533">
        <w:t>d</w:t>
      </w:r>
      <w:r w:rsidRPr="00693533">
        <w:t>ling. Idag vet vi att många kommuner avbryter behandlingen av unga sexua</w:t>
      </w:r>
      <w:r w:rsidRPr="00693533">
        <w:t>l</w:t>
      </w:r>
      <w:r w:rsidRPr="00693533">
        <w:t xml:space="preserve">brottslingar när den börjar kosta pengar, samtidigt som strafftiden går ut. Istället för vård och behandling väljer kommunerna att låta pojkarna åka hem, vilket innebär en risk för nya sexualbrott. </w:t>
      </w:r>
    </w:p>
    <w:p w:rsidR="006657CD" w:rsidRPr="00693533" w:rsidRDefault="006657CD">
      <w:pPr>
        <w:pStyle w:val="Normaltindrag"/>
        <w:shd w:val="clear" w:color="000000" w:fill="auto"/>
      </w:pPr>
      <w:r w:rsidRPr="00693533">
        <w:t xml:space="preserve">Vuxna sexualförövare begår ofta sexuella övergrepp som unga. Avvikande sexuella beteenden under </w:t>
      </w:r>
      <w:r w:rsidRPr="00693533">
        <w:rPr>
          <w:spacing w:val="-2"/>
        </w:rPr>
        <w:t>uppväxtåren är dessutom förknippade med allvarl</w:t>
      </w:r>
      <w:r w:rsidRPr="00693533">
        <w:rPr>
          <w:spacing w:val="-2"/>
        </w:rPr>
        <w:t>i</w:t>
      </w:r>
      <w:r w:rsidRPr="00693533">
        <w:t>ga avvikelser av sexuella beteenden i vuxen ålder. De unga kan placeras ut enligt socialtjänstlagen (SocL) eller lagen om vård av unga (LVU). Trots komplex</w:t>
      </w:r>
      <w:r w:rsidRPr="00693533">
        <w:t>i</w:t>
      </w:r>
      <w:r w:rsidRPr="00693533">
        <w:t xml:space="preserve">teten i behandlingen och den mycket svåra målgruppen har ingen av de pojkar som behandlats återfallit i brott. </w:t>
      </w:r>
    </w:p>
    <w:p w:rsidR="006657CD" w:rsidRPr="00693533" w:rsidRDefault="006657CD">
      <w:pPr>
        <w:pStyle w:val="Normaltindrag"/>
        <w:shd w:val="clear" w:color="000000" w:fill="auto"/>
      </w:pPr>
      <w:r w:rsidRPr="00693533">
        <w:t>Problemet är att längden på de utdömda LSU-påföljderna givetvis är i e</w:t>
      </w:r>
      <w:r w:rsidRPr="00693533">
        <w:t>n</w:t>
      </w:r>
      <w:r w:rsidRPr="00693533">
        <w:t>lighet med straffskalan, men det behöver inte alls motsvara den behandling</w:t>
      </w:r>
      <w:r w:rsidRPr="00693533">
        <w:t>s</w:t>
      </w:r>
      <w:r w:rsidRPr="00693533">
        <w:t>plan på två år som en ung man behöver för att verkligen i grunden ändra sitt bet</w:t>
      </w:r>
      <w:r w:rsidRPr="00693533">
        <w:t>e</w:t>
      </w:r>
      <w:r w:rsidRPr="00693533">
        <w:t xml:space="preserve">ende. Den vanligaste påföljden är nio till tolv månader. Forskning visar att de som påbörjat sin behandling, men sen avslutar den innan behandlingen är klar, är farligare än vad de var innan behandlingen inleddes. </w:t>
      </w:r>
    </w:p>
    <w:p w:rsidR="006657CD" w:rsidRPr="00693533" w:rsidRDefault="006657CD">
      <w:pPr>
        <w:pStyle w:val="Normaltindrag"/>
        <w:shd w:val="clear" w:color="000000" w:fill="auto"/>
      </w:pPr>
      <w:r w:rsidRPr="00693533">
        <w:t>Därför bör det finnas en möjlighet för socialtjänsten att ansöka om att po</w:t>
      </w:r>
      <w:r w:rsidRPr="00693533">
        <w:t>j</w:t>
      </w:r>
      <w:r w:rsidRPr="00693533">
        <w:t>karna blir fortsatt omhändertagna enligt LVU. Tyvärr har detta används e</w:t>
      </w:r>
      <w:r w:rsidRPr="00693533">
        <w:t>n</w:t>
      </w:r>
      <w:r w:rsidRPr="00693533">
        <w:t>bart två gånger eftersom placeringarna på SIS (Statens institutionsstyrelse) kostar. Många väljer därför att låta pojkarna flytta hem. Av den anledningen bör regeringen överväga att överlåta kostnaderna när det rör placeringar på SIS på staten.</w:t>
      </w:r>
    </w:p>
    <w:p w:rsidR="006657CD" w:rsidRPr="00693533" w:rsidRDefault="006657CD">
      <w:pPr>
        <w:pStyle w:val="Normaltindrag"/>
        <w:shd w:val="clear" w:color="000000" w:fill="auto"/>
      </w:pPr>
      <w:r w:rsidRPr="00693533">
        <w:t>Även behandling av vuxna sexualförbrytare bör ses över. Vid Skogom</w:t>
      </w:r>
      <w:r w:rsidRPr="00693533">
        <w:t>e</w:t>
      </w:r>
      <w:r w:rsidRPr="00693533">
        <w:t>ansta</w:t>
      </w:r>
      <w:r w:rsidRPr="00693533">
        <w:t>l</w:t>
      </w:r>
      <w:r w:rsidRPr="00693533">
        <w:t>ten utanför Göteborg har vuxna sexuella förövare erbjudits psykoterapi under fängelsevistelsen sedan 1978. Målet har varit att minska riskerna för återfall. För att ge maximal effekt är det dock viktigt att behandlingen blir mer omfa</w:t>
      </w:r>
      <w:r w:rsidRPr="00693533">
        <w:t>t</w:t>
      </w:r>
      <w:r w:rsidRPr="00693533">
        <w:t>tande samt att det införs belöningsincitament för att så många som möjligt genomgår behandling, inte minst för att fånga upp även förnekarna. Rege</w:t>
      </w:r>
      <w:r w:rsidRPr="00693533">
        <w:t>r</w:t>
      </w:r>
      <w:r w:rsidRPr="00693533">
        <w:t xml:space="preserve">ingen bör därför överväga möjligheten att låta också behandling ingå i det förmånspaket som idag testas på vissa anstalter. </w:t>
      </w:r>
      <w:r w:rsidRPr="00693533">
        <w:t>Idag struntar en av tio helt i att delta i behandlingen. Dessutom behöver behandlingen bli mer ind</w:t>
      </w:r>
      <w:r w:rsidRPr="00693533">
        <w:t>i</w:t>
      </w:r>
      <w:r w:rsidRPr="00693533">
        <w:t>viduell.</w:t>
      </w:r>
    </w:p>
    <w:p w:rsidR="006657CD" w:rsidRPr="00693533" w:rsidRDefault="006657CD">
      <w:pPr>
        <w:pStyle w:val="Normaltindrag"/>
        <w:shd w:val="clear" w:color="000000" w:fill="auto"/>
      </w:pPr>
      <w:r w:rsidRPr="00693533">
        <w:t>Avslutningsvis handlar det om att samla sjukvård, polis, åklagare, domare, målsägarbiträden, offer, psykologer på behandlingshem osv. i syfte att hitta långsiktiga lösningar för att uppnå det vi alla strävar efter – att se ett slut på den våldtäktsvåg som pågått allt för länge.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3533">
        <w:trPr>
          <w:cantSplit/>
        </w:trPr>
        <w:tc>
          <w:tcPr>
            <w:tcW w:w="3046" w:type="dxa"/>
          </w:tcPr>
          <w:p w:rsidR="006657CD" w:rsidRPr="00693533" w:rsidRDefault="006657CD">
            <w:pPr>
              <w:pStyle w:val="UnderskriftDatum"/>
              <w:shd w:val="clear" w:color="000000" w:fill="auto"/>
              <w:spacing w:before="240"/>
            </w:pPr>
            <w:r w:rsidRPr="00693533">
              <w:t>Stockholm den 4 oktober 2007</w:t>
            </w:r>
          </w:p>
        </w:tc>
        <w:tc>
          <w:tcPr>
            <w:tcW w:w="3047" w:type="dxa"/>
          </w:tcPr>
          <w:p w:rsidR="006657CD" w:rsidRPr="00693533" w:rsidRDefault="006657CD">
            <w:pPr>
              <w:pStyle w:val="Underskrifter"/>
              <w:shd w:val="clear" w:color="000000" w:fill="auto"/>
              <w:spacing w:before="240"/>
            </w:pPr>
          </w:p>
        </w:tc>
      </w:tr>
      <w:tr w:rsidR="00000000" w:rsidRPr="00693533">
        <w:trPr>
          <w:cantSplit/>
        </w:trPr>
        <w:tc>
          <w:tcPr>
            <w:tcW w:w="3046" w:type="dxa"/>
          </w:tcPr>
          <w:p w:rsidR="006657CD" w:rsidRPr="00693533" w:rsidRDefault="006657CD">
            <w:pPr>
              <w:pStyle w:val="Underskrifter"/>
              <w:shd w:val="clear" w:color="000000" w:fill="auto"/>
            </w:pPr>
            <w:r w:rsidRPr="00693533">
              <w:t>Anna König Jerlmyr (m)</w:t>
            </w:r>
          </w:p>
        </w:tc>
        <w:tc>
          <w:tcPr>
            <w:tcW w:w="3046" w:type="dxa"/>
          </w:tcPr>
          <w:p w:rsidR="006657CD" w:rsidRPr="00693533" w:rsidRDefault="006657CD">
            <w:pPr>
              <w:pStyle w:val="Underskrifter"/>
              <w:shd w:val="clear" w:color="000000" w:fill="auto"/>
            </w:pPr>
          </w:p>
        </w:tc>
      </w:tr>
    </w:tbl>
    <w:p w:rsidR="006657CD" w:rsidRPr="00693533" w:rsidRDefault="006657CD">
      <w:pPr>
        <w:pStyle w:val="Normaltindrag"/>
        <w:shd w:val="clear" w:color="000000" w:fill="auto"/>
      </w:pPr>
    </w:p>
    <w:sectPr w:rsidR="006657CD" w:rsidRPr="006935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7CD" w:rsidRPr="00693533" w:rsidRDefault="006657CD">
      <w:r w:rsidRPr="00693533">
        <w:separator/>
      </w:r>
    </w:p>
  </w:endnote>
  <w:endnote w:type="continuationSeparator" w:id="0">
    <w:p w:rsidR="006657CD" w:rsidRPr="00693533" w:rsidRDefault="006657CD">
      <w:r w:rsidRPr="006935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7CD" w:rsidRPr="00693533" w:rsidRDefault="00693533">
    <w:pPr>
      <w:pStyle w:val="Sidfot"/>
    </w:pPr>
    <w:r w:rsidRPr="006935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80871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7CD" w:rsidRDefault="006657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57CD" w:rsidRDefault="006657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7CD" w:rsidRPr="00693533" w:rsidRDefault="00693533">
    <w:pPr>
      <w:pStyle w:val="Sidfot"/>
    </w:pPr>
    <w:r w:rsidRPr="006935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782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7CD" w:rsidRDefault="006657C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57CD" w:rsidRDefault="006657C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7CD" w:rsidRPr="00693533" w:rsidRDefault="00693533">
    <w:pPr>
      <w:pStyle w:val="Sidfot"/>
    </w:pPr>
    <w:r w:rsidRPr="006935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200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7CD" w:rsidRDefault="006657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57CD" w:rsidRDefault="006657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7CD" w:rsidRPr="00693533" w:rsidRDefault="006657CD">
      <w:pPr>
        <w:pStyle w:val="Sidfot"/>
      </w:pPr>
    </w:p>
  </w:footnote>
  <w:footnote w:type="continuationSeparator" w:id="0">
    <w:p w:rsidR="006657CD" w:rsidRPr="00693533" w:rsidRDefault="006657CD">
      <w:r w:rsidRPr="00693533">
        <w:continuationSeparator/>
      </w:r>
    </w:p>
  </w:footnote>
  <w:footnote w:id="1">
    <w:p w:rsidR="006657CD" w:rsidRPr="00693533" w:rsidRDefault="006657CD">
      <w:pPr>
        <w:spacing w:before="0" w:line="200" w:lineRule="exact"/>
        <w:rPr>
          <w:sz w:val="16"/>
        </w:rPr>
      </w:pPr>
      <w:r w:rsidRPr="00693533">
        <w:rPr>
          <w:rStyle w:val="Fotnotsreferens"/>
        </w:rPr>
        <w:footnoteRef/>
      </w:r>
      <w:r w:rsidRPr="00693533">
        <w:t xml:space="preserve"> </w:t>
      </w:r>
      <w:r w:rsidRPr="00693533">
        <w:rPr>
          <w:rStyle w:val="FotnotstextChar"/>
        </w:rPr>
        <w:t>Motionären har i motionen valt att benämna offret som kvinna och föröv</w:t>
      </w:r>
      <w:r w:rsidRPr="00693533">
        <w:rPr>
          <w:rStyle w:val="FotnotstextChar"/>
        </w:rPr>
        <w:t>a</w:t>
      </w:r>
      <w:r w:rsidRPr="00693533">
        <w:rPr>
          <w:rStyle w:val="FotnotstextChar"/>
        </w:rPr>
        <w:t>ren som man, högst medveten om att offren också kan vara män och att vål</w:t>
      </w:r>
      <w:r w:rsidRPr="00693533">
        <w:rPr>
          <w:rStyle w:val="FotnotstextChar"/>
        </w:rPr>
        <w:t>d</w:t>
      </w:r>
      <w:r w:rsidRPr="00693533">
        <w:rPr>
          <w:rStyle w:val="FotnotstextChar"/>
        </w:rPr>
        <w:t xml:space="preserve">täktsförövaren också kan vara kvinna.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7CD" w:rsidRPr="00693533" w:rsidRDefault="00693533">
    <w:pPr>
      <w:pStyle w:val="Sidhuvud"/>
    </w:pPr>
    <w:r w:rsidRPr="006935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125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7CD" w:rsidRDefault="006657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57CD" w:rsidRDefault="006657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7CD" w:rsidRPr="00693533" w:rsidRDefault="00693533">
    <w:pPr>
      <w:pStyle w:val="Sidhuvud"/>
    </w:pPr>
    <w:r w:rsidRPr="006935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6361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7CD" w:rsidRDefault="006657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57CD" w:rsidRDefault="006657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7CD" w:rsidRPr="00693533" w:rsidRDefault="006657CD">
    <w:pPr>
      <w:pStyle w:val="FSHNormal"/>
      <w:tabs>
        <w:tab w:val="right" w:pos="5840"/>
      </w:tabs>
    </w:pPr>
    <w:r w:rsidRPr="00693533">
      <w:br/>
    </w:r>
    <w:r w:rsidRPr="00693533">
      <w:fldChar w:fldCharType="begin" w:fldLock="1"/>
    </w:r>
    <w:r w:rsidRPr="00693533">
      <w:instrText xml:space="preserve"> DOCPROPERTY</w:instrText>
    </w:r>
    <w:r w:rsidRPr="00693533">
      <w:rPr>
        <w:sz w:val="18"/>
      </w:rPr>
      <w:instrText xml:space="preserve"> "YearUser" *\charformat </w:instrText>
    </w:r>
    <w:r w:rsidRPr="00693533">
      <w:fldChar w:fldCharType="separate"/>
    </w:r>
    <w:r w:rsidRPr="00693533">
      <w:t>2007/08</w:t>
    </w:r>
    <w:r w:rsidRPr="00693533">
      <w:fldChar w:fldCharType="end"/>
    </w:r>
    <w:r w:rsidRPr="00693533">
      <w:t xml:space="preserve"> </w:t>
    </w:r>
    <w:r w:rsidRPr="00693533">
      <w:tab/>
      <w:t xml:space="preserve">mnr: </w:t>
    </w:r>
    <w:r w:rsidRPr="00693533">
      <w:fldChar w:fldCharType="begin" w:fldLock="1"/>
    </w:r>
    <w:r w:rsidRPr="00693533">
      <w:instrText xml:space="preserve"> DOCPROPERTY</w:instrText>
    </w:r>
    <w:r w:rsidRPr="00693533">
      <w:rPr>
        <w:sz w:val="18"/>
      </w:rPr>
      <w:instrText xml:space="preserve"> "Motionsnummer" *\charformat </w:instrText>
    </w:r>
    <w:r w:rsidRPr="00693533">
      <w:fldChar w:fldCharType="separate"/>
    </w:r>
    <w:r w:rsidRPr="00693533">
      <w:t>Ju386</w:t>
    </w:r>
    <w:r w:rsidRPr="00693533">
      <w:fldChar w:fldCharType="end"/>
    </w:r>
    <w:r w:rsidRPr="00693533">
      <w:br/>
    </w:r>
    <w:r w:rsidRPr="00693533">
      <w:fldChar w:fldCharType="begin" w:fldLock="1"/>
    </w:r>
    <w:r w:rsidRPr="00693533">
      <w:instrText xml:space="preserve"> DOCPROPERTY</w:instrText>
    </w:r>
    <w:r w:rsidRPr="00693533">
      <w:rPr>
        <w:sz w:val="18"/>
      </w:rPr>
      <w:instrText xml:space="preserve"> "Samling" *\charformat </w:instrText>
    </w:r>
    <w:r w:rsidRPr="00693533">
      <w:fldChar w:fldCharType="end"/>
    </w:r>
    <w:r w:rsidRPr="00693533">
      <w:tab/>
      <w:t xml:space="preserve">pnr: </w:t>
    </w:r>
    <w:r w:rsidRPr="00693533">
      <w:fldChar w:fldCharType="begin" w:fldLock="1"/>
    </w:r>
    <w:r w:rsidRPr="00693533">
      <w:instrText xml:space="preserve"> DOCPROPERTY</w:instrText>
    </w:r>
    <w:r w:rsidRPr="00693533">
      <w:rPr>
        <w:sz w:val="18"/>
      </w:rPr>
      <w:instrText xml:space="preserve"> "Partinummer" *\charformat </w:instrText>
    </w:r>
    <w:r w:rsidRPr="00693533">
      <w:fldChar w:fldCharType="separate"/>
    </w:r>
    <w:r w:rsidRPr="00693533">
      <w:t>m1684</w:t>
    </w:r>
    <w:r w:rsidRPr="00693533">
      <w:fldChar w:fldCharType="end"/>
    </w:r>
  </w:p>
  <w:p w:rsidR="006657CD" w:rsidRPr="00693533" w:rsidRDefault="006657CD">
    <w:pPr>
      <w:pStyle w:val="FSHRub1"/>
    </w:pPr>
    <w:r w:rsidRPr="00693533">
      <w:t>Motion till riksdagen</w:t>
    </w:r>
    <w:r w:rsidRPr="00693533">
      <w:br/>
    </w:r>
    <w:r w:rsidRPr="00693533">
      <w:fldChar w:fldCharType="begin" w:fldLock="1"/>
    </w:r>
    <w:r w:rsidRPr="00693533">
      <w:instrText xml:space="preserve"> DOCPROPERTY "YearUser" *\charformat </w:instrText>
    </w:r>
    <w:r w:rsidRPr="00693533">
      <w:fldChar w:fldCharType="separate"/>
    </w:r>
    <w:r w:rsidRPr="00693533">
      <w:t>2007/08</w:t>
    </w:r>
    <w:r w:rsidRPr="00693533">
      <w:fldChar w:fldCharType="end"/>
    </w:r>
    <w:r w:rsidRPr="00693533">
      <w:t>:</w:t>
    </w:r>
    <w:r w:rsidRPr="00693533">
      <w:fldChar w:fldCharType="begin" w:fldLock="1"/>
    </w:r>
    <w:r w:rsidRPr="00693533">
      <w:instrText xml:space="preserve"> DOCPROPERTY "Motionsnummer" *\charformat </w:instrText>
    </w:r>
    <w:r w:rsidRPr="00693533">
      <w:fldChar w:fldCharType="separate"/>
    </w:r>
    <w:r w:rsidRPr="00693533">
      <w:t>Ju386</w:t>
    </w:r>
    <w:r w:rsidRPr="00693533">
      <w:fldChar w:fldCharType="end"/>
    </w:r>
  </w:p>
  <w:p w:rsidR="006657CD" w:rsidRPr="00693533" w:rsidRDefault="006657CD">
    <w:pPr>
      <w:pStyle w:val="FSHNormalS5"/>
    </w:pPr>
    <w:r w:rsidRPr="00693533">
      <w:fldChar w:fldCharType="begin" w:fldLock="1"/>
    </w:r>
    <w:r w:rsidRPr="00693533">
      <w:instrText xml:space="preserve"> DOCPROPERTY "MotionarText" *\charformat </w:instrText>
    </w:r>
    <w:r w:rsidRPr="00693533">
      <w:fldChar w:fldCharType="separate"/>
    </w:r>
    <w:r w:rsidRPr="00693533">
      <w:t>av Anna König Jerlmyr (m)</w:t>
    </w:r>
    <w:r w:rsidRPr="00693533">
      <w:fldChar w:fldCharType="end"/>
    </w:r>
    <w:r w:rsidRPr="00693533">
      <w:br/>
    </w:r>
    <w:r w:rsidRPr="00693533">
      <w:fldChar w:fldCharType="begin" w:fldLock="1"/>
    </w:r>
    <w:r w:rsidRPr="00693533">
      <w:instrText xml:space="preserve"> DOCPROPERTY "SvarFrasKort" *\charformat </w:instrText>
    </w:r>
    <w:r w:rsidRPr="00693533">
      <w:fldChar w:fldCharType="end"/>
    </w:r>
  </w:p>
  <w:p w:rsidR="006657CD" w:rsidRPr="00693533" w:rsidRDefault="006657CD">
    <w:pPr>
      <w:pStyle w:val="FSHTitel"/>
    </w:pPr>
    <w:r w:rsidRPr="00693533">
      <w:fldChar w:fldCharType="begin" w:fldLock="1"/>
    </w:r>
    <w:r w:rsidRPr="00693533">
      <w:instrText xml:space="preserve"> DOCPROPERTY</w:instrText>
    </w:r>
    <w:r w:rsidRPr="00693533">
      <w:rPr>
        <w:sz w:val="18"/>
      </w:rPr>
      <w:instrText xml:space="preserve"> "RubrikSvar" *\charformat </w:instrText>
    </w:r>
    <w:r w:rsidRPr="00693533">
      <w:fldChar w:fldCharType="separate"/>
    </w:r>
    <w:r w:rsidRPr="00693533">
      <w:t>Förebyggande och motverkande åtgärder för våldtäktsbrott</w:t>
    </w:r>
    <w:r w:rsidRPr="00693533">
      <w:fldChar w:fldCharType="end"/>
    </w:r>
  </w:p>
  <w:p w:rsidR="006657CD" w:rsidRPr="00693533" w:rsidRDefault="006657CD">
    <w:pPr>
      <w:pStyle w:val="Normal00"/>
    </w:pPr>
  </w:p>
  <w:p w:rsidR="006657CD" w:rsidRPr="00693533" w:rsidRDefault="006657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E65B67"/>
    <w:multiLevelType w:val="hybridMultilevel"/>
    <w:tmpl w:val="32565A8E"/>
    <w:lvl w:ilvl="0" w:tplc="64D01B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4566179">
    <w:abstractNumId w:val="8"/>
  </w:num>
  <w:num w:numId="2" w16cid:durableId="313875987">
    <w:abstractNumId w:val="9"/>
  </w:num>
  <w:num w:numId="3" w16cid:durableId="1393499274">
    <w:abstractNumId w:val="8"/>
  </w:num>
  <w:num w:numId="4" w16cid:durableId="24988229">
    <w:abstractNumId w:val="9"/>
  </w:num>
  <w:num w:numId="5" w16cid:durableId="1862619636">
    <w:abstractNumId w:val="13"/>
  </w:num>
  <w:num w:numId="6" w16cid:durableId="964040607">
    <w:abstractNumId w:val="10"/>
  </w:num>
  <w:num w:numId="7" w16cid:durableId="1802531803">
    <w:abstractNumId w:val="11"/>
  </w:num>
  <w:num w:numId="8" w16cid:durableId="1853837262">
    <w:abstractNumId w:val="12"/>
  </w:num>
  <w:num w:numId="9" w16cid:durableId="1252737011">
    <w:abstractNumId w:val="8"/>
  </w:num>
  <w:num w:numId="10" w16cid:durableId="284895668">
    <w:abstractNumId w:val="3"/>
  </w:num>
  <w:num w:numId="11" w16cid:durableId="162672726">
    <w:abstractNumId w:val="2"/>
  </w:num>
  <w:num w:numId="12" w16cid:durableId="117184300">
    <w:abstractNumId w:val="1"/>
  </w:num>
  <w:num w:numId="13" w16cid:durableId="474028765">
    <w:abstractNumId w:val="0"/>
  </w:num>
  <w:num w:numId="14" w16cid:durableId="1364860786">
    <w:abstractNumId w:val="9"/>
  </w:num>
  <w:num w:numId="15" w16cid:durableId="288587439">
    <w:abstractNumId w:val="7"/>
  </w:num>
  <w:num w:numId="16" w16cid:durableId="1104303657">
    <w:abstractNumId w:val="6"/>
  </w:num>
  <w:num w:numId="17" w16cid:durableId="946617097">
    <w:abstractNumId w:val="5"/>
  </w:num>
  <w:num w:numId="18" w16cid:durableId="2132438667">
    <w:abstractNumId w:val="4"/>
  </w:num>
  <w:num w:numId="19" w16cid:durableId="2529740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4D6B42B-19EB-40BF-AC31-478ABCAAB661}"/>
  </w:docVars>
  <w:rsids>
    <w:rsidRoot w:val="001846ED"/>
    <w:rsid w:val="001846ED"/>
    <w:rsid w:val="006657CD"/>
    <w:rsid w:val="006935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1E76F3-05AE-45E7-95CB-B209F1A6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link w:val="FotnotstextChar"/>
    <w:pPr>
      <w:spacing w:before="0" w:line="200" w:lineRule="exact"/>
    </w:pPr>
    <w:rPr>
      <w:sz w:val="16"/>
    </w:rPr>
  </w:style>
  <w:style w:type="character" w:styleId="Fotnotsreferens">
    <w:name w:val="footnote reference"/>
    <w:basedOn w:val="Standardstycketeckensnitt"/>
    <w:semiHidden/>
    <w:rPr>
      <w:vertAlign w:val="superscript"/>
    </w:rPr>
  </w:style>
  <w:style w:type="character" w:customStyle="1" w:styleId="FotnotstextChar">
    <w:name w:val="Fotnotstext Char"/>
    <w:basedOn w:val="Standardstycketeckensnitt"/>
    <w:link w:val="Fotnotstext"/>
    <w:rPr>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1799</Words>
  <Characters>9896</Characters>
  <Application>Microsoft Office Word</Application>
  <DocSecurity>4</DocSecurity>
  <Lines>183</Lines>
  <Paragraphs>48</Paragraphs>
  <ScaleCrop>false</ScaleCrop>
  <HeadingPairs>
    <vt:vector size="2" baseType="variant">
      <vt:variant>
        <vt:lpstr>Rubrik</vt:lpstr>
      </vt:variant>
      <vt:variant>
        <vt:i4>1</vt:i4>
      </vt:variant>
    </vt:vector>
  </HeadingPairs>
  <TitlesOfParts>
    <vt:vector size="1" baseType="lpstr">
      <vt:lpstr>m1684</vt:lpstr>
    </vt:vector>
  </TitlesOfParts>
  <Company>Riksdagen</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m1684</dc:title>
  <dc:subject>m1684</dc:subject>
  <dc:creator>Riksdagen</dc:creator>
  <cp:keywords>Riksdagen</cp:keywords>
  <dc:description>TKG-ktrl, MSMQ4mb, PersReg-Distribution mm</dc:description>
  <cp:lastModifiedBy>Lars Brink</cp:lastModifiedBy>
  <cp:revision>2</cp:revision>
  <cp:lastPrinted>2007-12-05T16:27:00Z</cp:lastPrinted>
  <dcterms:created xsi:type="dcterms:W3CDTF">2025-12-17T05:54:00Z</dcterms:created>
  <dcterms:modified xsi:type="dcterms:W3CDTF">2025-12-17T05:54:00Z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Förebyggande och motverkande åtgärder för våldtäktsbrott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och motverkande åtgärder för våldtäktsbrott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Ju386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20072008000000000109000016840069</vt:lpwstr>
  </property>
  <property fmtid="{D5CDD505-2E9C-101B-9397-08002B2CF9AE}" pid="47" name="datum">
    <vt:lpwstr>071004</vt:lpwstr>
  </property>
  <property fmtid="{D5CDD505-2E9C-101B-9397-08002B2CF9AE}" pid="48" name="avsändar-e-post">
    <vt:lpwstr>marcus.hartmann@riksdagen.se</vt:lpwstr>
  </property>
  <property fmtid="{D5CDD505-2E9C-101B-9397-08002B2CF9AE}" pid="49" name="id">
    <vt:lpwstr>20072008000000000109000016840069</vt:lpwstr>
  </property>
  <property fmtid="{D5CDD505-2E9C-101B-9397-08002B2CF9AE}" pid="50" name="nummer">
    <vt:lpwstr>386</vt:lpwstr>
  </property>
  <property fmtid="{D5CDD505-2E9C-101B-9397-08002B2CF9AE}" pid="51" name="utskottsbeteckning">
    <vt:lpwstr>Ju</vt:lpwstr>
  </property>
  <property fmtid="{D5CDD505-2E9C-101B-9397-08002B2CF9AE}" pid="52" name="GlobalUID">
    <vt:lpwstr>{8A975C1C-A34E-4176-9134-1CF564C8B4A3}</vt:lpwstr>
  </property>
  <property fmtid="{D5CDD505-2E9C-101B-9397-08002B2CF9AE}" pid="53" name="Överföringar">
    <vt:i4>0</vt:i4>
  </property>
  <property fmtid="{D5CDD505-2E9C-101B-9397-08002B2CF9AE}" pid="54" name="Checksum">
    <vt:lpwstr>*1018802554620*</vt:lpwstr>
  </property>
  <property fmtid="{D5CDD505-2E9C-101B-9397-08002B2CF9AE}" pid="55" name="skuggnummer">
    <vt:lpwstr>2327</vt:lpwstr>
  </property>
  <property fmtid="{D5CDD505-2E9C-101B-9397-08002B2CF9AE}" pid="56" name="urixVersion">
    <vt:lpwstr>3.2.0.8</vt:lpwstr>
  </property>
  <property fmtid="{D5CDD505-2E9C-101B-9397-08002B2CF9AE}" pid="57" name="urixOrigin">
    <vt:lpwstr>071205 17:28:07.856</vt:lpwstr>
  </property>
  <property fmtid="{D5CDD505-2E9C-101B-9397-08002B2CF9AE}" pid="58" name="urixGuid">
    <vt:lpwstr>{B8903858-6BC6-47CE-BE20-DA1405603A68}</vt:lpwstr>
  </property>
</Properties>
</file>