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305" w:rsidRPr="00E57305" w:rsidRDefault="00E57305">
      <w:pPr>
        <w:pStyle w:val="Frslagsrubrik"/>
      </w:pPr>
      <w:bookmarkStart w:id="0" w:name="_Toc241137849"/>
      <w:bookmarkStart w:id="1" w:name="_Toc241655965"/>
      <w:bookmarkStart w:id="2" w:name="_Toc241656201"/>
      <w:bookmarkStart w:id="3" w:name="_Toc241656320"/>
      <w:bookmarkStart w:id="4" w:name="_Toc241656563"/>
      <w:bookmarkStart w:id="5" w:name="_Toc241656644"/>
      <w:bookmarkStart w:id="6" w:name="_Toc241656707"/>
      <w:r w:rsidRPr="00E57305">
        <w:t>Förslag till riksdagsbeslut</w:t>
      </w:r>
    </w:p>
    <w:p w:rsidR="00E57305" w:rsidRPr="00E57305" w:rsidRDefault="00E57305">
      <w:pPr>
        <w:pStyle w:val="Hemstlatt"/>
      </w:pPr>
      <w:r w:rsidRPr="00E57305">
        <w:t>Riksdagen begär att regeringen återkommer med ett tydliggörande i lagen om anställningsskydd (LAS) om att företrädesrätten inte får sättas ur spel när arbetsgivare hyr in personal från bemanningsför</w:t>
      </w:r>
      <w:r w:rsidRPr="00E57305">
        <w:t>e</w:t>
      </w:r>
      <w:r w:rsidRPr="00E57305">
        <w:t>tag.</w:t>
      </w:r>
    </w:p>
    <w:bookmarkEnd w:id="0"/>
    <w:bookmarkEnd w:id="1"/>
    <w:bookmarkEnd w:id="2"/>
    <w:bookmarkEnd w:id="3"/>
    <w:bookmarkEnd w:id="4"/>
    <w:bookmarkEnd w:id="5"/>
    <w:bookmarkEnd w:id="6"/>
    <w:p w:rsidR="00E57305" w:rsidRPr="00E57305" w:rsidRDefault="00E57305">
      <w:pPr>
        <w:pStyle w:val="Rubrik1"/>
      </w:pPr>
      <w:r w:rsidRPr="00E57305">
        <w:t>Motivering</w:t>
      </w:r>
    </w:p>
    <w:p w:rsidR="00E57305" w:rsidRPr="00E57305" w:rsidRDefault="00E57305">
      <w:pPr>
        <w:rPr>
          <w:color w:val="000000"/>
          <w:szCs w:val="24"/>
        </w:rPr>
      </w:pPr>
      <w:r w:rsidRPr="00E57305">
        <w:rPr>
          <w:color w:val="000000"/>
          <w:szCs w:val="24"/>
        </w:rPr>
        <w:t xml:space="preserve">Arbetsdomstolens praxis innebär att det normalt sett inte sker någon prövning av saklig grund när arbetsgivare säger upp p.g.a. arbetsbrist. </w:t>
      </w:r>
      <w:r w:rsidRPr="00E57305">
        <w:t>Sedan Arbet</w:t>
      </w:r>
      <w:r w:rsidRPr="00E57305">
        <w:t>s</w:t>
      </w:r>
      <w:r w:rsidRPr="00E57305">
        <w:t xml:space="preserve">domstolens dom i det s.k. Abu Garcia-målet år 2003 har det stått klart att det är tillåtet att säga upp anställda och anlita helt andra personer för att utföra deras jobb, så länge de hyrs in från ett bemanningsföretag. </w:t>
      </w:r>
      <w:r w:rsidRPr="00E57305">
        <w:rPr>
          <w:color w:val="000000"/>
          <w:szCs w:val="24"/>
        </w:rPr>
        <w:t>Arbetsgivare kan i dag därmed kringgå LAS genom att hävda att de av ekonomiska, tekniska eller organisatoriska skäl inte ska ha kvar sina anställda och i stället ska a</w:t>
      </w:r>
      <w:r w:rsidRPr="00E57305">
        <w:rPr>
          <w:color w:val="000000"/>
          <w:szCs w:val="24"/>
        </w:rPr>
        <w:t>n</w:t>
      </w:r>
      <w:r w:rsidRPr="00E57305">
        <w:rPr>
          <w:color w:val="000000"/>
          <w:szCs w:val="24"/>
        </w:rPr>
        <w:t xml:space="preserve">vända inhyrd arbetskraft från bemanningsföretag. </w:t>
      </w:r>
      <w:r w:rsidRPr="00E57305">
        <w:t>Företrädesrätten till återa</w:t>
      </w:r>
      <w:r w:rsidRPr="00E57305">
        <w:t>n</w:t>
      </w:r>
      <w:r w:rsidRPr="00E57305">
        <w:t>ställning sätts därmed ur spel.</w:t>
      </w:r>
    </w:p>
    <w:p w:rsidR="00E57305" w:rsidRPr="00E57305" w:rsidRDefault="00E57305">
      <w:pPr>
        <w:pStyle w:val="Normaltindrag"/>
        <w:rPr>
          <w:color w:val="000000"/>
          <w:szCs w:val="24"/>
        </w:rPr>
      </w:pPr>
      <w:r w:rsidRPr="00E57305">
        <w:rPr>
          <w:color w:val="000000"/>
          <w:szCs w:val="24"/>
        </w:rPr>
        <w:t xml:space="preserve">Om </w:t>
      </w:r>
      <w:r w:rsidRPr="00E57305">
        <w:rPr>
          <w:color w:val="000000"/>
          <w:szCs w:val="24"/>
        </w:rPr>
        <w:t>det inte finns någon företrädesrätt till återanställning för dem som bl</w:t>
      </w:r>
      <w:r w:rsidRPr="00E57305">
        <w:rPr>
          <w:color w:val="000000"/>
          <w:szCs w:val="24"/>
        </w:rPr>
        <w:t>i</w:t>
      </w:r>
      <w:r w:rsidRPr="00E57305">
        <w:rPr>
          <w:color w:val="000000"/>
          <w:szCs w:val="24"/>
        </w:rPr>
        <w:t xml:space="preserve">vit uppsagda sätts också anställningsskyddet ur spel. </w:t>
      </w:r>
      <w:r w:rsidRPr="00E57305">
        <w:t>Under de senaste åren har de långtgående konsekvenserna av denna lucka i lagen blivit alltmer u</w:t>
      </w:r>
      <w:r w:rsidRPr="00E57305">
        <w:t>p</w:t>
      </w:r>
      <w:r w:rsidRPr="00E57305">
        <w:t>penbara.</w:t>
      </w:r>
      <w:r w:rsidRPr="00E57305">
        <w:rPr>
          <w:color w:val="000000"/>
          <w:szCs w:val="24"/>
        </w:rPr>
        <w:t xml:space="preserve"> </w:t>
      </w:r>
      <w:r w:rsidRPr="00E57305">
        <w:t>I flera uppmärk</w:t>
      </w:r>
      <w:r w:rsidRPr="00E57305">
        <w:softHyphen/>
        <w:t>sammade fall har arbetsgivare sagt upp, eller hotat med att säga upp, fast anställd personal för att ersätta dem med inhyrd arbet</w:t>
      </w:r>
      <w:r w:rsidRPr="00E57305">
        <w:t>s</w:t>
      </w:r>
      <w:r w:rsidRPr="00E57305">
        <w:t>kraft. Hotet att ersätta de anställda med inhyrda har använts i utpressningssy</w:t>
      </w:r>
      <w:r w:rsidRPr="00E57305">
        <w:t>f</w:t>
      </w:r>
      <w:r w:rsidRPr="00E57305">
        <w:t xml:space="preserve">te, för att förhandla ned lokala kollektivavtal och för </w:t>
      </w:r>
      <w:r w:rsidRPr="00E57305">
        <w:t>att kunna säga upp a</w:t>
      </w:r>
      <w:r w:rsidRPr="00E57305">
        <w:t>n</w:t>
      </w:r>
      <w:r w:rsidRPr="00E57305">
        <w:t>ställda utan hänsyn till sedvanliga regler om anställningstid och kvalifikati</w:t>
      </w:r>
      <w:r w:rsidRPr="00E57305">
        <w:t>o</w:t>
      </w:r>
      <w:r w:rsidRPr="00E57305">
        <w:t>ner. En av de viktigaste funktionerna med företrädesrätten till återanställning i LAS är just att förhindra att uppsägningar används för att tysta ”obekväma” anställda och för att pressa ner villkoren i kollektivavtalen. Att det saknas ett uttryckligt förbud mot att kringgå återanställningsrätten genom att anlita b</w:t>
      </w:r>
      <w:r w:rsidRPr="00E57305">
        <w:t>e</w:t>
      </w:r>
      <w:r w:rsidRPr="00E57305">
        <w:t>manningsföretag strider därför mot lagens syfte.</w:t>
      </w:r>
    </w:p>
    <w:p w:rsidR="00E57305" w:rsidRPr="00E57305" w:rsidRDefault="00E57305">
      <w:pPr>
        <w:pStyle w:val="Normaltindrag"/>
      </w:pPr>
      <w:r w:rsidRPr="00E57305">
        <w:lastRenderedPageBreak/>
        <w:t>Allt fler arbetsgivare kringgår företrädesrätte</w:t>
      </w:r>
      <w:r w:rsidRPr="00E57305">
        <w:t>n till återanställning genom att först säga upp anställda och därefter ta in inhyrda från bemanningsföretag. Listan över företag som på ett orimligt sätt utnyttjat luckan i LAS kan göras lång. Så var det inte tänkt. När LAS skrevs var bemanningsföretag förbjudna och ingen kunde tänka sig dagens situation.</w:t>
      </w:r>
    </w:p>
    <w:p w:rsidR="00E57305" w:rsidRPr="00E57305" w:rsidRDefault="00E57305">
      <w:pPr>
        <w:pStyle w:val="Normaltindrag"/>
      </w:pPr>
      <w:r w:rsidRPr="00E57305">
        <w:t>Vänsterpartiet anser därför att LAS bör kompletteras med en tydlig skri</w:t>
      </w:r>
      <w:r w:rsidRPr="00E57305">
        <w:t>v</w:t>
      </w:r>
      <w:r w:rsidRPr="00E57305">
        <w:t>ning där det uttryckligen framgår att det inte är tillåtet att hyra in arbetskraft från bemanningsföretag när det finns tidigare anställda som har företrädesrätt till återanställning. Företrädesrätten till återanställning får inte sättas ur spel när arbetsgivare hyr in personal från bemanningsföretag. Regeringen bör därför återkomma med tydliggörande i LAS om att företrädesrätten inte får sättas ur spel när arbetsgivare hyr in personal från bemanningsföretag.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305">
        <w:trPr>
          <w:cantSplit/>
        </w:trPr>
        <w:tc>
          <w:tcPr>
            <w:tcW w:w="3046" w:type="dxa"/>
          </w:tcPr>
          <w:p w:rsidR="00E57305" w:rsidRPr="00E57305" w:rsidRDefault="00E57305">
            <w:pPr>
              <w:pStyle w:val="UnderskriftDatum"/>
              <w:spacing w:before="240"/>
            </w:pPr>
            <w:r w:rsidRPr="00E57305">
              <w:t>Stockholm den 19 oktober 2010</w:t>
            </w:r>
          </w:p>
        </w:tc>
        <w:tc>
          <w:tcPr>
            <w:tcW w:w="3047" w:type="dxa"/>
          </w:tcPr>
          <w:p w:rsidR="00E57305" w:rsidRPr="00E57305" w:rsidRDefault="00E57305">
            <w:pPr>
              <w:pStyle w:val="Underskrifter"/>
              <w:spacing w:before="240"/>
            </w:pPr>
          </w:p>
        </w:tc>
      </w:tr>
      <w:tr w:rsidR="00000000" w:rsidRPr="00E57305">
        <w:trPr>
          <w:cantSplit/>
        </w:trPr>
        <w:tc>
          <w:tcPr>
            <w:tcW w:w="3046" w:type="dxa"/>
          </w:tcPr>
          <w:p w:rsidR="00E57305" w:rsidRPr="00E57305" w:rsidRDefault="00E57305">
            <w:pPr>
              <w:pStyle w:val="Underskrifter"/>
            </w:pPr>
            <w:r w:rsidRPr="00E57305">
              <w:t>Josefin Brink (V)</w:t>
            </w:r>
          </w:p>
        </w:tc>
        <w:tc>
          <w:tcPr>
            <w:tcW w:w="3046" w:type="dxa"/>
          </w:tcPr>
          <w:p w:rsidR="00E57305" w:rsidRPr="00E57305" w:rsidRDefault="00E57305">
            <w:pPr>
              <w:pStyle w:val="Underskrifter"/>
            </w:pPr>
          </w:p>
        </w:tc>
      </w:tr>
      <w:tr w:rsidR="00000000" w:rsidRPr="00E57305">
        <w:trPr>
          <w:cantSplit/>
        </w:trPr>
        <w:tc>
          <w:tcPr>
            <w:tcW w:w="3046" w:type="dxa"/>
          </w:tcPr>
          <w:p w:rsidR="00E57305" w:rsidRPr="00E57305" w:rsidRDefault="00E57305">
            <w:pPr>
              <w:pStyle w:val="Underskrifter"/>
            </w:pPr>
            <w:r w:rsidRPr="00E57305">
              <w:t>Ulla Andersson (V)</w:t>
            </w:r>
          </w:p>
        </w:tc>
        <w:tc>
          <w:tcPr>
            <w:tcW w:w="3046" w:type="dxa"/>
          </w:tcPr>
          <w:p w:rsidR="00E57305" w:rsidRPr="00E57305" w:rsidRDefault="00E57305">
            <w:pPr>
              <w:pStyle w:val="Underskrifter"/>
            </w:pPr>
            <w:r w:rsidRPr="00E57305">
              <w:t>Rossana Dinamarca (V)</w:t>
            </w:r>
          </w:p>
        </w:tc>
      </w:tr>
      <w:tr w:rsidR="00000000" w:rsidRPr="00E57305">
        <w:trPr>
          <w:cantSplit/>
        </w:trPr>
        <w:tc>
          <w:tcPr>
            <w:tcW w:w="3046" w:type="dxa"/>
          </w:tcPr>
          <w:p w:rsidR="00E57305" w:rsidRPr="00E57305" w:rsidRDefault="00E57305">
            <w:pPr>
              <w:pStyle w:val="Underskrifter"/>
            </w:pPr>
            <w:r w:rsidRPr="00E57305">
              <w:t>Christina Höj Larsen (V)</w:t>
            </w:r>
          </w:p>
        </w:tc>
        <w:tc>
          <w:tcPr>
            <w:tcW w:w="3046" w:type="dxa"/>
          </w:tcPr>
          <w:p w:rsidR="00E57305" w:rsidRPr="00E57305" w:rsidRDefault="00E57305">
            <w:pPr>
              <w:pStyle w:val="Underskrifter"/>
            </w:pPr>
            <w:r w:rsidRPr="00E57305">
              <w:t>Wiwi-Anne Johansson (V)</w:t>
            </w:r>
          </w:p>
        </w:tc>
      </w:tr>
      <w:tr w:rsidR="00000000" w:rsidRPr="00E57305">
        <w:trPr>
          <w:cantSplit/>
        </w:trPr>
        <w:tc>
          <w:tcPr>
            <w:tcW w:w="3046" w:type="dxa"/>
          </w:tcPr>
          <w:p w:rsidR="00E57305" w:rsidRPr="00E57305" w:rsidRDefault="00E57305">
            <w:pPr>
              <w:pStyle w:val="Underskrifter"/>
            </w:pPr>
            <w:r w:rsidRPr="00E57305">
              <w:t>Jacob Johnson (V)</w:t>
            </w:r>
          </w:p>
        </w:tc>
        <w:tc>
          <w:tcPr>
            <w:tcW w:w="3046" w:type="dxa"/>
          </w:tcPr>
          <w:p w:rsidR="00E57305" w:rsidRPr="00E57305" w:rsidRDefault="00E57305">
            <w:pPr>
              <w:pStyle w:val="Underskrifter"/>
            </w:pPr>
          </w:p>
        </w:tc>
      </w:tr>
    </w:tbl>
    <w:p w:rsidR="00E57305" w:rsidRPr="00E57305" w:rsidRDefault="00E57305">
      <w:pPr>
        <w:pStyle w:val="Normaltindrag"/>
      </w:pPr>
    </w:p>
    <w:sectPr w:rsidR="00000000" w:rsidRPr="00E57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305" w:rsidRPr="00E57305" w:rsidRDefault="00E57305">
      <w:r w:rsidRPr="00E57305">
        <w:separator/>
      </w:r>
    </w:p>
  </w:endnote>
  <w:endnote w:type="continuationSeparator" w:id="0">
    <w:p w:rsidR="00E57305" w:rsidRPr="00E57305" w:rsidRDefault="00E57305">
      <w:r w:rsidRPr="00E57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fot"/>
    </w:pPr>
    <w:r w:rsidRPr="00E57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257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305" w:rsidRDefault="00E573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fot"/>
    </w:pPr>
    <w:r w:rsidRPr="00E57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032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305" w:rsidRDefault="00E57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fot"/>
    </w:pPr>
    <w:r w:rsidRPr="00E57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114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305" w:rsidRDefault="00E57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305" w:rsidRPr="00E57305" w:rsidRDefault="00E57305">
      <w:r w:rsidRPr="00E57305">
        <w:separator/>
      </w:r>
    </w:p>
  </w:footnote>
  <w:footnote w:type="continuationSeparator" w:id="0">
    <w:p w:rsidR="00E57305" w:rsidRPr="00E57305" w:rsidRDefault="00E57305">
      <w:r w:rsidRPr="00E57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huvud"/>
    </w:pPr>
    <w:r w:rsidRPr="00E57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691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305" w:rsidRDefault="00E573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Sidhuvud"/>
    </w:pPr>
    <w:r w:rsidRPr="00E57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664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305" w:rsidRDefault="00E573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305" w:rsidRDefault="00E573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305" w:rsidRPr="00E57305" w:rsidRDefault="00E57305">
    <w:pPr>
      <w:pStyle w:val="FSHNormal"/>
      <w:tabs>
        <w:tab w:val="right" w:pos="5840"/>
      </w:tabs>
    </w:pPr>
    <w:r w:rsidRPr="00E57305">
      <w:br/>
    </w:r>
    <w:r w:rsidRPr="00E57305">
      <w:fldChar w:fldCharType="begin" w:fldLock="1"/>
    </w:r>
    <w:r w:rsidRPr="00E57305">
      <w:instrText xml:space="preserve"> DOCPROPERTY</w:instrText>
    </w:r>
    <w:r w:rsidRPr="00E57305">
      <w:rPr>
        <w:sz w:val="18"/>
      </w:rPr>
      <w:instrText xml:space="preserve"> "YearUser" *\charformat </w:instrText>
    </w:r>
    <w:r w:rsidRPr="00E57305">
      <w:fldChar w:fldCharType="separate"/>
    </w:r>
    <w:r w:rsidRPr="00E57305">
      <w:t>2010/11</w:t>
    </w:r>
    <w:r w:rsidRPr="00E57305">
      <w:fldChar w:fldCharType="end"/>
    </w:r>
    <w:r w:rsidRPr="00E57305">
      <w:t xml:space="preserve"> </w:t>
    </w:r>
    <w:r w:rsidRPr="00E57305">
      <w:tab/>
      <w:t xml:space="preserve">mnr: </w:t>
    </w:r>
    <w:r w:rsidRPr="00E57305">
      <w:fldChar w:fldCharType="begin" w:fldLock="1"/>
    </w:r>
    <w:r w:rsidRPr="00E57305">
      <w:instrText xml:space="preserve"> DOCPROPERTY</w:instrText>
    </w:r>
    <w:r w:rsidRPr="00E57305">
      <w:rPr>
        <w:sz w:val="18"/>
      </w:rPr>
      <w:instrText xml:space="preserve"> "Motionsnummer" *\charformat </w:instrText>
    </w:r>
    <w:r w:rsidRPr="00E57305">
      <w:fldChar w:fldCharType="separate"/>
    </w:r>
    <w:r w:rsidRPr="00E57305">
      <w:t>A257</w:t>
    </w:r>
    <w:r w:rsidRPr="00E57305">
      <w:fldChar w:fldCharType="end"/>
    </w:r>
    <w:r w:rsidRPr="00E57305">
      <w:br/>
    </w:r>
    <w:r w:rsidRPr="00E57305">
      <w:fldChar w:fldCharType="begin" w:fldLock="1"/>
    </w:r>
    <w:r w:rsidRPr="00E57305">
      <w:instrText xml:space="preserve"> DOCPROPERTY</w:instrText>
    </w:r>
    <w:r w:rsidRPr="00E57305">
      <w:rPr>
        <w:sz w:val="18"/>
      </w:rPr>
      <w:instrText xml:space="preserve"> "Samling" *\charformat </w:instrText>
    </w:r>
    <w:r w:rsidRPr="00E57305">
      <w:fldChar w:fldCharType="end"/>
    </w:r>
    <w:r w:rsidRPr="00E57305">
      <w:tab/>
      <w:t xml:space="preserve">pnr: </w:t>
    </w:r>
    <w:r w:rsidRPr="00E57305">
      <w:fldChar w:fldCharType="begin" w:fldLock="1"/>
    </w:r>
    <w:r w:rsidRPr="00E57305">
      <w:instrText xml:space="preserve"> DOCPROPERTY</w:instrText>
    </w:r>
    <w:r w:rsidRPr="00E57305">
      <w:rPr>
        <w:sz w:val="18"/>
      </w:rPr>
      <w:instrText xml:space="preserve"> "Partinummer" *\charformat </w:instrText>
    </w:r>
    <w:r w:rsidRPr="00E57305">
      <w:fldChar w:fldCharType="separate"/>
    </w:r>
    <w:r w:rsidRPr="00E57305">
      <w:t>V306</w:t>
    </w:r>
    <w:r w:rsidRPr="00E57305">
      <w:fldChar w:fldCharType="end"/>
    </w:r>
  </w:p>
  <w:p w:rsidR="00E57305" w:rsidRPr="00E57305" w:rsidRDefault="00E57305">
    <w:pPr>
      <w:pStyle w:val="FSHRub1"/>
    </w:pPr>
    <w:r w:rsidRPr="00E57305">
      <w:t>Motion till riksdagen</w:t>
    </w:r>
    <w:r w:rsidRPr="00E57305">
      <w:br/>
    </w:r>
    <w:r w:rsidRPr="00E57305">
      <w:fldChar w:fldCharType="begin" w:fldLock="1"/>
    </w:r>
    <w:r w:rsidRPr="00E57305">
      <w:instrText xml:space="preserve"> DOCPROPERTY "YearUser" *\charformat </w:instrText>
    </w:r>
    <w:r w:rsidRPr="00E57305">
      <w:fldChar w:fldCharType="separate"/>
    </w:r>
    <w:r w:rsidRPr="00E57305">
      <w:t>2010/11</w:t>
    </w:r>
    <w:r w:rsidRPr="00E57305">
      <w:fldChar w:fldCharType="end"/>
    </w:r>
    <w:r w:rsidRPr="00E57305">
      <w:t>:</w:t>
    </w:r>
    <w:r w:rsidRPr="00E57305">
      <w:fldChar w:fldCharType="begin" w:fldLock="1"/>
    </w:r>
    <w:r w:rsidRPr="00E57305">
      <w:instrText xml:space="preserve"> DOCPROPERTY "Motionsnummer" *\charformat </w:instrText>
    </w:r>
    <w:r w:rsidRPr="00E57305">
      <w:fldChar w:fldCharType="separate"/>
    </w:r>
    <w:r w:rsidRPr="00E57305">
      <w:t>A257</w:t>
    </w:r>
    <w:r w:rsidRPr="00E57305">
      <w:fldChar w:fldCharType="end"/>
    </w:r>
  </w:p>
  <w:p w:rsidR="00E57305" w:rsidRPr="00E57305" w:rsidRDefault="00E57305">
    <w:pPr>
      <w:pStyle w:val="FSHNormalS5"/>
    </w:pPr>
    <w:r w:rsidRPr="00E57305">
      <w:fldChar w:fldCharType="begin" w:fldLock="1"/>
    </w:r>
    <w:r w:rsidRPr="00E57305">
      <w:instrText xml:space="preserve"> DOCPROPERTY "MotionarText" *\charformat </w:instrText>
    </w:r>
    <w:r w:rsidRPr="00E57305">
      <w:fldChar w:fldCharType="separate"/>
    </w:r>
    <w:r w:rsidRPr="00E57305">
      <w:t>av Josefin Brink m.fl. (V)</w:t>
    </w:r>
    <w:r w:rsidRPr="00E57305">
      <w:fldChar w:fldCharType="end"/>
    </w:r>
    <w:r w:rsidRPr="00E57305">
      <w:br/>
    </w:r>
    <w:r w:rsidRPr="00E57305">
      <w:fldChar w:fldCharType="begin" w:fldLock="1"/>
    </w:r>
    <w:r w:rsidRPr="00E57305">
      <w:instrText xml:space="preserve"> DOCPROPERTY "SvarFrasKort" *\charformat </w:instrText>
    </w:r>
    <w:r w:rsidRPr="00E57305">
      <w:fldChar w:fldCharType="end"/>
    </w:r>
  </w:p>
  <w:p w:rsidR="00E57305" w:rsidRPr="00E57305" w:rsidRDefault="00E57305">
    <w:pPr>
      <w:pStyle w:val="FSHTitel"/>
    </w:pPr>
    <w:r w:rsidRPr="00E57305">
      <w:fldChar w:fldCharType="begin" w:fldLock="1"/>
    </w:r>
    <w:r w:rsidRPr="00E57305">
      <w:instrText xml:space="preserve"> DOCPROPERTY</w:instrText>
    </w:r>
    <w:r w:rsidRPr="00E57305">
      <w:rPr>
        <w:sz w:val="18"/>
      </w:rPr>
      <w:instrText xml:space="preserve"> "RubrikSvar" *\charformat </w:instrText>
    </w:r>
    <w:r w:rsidRPr="00E57305">
      <w:fldChar w:fldCharType="separate"/>
    </w:r>
    <w:r w:rsidRPr="00E57305">
      <w:t>Företrädesrätter i LAS</w:t>
    </w:r>
    <w:r w:rsidRPr="00E57305">
      <w:fldChar w:fldCharType="end"/>
    </w:r>
  </w:p>
  <w:p w:rsidR="00E57305" w:rsidRPr="00E57305" w:rsidRDefault="00E57305">
    <w:pPr>
      <w:pStyle w:val="Normal00"/>
    </w:pPr>
  </w:p>
  <w:p w:rsidR="00E57305" w:rsidRPr="00E57305" w:rsidRDefault="00E57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292F7A4">
      <w:start w:val="1"/>
      <w:numFmt w:val="bullet"/>
      <w:lvlText w:val="?"/>
      <w:lvlJc w:val="left"/>
      <w:pPr>
        <w:tabs>
          <w:tab w:val="num" w:pos="720"/>
        </w:tabs>
        <w:ind w:left="720" w:hanging="360"/>
      </w:pPr>
      <w:rPr>
        <w:rFonts w:ascii="Wingdings" w:hAnsi="Wingdings" w:hint="default"/>
      </w:rPr>
    </w:lvl>
    <w:lvl w:ilvl="1" w:tplc="FCBA117A" w:tentative="1">
      <w:start w:val="1"/>
      <w:numFmt w:val="bullet"/>
      <w:lvlText w:val="o"/>
      <w:lvlJc w:val="left"/>
      <w:pPr>
        <w:tabs>
          <w:tab w:val="num" w:pos="1440"/>
        </w:tabs>
        <w:ind w:left="1440" w:hanging="360"/>
      </w:pPr>
      <w:rPr>
        <w:rFonts w:ascii="Courier New" w:hAnsi="Courier New" w:cs="Courier New" w:hint="default"/>
      </w:rPr>
    </w:lvl>
    <w:lvl w:ilvl="2" w:tplc="C818C376" w:tentative="1">
      <w:start w:val="1"/>
      <w:numFmt w:val="bullet"/>
      <w:lvlText w:val="?"/>
      <w:lvlJc w:val="left"/>
      <w:pPr>
        <w:tabs>
          <w:tab w:val="num" w:pos="2160"/>
        </w:tabs>
        <w:ind w:left="2160" w:hanging="360"/>
      </w:pPr>
      <w:rPr>
        <w:rFonts w:ascii="Wingdings" w:hAnsi="Wingdings" w:hint="default"/>
      </w:rPr>
    </w:lvl>
    <w:lvl w:ilvl="3" w:tplc="41245CDA" w:tentative="1">
      <w:start w:val="1"/>
      <w:numFmt w:val="bullet"/>
      <w:lvlText w:val="?"/>
      <w:lvlJc w:val="left"/>
      <w:pPr>
        <w:tabs>
          <w:tab w:val="num" w:pos="2880"/>
        </w:tabs>
        <w:ind w:left="2880" w:hanging="360"/>
      </w:pPr>
      <w:rPr>
        <w:rFonts w:ascii="Symbol" w:hAnsi="Symbol" w:hint="default"/>
      </w:rPr>
    </w:lvl>
    <w:lvl w:ilvl="4" w:tplc="717C0650" w:tentative="1">
      <w:start w:val="1"/>
      <w:numFmt w:val="bullet"/>
      <w:lvlText w:val="o"/>
      <w:lvlJc w:val="left"/>
      <w:pPr>
        <w:tabs>
          <w:tab w:val="num" w:pos="3600"/>
        </w:tabs>
        <w:ind w:left="3600" w:hanging="360"/>
      </w:pPr>
      <w:rPr>
        <w:rFonts w:ascii="Courier New" w:hAnsi="Courier New" w:cs="Courier New" w:hint="default"/>
      </w:rPr>
    </w:lvl>
    <w:lvl w:ilvl="5" w:tplc="8898C0F4" w:tentative="1">
      <w:start w:val="1"/>
      <w:numFmt w:val="bullet"/>
      <w:lvlText w:val="?"/>
      <w:lvlJc w:val="left"/>
      <w:pPr>
        <w:tabs>
          <w:tab w:val="num" w:pos="4320"/>
        </w:tabs>
        <w:ind w:left="4320" w:hanging="360"/>
      </w:pPr>
      <w:rPr>
        <w:rFonts w:ascii="Wingdings" w:hAnsi="Wingdings" w:hint="default"/>
      </w:rPr>
    </w:lvl>
    <w:lvl w:ilvl="6" w:tplc="CFDCAC7E" w:tentative="1">
      <w:start w:val="1"/>
      <w:numFmt w:val="bullet"/>
      <w:lvlText w:val="?"/>
      <w:lvlJc w:val="left"/>
      <w:pPr>
        <w:tabs>
          <w:tab w:val="num" w:pos="5040"/>
        </w:tabs>
        <w:ind w:left="5040" w:hanging="360"/>
      </w:pPr>
      <w:rPr>
        <w:rFonts w:ascii="Symbol" w:hAnsi="Symbol" w:hint="default"/>
      </w:rPr>
    </w:lvl>
    <w:lvl w:ilvl="7" w:tplc="EFECD456" w:tentative="1">
      <w:start w:val="1"/>
      <w:numFmt w:val="bullet"/>
      <w:lvlText w:val="o"/>
      <w:lvlJc w:val="left"/>
      <w:pPr>
        <w:tabs>
          <w:tab w:val="num" w:pos="5760"/>
        </w:tabs>
        <w:ind w:left="5760" w:hanging="360"/>
      </w:pPr>
      <w:rPr>
        <w:rFonts w:ascii="Courier New" w:hAnsi="Courier New" w:cs="Courier New" w:hint="default"/>
      </w:rPr>
    </w:lvl>
    <w:lvl w:ilvl="8" w:tplc="718ED1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220A982">
      <w:start w:val="1"/>
      <w:numFmt w:val="decimal"/>
      <w:lvlText w:val="%1."/>
      <w:lvlJc w:val="left"/>
      <w:pPr>
        <w:tabs>
          <w:tab w:val="num" w:pos="340"/>
        </w:tabs>
        <w:ind w:left="340" w:hanging="340"/>
      </w:pPr>
      <w:rPr>
        <w:rFonts w:cs="Times New Roman"/>
      </w:rPr>
    </w:lvl>
    <w:lvl w:ilvl="1" w:tplc="5066CD78" w:tentative="1">
      <w:start w:val="1"/>
      <w:numFmt w:val="lowerLetter"/>
      <w:lvlText w:val="%2."/>
      <w:lvlJc w:val="left"/>
      <w:pPr>
        <w:tabs>
          <w:tab w:val="num" w:pos="1440"/>
        </w:tabs>
        <w:ind w:left="1440" w:hanging="360"/>
      </w:pPr>
      <w:rPr>
        <w:rFonts w:cs="Times New Roman"/>
      </w:rPr>
    </w:lvl>
    <w:lvl w:ilvl="2" w:tplc="1EC23EF0" w:tentative="1">
      <w:start w:val="1"/>
      <w:numFmt w:val="lowerRoman"/>
      <w:lvlText w:val="%3."/>
      <w:lvlJc w:val="right"/>
      <w:pPr>
        <w:tabs>
          <w:tab w:val="num" w:pos="2160"/>
        </w:tabs>
        <w:ind w:left="2160" w:hanging="180"/>
      </w:pPr>
      <w:rPr>
        <w:rFonts w:cs="Times New Roman"/>
      </w:rPr>
    </w:lvl>
    <w:lvl w:ilvl="3" w:tplc="11E860EE" w:tentative="1">
      <w:start w:val="1"/>
      <w:numFmt w:val="decimal"/>
      <w:lvlText w:val="%4."/>
      <w:lvlJc w:val="left"/>
      <w:pPr>
        <w:tabs>
          <w:tab w:val="num" w:pos="2880"/>
        </w:tabs>
        <w:ind w:left="2880" w:hanging="360"/>
      </w:pPr>
      <w:rPr>
        <w:rFonts w:cs="Times New Roman"/>
      </w:rPr>
    </w:lvl>
    <w:lvl w:ilvl="4" w:tplc="06AEA5A4" w:tentative="1">
      <w:start w:val="1"/>
      <w:numFmt w:val="lowerLetter"/>
      <w:lvlText w:val="%5."/>
      <w:lvlJc w:val="left"/>
      <w:pPr>
        <w:tabs>
          <w:tab w:val="num" w:pos="3600"/>
        </w:tabs>
        <w:ind w:left="3600" w:hanging="360"/>
      </w:pPr>
      <w:rPr>
        <w:rFonts w:cs="Times New Roman"/>
      </w:rPr>
    </w:lvl>
    <w:lvl w:ilvl="5" w:tplc="3850BBD4" w:tentative="1">
      <w:start w:val="1"/>
      <w:numFmt w:val="lowerRoman"/>
      <w:lvlText w:val="%6."/>
      <w:lvlJc w:val="right"/>
      <w:pPr>
        <w:tabs>
          <w:tab w:val="num" w:pos="4320"/>
        </w:tabs>
        <w:ind w:left="4320" w:hanging="180"/>
      </w:pPr>
      <w:rPr>
        <w:rFonts w:cs="Times New Roman"/>
      </w:rPr>
    </w:lvl>
    <w:lvl w:ilvl="6" w:tplc="5678A570" w:tentative="1">
      <w:start w:val="1"/>
      <w:numFmt w:val="decimal"/>
      <w:lvlText w:val="%7."/>
      <w:lvlJc w:val="left"/>
      <w:pPr>
        <w:tabs>
          <w:tab w:val="num" w:pos="5040"/>
        </w:tabs>
        <w:ind w:left="5040" w:hanging="360"/>
      </w:pPr>
      <w:rPr>
        <w:rFonts w:cs="Times New Roman"/>
      </w:rPr>
    </w:lvl>
    <w:lvl w:ilvl="7" w:tplc="38A8D61E" w:tentative="1">
      <w:start w:val="1"/>
      <w:numFmt w:val="lowerLetter"/>
      <w:lvlText w:val="%8."/>
      <w:lvlJc w:val="left"/>
      <w:pPr>
        <w:tabs>
          <w:tab w:val="num" w:pos="5760"/>
        </w:tabs>
        <w:ind w:left="5760" w:hanging="360"/>
      </w:pPr>
      <w:rPr>
        <w:rFonts w:cs="Times New Roman"/>
      </w:rPr>
    </w:lvl>
    <w:lvl w:ilvl="8" w:tplc="FAF88F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AC7666"/>
    <w:multiLevelType w:val="hybridMultilevel"/>
    <w:tmpl w:val="F8600F56"/>
    <w:lvl w:ilvl="0" w:tplc="160E96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6F0C12"/>
    <w:multiLevelType w:val="hybridMultilevel"/>
    <w:tmpl w:val="8586F1DE"/>
    <w:lvl w:ilvl="0" w:tplc="B6C06F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979443">
    <w:abstractNumId w:val="3"/>
  </w:num>
  <w:num w:numId="2" w16cid:durableId="1989430105">
    <w:abstractNumId w:val="2"/>
  </w:num>
  <w:num w:numId="3" w16cid:durableId="1523015796">
    <w:abstractNumId w:val="1"/>
  </w:num>
  <w:num w:numId="4" w16cid:durableId="353193674">
    <w:abstractNumId w:val="0"/>
  </w:num>
  <w:num w:numId="5" w16cid:durableId="1678582305">
    <w:abstractNumId w:val="7"/>
  </w:num>
  <w:num w:numId="6" w16cid:durableId="253167273">
    <w:abstractNumId w:val="6"/>
  </w:num>
  <w:num w:numId="7" w16cid:durableId="1089539284">
    <w:abstractNumId w:val="5"/>
  </w:num>
  <w:num w:numId="8" w16cid:durableId="1476600815">
    <w:abstractNumId w:val="4"/>
  </w:num>
  <w:num w:numId="9" w16cid:durableId="1390759833">
    <w:abstractNumId w:val="8"/>
  </w:num>
  <w:num w:numId="10" w16cid:durableId="1844541810">
    <w:abstractNumId w:val="9"/>
  </w:num>
  <w:num w:numId="11" w16cid:durableId="1257010107">
    <w:abstractNumId w:val="10"/>
  </w:num>
  <w:num w:numId="12" w16cid:durableId="190263239">
    <w:abstractNumId w:val="13"/>
  </w:num>
  <w:num w:numId="13" w16cid:durableId="784079509">
    <w:abstractNumId w:val="15"/>
  </w:num>
  <w:num w:numId="14" w16cid:durableId="127861944">
    <w:abstractNumId w:val="16"/>
  </w:num>
  <w:num w:numId="15" w16cid:durableId="1197473908">
    <w:abstractNumId w:val="11"/>
  </w:num>
  <w:num w:numId="16" w16cid:durableId="155340646">
    <w:abstractNumId w:val="19"/>
  </w:num>
  <w:num w:numId="17" w16cid:durableId="1273587606">
    <w:abstractNumId w:val="17"/>
  </w:num>
  <w:num w:numId="18" w16cid:durableId="637030790">
    <w:abstractNumId w:val="14"/>
  </w:num>
  <w:num w:numId="19" w16cid:durableId="1202672037">
    <w:abstractNumId w:val="12"/>
  </w:num>
  <w:num w:numId="20" w16cid:durableId="2116094261">
    <w:abstractNumId w:val="18"/>
  </w:num>
  <w:num w:numId="21" w16cid:durableId="16715613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3E8E9A56-310F-4C36-91B1-43045BD53986},{9757EBE9-5352-471C-B04A-E35C112BD16A},{A91A0519-8886-4C65-9424-5F1F036166D5},{655152DA-9738-498E-8F40-529248027960},{8AB62037-4390-43A4-8774-82C1A5291ED3},{CDE55E54-9331-43CF-956C-25A3AB2FE7A8}"/>
  </w:docVars>
  <w:rsids>
    <w:rsidRoot w:val="00C01BCB"/>
    <w:rsid w:val="00C01BCB"/>
    <w:rsid w:val="00E57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29A7C6D-FEDE-479E-BBB8-22FE5831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2527</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V306</vt:lpstr>
    </vt:vector>
  </TitlesOfParts>
  <Company>Riksdagen</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V306</dc:title>
  <dc:subject>V306</dc:subject>
  <dc:creator>Riksdagen</dc:creator>
  <cp:keywords>Riksdagen</cp:keywords>
  <dc:description>Versal/gemen i partibeteckning. Gemen i tryck för 0910, versal för 1011 och nyare</dc:description>
  <cp:lastModifiedBy>Lars Brink</cp:lastModifiedBy>
  <cp:revision>2</cp:revision>
  <cp:lastPrinted>2010-11-15T14:12:00Z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Företrädesrätter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Företrädesrätter i LAS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20102011000000000086000003060075</vt:lpwstr>
  </property>
  <property fmtid="{D5CDD505-2E9C-101B-9397-08002B2CF9AE}" pid="47" name="datum">
    <vt:lpwstr>101019</vt:lpwstr>
  </property>
  <property fmtid="{D5CDD505-2E9C-101B-9397-08002B2CF9AE}" pid="48" name="avsändar-e-post">
    <vt:lpwstr>dina.fraggidou@riksdagen.se</vt:lpwstr>
  </property>
  <property fmtid="{D5CDD505-2E9C-101B-9397-08002B2CF9AE}" pid="49" name="id">
    <vt:lpwstr>20102011000000000086000003060075</vt:lpwstr>
  </property>
  <property fmtid="{D5CDD505-2E9C-101B-9397-08002B2CF9AE}" pid="50" name="nummer">
    <vt:lpwstr>257</vt:lpwstr>
  </property>
  <property fmtid="{D5CDD505-2E9C-101B-9397-08002B2CF9AE}" pid="51" name="utskottsbeteckning">
    <vt:lpwstr>A</vt:lpwstr>
  </property>
  <property fmtid="{D5CDD505-2E9C-101B-9397-08002B2CF9AE}" pid="52" name="GlobalUID">
    <vt:lpwstr>{5314B61F-BE7C-49A5-BE53-73352AD9898A}</vt:lpwstr>
  </property>
  <property fmtid="{D5CDD505-2E9C-101B-9397-08002B2CF9AE}" pid="53" name="Överföringar">
    <vt:i4>0</vt:i4>
  </property>
  <property fmtid="{D5CDD505-2E9C-101B-9397-08002B2CF9AE}" pid="54" name="Checksum">
    <vt:lpwstr>*1007127805685*</vt:lpwstr>
  </property>
  <property fmtid="{D5CDD505-2E9C-101B-9397-08002B2CF9AE}" pid="55" name="skuggnummer">
    <vt:lpwstr>734</vt:lpwstr>
  </property>
  <property fmtid="{D5CDD505-2E9C-101B-9397-08002B2CF9AE}" pid="56" name="urixVersion">
    <vt:lpwstr>4.1.1.7</vt:lpwstr>
  </property>
  <property fmtid="{D5CDD505-2E9C-101B-9397-08002B2CF9AE}" pid="57" name="urixOrigin">
    <vt:lpwstr>101115 15:13:06.320</vt:lpwstr>
  </property>
  <property fmtid="{D5CDD505-2E9C-101B-9397-08002B2CF9AE}" pid="58" name="urixGuid">
    <vt:lpwstr>{EC0D4C22-FA92-4B9F-90EC-5271D850FD64}</vt:lpwstr>
  </property>
</Properties>
</file>