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8EA" w:rsidRPr="00CA28EA" w:rsidRDefault="00CA28EA">
      <w:pPr>
        <w:pStyle w:val="Frslagsrubrik"/>
      </w:pPr>
      <w:r w:rsidRPr="00CA28EA">
        <w:t>Förslag till riksdagsbeslut</w:t>
      </w:r>
    </w:p>
    <w:p w:rsidR="00CA28EA" w:rsidRPr="00CA28EA" w:rsidRDefault="00CA28EA">
      <w:pPr>
        <w:pStyle w:val="Hemstlatt"/>
      </w:pPr>
      <w:r w:rsidRPr="00CA28EA">
        <w:t>Riksdagen begär att regeringen lägger fram förslag till lagstiftning som innebär att en särskild brottsrubricering gör det straffbart för föräldrar att gifta bort minderåriga barn.</w:t>
      </w:r>
    </w:p>
    <w:p w:rsidR="00CA28EA" w:rsidRPr="00CA28EA" w:rsidRDefault="00CA28EA">
      <w:pPr>
        <w:pStyle w:val="Rubrik1"/>
      </w:pPr>
      <w:r w:rsidRPr="00CA28EA">
        <w:t>Motivering</w:t>
      </w:r>
    </w:p>
    <w:p w:rsidR="00CA28EA" w:rsidRPr="00CA28EA" w:rsidRDefault="00CA28EA">
      <w:r w:rsidRPr="00CA28EA">
        <w:t>Regeringen har presenterat en handlingsplan för att förhindra att unga blir gifta mot sin vilja (skr. 2009/10:229). Detta är både lovvärd och nödvä</w:t>
      </w:r>
      <w:r w:rsidRPr="00CA28EA">
        <w:t>n</w:t>
      </w:r>
      <w:r w:rsidRPr="00CA28EA">
        <w:t>digt. Ett arrangerat äktenskap kan ingås frivilligt medan ett tvångsäktenskap u</w:t>
      </w:r>
      <w:r w:rsidRPr="00CA28EA">
        <w:t>t</w:t>
      </w:r>
      <w:r w:rsidRPr="00CA28EA">
        <w:t>märks av att en av parterna, eller båda, tvingas att ingå äktenskapet. Det finns en gråzon mellan arrangerade äktenskap mot den ena vilja och tvångsäkte</w:t>
      </w:r>
      <w:r w:rsidRPr="00CA28EA">
        <w:t>n</w:t>
      </w:r>
      <w:r w:rsidRPr="00CA28EA">
        <w:t>skap (Gift mot sin vilja. Ungdomsstyrelsen, 2009:5). Vi anser att den lagän</w:t>
      </w:r>
      <w:r w:rsidRPr="00CA28EA">
        <w:t>d</w:t>
      </w:r>
      <w:r w:rsidRPr="00CA28EA">
        <w:t>ring som gjordes 2004 är ett steg i rätt riktning för att motverka barn- och tvångsäktenskap. Men problemet med unga flickor som gifts bort kvarstår trots att lagen ändrats. Att lagstiftningen inte till</w:t>
      </w:r>
      <w:r w:rsidRPr="00CA28EA">
        <w:t>åter barnäktenskap är visse</w:t>
      </w:r>
      <w:r w:rsidRPr="00CA28EA">
        <w:t>r</w:t>
      </w:r>
      <w:r w:rsidRPr="00CA28EA">
        <w:t>ligen en ytterst viktig signal men det behövs ytterligare åtgärder för att skydda flickor mot att bli bortgifta. Vi efterlyser därför en bestämmelse som gör det straffbart för föräldrar att gifta bort sina barn. Regeringen har i sin handling</w:t>
      </w:r>
      <w:r w:rsidRPr="00CA28EA">
        <w:t>s</w:t>
      </w:r>
      <w:r w:rsidRPr="00CA28EA">
        <w:t>plan gett en utredare i uppdrag att göra en översyn av relevant la</w:t>
      </w:r>
      <w:r w:rsidRPr="00CA28EA">
        <w:t>g</w:t>
      </w:r>
      <w:r w:rsidRPr="00CA28EA">
        <w:t>stiftning samt lägga fram förslag till författningsändringar som behövs för att ytterlig</w:t>
      </w:r>
      <w:r w:rsidRPr="00CA28EA">
        <w:t>a</w:t>
      </w:r>
      <w:r w:rsidRPr="00CA28EA">
        <w:t>re stärka skyddet mot tvångs- och barnäktenskap. Uppdraget ska redovisas senast den 21</w:t>
      </w:r>
      <w:r w:rsidRPr="00CA28EA">
        <w:t xml:space="preserve"> maj 2012.</w:t>
      </w:r>
    </w:p>
    <w:p w:rsidR="00CA28EA" w:rsidRPr="00CA28EA" w:rsidRDefault="00CA28EA">
      <w:pPr>
        <w:pStyle w:val="Normaltindrag"/>
      </w:pPr>
      <w:r w:rsidRPr="00CA28EA">
        <w:t>Ungdomsstyrelsen har särskilt sett över frågan om tvångsäktenskap och konstaterar i sin rapport att samhället i dag inte tar något övergripande ansvar för denna omfattande och komplexa fråga (Gift mot sin vilja. Ungdomsstyre</w:t>
      </w:r>
      <w:r w:rsidRPr="00CA28EA">
        <w:t>l</w:t>
      </w:r>
      <w:r w:rsidRPr="00CA28EA">
        <w:t>sen, 2009:5). 6,6 procent av flickorna och 3,8 procent av pojkarna mellan 16 och 25 år i Sverige upplever att de inte har möjlighet att fritt välja vem de ska gifta sig med. Detta motsvarar cirka 70 000 ungdomar.</w:t>
      </w:r>
    </w:p>
    <w:p w:rsidR="00CA28EA" w:rsidRPr="00CA28EA" w:rsidRDefault="00CA28EA">
      <w:pPr>
        <w:pStyle w:val="Normaltindrag"/>
      </w:pPr>
      <w:r w:rsidRPr="00CA28EA">
        <w:lastRenderedPageBreak/>
        <w:t>Flickor med utländsk bakgrund uppger i störst att de har begränsningar e</w:t>
      </w:r>
      <w:r w:rsidRPr="00CA28EA">
        <w:t>l</w:t>
      </w:r>
      <w:r w:rsidRPr="00CA28EA">
        <w:t>ler villkor. Ungdomsstyrelsens kartläggning visar att arrangerade äkte</w:t>
      </w:r>
      <w:r w:rsidRPr="00CA28EA">
        <w:t>n</w:t>
      </w:r>
      <w:r w:rsidRPr="00CA28EA">
        <w:t>skap/tvångsäktenskap är kopplade till normer om kvinnors oskuld och att de används för att styra flickors och kvinnors sexualitet på ett sätt som i många fall kränker deras rättigheter. Ungdomar som bor i socialt utsatta områden som i Hjällbo, Araby, Rosengård och Husby uppger i högre grad än andra unga i riket att de har begränsningar eller villkor i förhållande till äktenskap eller val av partner.</w:t>
      </w:r>
    </w:p>
    <w:p w:rsidR="00CA28EA" w:rsidRPr="00CA28EA" w:rsidRDefault="00CA28EA">
      <w:pPr>
        <w:pStyle w:val="Normaltindrag"/>
      </w:pPr>
      <w:r w:rsidRPr="00CA28EA">
        <w:t>Andelen unga med utländsk bakgrund so</w:t>
      </w:r>
      <w:r w:rsidRPr="00CA28EA">
        <w:t>m uppgav att de skulle bestraffas hårt och att föräldrarna skulle ta avstånd från dem om de var homo- eller bisexuella är hög framför allt bland dem som även hade begränsningar eller uppställda villkor i förhållande till val av partner eller äktenskap. Myndigh</w:t>
      </w:r>
      <w:r w:rsidRPr="00CA28EA">
        <w:t>e</w:t>
      </w:r>
      <w:r w:rsidRPr="00CA28EA">
        <w:t>ten föreslår bland annat att man kriminaliserar tvångsäktenskap och barnä</w:t>
      </w:r>
      <w:r w:rsidRPr="00CA28EA">
        <w:t>k</w:t>
      </w:r>
      <w:r w:rsidRPr="00CA28EA">
        <w:t>tenskap. Dessutom föreslås en nationell handlingsplan mot tvångsäktenskap.</w:t>
      </w:r>
    </w:p>
    <w:p w:rsidR="00CA28EA" w:rsidRPr="00CA28EA" w:rsidRDefault="00CA28EA">
      <w:pPr>
        <w:pStyle w:val="Normaltindrag"/>
      </w:pPr>
      <w:r w:rsidRPr="00CA28EA">
        <w:t>Utredningen om människohandel (SOU 2008:41) innehåller, förutom fö</w:t>
      </w:r>
      <w:r w:rsidRPr="00CA28EA">
        <w:t>r</w:t>
      </w:r>
      <w:r w:rsidRPr="00CA28EA">
        <w:t>slag som syftar till att skärpa lagstiftningen mot människohandel, förslag om barnäktenskap. Utredningen konstaterar dock att det tvång som kan föregå ett tvångsäktenskap redan är kriminaliserat i strafflagstiftningen och att det inte finns behov av någon särskild brottsrubricering för tvångsäktenskap som inte är barnäktenskap.</w:t>
      </w:r>
    </w:p>
    <w:p w:rsidR="00CA28EA" w:rsidRPr="00CA28EA" w:rsidRDefault="00CA28EA">
      <w:pPr>
        <w:pStyle w:val="Normaltindrag"/>
      </w:pPr>
      <w:r w:rsidRPr="00CA28EA">
        <w:t xml:space="preserve">Dock föreslås en kriminalisering av att en vårdnadshavare tillåter ett barn som är under 16 år att ingå äktenskap utomlands. Bestämmelsen tar sikte på det barnäktenskap som inte är </w:t>
      </w:r>
      <w:r w:rsidRPr="00CA28EA">
        <w:t>att anse som tvångsäktenskap och straffet för</w:t>
      </w:r>
      <w:r w:rsidRPr="00CA28EA">
        <w:t>e</w:t>
      </w:r>
      <w:r w:rsidRPr="00CA28EA">
        <w:t>slås bli fängelse i högst två år. Vi menar att förslaget inte räcker för att ko</w:t>
      </w:r>
      <w:r w:rsidRPr="00CA28EA">
        <w:t>m</w:t>
      </w:r>
      <w:r w:rsidRPr="00CA28EA">
        <w:t>ma åt problemen med tvångsäktenskap. Även unga kvinnor som är över 16 år men under 18 år är i behov av skydd mot att bli bortgifta.</w:t>
      </w:r>
    </w:p>
    <w:p w:rsidR="00CA28EA" w:rsidRPr="00CA28EA" w:rsidRDefault="00CA28EA">
      <w:pPr>
        <w:pStyle w:val="Normaltindrag"/>
      </w:pPr>
      <w:r w:rsidRPr="00CA28EA">
        <w:t>Regeringen bör snarast återkomma med ett förslag till lagändring som i</w:t>
      </w:r>
      <w:r w:rsidRPr="00CA28EA">
        <w:t>n</w:t>
      </w:r>
      <w:r w:rsidRPr="00CA28EA">
        <w:t>nebär att en särskild brottsrubricering gör det straffbart för föräldrar att arra</w:t>
      </w:r>
      <w:r w:rsidRPr="00CA28EA">
        <w:t>n</w:t>
      </w:r>
      <w:r w:rsidRPr="00CA28EA">
        <w:t>gera äktenskap för minderåriga barn.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8EA">
        <w:trPr>
          <w:cantSplit/>
        </w:trPr>
        <w:tc>
          <w:tcPr>
            <w:tcW w:w="3046" w:type="dxa"/>
          </w:tcPr>
          <w:p w:rsidR="00CA28EA" w:rsidRPr="00CA28EA" w:rsidRDefault="00CA28EA">
            <w:pPr>
              <w:pStyle w:val="UnderskriftDatum"/>
              <w:spacing w:before="240"/>
            </w:pPr>
            <w:r w:rsidRPr="00CA28EA">
              <w:t>Stockholm den 28 oktober 2010</w:t>
            </w:r>
          </w:p>
        </w:tc>
        <w:tc>
          <w:tcPr>
            <w:tcW w:w="3047" w:type="dxa"/>
          </w:tcPr>
          <w:p w:rsidR="00CA28EA" w:rsidRPr="00CA28EA" w:rsidRDefault="00CA28EA">
            <w:pPr>
              <w:pStyle w:val="Underskrifter"/>
              <w:spacing w:before="240"/>
            </w:pPr>
          </w:p>
        </w:tc>
      </w:tr>
      <w:tr w:rsidR="00000000" w:rsidRPr="00CA28EA">
        <w:trPr>
          <w:cantSplit/>
        </w:trPr>
        <w:tc>
          <w:tcPr>
            <w:tcW w:w="3046" w:type="dxa"/>
          </w:tcPr>
          <w:p w:rsidR="00CA28EA" w:rsidRPr="00CA28EA" w:rsidRDefault="00CA28EA">
            <w:pPr>
              <w:pStyle w:val="Underskrifter"/>
            </w:pPr>
            <w:r w:rsidRPr="00CA28EA">
              <w:t>Amineh Kakabaveh (V)</w:t>
            </w:r>
          </w:p>
        </w:tc>
        <w:tc>
          <w:tcPr>
            <w:tcW w:w="3046" w:type="dxa"/>
          </w:tcPr>
          <w:p w:rsidR="00CA28EA" w:rsidRPr="00CA28EA" w:rsidRDefault="00CA28EA">
            <w:pPr>
              <w:pStyle w:val="Underskrifter"/>
            </w:pPr>
          </w:p>
        </w:tc>
      </w:tr>
    </w:tbl>
    <w:p w:rsidR="00CA28EA" w:rsidRPr="00CA28EA" w:rsidRDefault="00CA28EA">
      <w:pPr>
        <w:pStyle w:val="Normaltindrag"/>
      </w:pPr>
    </w:p>
    <w:sectPr w:rsidR="00000000" w:rsidRPr="00CA2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8EA" w:rsidRPr="00CA28EA" w:rsidRDefault="00CA28EA">
      <w:r w:rsidRPr="00CA28EA">
        <w:separator/>
      </w:r>
    </w:p>
  </w:endnote>
  <w:endnote w:type="continuationSeparator" w:id="0">
    <w:p w:rsidR="00CA28EA" w:rsidRPr="00CA28EA" w:rsidRDefault="00CA28EA">
      <w:r w:rsidRPr="00CA2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A" w:rsidRPr="00CA28EA" w:rsidRDefault="00CA28EA">
    <w:pPr>
      <w:pStyle w:val="Sidfot"/>
    </w:pPr>
    <w:r w:rsidRPr="00CA2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892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A" w:rsidRDefault="00CA28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8EA" w:rsidRDefault="00CA28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A" w:rsidRPr="00CA28EA" w:rsidRDefault="00CA28EA">
    <w:pPr>
      <w:pStyle w:val="Sidfot"/>
    </w:pPr>
    <w:r w:rsidRPr="00CA2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274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A" w:rsidRDefault="00CA2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8EA" w:rsidRDefault="00CA2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A" w:rsidRPr="00CA28EA" w:rsidRDefault="00CA28EA">
    <w:pPr>
      <w:pStyle w:val="Sidfot"/>
    </w:pPr>
    <w:r w:rsidRPr="00CA2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37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A" w:rsidRDefault="00CA2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8EA" w:rsidRDefault="00CA2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8EA" w:rsidRPr="00CA28EA" w:rsidRDefault="00CA28EA">
      <w:r w:rsidRPr="00CA28EA">
        <w:separator/>
      </w:r>
    </w:p>
  </w:footnote>
  <w:footnote w:type="continuationSeparator" w:id="0">
    <w:p w:rsidR="00CA28EA" w:rsidRPr="00CA28EA" w:rsidRDefault="00CA28EA">
      <w:r w:rsidRPr="00CA2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A" w:rsidRPr="00CA28EA" w:rsidRDefault="00CA28EA">
    <w:pPr>
      <w:pStyle w:val="Sidhuvud"/>
    </w:pPr>
    <w:r w:rsidRPr="00CA2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258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A" w:rsidRDefault="00CA28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8EA" w:rsidRDefault="00CA28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A" w:rsidRPr="00CA28EA" w:rsidRDefault="00CA28EA">
    <w:pPr>
      <w:pStyle w:val="Sidhuvud"/>
    </w:pPr>
    <w:r w:rsidRPr="00CA2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465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A" w:rsidRDefault="00CA28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8EA" w:rsidRDefault="00CA28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A" w:rsidRPr="00CA28EA" w:rsidRDefault="00CA28EA">
    <w:pPr>
      <w:pStyle w:val="FSHNormal"/>
      <w:tabs>
        <w:tab w:val="right" w:pos="5840"/>
      </w:tabs>
    </w:pPr>
    <w:r w:rsidRPr="00CA28EA">
      <w:br/>
    </w:r>
    <w:r w:rsidRPr="00CA28EA">
      <w:fldChar w:fldCharType="begin" w:fldLock="1"/>
    </w:r>
    <w:r w:rsidRPr="00CA28EA">
      <w:instrText xml:space="preserve"> DOCPROPERTY</w:instrText>
    </w:r>
    <w:r w:rsidRPr="00CA28EA">
      <w:rPr>
        <w:sz w:val="18"/>
      </w:rPr>
      <w:instrText xml:space="preserve"> "YearUser" *\charformat </w:instrText>
    </w:r>
    <w:r w:rsidRPr="00CA28EA">
      <w:fldChar w:fldCharType="separate"/>
    </w:r>
    <w:r w:rsidRPr="00CA28EA">
      <w:t>2010/11</w:t>
    </w:r>
    <w:r w:rsidRPr="00CA28EA">
      <w:fldChar w:fldCharType="end"/>
    </w:r>
    <w:r w:rsidRPr="00CA28EA">
      <w:t xml:space="preserve"> </w:t>
    </w:r>
    <w:r w:rsidRPr="00CA28EA">
      <w:tab/>
      <w:t xml:space="preserve">mnr: </w:t>
    </w:r>
    <w:r w:rsidRPr="00CA28EA">
      <w:fldChar w:fldCharType="begin" w:fldLock="1"/>
    </w:r>
    <w:r w:rsidRPr="00CA28EA">
      <w:instrText xml:space="preserve"> DOCPROPERTY</w:instrText>
    </w:r>
    <w:r w:rsidRPr="00CA28EA">
      <w:rPr>
        <w:sz w:val="18"/>
      </w:rPr>
      <w:instrText xml:space="preserve"> "Motionsnummer" *\charformat </w:instrText>
    </w:r>
    <w:r w:rsidRPr="00CA28EA">
      <w:fldChar w:fldCharType="separate"/>
    </w:r>
    <w:r w:rsidRPr="00CA28EA">
      <w:t>Ju428</w:t>
    </w:r>
    <w:r w:rsidRPr="00CA28EA">
      <w:fldChar w:fldCharType="end"/>
    </w:r>
    <w:r w:rsidRPr="00CA28EA">
      <w:br/>
    </w:r>
    <w:r w:rsidRPr="00CA28EA">
      <w:fldChar w:fldCharType="begin" w:fldLock="1"/>
    </w:r>
    <w:r w:rsidRPr="00CA28EA">
      <w:instrText xml:space="preserve"> DOCPROPERTY</w:instrText>
    </w:r>
    <w:r w:rsidRPr="00CA28EA">
      <w:rPr>
        <w:sz w:val="18"/>
      </w:rPr>
      <w:instrText xml:space="preserve"> "Samling" *\charformat </w:instrText>
    </w:r>
    <w:r w:rsidRPr="00CA28EA">
      <w:fldChar w:fldCharType="end"/>
    </w:r>
    <w:r w:rsidRPr="00CA28EA">
      <w:tab/>
      <w:t xml:space="preserve">pnr: </w:t>
    </w:r>
    <w:r w:rsidRPr="00CA28EA">
      <w:fldChar w:fldCharType="begin" w:fldLock="1"/>
    </w:r>
    <w:r w:rsidRPr="00CA28EA">
      <w:instrText xml:space="preserve"> DOCPROPERTY</w:instrText>
    </w:r>
    <w:r w:rsidRPr="00CA28EA">
      <w:rPr>
        <w:sz w:val="18"/>
      </w:rPr>
      <w:instrText xml:space="preserve"> "Partinummer" *\charformat </w:instrText>
    </w:r>
    <w:r w:rsidRPr="00CA28EA">
      <w:fldChar w:fldCharType="separate"/>
    </w:r>
    <w:r w:rsidRPr="00CA28EA">
      <w:t>V593</w:t>
    </w:r>
    <w:r w:rsidRPr="00CA28EA">
      <w:fldChar w:fldCharType="end"/>
    </w:r>
  </w:p>
  <w:p w:rsidR="00CA28EA" w:rsidRPr="00CA28EA" w:rsidRDefault="00CA28EA">
    <w:pPr>
      <w:pStyle w:val="FSHRub1"/>
    </w:pPr>
    <w:r w:rsidRPr="00CA28EA">
      <w:t>Motion till riksdagen</w:t>
    </w:r>
    <w:r w:rsidRPr="00CA28EA">
      <w:br/>
    </w:r>
    <w:r w:rsidRPr="00CA28EA">
      <w:fldChar w:fldCharType="begin" w:fldLock="1"/>
    </w:r>
    <w:r w:rsidRPr="00CA28EA">
      <w:instrText xml:space="preserve"> DOCPROPERTY "YearUser" *\charformat </w:instrText>
    </w:r>
    <w:r w:rsidRPr="00CA28EA">
      <w:fldChar w:fldCharType="separate"/>
    </w:r>
    <w:r w:rsidRPr="00CA28EA">
      <w:t>2010/11</w:t>
    </w:r>
    <w:r w:rsidRPr="00CA28EA">
      <w:fldChar w:fldCharType="end"/>
    </w:r>
    <w:r w:rsidRPr="00CA28EA">
      <w:t>:</w:t>
    </w:r>
    <w:r w:rsidRPr="00CA28EA">
      <w:fldChar w:fldCharType="begin" w:fldLock="1"/>
    </w:r>
    <w:r w:rsidRPr="00CA28EA">
      <w:instrText xml:space="preserve"> DOCPROPERTY "Motionsnummer" *\charformat </w:instrText>
    </w:r>
    <w:r w:rsidRPr="00CA28EA">
      <w:fldChar w:fldCharType="separate"/>
    </w:r>
    <w:r w:rsidRPr="00CA28EA">
      <w:t>Ju428</w:t>
    </w:r>
    <w:r w:rsidRPr="00CA28EA">
      <w:fldChar w:fldCharType="end"/>
    </w:r>
  </w:p>
  <w:p w:rsidR="00CA28EA" w:rsidRPr="00CA28EA" w:rsidRDefault="00CA28EA">
    <w:pPr>
      <w:pStyle w:val="FSHNormalS5"/>
    </w:pPr>
    <w:r w:rsidRPr="00CA28EA">
      <w:fldChar w:fldCharType="begin" w:fldLock="1"/>
    </w:r>
    <w:r w:rsidRPr="00CA28EA">
      <w:instrText xml:space="preserve"> DOCPROPERTY "MotionarText" *\charformat </w:instrText>
    </w:r>
    <w:r w:rsidRPr="00CA28EA">
      <w:fldChar w:fldCharType="separate"/>
    </w:r>
    <w:r w:rsidRPr="00CA28EA">
      <w:t>av Amineh Kakabaveh (V)</w:t>
    </w:r>
    <w:r w:rsidRPr="00CA28EA">
      <w:fldChar w:fldCharType="end"/>
    </w:r>
    <w:r w:rsidRPr="00CA28EA">
      <w:br/>
    </w:r>
    <w:r w:rsidRPr="00CA28EA">
      <w:fldChar w:fldCharType="begin" w:fldLock="1"/>
    </w:r>
    <w:r w:rsidRPr="00CA28EA">
      <w:instrText xml:space="preserve"> DOCPROPERTY "SvarFrasKort" *\charformat </w:instrText>
    </w:r>
    <w:r w:rsidRPr="00CA28EA">
      <w:fldChar w:fldCharType="end"/>
    </w:r>
  </w:p>
  <w:p w:rsidR="00CA28EA" w:rsidRPr="00CA28EA" w:rsidRDefault="00CA28EA">
    <w:pPr>
      <w:pStyle w:val="FSHTitel"/>
    </w:pPr>
    <w:r w:rsidRPr="00CA28EA">
      <w:fldChar w:fldCharType="begin" w:fldLock="1"/>
    </w:r>
    <w:r w:rsidRPr="00CA28EA">
      <w:instrText xml:space="preserve"> DOCPROPERTY</w:instrText>
    </w:r>
    <w:r w:rsidRPr="00CA28EA">
      <w:rPr>
        <w:sz w:val="18"/>
      </w:rPr>
      <w:instrText xml:space="preserve"> "RubrikSvar" *\charformat </w:instrText>
    </w:r>
    <w:r w:rsidRPr="00CA28EA">
      <w:fldChar w:fldCharType="separate"/>
    </w:r>
    <w:r w:rsidRPr="00CA28EA">
      <w:t>Kriminalisering av tvångsäktenskap</w:t>
    </w:r>
    <w:r w:rsidRPr="00CA28EA">
      <w:fldChar w:fldCharType="end"/>
    </w:r>
  </w:p>
  <w:p w:rsidR="00CA28EA" w:rsidRPr="00CA28EA" w:rsidRDefault="00CA28EA">
    <w:pPr>
      <w:pStyle w:val="Normal00"/>
    </w:pPr>
  </w:p>
  <w:p w:rsidR="00CA28EA" w:rsidRPr="00CA28EA" w:rsidRDefault="00CA2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5150512">
    <w:abstractNumId w:val="3"/>
  </w:num>
  <w:num w:numId="2" w16cid:durableId="583805835">
    <w:abstractNumId w:val="2"/>
  </w:num>
  <w:num w:numId="3" w16cid:durableId="718362388">
    <w:abstractNumId w:val="1"/>
  </w:num>
  <w:num w:numId="4" w16cid:durableId="1879391211">
    <w:abstractNumId w:val="0"/>
  </w:num>
  <w:num w:numId="5" w16cid:durableId="1514804649">
    <w:abstractNumId w:val="7"/>
  </w:num>
  <w:num w:numId="6" w16cid:durableId="702754758">
    <w:abstractNumId w:val="6"/>
  </w:num>
  <w:num w:numId="7" w16cid:durableId="105003376">
    <w:abstractNumId w:val="5"/>
  </w:num>
  <w:num w:numId="8" w16cid:durableId="1314406707">
    <w:abstractNumId w:val="4"/>
  </w:num>
  <w:num w:numId="9" w16cid:durableId="1927230112">
    <w:abstractNumId w:val="8"/>
  </w:num>
  <w:num w:numId="10" w16cid:durableId="1936933212">
    <w:abstractNumId w:val="9"/>
  </w:num>
  <w:num w:numId="11" w16cid:durableId="825824944">
    <w:abstractNumId w:val="10"/>
  </w:num>
  <w:num w:numId="12" w16cid:durableId="158815141">
    <w:abstractNumId w:val="13"/>
  </w:num>
  <w:num w:numId="13" w16cid:durableId="414474481">
    <w:abstractNumId w:val="15"/>
  </w:num>
  <w:num w:numId="14" w16cid:durableId="1136678260">
    <w:abstractNumId w:val="16"/>
  </w:num>
  <w:num w:numId="15" w16cid:durableId="195044359">
    <w:abstractNumId w:val="11"/>
  </w:num>
  <w:num w:numId="16" w16cid:durableId="1545563381">
    <w:abstractNumId w:val="18"/>
  </w:num>
  <w:num w:numId="17" w16cid:durableId="938173628">
    <w:abstractNumId w:val="17"/>
  </w:num>
  <w:num w:numId="18" w16cid:durableId="1470707177">
    <w:abstractNumId w:val="14"/>
  </w:num>
  <w:num w:numId="19" w16cid:durableId="1745712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BDC31807-F167-4EDB-8926-D170E9714DCF}"/>
  </w:docVars>
  <w:rsids>
    <w:rsidRoot w:val="00C808D8"/>
    <w:rsid w:val="00C808D8"/>
    <w:rsid w:val="00CA2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19BD8A1-4E77-42E3-82D7-05C18BEE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3380</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V593</vt:lpstr>
    </vt:vector>
  </TitlesOfParts>
  <Company>Riksdagen</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V593</dc:title>
  <dc:subject>V593</dc:subject>
  <dc:creator>Riksdagen</dc:creator>
  <cp:keywords>Riksdagen</cp:keywords>
  <dc:description>Versal/gemen i partibeteckning. Gemen i tryck för 0910, versal för 1011 och nyare</dc:description>
  <cp:lastModifiedBy>Lars Brink</cp:lastModifiedBy>
  <cp:revision>2</cp:revision>
  <cp:lastPrinted>2011-02-07T14:48:00Z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mot2000_524_2010-10-28</vt:lpwstr>
  </property>
  <property fmtid="{D5CDD505-2E9C-101B-9397-08002B2CF9AE}" pid="4" name="dokumenttyp">
    <vt:lpwstr>motion</vt:lpwstr>
  </property>
  <property fmtid="{D5CDD505-2E9C-101B-9397-08002B2CF9AE}" pid="5" name="Sekr">
    <vt:lpwstr>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Trycklov</vt:lpwstr>
  </property>
  <property fmtid="{D5CDD505-2E9C-101B-9397-08002B2CF9AE}" pid="10" name="SvarFras">
    <vt:lpwstr>Kriminalisering av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V593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2010</vt:lpwstr>
  </property>
  <property fmtid="{D5CDD505-2E9C-101B-9397-08002B2CF9AE}" pid="44" name="NotesUID">
    <vt:lpwstr/>
  </property>
  <property fmtid="{D5CDD505-2E9C-101B-9397-08002B2CF9AE}" pid="45" name="ReservUID">
    <vt:lpwstr>so0601aa</vt:lpwstr>
  </property>
  <property fmtid="{D5CDD505-2E9C-101B-9397-08002B2CF9AE}" pid="46" name="MotionID">
    <vt:lpwstr>20102011000000000086000005930069</vt:lpwstr>
  </property>
  <property fmtid="{D5CDD505-2E9C-101B-9397-08002B2CF9AE}" pid="47" name="datum">
    <vt:lpwstr>101028</vt:lpwstr>
  </property>
  <property fmtid="{D5CDD505-2E9C-101B-9397-08002B2CF9AE}" pid="48" name="avsändar-e-post">
    <vt:lpwstr/>
  </property>
  <property fmtid="{D5CDD505-2E9C-101B-9397-08002B2CF9AE}" pid="49" name="id">
    <vt:lpwstr>20102011000000000086000005930069</vt:lpwstr>
  </property>
  <property fmtid="{D5CDD505-2E9C-101B-9397-08002B2CF9AE}" pid="50" name="nummer">
    <vt:lpwstr>428</vt:lpwstr>
  </property>
  <property fmtid="{D5CDD505-2E9C-101B-9397-08002B2CF9AE}" pid="51" name="utskottsbeteckning">
    <vt:lpwstr>Ju</vt:lpwstr>
  </property>
  <property fmtid="{D5CDD505-2E9C-101B-9397-08002B2CF9AE}" pid="52" name="GlobalUID">
    <vt:lpwstr>{8E6889F9-7BBF-4914-A15D-336749BF52DD}</vt:lpwstr>
  </property>
  <property fmtid="{D5CDD505-2E9C-101B-9397-08002B2CF9AE}" pid="53" name="Överföringar">
    <vt:i4>0</vt:i4>
  </property>
  <property fmtid="{D5CDD505-2E9C-101B-9397-08002B2CF9AE}" pid="54" name="Checksum">
    <vt:lpwstr>*0008801900543*</vt:lpwstr>
  </property>
  <property fmtid="{D5CDD505-2E9C-101B-9397-08002B2CF9AE}" pid="55" name="skuggnummer">
    <vt:lpwstr>3206</vt:lpwstr>
  </property>
  <property fmtid="{D5CDD505-2E9C-101B-9397-08002B2CF9AE}" pid="56" name="urixVersion">
    <vt:lpwstr>4.3.2.0</vt:lpwstr>
  </property>
  <property fmtid="{D5CDD505-2E9C-101B-9397-08002B2CF9AE}" pid="57" name="urixOrigin">
    <vt:lpwstr>110207 15:48:18.880</vt:lpwstr>
  </property>
  <property fmtid="{D5CDD505-2E9C-101B-9397-08002B2CF9AE}" pid="58" name="urixGuid">
    <vt:lpwstr>{07DFAE17-9B24-4678-9167-E7702BF4E287}</vt:lpwstr>
  </property>
</Properties>
</file>