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B7" w:rsidRPr="00D3031E" w:rsidRDefault="00F869B7">
      <w:pPr>
        <w:pStyle w:val="RubrikInnehllsf"/>
      </w:pPr>
      <w:bookmarkStart w:id="0" w:name="_Toc116196986"/>
      <w:bookmarkStart w:id="1" w:name="_Toc116197682"/>
      <w:bookmarkStart w:id="2" w:name="_Toc116198075"/>
      <w:bookmarkStart w:id="3" w:name="_Toc117298199"/>
      <w:r w:rsidRPr="00D3031E">
        <w:t>Innehållsförteckning</w:t>
      </w:r>
      <w:bookmarkEnd w:id="0"/>
      <w:bookmarkEnd w:id="1"/>
      <w:bookmarkEnd w:id="2"/>
      <w:bookmarkEnd w:id="3"/>
    </w:p>
    <w:bookmarkStart w:id="4" w:name="_Toc116196987"/>
    <w:bookmarkStart w:id="5" w:name="_Toc116197683"/>
    <w:bookmarkStart w:id="6" w:name="_Toc116198076"/>
    <w:p w:rsidR="00944AF5" w:rsidRPr="00D3031E" w:rsidRDefault="00A26433" w:rsidP="00E47219">
      <w:pPr>
        <w:pStyle w:val="Innehll1"/>
        <w:tabs>
          <w:tab w:val="left" w:pos="190"/>
        </w:tabs>
        <w:rPr>
          <w:sz w:val="24"/>
          <w:szCs w:val="24"/>
        </w:rPr>
      </w:pPr>
      <w:r w:rsidRPr="00D3031E">
        <w:fldChar w:fldCharType="begin" w:fldLock="1"/>
      </w:r>
      <w:r w:rsidRPr="00D3031E">
        <w:instrText xml:space="preserve"> TOC \o "1-3" \t "HEMSTL_RUBRIK" </w:instrText>
      </w:r>
      <w:r w:rsidRPr="00D3031E">
        <w:fldChar w:fldCharType="separate"/>
      </w:r>
      <w:r w:rsidR="00944AF5" w:rsidRPr="00D3031E">
        <w:t>1</w:t>
      </w:r>
      <w:r w:rsidR="00944AF5" w:rsidRPr="00D3031E">
        <w:rPr>
          <w:sz w:val="24"/>
          <w:szCs w:val="24"/>
        </w:rPr>
        <w:tab/>
      </w:r>
      <w:r w:rsidR="00944AF5" w:rsidRPr="00D3031E">
        <w:t>Innehållsförteckning</w:t>
      </w:r>
      <w:r w:rsidR="00944AF5" w:rsidRPr="00D3031E">
        <w:tab/>
      </w:r>
      <w:r w:rsidR="00944AF5" w:rsidRPr="00D3031E">
        <w:fldChar w:fldCharType="begin" w:fldLock="1"/>
      </w:r>
      <w:r w:rsidR="00944AF5" w:rsidRPr="00D3031E">
        <w:instrText xml:space="preserve"> PAGEREF _Toc117298199 \h </w:instrText>
      </w:r>
      <w:r w:rsidR="00944AF5" w:rsidRPr="00D3031E">
        <w:fldChar w:fldCharType="separate"/>
      </w:r>
      <w:r w:rsidR="007334D1" w:rsidRPr="00D3031E">
        <w:t>1</w:t>
      </w:r>
      <w:r w:rsidR="00944AF5" w:rsidRPr="00D3031E">
        <w:fldChar w:fldCharType="end"/>
      </w:r>
    </w:p>
    <w:p w:rsidR="00944AF5" w:rsidRPr="00D3031E" w:rsidRDefault="00944AF5" w:rsidP="00E47219">
      <w:pPr>
        <w:pStyle w:val="Innehll1"/>
        <w:tabs>
          <w:tab w:val="left" w:pos="190"/>
        </w:tabs>
        <w:rPr>
          <w:sz w:val="24"/>
          <w:szCs w:val="24"/>
        </w:rPr>
      </w:pPr>
      <w:r w:rsidRPr="00D3031E">
        <w:t>2</w:t>
      </w:r>
      <w:r w:rsidRPr="00D3031E">
        <w:rPr>
          <w:sz w:val="24"/>
          <w:szCs w:val="24"/>
        </w:rPr>
        <w:tab/>
      </w:r>
      <w:r w:rsidRPr="00D3031E">
        <w:t>Förslag till riksdagsbeslut</w:t>
      </w:r>
      <w:r w:rsidRPr="00D3031E">
        <w:tab/>
      </w:r>
      <w:r w:rsidRPr="00D3031E">
        <w:fldChar w:fldCharType="begin" w:fldLock="1"/>
      </w:r>
      <w:r w:rsidRPr="00D3031E">
        <w:instrText xml:space="preserve"> PAGEREF _Toc117298200 \h </w:instrText>
      </w:r>
      <w:r w:rsidRPr="00D3031E">
        <w:fldChar w:fldCharType="separate"/>
      </w:r>
      <w:r w:rsidR="007334D1" w:rsidRPr="00D3031E">
        <w:t>2</w:t>
      </w:r>
      <w:r w:rsidRPr="00D3031E">
        <w:fldChar w:fldCharType="end"/>
      </w:r>
    </w:p>
    <w:p w:rsidR="00944AF5" w:rsidRPr="00D3031E" w:rsidRDefault="00944AF5" w:rsidP="00E47219">
      <w:pPr>
        <w:pStyle w:val="Innehll1"/>
        <w:tabs>
          <w:tab w:val="left" w:pos="190"/>
        </w:tabs>
        <w:rPr>
          <w:sz w:val="24"/>
          <w:szCs w:val="24"/>
        </w:rPr>
      </w:pPr>
      <w:r w:rsidRPr="00D3031E">
        <w:t>3</w:t>
      </w:r>
      <w:r w:rsidRPr="00D3031E">
        <w:rPr>
          <w:sz w:val="24"/>
          <w:szCs w:val="24"/>
        </w:rPr>
        <w:tab/>
      </w:r>
      <w:r w:rsidRPr="00D3031E">
        <w:t>Inledning</w:t>
      </w:r>
      <w:r w:rsidRPr="00D3031E">
        <w:tab/>
      </w:r>
      <w:r w:rsidRPr="00D3031E">
        <w:fldChar w:fldCharType="begin" w:fldLock="1"/>
      </w:r>
      <w:r w:rsidRPr="00D3031E">
        <w:instrText xml:space="preserve"> PAGEREF _Toc117298201 \h </w:instrText>
      </w:r>
      <w:r w:rsidRPr="00D3031E">
        <w:fldChar w:fldCharType="separate"/>
      </w:r>
      <w:r w:rsidR="007334D1" w:rsidRPr="00D3031E">
        <w:t>4</w:t>
      </w:r>
      <w:r w:rsidRPr="00D3031E">
        <w:fldChar w:fldCharType="end"/>
      </w:r>
    </w:p>
    <w:p w:rsidR="00944AF5" w:rsidRPr="00D3031E" w:rsidRDefault="00944AF5" w:rsidP="00E47219">
      <w:pPr>
        <w:pStyle w:val="Innehll1"/>
        <w:tabs>
          <w:tab w:val="left" w:pos="190"/>
        </w:tabs>
        <w:rPr>
          <w:sz w:val="24"/>
          <w:szCs w:val="24"/>
        </w:rPr>
      </w:pPr>
      <w:r w:rsidRPr="00D3031E">
        <w:t>4</w:t>
      </w:r>
      <w:r w:rsidRPr="00D3031E">
        <w:rPr>
          <w:sz w:val="24"/>
          <w:szCs w:val="24"/>
        </w:rPr>
        <w:tab/>
      </w:r>
      <w:r w:rsidRPr="00D3031E">
        <w:t>Dagens påföljdssystem</w:t>
      </w:r>
      <w:r w:rsidRPr="00D3031E">
        <w:tab/>
      </w:r>
      <w:r w:rsidRPr="00D3031E">
        <w:fldChar w:fldCharType="begin" w:fldLock="1"/>
      </w:r>
      <w:r w:rsidRPr="00D3031E">
        <w:instrText xml:space="preserve"> PAGEREF _Toc117298202 \h </w:instrText>
      </w:r>
      <w:r w:rsidRPr="00D3031E">
        <w:fldChar w:fldCharType="separate"/>
      </w:r>
      <w:r w:rsidR="007334D1" w:rsidRPr="00D3031E">
        <w:t>4</w:t>
      </w:r>
      <w:r w:rsidRPr="00D3031E">
        <w:fldChar w:fldCharType="end"/>
      </w:r>
    </w:p>
    <w:p w:rsidR="00944AF5" w:rsidRPr="00D3031E" w:rsidRDefault="00944AF5" w:rsidP="00E47219">
      <w:pPr>
        <w:pStyle w:val="Innehll2"/>
        <w:tabs>
          <w:tab w:val="left" w:pos="475"/>
        </w:tabs>
        <w:ind w:left="95"/>
        <w:rPr>
          <w:sz w:val="24"/>
          <w:szCs w:val="24"/>
        </w:rPr>
      </w:pPr>
      <w:r w:rsidRPr="00D3031E">
        <w:t>4.1</w:t>
      </w:r>
      <w:r w:rsidRPr="00D3031E">
        <w:rPr>
          <w:sz w:val="24"/>
          <w:szCs w:val="24"/>
        </w:rPr>
        <w:tab/>
      </w:r>
      <w:r w:rsidRPr="00D3031E">
        <w:t>Påföljderna</w:t>
      </w:r>
      <w:r w:rsidRPr="00D3031E">
        <w:tab/>
      </w:r>
      <w:r w:rsidRPr="00D3031E">
        <w:fldChar w:fldCharType="begin" w:fldLock="1"/>
      </w:r>
      <w:r w:rsidRPr="00D3031E">
        <w:instrText xml:space="preserve"> PAGEREF _Toc117298203 \h </w:instrText>
      </w:r>
      <w:r w:rsidRPr="00D3031E">
        <w:fldChar w:fldCharType="separate"/>
      </w:r>
      <w:r w:rsidR="007334D1" w:rsidRPr="00D3031E">
        <w:t>4</w:t>
      </w:r>
      <w:r w:rsidRPr="00D3031E">
        <w:fldChar w:fldCharType="end"/>
      </w:r>
    </w:p>
    <w:p w:rsidR="00944AF5" w:rsidRPr="00D3031E" w:rsidRDefault="00944AF5" w:rsidP="00E47219">
      <w:pPr>
        <w:pStyle w:val="Innehll1"/>
        <w:tabs>
          <w:tab w:val="left" w:pos="190"/>
        </w:tabs>
        <w:rPr>
          <w:sz w:val="24"/>
          <w:szCs w:val="24"/>
        </w:rPr>
      </w:pPr>
      <w:r w:rsidRPr="00D3031E">
        <w:t>5</w:t>
      </w:r>
      <w:r w:rsidRPr="00D3031E">
        <w:rPr>
          <w:sz w:val="24"/>
          <w:szCs w:val="24"/>
        </w:rPr>
        <w:tab/>
      </w:r>
      <w:r w:rsidRPr="00D3031E">
        <w:t>Behovet av reformer</w:t>
      </w:r>
      <w:r w:rsidRPr="00D3031E">
        <w:tab/>
      </w:r>
      <w:r w:rsidRPr="00D3031E">
        <w:fldChar w:fldCharType="begin" w:fldLock="1"/>
      </w:r>
      <w:r w:rsidRPr="00D3031E">
        <w:instrText xml:space="preserve"> PAGEREF _Toc117298204 \h </w:instrText>
      </w:r>
      <w:r w:rsidRPr="00D3031E">
        <w:fldChar w:fldCharType="separate"/>
      </w:r>
      <w:r w:rsidR="007334D1" w:rsidRPr="00D3031E">
        <w:t>5</w:t>
      </w:r>
      <w:r w:rsidRPr="00D3031E">
        <w:fldChar w:fldCharType="end"/>
      </w:r>
    </w:p>
    <w:p w:rsidR="00944AF5" w:rsidRPr="00D3031E" w:rsidRDefault="00944AF5" w:rsidP="00E47219">
      <w:pPr>
        <w:pStyle w:val="Innehll2"/>
        <w:tabs>
          <w:tab w:val="left" w:pos="475"/>
        </w:tabs>
        <w:ind w:left="95"/>
      </w:pPr>
      <w:r w:rsidRPr="00D3031E">
        <w:t>5.1</w:t>
      </w:r>
      <w:r w:rsidRPr="00D3031E">
        <w:rPr>
          <w:sz w:val="24"/>
          <w:szCs w:val="24"/>
        </w:rPr>
        <w:tab/>
      </w:r>
      <w:r w:rsidRPr="00D3031E">
        <w:t>Straffmätning och påföljdsval</w:t>
      </w:r>
      <w:r w:rsidRPr="00D3031E">
        <w:tab/>
      </w:r>
      <w:r w:rsidRPr="00D3031E">
        <w:fldChar w:fldCharType="begin" w:fldLock="1"/>
      </w:r>
      <w:r w:rsidRPr="00D3031E">
        <w:instrText xml:space="preserve"> PAGEREF _Toc117298205 \h </w:instrText>
      </w:r>
      <w:r w:rsidRPr="00D3031E">
        <w:fldChar w:fldCharType="separate"/>
      </w:r>
      <w:r w:rsidR="007334D1" w:rsidRPr="00D3031E">
        <w:t>5</w:t>
      </w:r>
      <w:r w:rsidRPr="00D3031E">
        <w:fldChar w:fldCharType="end"/>
      </w:r>
    </w:p>
    <w:p w:rsidR="00944AF5" w:rsidRPr="00D3031E" w:rsidRDefault="00944AF5" w:rsidP="00E47219">
      <w:pPr>
        <w:pStyle w:val="Innehll2"/>
        <w:tabs>
          <w:tab w:val="left" w:pos="475"/>
        </w:tabs>
        <w:ind w:left="95"/>
      </w:pPr>
      <w:r w:rsidRPr="00D3031E">
        <w:t>5.2</w:t>
      </w:r>
      <w:r w:rsidRPr="00D3031E">
        <w:tab/>
        <w:t>Förtydliga påföljdssystemet</w:t>
      </w:r>
      <w:r w:rsidRPr="00D3031E">
        <w:tab/>
      </w:r>
      <w:r w:rsidRPr="00D3031E">
        <w:fldChar w:fldCharType="begin" w:fldLock="1"/>
      </w:r>
      <w:r w:rsidRPr="00D3031E">
        <w:instrText xml:space="preserve"> PAGEREF _Toc117298206 \h </w:instrText>
      </w:r>
      <w:r w:rsidRPr="00D3031E">
        <w:fldChar w:fldCharType="separate"/>
      </w:r>
      <w:r w:rsidR="007334D1" w:rsidRPr="00D3031E">
        <w:t>7</w:t>
      </w:r>
      <w:r w:rsidRPr="00D3031E">
        <w:fldChar w:fldCharType="end"/>
      </w:r>
    </w:p>
    <w:p w:rsidR="00944AF5" w:rsidRPr="00D3031E" w:rsidRDefault="00944AF5" w:rsidP="00E47219">
      <w:pPr>
        <w:pStyle w:val="Innehll2"/>
        <w:tabs>
          <w:tab w:val="left" w:pos="475"/>
        </w:tabs>
        <w:ind w:left="95"/>
        <w:rPr>
          <w:sz w:val="24"/>
          <w:szCs w:val="24"/>
        </w:rPr>
      </w:pPr>
      <w:r w:rsidRPr="00D3031E">
        <w:t>5.3</w:t>
      </w:r>
      <w:r w:rsidRPr="00D3031E">
        <w:tab/>
        <w:t>Böteslagstiftningen</w:t>
      </w:r>
      <w:r w:rsidRPr="00D3031E">
        <w:tab/>
      </w:r>
      <w:r w:rsidRPr="00D3031E">
        <w:fldChar w:fldCharType="begin" w:fldLock="1"/>
      </w:r>
      <w:r w:rsidRPr="00D3031E">
        <w:instrText xml:space="preserve"> PAGEREF _Toc117298207 \h </w:instrText>
      </w:r>
      <w:r w:rsidRPr="00D3031E">
        <w:fldChar w:fldCharType="separate"/>
      </w:r>
      <w:r w:rsidR="007334D1" w:rsidRPr="00D3031E">
        <w:t>8</w:t>
      </w:r>
      <w:r w:rsidRPr="00D3031E">
        <w:fldChar w:fldCharType="end"/>
      </w:r>
    </w:p>
    <w:p w:rsidR="00944AF5" w:rsidRPr="00D3031E" w:rsidRDefault="00944AF5" w:rsidP="00E47219">
      <w:pPr>
        <w:pStyle w:val="Innehll1"/>
        <w:tabs>
          <w:tab w:val="left" w:pos="190"/>
        </w:tabs>
      </w:pPr>
      <w:r w:rsidRPr="00D3031E">
        <w:t>6</w:t>
      </w:r>
      <w:r w:rsidRPr="00D3031E">
        <w:rPr>
          <w:sz w:val="24"/>
          <w:szCs w:val="24"/>
        </w:rPr>
        <w:tab/>
      </w:r>
      <w:r w:rsidRPr="00D3031E">
        <w:t>Unga lagöverträdare</w:t>
      </w:r>
      <w:r w:rsidRPr="00D3031E">
        <w:tab/>
      </w:r>
      <w:r w:rsidRPr="00D3031E">
        <w:fldChar w:fldCharType="begin" w:fldLock="1"/>
      </w:r>
      <w:r w:rsidRPr="00D3031E">
        <w:instrText xml:space="preserve"> PAGEREF _Toc117298208 \h </w:instrText>
      </w:r>
      <w:r w:rsidRPr="00D3031E">
        <w:fldChar w:fldCharType="separate"/>
      </w:r>
      <w:r w:rsidR="007334D1" w:rsidRPr="00D3031E">
        <w:t>9</w:t>
      </w:r>
      <w:r w:rsidRPr="00D3031E">
        <w:fldChar w:fldCharType="end"/>
      </w:r>
    </w:p>
    <w:p w:rsidR="00944AF5" w:rsidRPr="00D3031E" w:rsidRDefault="00944AF5" w:rsidP="00E47219">
      <w:pPr>
        <w:pStyle w:val="Innehll1"/>
        <w:tabs>
          <w:tab w:val="left" w:pos="190"/>
        </w:tabs>
        <w:rPr>
          <w:sz w:val="24"/>
          <w:szCs w:val="24"/>
        </w:rPr>
      </w:pPr>
      <w:r w:rsidRPr="00D3031E">
        <w:t>7</w:t>
      </w:r>
      <w:r w:rsidRPr="00D3031E">
        <w:tab/>
        <w:t>Utländska brottslingar</w:t>
      </w:r>
      <w:r w:rsidRPr="00D3031E">
        <w:tab/>
      </w:r>
      <w:r w:rsidRPr="00D3031E">
        <w:fldChar w:fldCharType="begin" w:fldLock="1"/>
      </w:r>
      <w:r w:rsidRPr="00D3031E">
        <w:instrText xml:space="preserve"> PAGEREF _Toc117298209 \h </w:instrText>
      </w:r>
      <w:r w:rsidRPr="00D3031E">
        <w:fldChar w:fldCharType="separate"/>
      </w:r>
      <w:r w:rsidR="007334D1" w:rsidRPr="00D3031E">
        <w:t>11</w:t>
      </w:r>
      <w:r w:rsidRPr="00D3031E">
        <w:fldChar w:fldCharType="end"/>
      </w:r>
    </w:p>
    <w:p w:rsidR="00944AF5" w:rsidRPr="00D3031E" w:rsidRDefault="00944AF5" w:rsidP="00E47219">
      <w:pPr>
        <w:pStyle w:val="Innehll2"/>
        <w:tabs>
          <w:tab w:val="left" w:pos="475"/>
        </w:tabs>
        <w:ind w:left="95"/>
      </w:pPr>
      <w:r w:rsidRPr="00D3031E">
        <w:t>7.1</w:t>
      </w:r>
      <w:r w:rsidRPr="00D3031E">
        <w:rPr>
          <w:sz w:val="24"/>
          <w:szCs w:val="24"/>
        </w:rPr>
        <w:tab/>
      </w:r>
      <w:r w:rsidRPr="00D3031E">
        <w:t>Utvisning på grund av brott</w:t>
      </w:r>
      <w:r w:rsidRPr="00D3031E">
        <w:tab/>
      </w:r>
      <w:r w:rsidRPr="00D3031E">
        <w:fldChar w:fldCharType="begin" w:fldLock="1"/>
      </w:r>
      <w:r w:rsidRPr="00D3031E">
        <w:instrText xml:space="preserve"> PAGEREF _Toc117298210 \h </w:instrText>
      </w:r>
      <w:r w:rsidRPr="00D3031E">
        <w:fldChar w:fldCharType="separate"/>
      </w:r>
      <w:r w:rsidR="007334D1" w:rsidRPr="00D3031E">
        <w:t>11</w:t>
      </w:r>
      <w:r w:rsidRPr="00D3031E">
        <w:fldChar w:fldCharType="end"/>
      </w:r>
    </w:p>
    <w:p w:rsidR="00944AF5" w:rsidRPr="00D3031E" w:rsidRDefault="00944AF5" w:rsidP="00E47219">
      <w:pPr>
        <w:pStyle w:val="Innehll2"/>
        <w:tabs>
          <w:tab w:val="left" w:pos="475"/>
        </w:tabs>
        <w:ind w:left="95"/>
        <w:rPr>
          <w:sz w:val="24"/>
          <w:szCs w:val="24"/>
        </w:rPr>
      </w:pPr>
      <w:r w:rsidRPr="00D3031E">
        <w:t>7.2</w:t>
      </w:r>
      <w:r w:rsidRPr="00D3031E">
        <w:tab/>
        <w:t>Allvarlig brottslighet</w:t>
      </w:r>
      <w:r w:rsidRPr="00D3031E">
        <w:tab/>
      </w:r>
      <w:r w:rsidRPr="00D3031E">
        <w:fldChar w:fldCharType="begin" w:fldLock="1"/>
      </w:r>
      <w:r w:rsidRPr="00D3031E">
        <w:instrText xml:space="preserve"> PAGEREF _Toc117298211 \h </w:instrText>
      </w:r>
      <w:r w:rsidRPr="00D3031E">
        <w:fldChar w:fldCharType="separate"/>
      </w:r>
      <w:r w:rsidR="007334D1" w:rsidRPr="00D3031E">
        <w:t>12</w:t>
      </w:r>
      <w:r w:rsidRPr="00D3031E">
        <w:fldChar w:fldCharType="end"/>
      </w:r>
    </w:p>
    <w:p w:rsidR="00944AF5" w:rsidRPr="00D3031E" w:rsidRDefault="00944AF5" w:rsidP="00E47219">
      <w:pPr>
        <w:pStyle w:val="Innehll1"/>
        <w:tabs>
          <w:tab w:val="left" w:pos="190"/>
        </w:tabs>
        <w:rPr>
          <w:sz w:val="24"/>
          <w:szCs w:val="24"/>
        </w:rPr>
      </w:pPr>
      <w:r w:rsidRPr="00D3031E">
        <w:t>8</w:t>
      </w:r>
      <w:r w:rsidRPr="00D3031E">
        <w:rPr>
          <w:sz w:val="24"/>
          <w:szCs w:val="24"/>
        </w:rPr>
        <w:tab/>
      </w:r>
      <w:r w:rsidRPr="00D3031E">
        <w:t>Vissa övriga frågor</w:t>
      </w:r>
      <w:r w:rsidRPr="00D3031E">
        <w:tab/>
      </w:r>
      <w:r w:rsidRPr="00D3031E">
        <w:fldChar w:fldCharType="begin" w:fldLock="1"/>
      </w:r>
      <w:r w:rsidRPr="00D3031E">
        <w:instrText xml:space="preserve"> PAGEREF _Toc117298212 \h </w:instrText>
      </w:r>
      <w:r w:rsidRPr="00D3031E">
        <w:fldChar w:fldCharType="separate"/>
      </w:r>
      <w:r w:rsidR="007334D1" w:rsidRPr="00D3031E">
        <w:t>12</w:t>
      </w:r>
      <w:r w:rsidRPr="00D3031E">
        <w:fldChar w:fldCharType="end"/>
      </w:r>
    </w:p>
    <w:p w:rsidR="00F869B7" w:rsidRPr="00D3031E" w:rsidRDefault="00A26433" w:rsidP="003B1C72">
      <w:pPr>
        <w:pStyle w:val="Hemstlrubrik"/>
        <w:pageBreakBefore/>
        <w:spacing w:before="0"/>
      </w:pPr>
      <w:r w:rsidRPr="00D3031E">
        <w:lastRenderedPageBreak/>
        <w:fldChar w:fldCharType="end"/>
      </w:r>
      <w:bookmarkStart w:id="7" w:name="_Toc117298200"/>
      <w:r w:rsidR="00F869B7" w:rsidRPr="00D3031E">
        <w:t>Förslag till riksdagsbeslut</w:t>
      </w:r>
      <w:bookmarkEnd w:id="4"/>
      <w:bookmarkEnd w:id="5"/>
      <w:bookmarkEnd w:id="6"/>
      <w:bookmarkEnd w:id="7"/>
    </w:p>
    <w:p w:rsidR="00F869B7" w:rsidRPr="00D3031E" w:rsidRDefault="009606D7" w:rsidP="009606D7">
      <w:pPr>
        <w:pStyle w:val="Hemstlatt"/>
      </w:pPr>
      <w:r w:rsidRPr="00D3031E">
        <w:t xml:space="preserve">Riksdagen tillkännager för regeringen som sin mening </w:t>
      </w:r>
      <w:r w:rsidR="00F869B7" w:rsidRPr="00D3031E">
        <w:t>vad i motionen anförs om att hela straffskalan skall beaktas vid bestämmandet av en e</w:t>
      </w:r>
      <w:r w:rsidR="00F869B7" w:rsidRPr="00D3031E">
        <w:t>n</w:t>
      </w:r>
      <w:r w:rsidR="00F869B7" w:rsidRPr="00D3031E">
        <w:t>skild gärnings straffvärde.</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böter och fängelse skall vara de huvudsakliga påföljderna</w:t>
      </w:r>
      <w:r w:rsidRPr="00D3031E">
        <w:t>.</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samhällstjänst skall vara påbörjad inom en månad från att domen vunnit laga kraft</w:t>
      </w:r>
      <w:r w:rsidRPr="00D3031E">
        <w:t>.</w:t>
      </w:r>
    </w:p>
    <w:p w:rsidR="00F869B7" w:rsidRPr="00D3031E" w:rsidRDefault="009606D7" w:rsidP="009606D7">
      <w:pPr>
        <w:pStyle w:val="Hemstlatt"/>
      </w:pPr>
      <w:r w:rsidRPr="00D3031E">
        <w:t xml:space="preserve">Riksdagen tillkännager för regeringen som sin mening </w:t>
      </w:r>
      <w:r w:rsidR="00F869B7" w:rsidRPr="00D3031E">
        <w:t xml:space="preserve">vad i motionen anförs om att villkorlig frigivning efter </w:t>
      </w:r>
      <w:r w:rsidR="00A20795" w:rsidRPr="00D3031E">
        <w:t>två tredje</w:t>
      </w:r>
      <w:r w:rsidR="00F869B7" w:rsidRPr="00D3031E">
        <w:t>delar av utdömt straff skall ske efter individuell prövning där skötsamhet skall premieras</w:t>
      </w:r>
      <w:r w:rsidRPr="00D3031E">
        <w:t>.</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domstol skall fatta beslut om huruvida ett straff skall avtj</w:t>
      </w:r>
      <w:r w:rsidR="00F869B7" w:rsidRPr="00D3031E">
        <w:t>ä</w:t>
      </w:r>
      <w:r w:rsidR="00F869B7" w:rsidRPr="00D3031E">
        <w:t>nas med fotboja eller ej.</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intensivövervakning med elektronisk kontroll skall vara en påföljd som sorterar under villkorligt fängelse.</w:t>
      </w:r>
    </w:p>
    <w:p w:rsidR="00F869B7" w:rsidRPr="00D3031E" w:rsidRDefault="009606D7" w:rsidP="009606D7">
      <w:pPr>
        <w:pStyle w:val="Hemstlatt"/>
        <w:rPr>
          <w:color w:val="000000"/>
          <w:szCs w:val="24"/>
        </w:rPr>
      </w:pPr>
      <w:r w:rsidRPr="00D3031E">
        <w:t xml:space="preserve">Riksdagen tillkännager för regeringen som sin mening </w:t>
      </w:r>
      <w:r w:rsidR="00F869B7" w:rsidRPr="00D3031E">
        <w:t xml:space="preserve">vad i motionen anförs om att </w:t>
      </w:r>
      <w:r w:rsidR="00F869B7" w:rsidRPr="00D3031E">
        <w:rPr>
          <w:color w:val="000000"/>
          <w:szCs w:val="24"/>
        </w:rPr>
        <w:t>lagstiftningen rörande intensivövervakning med elektronisk kontroll skall utvärderas</w:t>
      </w:r>
      <w:r w:rsidRPr="00D3031E">
        <w:rPr>
          <w:color w:val="000000"/>
          <w:szCs w:val="24"/>
        </w:rPr>
        <w:t>.</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bötesbeloppen</w:t>
      </w:r>
      <w:r w:rsidRPr="00D3031E">
        <w:t xml:space="preserve"> </w:t>
      </w:r>
      <w:r w:rsidR="00F869B7" w:rsidRPr="00D3031E">
        <w:t>skall höjas</w:t>
      </w:r>
      <w:r w:rsidRPr="00D3031E">
        <w:t>.</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avskaffa vård inom socialtjänsten som påföljd</w:t>
      </w:r>
      <w:r w:rsidRPr="00D3031E">
        <w:t>.</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uppföljningssammanträden med åklagare eller domare skall införas</w:t>
      </w:r>
      <w:r w:rsidRPr="00D3031E">
        <w:t>.</w:t>
      </w:r>
    </w:p>
    <w:p w:rsidR="00F869B7" w:rsidRPr="00D3031E" w:rsidRDefault="009606D7" w:rsidP="009606D7">
      <w:pPr>
        <w:pStyle w:val="Hemstlatt"/>
      </w:pPr>
      <w:r w:rsidRPr="00D3031E">
        <w:t>Riksdagen tillkännager för regeringen som sin mening vad i motionen anför</w:t>
      </w:r>
      <w:r w:rsidR="00F869B7" w:rsidRPr="00D3031E">
        <w:t>s om att sluten ungdomsvård ska</w:t>
      </w:r>
      <w:r w:rsidR="005C79FF" w:rsidRPr="00D3031E">
        <w:t>ll</w:t>
      </w:r>
      <w:r w:rsidR="00F869B7" w:rsidRPr="00D3031E">
        <w:t xml:space="preserve"> vara kriminalvårdens ansvar</w:t>
      </w:r>
      <w:r w:rsidRPr="00D3031E">
        <w:t>.</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veckoslutshem skall införas som påföljd</w:t>
      </w:r>
      <w:r w:rsidRPr="00D3031E">
        <w:t>.</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ungdomstjänst skall vara en självständig påföljd.</w:t>
      </w:r>
    </w:p>
    <w:p w:rsidR="00F869B7" w:rsidRPr="00D3031E" w:rsidRDefault="009606D7" w:rsidP="009606D7">
      <w:pPr>
        <w:pStyle w:val="Hemstlatt"/>
      </w:pPr>
      <w:r w:rsidRPr="00D3031E">
        <w:t>Riksdagen tillkännager för regeringen som sin mening v</w:t>
      </w:r>
      <w:r w:rsidR="00F869B7" w:rsidRPr="00D3031E">
        <w:t>ad i motionen anförs om att elektronisk intensivövervakning, s.k. fotboja, som påföljd för unga brottslingar skall utredas</w:t>
      </w:r>
      <w:r w:rsidRPr="00D3031E">
        <w:t>.</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tillåta drogtester på unga från tolv års ålder</w:t>
      </w:r>
      <w:r w:rsidRPr="00D3031E">
        <w:t>.</w:t>
      </w:r>
    </w:p>
    <w:p w:rsidR="00F869B7" w:rsidRPr="00D3031E" w:rsidRDefault="009606D7" w:rsidP="009606D7">
      <w:pPr>
        <w:pStyle w:val="Hemstlatt"/>
      </w:pPr>
      <w:r w:rsidRPr="00D3031E">
        <w:t>Riksdagen tillkännager för regeringen som sin mening v</w:t>
      </w:r>
      <w:r w:rsidR="00F869B7" w:rsidRPr="00D3031E">
        <w:t>ad i motionen anförs om att lagstiftningen avseende utvisning på grund av brott ska</w:t>
      </w:r>
      <w:r w:rsidRPr="00D3031E">
        <w:t>ll</w:t>
      </w:r>
      <w:r w:rsidR="00F869B7" w:rsidRPr="00D3031E">
        <w:t xml:space="preserve"> skä</w:t>
      </w:r>
      <w:r w:rsidR="00F869B7" w:rsidRPr="00D3031E">
        <w:t>r</w:t>
      </w:r>
      <w:r w:rsidR="00F869B7" w:rsidRPr="00D3031E">
        <w:t>pas</w:t>
      </w:r>
      <w:r w:rsidRPr="00D3031E">
        <w:t>.</w:t>
      </w:r>
      <w:r w:rsidR="00944AF5" w:rsidRPr="00D3031E">
        <w:rPr>
          <w:szCs w:val="19"/>
          <w:vertAlign w:val="superscript"/>
        </w:rPr>
        <w:t>1</w:t>
      </w:r>
    </w:p>
    <w:p w:rsidR="00F869B7" w:rsidRPr="00D3031E" w:rsidRDefault="009606D7" w:rsidP="009606D7">
      <w:pPr>
        <w:pStyle w:val="Hemstlatt"/>
      </w:pPr>
      <w:r w:rsidRPr="00D3031E">
        <w:t xml:space="preserve">Riksdagen tillkännager för regeringen som sin mening </w:t>
      </w:r>
      <w:r w:rsidR="00F869B7" w:rsidRPr="00D3031E">
        <w:t>vad i motionen anförs om att straffskalan för grov olovlig körning skall höjas till ett år.</w:t>
      </w:r>
    </w:p>
    <w:p w:rsidR="00F869B7" w:rsidRPr="00D3031E" w:rsidRDefault="009606D7" w:rsidP="009606D7">
      <w:pPr>
        <w:pStyle w:val="Hemstlatt"/>
      </w:pPr>
      <w:r w:rsidRPr="00D3031E">
        <w:t xml:space="preserve">Riksdagen tillkännager för regeringen som sin mening vad i </w:t>
      </w:r>
      <w:r w:rsidR="00F869B7" w:rsidRPr="00D3031E">
        <w:t>motionen anförs om att straffskalorna skall ses över för att se om det är fler straf</w:t>
      </w:r>
      <w:r w:rsidR="00F869B7" w:rsidRPr="00D3031E">
        <w:t>f</w:t>
      </w:r>
      <w:r w:rsidR="00F869B7" w:rsidRPr="00D3031E">
        <w:t>skalor som behöver justeras för att möjliggöra frihetsberövande åtgärder</w:t>
      </w:r>
      <w:r w:rsidRPr="00D3031E">
        <w:t>.</w:t>
      </w: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pPr>
        <w:rPr>
          <w:szCs w:val="19"/>
          <w:vertAlign w:val="superscript"/>
        </w:rPr>
      </w:pPr>
    </w:p>
    <w:p w:rsidR="00944AF5" w:rsidRPr="00D3031E" w:rsidRDefault="00944AF5" w:rsidP="00944AF5">
      <w:r w:rsidRPr="00D3031E">
        <w:rPr>
          <w:szCs w:val="19"/>
          <w:vertAlign w:val="superscript"/>
        </w:rPr>
        <w:t xml:space="preserve">1 </w:t>
      </w:r>
      <w:r w:rsidRPr="00D3031E">
        <w:rPr>
          <w:sz w:val="16"/>
          <w:szCs w:val="16"/>
        </w:rPr>
        <w:t>Yrkande 16 hänvisat till SfU.</w:t>
      </w:r>
    </w:p>
    <w:p w:rsidR="00F869B7" w:rsidRPr="00D3031E" w:rsidRDefault="00F869B7" w:rsidP="00944AF5">
      <w:pPr>
        <w:pStyle w:val="Rubrik1"/>
        <w:pageBreakBefore/>
        <w:spacing w:before="0"/>
      </w:pPr>
      <w:bookmarkStart w:id="8" w:name="_Toc116196988"/>
      <w:bookmarkStart w:id="9" w:name="_Toc116197684"/>
      <w:bookmarkStart w:id="10" w:name="_Toc116198077"/>
      <w:bookmarkStart w:id="11" w:name="_Toc117298201"/>
      <w:r w:rsidRPr="00D3031E">
        <w:t>Inledning</w:t>
      </w:r>
      <w:bookmarkEnd w:id="8"/>
      <w:bookmarkEnd w:id="9"/>
      <w:bookmarkEnd w:id="10"/>
      <w:bookmarkEnd w:id="11"/>
    </w:p>
    <w:p w:rsidR="00F869B7" w:rsidRPr="00D3031E" w:rsidRDefault="00F869B7">
      <w:bookmarkStart w:id="12" w:name="_Toc94526425"/>
      <w:r w:rsidRPr="00D3031E">
        <w:t>Påföljdssystemet är ofta föremål för debatt. Åsikterna går isär om en person som har begått brott skall straffas eller vårdas för att rehabiliteras eller en kombination av straff och vård. Frågorna rymmer en mängd problem där hänsyn skall tas till brottsoffer, gärningsmän, kostnader och inte minst hur gemene man uppfattar att straffet står i rimlig proportion till det begångna brottet.</w:t>
      </w:r>
    </w:p>
    <w:p w:rsidR="00F869B7" w:rsidRPr="00D3031E" w:rsidRDefault="00F869B7">
      <w:pPr>
        <w:pStyle w:val="Normaltindrag"/>
      </w:pPr>
      <w:r w:rsidRPr="00D3031E">
        <w:t>Dagens påföljdssystem har under lång tid färgats av socialdemokratins gärningsmann</w:t>
      </w:r>
      <w:r w:rsidRPr="00D3031E">
        <w:t>a</w:t>
      </w:r>
      <w:r w:rsidRPr="00D3031E">
        <w:t>perspektiv där gärningsmannens personliga förutsättningar, eller brist på sådana, har varit vägledande för valet av påföljd. Vårdtanken har haft en framträdande roll. Det framstår dock som alltmer tydligt att systemet under senare år har havererat och vården har i stora delar övergått till förv</w:t>
      </w:r>
      <w:r w:rsidRPr="00D3031E">
        <w:t>a</w:t>
      </w:r>
      <w:r w:rsidRPr="00D3031E">
        <w:t>ring. En av huvudorsakerna till dagens situation är regeringens njugga instäl</w:t>
      </w:r>
      <w:r w:rsidRPr="00D3031E">
        <w:t>l</w:t>
      </w:r>
      <w:r w:rsidRPr="00D3031E">
        <w:t>ning till rättsväsendet. Den ekonomiska nedmonteringen har pågått under lång tid, vilket bl.a. lett till dagens ohållbara situation på våra anstalter med öve</w:t>
      </w:r>
      <w:r w:rsidRPr="00D3031E">
        <w:t>r</w:t>
      </w:r>
      <w:r w:rsidRPr="00D3031E">
        <w:t>beläggning, ry</w:t>
      </w:r>
      <w:r w:rsidRPr="00D3031E">
        <w:t>m</w:t>
      </w:r>
      <w:r w:rsidRPr="00D3031E">
        <w:t>ningar och gisslansituationer som följd.</w:t>
      </w:r>
    </w:p>
    <w:p w:rsidR="00F869B7" w:rsidRPr="00D3031E" w:rsidRDefault="00F869B7">
      <w:pPr>
        <w:pStyle w:val="Normaltindrag"/>
      </w:pPr>
      <w:r w:rsidRPr="00D3031E">
        <w:t>Vi står nu inför en vändpunkt. Rättsstaten måste återupprättas där sat</w:t>
      </w:r>
      <w:r w:rsidRPr="00D3031E">
        <w:t>s</w:t>
      </w:r>
      <w:r w:rsidRPr="00D3031E">
        <w:t>ningar på hela rättskedjan måste vara i fokus. En viktig del i denna återupprä</w:t>
      </w:r>
      <w:r w:rsidRPr="00D3031E">
        <w:t>t</w:t>
      </w:r>
      <w:r w:rsidRPr="00D3031E">
        <w:t>telse är de påföljder som kommer att utdömas. Påföljderna skall överen</w:t>
      </w:r>
      <w:r w:rsidRPr="00D3031E">
        <w:t>s</w:t>
      </w:r>
      <w:r w:rsidRPr="00D3031E">
        <w:t>stämma med det allmänna rättsmedveta</w:t>
      </w:r>
      <w:r w:rsidRPr="00D3031E">
        <w:t>n</w:t>
      </w:r>
      <w:r w:rsidRPr="00D3031E">
        <w:t>det.</w:t>
      </w:r>
    </w:p>
    <w:p w:rsidR="00F869B7" w:rsidRPr="00D3031E" w:rsidRDefault="00F869B7">
      <w:pPr>
        <w:pStyle w:val="Rubrik1"/>
      </w:pPr>
      <w:bookmarkStart w:id="13" w:name="_Toc95756108"/>
      <w:bookmarkStart w:id="14" w:name="_Toc115493259"/>
      <w:bookmarkStart w:id="15" w:name="_Toc115517483"/>
      <w:bookmarkStart w:id="16" w:name="_Toc116196989"/>
      <w:bookmarkStart w:id="17" w:name="_Toc116197685"/>
      <w:bookmarkStart w:id="18" w:name="_Toc116198078"/>
      <w:bookmarkStart w:id="19" w:name="_Toc117298202"/>
      <w:r w:rsidRPr="00D3031E">
        <w:t>Dagens påföljdssystem</w:t>
      </w:r>
      <w:bookmarkEnd w:id="12"/>
      <w:bookmarkEnd w:id="13"/>
      <w:bookmarkEnd w:id="14"/>
      <w:bookmarkEnd w:id="15"/>
      <w:bookmarkEnd w:id="16"/>
      <w:bookmarkEnd w:id="17"/>
      <w:bookmarkEnd w:id="18"/>
      <w:bookmarkEnd w:id="19"/>
    </w:p>
    <w:p w:rsidR="00F869B7" w:rsidRPr="00D3031E" w:rsidRDefault="00F869B7" w:rsidP="00A20795">
      <w:pPr>
        <w:pStyle w:val="Rubrik2"/>
        <w:spacing w:before="120"/>
      </w:pPr>
      <w:bookmarkStart w:id="20" w:name="_Toc95756110"/>
      <w:bookmarkStart w:id="21" w:name="_Toc115493261"/>
      <w:bookmarkStart w:id="22" w:name="_Toc115517484"/>
      <w:bookmarkStart w:id="23" w:name="_Toc116196990"/>
      <w:bookmarkStart w:id="24" w:name="_Toc116197686"/>
      <w:bookmarkStart w:id="25" w:name="_Toc116198079"/>
      <w:bookmarkStart w:id="26" w:name="_Toc117298203"/>
      <w:r w:rsidRPr="00D3031E">
        <w:t>Påföljderna</w:t>
      </w:r>
      <w:bookmarkEnd w:id="20"/>
      <w:bookmarkEnd w:id="21"/>
      <w:bookmarkEnd w:id="22"/>
      <w:bookmarkEnd w:id="23"/>
      <w:bookmarkEnd w:id="24"/>
      <w:bookmarkEnd w:id="25"/>
      <w:bookmarkEnd w:id="26"/>
    </w:p>
    <w:p w:rsidR="00F869B7" w:rsidRPr="00D3031E" w:rsidRDefault="00F869B7">
      <w:r w:rsidRPr="00D3031E">
        <w:t>Dage</w:t>
      </w:r>
      <w:r w:rsidR="00A20795" w:rsidRPr="00D3031E">
        <w:t>ns påföljdssystem regleras i 25</w:t>
      </w:r>
      <w:r w:rsidRPr="00D3031E">
        <w:t>–28 kap</w:t>
      </w:r>
      <w:r w:rsidR="00A20795" w:rsidRPr="00D3031E">
        <w:t>.</w:t>
      </w:r>
      <w:r w:rsidRPr="00D3031E">
        <w:t xml:space="preserve"> brottsbalken. Systemet har all</w:t>
      </w:r>
      <w:r w:rsidRPr="00D3031E">
        <w:t>t</w:t>
      </w:r>
      <w:r w:rsidRPr="00D3031E">
        <w:t>eftersom åren gått vuxit i omfattning med en mängd olika alternativ och är i</w:t>
      </w:r>
      <w:r w:rsidR="00AD0AB5" w:rsidRPr="00D3031E">
        <w:t xml:space="preserve"> </w:t>
      </w:r>
      <w:r w:rsidRPr="00D3031E">
        <w:t>dag en relativt svåröve</w:t>
      </w:r>
      <w:r w:rsidRPr="00D3031E">
        <w:t>r</w:t>
      </w:r>
      <w:r w:rsidRPr="00D3031E">
        <w:t>skådlig materia. För den enskilde som har begått ett brott torde förutsebarheten om vilken påföljd som är att vänta var mycket begränsad med undantag för de</w:t>
      </w:r>
      <w:r w:rsidR="00A20795" w:rsidRPr="00D3031E">
        <w:t>m</w:t>
      </w:r>
      <w:r w:rsidRPr="00D3031E">
        <w:t xml:space="preserve"> som ofta frekventerar våra domstolar. Fö</w:t>
      </w:r>
      <w:r w:rsidRPr="00D3031E">
        <w:t>l</w:t>
      </w:r>
      <w:r w:rsidRPr="00D3031E">
        <w:t>jande påföljder är i dag tillgängliga för domarna:</w:t>
      </w:r>
    </w:p>
    <w:p w:rsidR="00F869B7" w:rsidRPr="00D3031E" w:rsidRDefault="00F869B7" w:rsidP="00944AF5">
      <w:pPr>
        <w:pStyle w:val="PunktlistaBomb"/>
      </w:pPr>
      <w:bookmarkStart w:id="27" w:name="_Toc94526427"/>
      <w:r w:rsidRPr="00D3031E">
        <w:t>Fängelse</w:t>
      </w:r>
      <w:bookmarkEnd w:id="27"/>
    </w:p>
    <w:p w:rsidR="00F869B7" w:rsidRPr="00D3031E" w:rsidRDefault="00F869B7" w:rsidP="00944AF5">
      <w:pPr>
        <w:pStyle w:val="PunktlistaBomb"/>
        <w:spacing w:before="0"/>
      </w:pPr>
      <w:bookmarkStart w:id="28" w:name="_Toc94526428"/>
      <w:r w:rsidRPr="00D3031E">
        <w:t>Villkorlig dom</w:t>
      </w:r>
      <w:bookmarkEnd w:id="28"/>
    </w:p>
    <w:p w:rsidR="00F869B7" w:rsidRPr="00D3031E" w:rsidRDefault="00F869B7" w:rsidP="00944AF5">
      <w:pPr>
        <w:pStyle w:val="PunktlistaTankstreck"/>
        <w:spacing w:before="0"/>
      </w:pPr>
      <w:r w:rsidRPr="00D3031E">
        <w:t>med samhällstjänst</w:t>
      </w:r>
    </w:p>
    <w:p w:rsidR="00F869B7" w:rsidRPr="00D3031E" w:rsidRDefault="00F869B7" w:rsidP="00944AF5">
      <w:pPr>
        <w:pStyle w:val="PunktlistaTankstreck"/>
        <w:spacing w:before="0"/>
      </w:pPr>
      <w:r w:rsidRPr="00D3031E">
        <w:t>med böter</w:t>
      </w:r>
    </w:p>
    <w:p w:rsidR="00F869B7" w:rsidRPr="00D3031E" w:rsidRDefault="00F869B7" w:rsidP="00944AF5">
      <w:pPr>
        <w:pStyle w:val="PunktlistaBomb"/>
        <w:spacing w:before="0"/>
      </w:pPr>
      <w:bookmarkStart w:id="29" w:name="_Toc94526429"/>
      <w:r w:rsidRPr="00D3031E">
        <w:t>Skyddstillsyn</w:t>
      </w:r>
      <w:bookmarkEnd w:id="29"/>
    </w:p>
    <w:p w:rsidR="00F869B7" w:rsidRPr="00D3031E" w:rsidRDefault="00F869B7" w:rsidP="00944AF5">
      <w:pPr>
        <w:pStyle w:val="PunktlistaTankstreck"/>
        <w:spacing w:before="0"/>
      </w:pPr>
      <w:r w:rsidRPr="00D3031E">
        <w:t>med fängelse</w:t>
      </w:r>
    </w:p>
    <w:p w:rsidR="00F869B7" w:rsidRPr="00D3031E" w:rsidRDefault="00F869B7" w:rsidP="00944AF5">
      <w:pPr>
        <w:pStyle w:val="PunktlistaTankstreck"/>
        <w:spacing w:before="0"/>
      </w:pPr>
      <w:r w:rsidRPr="00D3031E">
        <w:t>med föreskrift</w:t>
      </w:r>
    </w:p>
    <w:p w:rsidR="00F869B7" w:rsidRPr="00D3031E" w:rsidRDefault="00F869B7" w:rsidP="00944AF5">
      <w:pPr>
        <w:pStyle w:val="PunktlistaTankstreck"/>
        <w:spacing w:before="0"/>
      </w:pPr>
      <w:r w:rsidRPr="00D3031E">
        <w:t>kontraktsvård</w:t>
      </w:r>
    </w:p>
    <w:p w:rsidR="00F869B7" w:rsidRPr="00D3031E" w:rsidRDefault="00F869B7" w:rsidP="00944AF5">
      <w:pPr>
        <w:pStyle w:val="PunktlistaTankstreck"/>
        <w:spacing w:before="0"/>
      </w:pPr>
      <w:r w:rsidRPr="00D3031E">
        <w:t>med böter</w:t>
      </w:r>
    </w:p>
    <w:p w:rsidR="00F869B7" w:rsidRPr="00D3031E" w:rsidRDefault="00F869B7" w:rsidP="00944AF5">
      <w:pPr>
        <w:pStyle w:val="PunktlistaBomb"/>
        <w:spacing w:before="0"/>
      </w:pPr>
      <w:r w:rsidRPr="00D3031E">
        <w:t>Dagsböter</w:t>
      </w:r>
    </w:p>
    <w:p w:rsidR="00F869B7" w:rsidRPr="00D3031E" w:rsidRDefault="00F869B7" w:rsidP="00944AF5">
      <w:pPr>
        <w:pStyle w:val="PunktlistaBomb"/>
        <w:spacing w:before="0"/>
      </w:pPr>
      <w:r w:rsidRPr="00D3031E">
        <w:t>Penningböter</w:t>
      </w:r>
    </w:p>
    <w:p w:rsidR="00F869B7" w:rsidRPr="00D3031E" w:rsidRDefault="00F869B7" w:rsidP="00944AF5">
      <w:pPr>
        <w:pStyle w:val="PunktlistaBomb"/>
        <w:spacing w:before="0"/>
      </w:pPr>
      <w:r w:rsidRPr="00D3031E">
        <w:t>Sluten ungdomsvård</w:t>
      </w:r>
    </w:p>
    <w:p w:rsidR="00F869B7" w:rsidRPr="00D3031E" w:rsidRDefault="00F869B7" w:rsidP="00944AF5">
      <w:pPr>
        <w:pStyle w:val="PunktlistaBomb"/>
        <w:spacing w:before="0"/>
      </w:pPr>
      <w:r w:rsidRPr="00D3031E">
        <w:t>Ungdomstjänst</w:t>
      </w:r>
    </w:p>
    <w:p w:rsidR="00F869B7" w:rsidRPr="00D3031E" w:rsidRDefault="00F869B7" w:rsidP="00944AF5">
      <w:pPr>
        <w:pStyle w:val="PunktlistaBomb"/>
        <w:spacing w:before="0"/>
      </w:pPr>
      <w:r w:rsidRPr="00D3031E">
        <w:t>Överlämnande till socialtjänsten.</w:t>
      </w:r>
    </w:p>
    <w:p w:rsidR="00F869B7" w:rsidRPr="00D3031E" w:rsidRDefault="00F869B7">
      <w:r w:rsidRPr="00D3031E">
        <w:t>Till detta kommer att fängelsestraff under vissa förutsättningar kan avtjänas med elektr</w:t>
      </w:r>
      <w:r w:rsidRPr="00D3031E">
        <w:t>o</w:t>
      </w:r>
      <w:r w:rsidRPr="00D3031E">
        <w:t>nisk fotboja. Vidare kommer de personer som lider av en allvarlig psykisk störning att överlämnas till rättspsykiatrisk vård.</w:t>
      </w:r>
    </w:p>
    <w:p w:rsidR="00F869B7" w:rsidRPr="00D3031E" w:rsidRDefault="00F869B7">
      <w:pPr>
        <w:pStyle w:val="Normaltindrag"/>
      </w:pPr>
      <w:r w:rsidRPr="00D3031E">
        <w:t>Av uppställningen framgår att risken för att samma brott leder till olika p</w:t>
      </w:r>
      <w:r w:rsidRPr="00D3031E">
        <w:t>å</w:t>
      </w:r>
      <w:r w:rsidRPr="00D3031E">
        <w:t>följd är påtaglig. Inte sällan leder detta till att två personer som tillsammans utfört en gärning kommer att ådömas skilda påföljder. Att bedömningarna över landet skiljer sig åt är oundvikligt men med dagens system har vi i pra</w:t>
      </w:r>
      <w:r w:rsidRPr="00D3031E">
        <w:t>k</w:t>
      </w:r>
      <w:r w:rsidRPr="00D3031E">
        <w:t>tiken olika rättvisor beroende på var någonstans i landet brottet har begåtts. Som exempel kan nämnas att gränsen för åtal avseende s.k. snyltbrott skiftar över landet. Snyltbrott är t.ex. att inte betala sin restaurangnota eller taxiresa. I vissa delar går gränsen vid 350 kr medan andra orter t</w:t>
      </w:r>
      <w:r w:rsidR="00A20795" w:rsidRPr="00D3031E">
        <w:t>illämpar en gräns som går vid 1 </w:t>
      </w:r>
      <w:r w:rsidRPr="00D3031E">
        <w:t>000 kr. Grundläggande begrepp som likhet inför lagen är således åsidosatta.</w:t>
      </w:r>
    </w:p>
    <w:p w:rsidR="00F869B7" w:rsidRPr="00D3031E" w:rsidRDefault="00F869B7">
      <w:pPr>
        <w:pStyle w:val="Rubrik1"/>
      </w:pPr>
      <w:bookmarkStart w:id="30" w:name="_Toc94526431"/>
      <w:bookmarkStart w:id="31" w:name="_Toc95756111"/>
      <w:bookmarkStart w:id="32" w:name="_Toc115493262"/>
      <w:bookmarkStart w:id="33" w:name="_Toc115517485"/>
      <w:bookmarkStart w:id="34" w:name="_Toc116196991"/>
      <w:bookmarkStart w:id="35" w:name="_Toc116197687"/>
      <w:bookmarkStart w:id="36" w:name="_Toc116198080"/>
      <w:bookmarkStart w:id="37" w:name="_Toc117298204"/>
      <w:r w:rsidRPr="00D3031E">
        <w:t>Behovet av reformer</w:t>
      </w:r>
      <w:bookmarkEnd w:id="30"/>
      <w:bookmarkEnd w:id="31"/>
      <w:bookmarkEnd w:id="32"/>
      <w:bookmarkEnd w:id="33"/>
      <w:bookmarkEnd w:id="34"/>
      <w:bookmarkEnd w:id="35"/>
      <w:bookmarkEnd w:id="36"/>
      <w:bookmarkEnd w:id="37"/>
    </w:p>
    <w:p w:rsidR="00F869B7" w:rsidRPr="00D3031E" w:rsidRDefault="00F869B7" w:rsidP="00A20795">
      <w:pPr>
        <w:pStyle w:val="Rubrik2"/>
        <w:spacing w:before="120"/>
      </w:pPr>
      <w:bookmarkStart w:id="38" w:name="_Toc94526434"/>
      <w:bookmarkStart w:id="39" w:name="_Toc95756114"/>
      <w:bookmarkStart w:id="40" w:name="_Toc115493263"/>
      <w:bookmarkStart w:id="41" w:name="_Toc115517486"/>
      <w:bookmarkStart w:id="42" w:name="_Toc116196992"/>
      <w:bookmarkStart w:id="43" w:name="_Toc116197688"/>
      <w:bookmarkStart w:id="44" w:name="_Toc116198081"/>
      <w:bookmarkStart w:id="45" w:name="_Toc117298205"/>
      <w:r w:rsidRPr="00D3031E">
        <w:t>Straffmätning</w:t>
      </w:r>
      <w:bookmarkEnd w:id="38"/>
      <w:r w:rsidRPr="00D3031E">
        <w:t xml:space="preserve"> och påföljdsval</w:t>
      </w:r>
      <w:bookmarkEnd w:id="39"/>
      <w:bookmarkEnd w:id="40"/>
      <w:bookmarkEnd w:id="41"/>
      <w:bookmarkEnd w:id="42"/>
      <w:bookmarkEnd w:id="43"/>
      <w:bookmarkEnd w:id="44"/>
      <w:bookmarkEnd w:id="45"/>
    </w:p>
    <w:p w:rsidR="00F869B7" w:rsidRPr="00D3031E" w:rsidRDefault="00F869B7">
      <w:r w:rsidRPr="00D3031E">
        <w:t xml:space="preserve">I </w:t>
      </w:r>
      <w:r w:rsidR="00E47219" w:rsidRPr="00D3031E">
        <w:t>29</w:t>
      </w:r>
      <w:r w:rsidR="00354CA3" w:rsidRPr="00D3031E">
        <w:t xml:space="preserve"> </w:t>
      </w:r>
      <w:r w:rsidR="00A20795" w:rsidRPr="00D3031E">
        <w:t xml:space="preserve">kap. </w:t>
      </w:r>
      <w:r w:rsidR="00354CA3" w:rsidRPr="00D3031E">
        <w:t>brottsbalken</w:t>
      </w:r>
      <w:r w:rsidR="00A20795" w:rsidRPr="00D3031E">
        <w:t xml:space="preserve"> regleras hur straffet</w:t>
      </w:r>
      <w:r w:rsidRPr="00D3031E">
        <w:t xml:space="preserve"> skall värderas. Varje gärning vä</w:t>
      </w:r>
      <w:r w:rsidRPr="00D3031E">
        <w:t>r</w:t>
      </w:r>
      <w:r w:rsidRPr="00D3031E">
        <w:t>deras självständigt</w:t>
      </w:r>
      <w:r w:rsidR="00A20795" w:rsidRPr="00D3031E">
        <w:t>,</w:t>
      </w:r>
      <w:r w:rsidRPr="00D3031E">
        <w:t xml:space="preserve"> varefter en sammanvägning sker och hänsyn tas till fö</w:t>
      </w:r>
      <w:r w:rsidRPr="00D3031E">
        <w:t>r</w:t>
      </w:r>
      <w:r w:rsidRPr="00D3031E">
        <w:t>svårande respektive förmildrande omständigheter. Efter sammanvägning beslutas vilken påföljd som skall dömas ut. Påföljdsvalet regleras i brottsba</w:t>
      </w:r>
      <w:r w:rsidRPr="00D3031E">
        <w:t>l</w:t>
      </w:r>
      <w:r w:rsidR="00354CA3" w:rsidRPr="00D3031E">
        <w:t xml:space="preserve">kens 30 </w:t>
      </w:r>
      <w:r w:rsidRPr="00D3031E">
        <w:t>k</w:t>
      </w:r>
      <w:r w:rsidRPr="00D3031E">
        <w:t>a</w:t>
      </w:r>
      <w:r w:rsidRPr="00D3031E">
        <w:t>p.</w:t>
      </w:r>
      <w:r w:rsidR="00A20795" w:rsidRPr="00D3031E">
        <w:t xml:space="preserve"> </w:t>
      </w:r>
      <w:r w:rsidR="00354CA3" w:rsidRPr="00D3031E">
        <w:t>brottsbalken</w:t>
      </w:r>
      <w:r w:rsidR="00A20795" w:rsidRPr="00D3031E">
        <w:t>.</w:t>
      </w:r>
    </w:p>
    <w:p w:rsidR="00F869B7" w:rsidRPr="00D3031E" w:rsidRDefault="00F869B7" w:rsidP="003B1C72">
      <w:pPr>
        <w:pStyle w:val="Normaltindrag"/>
        <w:spacing w:after="120"/>
      </w:pPr>
      <w:r w:rsidRPr="00D3031E">
        <w:t>Den enskilda gärningens straffvärde har genom åren vuxit fram genom praxis. Domstolarna har att utgå från botten av straffskalan</w:t>
      </w:r>
      <w:r w:rsidR="00A20795" w:rsidRPr="00D3031E">
        <w:t>,</w:t>
      </w:r>
      <w:r w:rsidRPr="00D3031E">
        <w:t xml:space="preserve"> och av förarbet</w:t>
      </w:r>
      <w:r w:rsidRPr="00D3031E">
        <w:t>e</w:t>
      </w:r>
      <w:r w:rsidRPr="00D3031E">
        <w:t>na framgår att den övre delen av straffskalan är avsedd för exceptionella fall som i praktiken sällan inträffar. Det medför att straffskalorna i praktiken inte utnyttjas, vilket gör att de utdömda stra</w:t>
      </w:r>
      <w:r w:rsidRPr="00D3031E">
        <w:t>f</w:t>
      </w:r>
      <w:r w:rsidRPr="00D3031E">
        <w:t>fen ofta framstår som mycket milda.</w:t>
      </w:r>
    </w:p>
    <w:tbl>
      <w:tblPr>
        <w:tblW w:w="6106" w:type="dxa"/>
        <w:tblLayout w:type="fixed"/>
        <w:tblCellMar>
          <w:left w:w="70" w:type="dxa"/>
          <w:right w:w="70" w:type="dxa"/>
        </w:tblCellMar>
        <w:tblLook w:val="0000" w:firstRow="0" w:lastRow="0" w:firstColumn="0" w:lastColumn="0" w:noHBand="0" w:noVBand="0"/>
      </w:tblPr>
      <w:tblGrid>
        <w:gridCol w:w="2205"/>
        <w:gridCol w:w="1925"/>
        <w:gridCol w:w="1976"/>
      </w:tblGrid>
      <w:tr w:rsidR="00F869B7" w:rsidRPr="00D3031E">
        <w:tblPrEx>
          <w:tblCellMar>
            <w:top w:w="0" w:type="dxa"/>
            <w:bottom w:w="0" w:type="dxa"/>
          </w:tblCellMar>
        </w:tblPrEx>
        <w:tc>
          <w:tcPr>
            <w:tcW w:w="2205" w:type="dxa"/>
            <w:tcBorders>
              <w:top w:val="single" w:sz="4" w:space="0" w:color="auto"/>
              <w:bottom w:val="single" w:sz="4" w:space="0" w:color="auto"/>
            </w:tcBorders>
          </w:tcPr>
          <w:p w:rsidR="00F869B7" w:rsidRPr="00D3031E" w:rsidRDefault="00F869B7" w:rsidP="003B1C72">
            <w:pPr>
              <w:spacing w:before="0"/>
              <w:rPr>
                <w:b/>
                <w:sz w:val="16"/>
                <w:szCs w:val="16"/>
              </w:rPr>
            </w:pPr>
            <w:r w:rsidRPr="00D3031E">
              <w:rPr>
                <w:b/>
                <w:sz w:val="16"/>
                <w:szCs w:val="16"/>
              </w:rPr>
              <w:t xml:space="preserve">Gärning </w:t>
            </w:r>
          </w:p>
        </w:tc>
        <w:tc>
          <w:tcPr>
            <w:tcW w:w="1925" w:type="dxa"/>
            <w:tcBorders>
              <w:top w:val="single" w:sz="4" w:space="0" w:color="auto"/>
              <w:bottom w:val="single" w:sz="4" w:space="0" w:color="auto"/>
            </w:tcBorders>
          </w:tcPr>
          <w:p w:rsidR="00F869B7" w:rsidRPr="00D3031E" w:rsidRDefault="00F869B7" w:rsidP="003B1C72">
            <w:pPr>
              <w:spacing w:before="0"/>
              <w:rPr>
                <w:b/>
                <w:sz w:val="16"/>
                <w:szCs w:val="16"/>
              </w:rPr>
            </w:pPr>
            <w:r w:rsidRPr="00D3031E">
              <w:rPr>
                <w:b/>
                <w:sz w:val="16"/>
                <w:szCs w:val="16"/>
              </w:rPr>
              <w:t xml:space="preserve">Straffskala </w:t>
            </w:r>
          </w:p>
        </w:tc>
        <w:tc>
          <w:tcPr>
            <w:tcW w:w="1976" w:type="dxa"/>
            <w:tcBorders>
              <w:top w:val="single" w:sz="4" w:space="0" w:color="auto"/>
              <w:bottom w:val="single" w:sz="4" w:space="0" w:color="auto"/>
            </w:tcBorders>
          </w:tcPr>
          <w:p w:rsidR="00F869B7" w:rsidRPr="00D3031E" w:rsidRDefault="00F869B7" w:rsidP="003B1C72">
            <w:pPr>
              <w:spacing w:before="0"/>
              <w:rPr>
                <w:b/>
                <w:sz w:val="16"/>
                <w:szCs w:val="16"/>
              </w:rPr>
            </w:pPr>
            <w:r w:rsidRPr="00D3031E">
              <w:rPr>
                <w:b/>
                <w:sz w:val="16"/>
                <w:szCs w:val="16"/>
              </w:rPr>
              <w:t>Genomsnittlig påföljd</w:t>
            </w:r>
            <w:r w:rsidRPr="00D3031E">
              <w:rPr>
                <w:rStyle w:val="Fotnotsreferens"/>
                <w:b/>
                <w:sz w:val="16"/>
                <w:szCs w:val="16"/>
              </w:rPr>
              <w:footnoteReference w:id="2"/>
            </w:r>
          </w:p>
        </w:tc>
      </w:tr>
      <w:tr w:rsidR="00F869B7" w:rsidRPr="00D3031E">
        <w:tblPrEx>
          <w:tblCellMar>
            <w:top w:w="0" w:type="dxa"/>
            <w:bottom w:w="0" w:type="dxa"/>
          </w:tblCellMar>
        </w:tblPrEx>
        <w:tc>
          <w:tcPr>
            <w:tcW w:w="2205" w:type="dxa"/>
            <w:tcBorders>
              <w:top w:val="single" w:sz="4" w:space="0" w:color="auto"/>
            </w:tcBorders>
          </w:tcPr>
          <w:p w:rsidR="00F869B7" w:rsidRPr="00D3031E" w:rsidRDefault="00F869B7" w:rsidP="00E47219">
            <w:pPr>
              <w:spacing w:before="60" w:line="200" w:lineRule="exact"/>
              <w:rPr>
                <w:sz w:val="16"/>
                <w:szCs w:val="16"/>
              </w:rPr>
            </w:pPr>
            <w:r w:rsidRPr="00D3031E">
              <w:rPr>
                <w:sz w:val="16"/>
                <w:szCs w:val="16"/>
              </w:rPr>
              <w:t>Grov misshandel</w:t>
            </w:r>
          </w:p>
        </w:tc>
        <w:tc>
          <w:tcPr>
            <w:tcW w:w="1925" w:type="dxa"/>
            <w:tcBorders>
              <w:top w:val="single" w:sz="4" w:space="0" w:color="auto"/>
            </w:tcBorders>
          </w:tcPr>
          <w:p w:rsidR="00F869B7" w:rsidRPr="00D3031E" w:rsidRDefault="00A20795" w:rsidP="003B1C72">
            <w:pPr>
              <w:spacing w:before="0"/>
              <w:rPr>
                <w:sz w:val="16"/>
                <w:szCs w:val="16"/>
              </w:rPr>
            </w:pPr>
            <w:r w:rsidRPr="00D3031E">
              <w:rPr>
                <w:sz w:val="16"/>
                <w:szCs w:val="16"/>
              </w:rPr>
              <w:t>Fängelse 1</w:t>
            </w:r>
            <w:r w:rsidR="00F869B7" w:rsidRPr="00D3031E">
              <w:rPr>
                <w:sz w:val="16"/>
                <w:szCs w:val="16"/>
              </w:rPr>
              <w:t>–10 år</w:t>
            </w:r>
          </w:p>
        </w:tc>
        <w:tc>
          <w:tcPr>
            <w:tcW w:w="1976" w:type="dxa"/>
            <w:tcBorders>
              <w:top w:val="single" w:sz="4" w:space="0" w:color="auto"/>
            </w:tcBorders>
          </w:tcPr>
          <w:p w:rsidR="00F869B7" w:rsidRPr="00D3031E" w:rsidRDefault="00F869B7" w:rsidP="003B1C72">
            <w:pPr>
              <w:spacing w:before="0"/>
              <w:ind w:right="551"/>
              <w:jc w:val="right"/>
              <w:rPr>
                <w:sz w:val="16"/>
                <w:szCs w:val="16"/>
              </w:rPr>
            </w:pPr>
            <w:r w:rsidRPr="00D3031E">
              <w:rPr>
                <w:sz w:val="16"/>
                <w:szCs w:val="16"/>
              </w:rPr>
              <w:t>17,8 månader</w:t>
            </w:r>
          </w:p>
        </w:tc>
      </w:tr>
      <w:tr w:rsidR="00F869B7" w:rsidRPr="00D3031E">
        <w:tblPrEx>
          <w:tblCellMar>
            <w:top w:w="0" w:type="dxa"/>
            <w:bottom w:w="0" w:type="dxa"/>
          </w:tblCellMar>
        </w:tblPrEx>
        <w:tc>
          <w:tcPr>
            <w:tcW w:w="2205" w:type="dxa"/>
          </w:tcPr>
          <w:p w:rsidR="00F869B7" w:rsidRPr="00D3031E" w:rsidRDefault="00F869B7" w:rsidP="003B1C72">
            <w:pPr>
              <w:spacing w:before="0"/>
              <w:rPr>
                <w:sz w:val="16"/>
                <w:szCs w:val="16"/>
              </w:rPr>
            </w:pPr>
            <w:r w:rsidRPr="00D3031E">
              <w:rPr>
                <w:sz w:val="16"/>
                <w:szCs w:val="16"/>
              </w:rPr>
              <w:t>Grov kvinnofridskrän</w:t>
            </w:r>
            <w:r w:rsidRPr="00D3031E">
              <w:rPr>
                <w:sz w:val="16"/>
                <w:szCs w:val="16"/>
              </w:rPr>
              <w:t>k</w:t>
            </w:r>
            <w:r w:rsidRPr="00D3031E">
              <w:rPr>
                <w:sz w:val="16"/>
                <w:szCs w:val="16"/>
              </w:rPr>
              <w:t>ning</w:t>
            </w:r>
          </w:p>
        </w:tc>
        <w:tc>
          <w:tcPr>
            <w:tcW w:w="1925" w:type="dxa"/>
          </w:tcPr>
          <w:p w:rsidR="00F869B7" w:rsidRPr="00D3031E" w:rsidRDefault="00F869B7" w:rsidP="003B1C72">
            <w:pPr>
              <w:spacing w:before="0"/>
              <w:rPr>
                <w:sz w:val="16"/>
                <w:szCs w:val="16"/>
              </w:rPr>
            </w:pPr>
            <w:r w:rsidRPr="00D3031E">
              <w:rPr>
                <w:sz w:val="16"/>
                <w:szCs w:val="16"/>
              </w:rPr>
              <w:t>Fängelse 6 mån till 6 år</w:t>
            </w:r>
          </w:p>
        </w:tc>
        <w:tc>
          <w:tcPr>
            <w:tcW w:w="1976" w:type="dxa"/>
          </w:tcPr>
          <w:p w:rsidR="00F869B7" w:rsidRPr="00D3031E" w:rsidRDefault="00F869B7" w:rsidP="003B1C72">
            <w:pPr>
              <w:spacing w:before="0"/>
              <w:ind w:right="551"/>
              <w:jc w:val="right"/>
              <w:rPr>
                <w:sz w:val="16"/>
                <w:szCs w:val="16"/>
              </w:rPr>
            </w:pPr>
            <w:r w:rsidRPr="00D3031E">
              <w:rPr>
                <w:sz w:val="16"/>
                <w:szCs w:val="16"/>
              </w:rPr>
              <w:t>10,5 månader</w:t>
            </w:r>
          </w:p>
        </w:tc>
      </w:tr>
      <w:tr w:rsidR="00F869B7" w:rsidRPr="00D3031E">
        <w:tblPrEx>
          <w:tblCellMar>
            <w:top w:w="0" w:type="dxa"/>
            <w:bottom w:w="0" w:type="dxa"/>
          </w:tblCellMar>
        </w:tblPrEx>
        <w:tc>
          <w:tcPr>
            <w:tcW w:w="2205" w:type="dxa"/>
            <w:tcBorders>
              <w:bottom w:val="single" w:sz="4" w:space="0" w:color="auto"/>
            </w:tcBorders>
          </w:tcPr>
          <w:p w:rsidR="00F869B7" w:rsidRPr="00D3031E" w:rsidRDefault="00F869B7" w:rsidP="003B1C72">
            <w:pPr>
              <w:spacing w:before="0"/>
              <w:rPr>
                <w:sz w:val="16"/>
                <w:szCs w:val="16"/>
              </w:rPr>
            </w:pPr>
            <w:r w:rsidRPr="00D3031E">
              <w:rPr>
                <w:sz w:val="16"/>
                <w:szCs w:val="16"/>
              </w:rPr>
              <w:t>Grovt rattfylleri</w:t>
            </w:r>
          </w:p>
        </w:tc>
        <w:tc>
          <w:tcPr>
            <w:tcW w:w="1925" w:type="dxa"/>
            <w:tcBorders>
              <w:bottom w:val="single" w:sz="4" w:space="0" w:color="auto"/>
            </w:tcBorders>
          </w:tcPr>
          <w:p w:rsidR="00F869B7" w:rsidRPr="00D3031E" w:rsidRDefault="00F869B7" w:rsidP="003B1C72">
            <w:pPr>
              <w:spacing w:before="0"/>
              <w:rPr>
                <w:sz w:val="16"/>
                <w:szCs w:val="16"/>
              </w:rPr>
            </w:pPr>
            <w:r w:rsidRPr="00D3031E">
              <w:rPr>
                <w:sz w:val="16"/>
                <w:szCs w:val="16"/>
              </w:rPr>
              <w:t xml:space="preserve">Fängelse upp till </w:t>
            </w:r>
            <w:r w:rsidR="00A20795" w:rsidRPr="00D3031E">
              <w:rPr>
                <w:sz w:val="16"/>
                <w:szCs w:val="16"/>
              </w:rPr>
              <w:t>2</w:t>
            </w:r>
            <w:r w:rsidRPr="00D3031E">
              <w:rPr>
                <w:sz w:val="16"/>
                <w:szCs w:val="16"/>
              </w:rPr>
              <w:t xml:space="preserve"> år.</w:t>
            </w:r>
          </w:p>
        </w:tc>
        <w:tc>
          <w:tcPr>
            <w:tcW w:w="1976" w:type="dxa"/>
            <w:tcBorders>
              <w:bottom w:val="single" w:sz="4" w:space="0" w:color="auto"/>
            </w:tcBorders>
          </w:tcPr>
          <w:p w:rsidR="00F869B7" w:rsidRPr="00D3031E" w:rsidRDefault="00F869B7" w:rsidP="003B1C72">
            <w:pPr>
              <w:spacing w:before="0"/>
              <w:ind w:right="551"/>
              <w:jc w:val="right"/>
              <w:rPr>
                <w:sz w:val="16"/>
                <w:szCs w:val="16"/>
              </w:rPr>
            </w:pPr>
            <w:r w:rsidRPr="00D3031E">
              <w:rPr>
                <w:sz w:val="16"/>
                <w:szCs w:val="16"/>
              </w:rPr>
              <w:t>1,6 månader</w:t>
            </w:r>
          </w:p>
        </w:tc>
      </w:tr>
    </w:tbl>
    <w:p w:rsidR="00F869B7" w:rsidRPr="00D3031E" w:rsidRDefault="00F869B7" w:rsidP="003B1C72">
      <w:r w:rsidRPr="00D3031E">
        <w:t>Tabellen kan göras längre men den illustrerar tydligt hur praxis har utvec</w:t>
      </w:r>
      <w:r w:rsidRPr="00D3031E">
        <w:t>k</w:t>
      </w:r>
      <w:r w:rsidRPr="00D3031E">
        <w:t>lats. Den hänsyn som domstolarna tvingas göra bottnar i den socialdemokr</w:t>
      </w:r>
      <w:r w:rsidRPr="00D3031E">
        <w:t>a</w:t>
      </w:r>
      <w:r w:rsidRPr="00D3031E">
        <w:t>tiska kriminalpolitik som dominerat i decennier. Vi anser att det är nödvä</w:t>
      </w:r>
      <w:r w:rsidRPr="00D3031E">
        <w:t>n</w:t>
      </w:r>
      <w:r w:rsidRPr="00D3031E">
        <w:t>digt att det allmänna rättsmedvetandet speglas i de straff som döms ut. Det finns olika vägar att gå. Det vanligaste förslaget är att skärpa straffskalan genom att höja straffmaximum. Ett annat alternativ är att höja straffminimum. Nackdelen med båda är att det kräver en omfattande genomgång av brottsk</w:t>
      </w:r>
      <w:r w:rsidRPr="00D3031E">
        <w:t>a</w:t>
      </w:r>
      <w:r w:rsidRPr="00D3031E">
        <w:t>talogen med en mängd lagändringar som följd. Vi moderater förordar en a</w:t>
      </w:r>
      <w:r w:rsidRPr="00D3031E">
        <w:t>n</w:t>
      </w:r>
      <w:r w:rsidRPr="00D3031E">
        <w:t>nan väg.</w:t>
      </w:r>
    </w:p>
    <w:p w:rsidR="00F869B7" w:rsidRPr="00D3031E" w:rsidRDefault="00A20795">
      <w:pPr>
        <w:pStyle w:val="Normaltindrag"/>
      </w:pPr>
      <w:r w:rsidRPr="00D3031E">
        <w:t xml:space="preserve">Genom att komplettera 29 </w:t>
      </w:r>
      <w:r w:rsidR="00F869B7" w:rsidRPr="00D3031E">
        <w:t>kap</w:t>
      </w:r>
      <w:r w:rsidRPr="00D3031E">
        <w:t>.</w:t>
      </w:r>
      <w:r w:rsidR="00F869B7" w:rsidRPr="00D3031E">
        <w:t xml:space="preserve"> brottsbalken med en föreskrift om att straffskalan ska</w:t>
      </w:r>
      <w:r w:rsidR="00AD0AB5" w:rsidRPr="00D3031E">
        <w:t>ll</w:t>
      </w:r>
      <w:r w:rsidR="00F869B7" w:rsidRPr="00D3031E">
        <w:t xml:space="preserve"> utnyttjas i större utsträckning vid fastställandet av det e</w:t>
      </w:r>
      <w:r w:rsidR="00F869B7" w:rsidRPr="00D3031E">
        <w:t>n</w:t>
      </w:r>
      <w:r w:rsidR="00F869B7" w:rsidRPr="00D3031E">
        <w:t>skilda brottets straffvärde kommer de utdömda påföljderna i högre grad att stå i överensstämmelse med det allmänna rättsmedvetandet. Straffskalorna kan lämnas orörda men straffvärdet för den enskilda gärnin</w:t>
      </w:r>
      <w:r w:rsidR="00F869B7" w:rsidRPr="00D3031E">
        <w:t>g</w:t>
      </w:r>
      <w:r w:rsidR="00F869B7" w:rsidRPr="00D3031E">
        <w:t>en skärps.</w:t>
      </w:r>
    </w:p>
    <w:p w:rsidR="00F869B7" w:rsidRPr="00D3031E" w:rsidRDefault="00F869B7">
      <w:pPr>
        <w:pStyle w:val="Normaltindrag"/>
      </w:pPr>
      <w:r w:rsidRPr="00D3031E">
        <w:t>Som exempel kan nämnas grovt rattfylleri som har en straffskala om fän</w:t>
      </w:r>
      <w:r w:rsidRPr="00D3031E">
        <w:t>g</w:t>
      </w:r>
      <w:r w:rsidRPr="00D3031E">
        <w:t>else i högst två år. Med vårt nya synsätt kommer en person med alkoholhalt kring 1,5 promille, vilket är tämligen normalt förekommande</w:t>
      </w:r>
      <w:r w:rsidR="00354CA3" w:rsidRPr="00D3031E">
        <w:t>,</w:t>
      </w:r>
      <w:r w:rsidRPr="00D3031E">
        <w:t xml:space="preserve"> </w:t>
      </w:r>
      <w:r w:rsidR="00A20795" w:rsidRPr="00D3031E">
        <w:t xml:space="preserve">att </w:t>
      </w:r>
      <w:r w:rsidRPr="00D3031E">
        <w:t xml:space="preserve">dömas till fängelse i tre till sex månader mot dagens en månad. En person som däremot har </w:t>
      </w:r>
      <w:r w:rsidR="00A20795" w:rsidRPr="00D3031E">
        <w:t>4</w:t>
      </w:r>
      <w:r w:rsidRPr="00D3031E">
        <w:t xml:space="preserve"> promille i blodet, vilket är mycket högt, och som tidigare dömts för grovt rattfylleri kan p</w:t>
      </w:r>
      <w:r w:rsidRPr="00D3031E">
        <w:t>å</w:t>
      </w:r>
      <w:r w:rsidRPr="00D3031E">
        <w:t>räkna en påföljd som ligger i toppen av straffskalan – fängelse i två år. Genom detta synsätt kommer straf</w:t>
      </w:r>
      <w:r w:rsidRPr="00D3031E">
        <w:t>f</w:t>
      </w:r>
      <w:r w:rsidRPr="00D3031E">
        <w:t>skalorna att användas i större utsträckning</w:t>
      </w:r>
      <w:r w:rsidR="00A20795" w:rsidRPr="00D3031E">
        <w:t>,</w:t>
      </w:r>
      <w:r w:rsidRPr="00D3031E">
        <w:t xml:space="preserve"> och dessutom kommer de utdömda straffen att bli mer förståeliga för allmänheten. Många har nog frågat sig varför grovt rattfylleri kan ge två års fängelse när det i praktiken al</w:t>
      </w:r>
      <w:r w:rsidRPr="00D3031E">
        <w:t>d</w:t>
      </w:r>
      <w:r w:rsidRPr="00D3031E">
        <w:t>rig döms ut längre straff än tre månader.</w:t>
      </w:r>
    </w:p>
    <w:p w:rsidR="00F869B7" w:rsidRPr="00D3031E" w:rsidRDefault="00F869B7">
      <w:pPr>
        <w:pStyle w:val="Normaltindrag"/>
      </w:pPr>
      <w:r w:rsidRPr="00D3031E">
        <w:t>Till skillnad från i</w:t>
      </w:r>
      <w:r w:rsidR="00AD0AB5" w:rsidRPr="00D3031E">
        <w:t xml:space="preserve"> </w:t>
      </w:r>
      <w:r w:rsidRPr="00D3031E">
        <w:t>dag kommer således hela straffskalan att utnyttjas. Emellertid bör straffskalans översta del var förbehållen allvarliga brott</w:t>
      </w:r>
      <w:r w:rsidR="00A20795" w:rsidRPr="00D3031E">
        <w:t>,</w:t>
      </w:r>
      <w:r w:rsidRPr="00D3031E">
        <w:t xml:space="preserve"> och dessutom torde det i de flesta fall </w:t>
      </w:r>
      <w:r w:rsidR="00A20795" w:rsidRPr="00D3031E">
        <w:t xml:space="preserve">att </w:t>
      </w:r>
      <w:r w:rsidRPr="00D3031E">
        <w:t>vara fråga om återfallbrottslighet.</w:t>
      </w:r>
    </w:p>
    <w:p w:rsidR="00F869B7" w:rsidRPr="00D3031E" w:rsidRDefault="00F869B7">
      <w:pPr>
        <w:pStyle w:val="Normaltindrag"/>
      </w:pPr>
      <w:r w:rsidRPr="00D3031E">
        <w:t xml:space="preserve">Vissa typer av brott som t.ex. narkotikabrott kommer inte </w:t>
      </w:r>
      <w:r w:rsidR="00A20795" w:rsidRPr="00D3031E">
        <w:t xml:space="preserve">att </w:t>
      </w:r>
      <w:r w:rsidRPr="00D3031E">
        <w:t>påverkas i lika hög grad då straffskalan redan i</w:t>
      </w:r>
      <w:r w:rsidR="00A20795" w:rsidRPr="00D3031E">
        <w:t xml:space="preserve"> </w:t>
      </w:r>
      <w:r w:rsidRPr="00D3031E">
        <w:t>dag utnyttjas fullt ut, vilket är hänförligt till att narkotikabrott gen</w:t>
      </w:r>
      <w:r w:rsidRPr="00D3031E">
        <w:t>e</w:t>
      </w:r>
      <w:r w:rsidRPr="00D3031E">
        <w:t>rellt sett bedöms efter mängden narkotika. Tydliga tabeller har medfört straffskalans hela utnyttjande. De flest</w:t>
      </w:r>
      <w:r w:rsidR="00335FDA" w:rsidRPr="00D3031E">
        <w:t>a</w:t>
      </w:r>
      <w:r w:rsidRPr="00D3031E">
        <w:t xml:space="preserve"> brotten, bl.a. våldsbrotten, kommer dock att vara föremål för en tydlig straffskär</w:t>
      </w:r>
      <w:r w:rsidRPr="00D3031E">
        <w:t>p</w:t>
      </w:r>
      <w:r w:rsidRPr="00D3031E">
        <w:t>ning.</w:t>
      </w:r>
    </w:p>
    <w:p w:rsidR="00F869B7" w:rsidRPr="00D3031E" w:rsidRDefault="00F869B7">
      <w:pPr>
        <w:pStyle w:val="Normaltindrag"/>
      </w:pPr>
      <w:r w:rsidRPr="00D3031E">
        <w:t xml:space="preserve">Det finns emellertid även vissa nackdelar med förevarande förslag. Först och främst kommer </w:t>
      </w:r>
      <w:r w:rsidR="00A20795" w:rsidRPr="00D3031E">
        <w:t xml:space="preserve">det </w:t>
      </w:r>
      <w:r w:rsidRPr="00D3031E">
        <w:t>att krävas ny domstolspraxis. Förslaget kommer att innebära att ett antal avgöra</w:t>
      </w:r>
      <w:r w:rsidRPr="00D3031E">
        <w:t>n</w:t>
      </w:r>
      <w:r w:rsidRPr="00D3031E">
        <w:t>den kommer att föras till Högsta domstolen. Detta innebär i sin tur att det under en övergångsperiod kommer att vara svårt att förutse hur mycket strängare det enskilda brottet skall bedömas. Belas</w:t>
      </w:r>
      <w:r w:rsidRPr="00D3031E">
        <w:t>t</w:t>
      </w:r>
      <w:r w:rsidRPr="00D3031E">
        <w:t>ningen på domstolsväsendet och i viss mån åklagarväse</w:t>
      </w:r>
      <w:r w:rsidRPr="00D3031E">
        <w:t>n</w:t>
      </w:r>
      <w:r w:rsidRPr="00D3031E">
        <w:t>det kommer under en övergångsperiod att öka.</w:t>
      </w:r>
    </w:p>
    <w:p w:rsidR="00F869B7" w:rsidRPr="00D3031E" w:rsidRDefault="00F869B7">
      <w:pPr>
        <w:pStyle w:val="Normaltindrag"/>
      </w:pPr>
      <w:r w:rsidRPr="00D3031E">
        <w:t>Vidare kommer beläggningen på fängelserna initialt att öka, vilket ko</w:t>
      </w:r>
      <w:r w:rsidRPr="00D3031E">
        <w:t>m</w:t>
      </w:r>
      <w:r w:rsidRPr="00D3031E">
        <w:t>mer att kr</w:t>
      </w:r>
      <w:r w:rsidRPr="00D3031E">
        <w:t>ä</w:t>
      </w:r>
      <w:r w:rsidRPr="00D3031E">
        <w:t xml:space="preserve">va resurstillskott för </w:t>
      </w:r>
      <w:r w:rsidR="00A20795" w:rsidRPr="00D3031E">
        <w:t>Kriminalvårdsstyrelsen</w:t>
      </w:r>
      <w:r w:rsidRPr="00D3031E">
        <w:t>.</w:t>
      </w:r>
    </w:p>
    <w:p w:rsidR="00F869B7" w:rsidRPr="00D3031E" w:rsidRDefault="00F869B7">
      <w:pPr>
        <w:pStyle w:val="Normaltindrag"/>
      </w:pPr>
      <w:r w:rsidRPr="00D3031E">
        <w:t xml:space="preserve">När reformen väl är genomförd kommer allmänheten i högre grad </w:t>
      </w:r>
      <w:r w:rsidR="00335FDA" w:rsidRPr="00D3031E">
        <w:t>än i</w:t>
      </w:r>
      <w:r w:rsidR="00AD0AB5" w:rsidRPr="00D3031E">
        <w:t xml:space="preserve"> </w:t>
      </w:r>
      <w:r w:rsidR="00335FDA" w:rsidRPr="00D3031E">
        <w:t xml:space="preserve">dag att </w:t>
      </w:r>
      <w:r w:rsidRPr="00D3031E">
        <w:t xml:space="preserve">acceptera de utdömda straffen. Straffskärpningarna kommer </w:t>
      </w:r>
      <w:r w:rsidR="00354CA3" w:rsidRPr="00D3031E">
        <w:t xml:space="preserve">att </w:t>
      </w:r>
      <w:r w:rsidRPr="00D3031E">
        <w:t>ha en pr</w:t>
      </w:r>
      <w:r w:rsidRPr="00D3031E">
        <w:t>e</w:t>
      </w:r>
      <w:r w:rsidRPr="00D3031E">
        <w:t>ventiv verkan.</w:t>
      </w:r>
    </w:p>
    <w:p w:rsidR="00F869B7" w:rsidRPr="00D3031E" w:rsidRDefault="00F869B7" w:rsidP="00944AF5">
      <w:pPr>
        <w:pStyle w:val="PunktlistaBomb"/>
        <w:tabs>
          <w:tab w:val="clear" w:pos="360"/>
        </w:tabs>
      </w:pPr>
      <w:r w:rsidRPr="00D3031E">
        <w:t>Vid bestämmandet av en enskild gärnings straffvärde skall hela straffsk</w:t>
      </w:r>
      <w:r w:rsidRPr="00D3031E">
        <w:t>a</w:t>
      </w:r>
      <w:r w:rsidRPr="00D3031E">
        <w:t>lan beaktas.</w:t>
      </w:r>
    </w:p>
    <w:p w:rsidR="00F869B7" w:rsidRPr="00D3031E" w:rsidRDefault="00F869B7">
      <w:pPr>
        <w:pStyle w:val="Rubrik2"/>
      </w:pPr>
      <w:bookmarkStart w:id="46" w:name="_Toc94526435"/>
      <w:bookmarkStart w:id="47" w:name="_Toc95756115"/>
      <w:bookmarkStart w:id="48" w:name="_Toc94526432"/>
      <w:bookmarkStart w:id="49" w:name="_Toc95756112"/>
      <w:bookmarkStart w:id="50" w:name="_Toc115493264"/>
      <w:bookmarkStart w:id="51" w:name="_Toc115517487"/>
      <w:bookmarkStart w:id="52" w:name="_Toc116196993"/>
      <w:bookmarkStart w:id="53" w:name="_Toc116197689"/>
      <w:bookmarkStart w:id="54" w:name="_Toc116198082"/>
      <w:bookmarkStart w:id="55" w:name="_Toc117298206"/>
      <w:r w:rsidRPr="00D3031E">
        <w:t>Förtydliga påföljdssystemet</w:t>
      </w:r>
      <w:bookmarkEnd w:id="48"/>
      <w:bookmarkEnd w:id="49"/>
      <w:bookmarkEnd w:id="50"/>
      <w:bookmarkEnd w:id="51"/>
      <w:bookmarkEnd w:id="52"/>
      <w:bookmarkEnd w:id="53"/>
      <w:bookmarkEnd w:id="54"/>
      <w:bookmarkEnd w:id="55"/>
    </w:p>
    <w:p w:rsidR="00F869B7" w:rsidRPr="00D3031E" w:rsidRDefault="00F869B7">
      <w:r w:rsidRPr="00D3031E">
        <w:t>För att skapa förtroende för de påföljder som är aktuella krävs att påföljdss</w:t>
      </w:r>
      <w:r w:rsidRPr="00D3031E">
        <w:t>y</w:t>
      </w:r>
      <w:r w:rsidRPr="00D3031E">
        <w:t>stemet är ty</w:t>
      </w:r>
      <w:r w:rsidRPr="00D3031E">
        <w:t>d</w:t>
      </w:r>
      <w:r w:rsidRPr="00D3031E">
        <w:t>ligt och förutsebart. Dagens system medför, som nämnts ovan, att det finns en risk att likadana brott leder till olika påföljder. Vi anser att likhet inför lagen är en princip som måste åte</w:t>
      </w:r>
      <w:r w:rsidRPr="00D3031E">
        <w:t>r</w:t>
      </w:r>
      <w:r w:rsidRPr="00D3031E">
        <w:t>upprättas.</w:t>
      </w:r>
    </w:p>
    <w:p w:rsidR="00F869B7" w:rsidRPr="00D3031E" w:rsidRDefault="00F869B7">
      <w:pPr>
        <w:pStyle w:val="Normaltindrag"/>
      </w:pPr>
      <w:r w:rsidRPr="00D3031E">
        <w:t>För att uppnå detta föreslår vi att domstolen skall som huvudpåföl</w:t>
      </w:r>
      <w:r w:rsidRPr="00D3031E">
        <w:t>j</w:t>
      </w:r>
      <w:r w:rsidRPr="00D3031E">
        <w:t>der döma ut böter eller fängelse. Fängelse kan i sin tur vara villkorligt eller ovil</w:t>
      </w:r>
      <w:r w:rsidRPr="00D3031E">
        <w:t>l</w:t>
      </w:r>
      <w:r w:rsidRPr="00D3031E">
        <w:t>korligt. Genom att bara ha två typer av straff blir systemet tydligt och straffen kan jämföras. När villkorligt fängelse döms ut skall i domen fängelsestra</w:t>
      </w:r>
      <w:r w:rsidRPr="00D3031E">
        <w:t>f</w:t>
      </w:r>
      <w:r w:rsidRPr="00D3031E">
        <w:t>fets längd anges. Att alternativpåföljden på detta sätt anges ökar tydligheten. I p</w:t>
      </w:r>
      <w:r w:rsidRPr="00D3031E">
        <w:t>å</w:t>
      </w:r>
      <w:r w:rsidRPr="00D3031E">
        <w:t>följden villkorligt fängelse skall dagens övriga påföljder ingå</w:t>
      </w:r>
      <w:r w:rsidR="00A20795" w:rsidRPr="00D3031E">
        <w:t>,</w:t>
      </w:r>
      <w:r w:rsidRPr="00D3031E">
        <w:t xml:space="preserve"> såsom skyddstillsyn och sa</w:t>
      </w:r>
      <w:r w:rsidRPr="00D3031E">
        <w:t>m</w:t>
      </w:r>
      <w:r w:rsidRPr="00D3031E">
        <w:t>hällstjänst.</w:t>
      </w:r>
    </w:p>
    <w:p w:rsidR="00F869B7" w:rsidRPr="00D3031E" w:rsidRDefault="00F869B7" w:rsidP="009606D7">
      <w:pPr>
        <w:pStyle w:val="PunktlistaBomb"/>
      </w:pPr>
      <w:r w:rsidRPr="00D3031E">
        <w:t>Böter och fängelse skall vara de huvudsakliga påföljderna.</w:t>
      </w:r>
    </w:p>
    <w:p w:rsidR="00F869B7" w:rsidRPr="00D3031E" w:rsidRDefault="00F869B7" w:rsidP="00A20795">
      <w:r w:rsidRPr="00D3031E">
        <w:t>Den som getts förtroendet att avtjäna sitt straff genom villkorligt fängelse förenat med skyddstillsyn eller samhällstjänst skall sköta sina åligganden. I dag passerar misskötsel ofta obemärkt och om frågan väl lyfts till domstol stannar det ofta vid en varning. Det är ovanligt att en skyddstillsyn omvandlas till fängelse. För att inskä</w:t>
      </w:r>
      <w:r w:rsidRPr="00D3031E">
        <w:t>r</w:t>
      </w:r>
      <w:r w:rsidRPr="00D3031E">
        <w:t>pa att den enskilde gärningsmannen har fått ett förtroende måste misskötsel få snabba och tydliga ko</w:t>
      </w:r>
      <w:r w:rsidRPr="00D3031E">
        <w:t>n</w:t>
      </w:r>
      <w:r w:rsidRPr="00D3031E">
        <w:t>sekvenser. Genomförs inte samhällstjänsten inom en viss tid eller mi</w:t>
      </w:r>
      <w:r w:rsidRPr="00D3031E">
        <w:t>s</w:t>
      </w:r>
      <w:r w:rsidRPr="00D3031E">
        <w:t>sköts</w:t>
      </w:r>
      <w:r w:rsidR="00A20795" w:rsidRPr="00D3031E">
        <w:t xml:space="preserve"> den</w:t>
      </w:r>
      <w:r w:rsidRPr="00D3031E">
        <w:t xml:space="preserve"> skall det alternativa fängelsestraff som finns i ursprungsdomen ver</w:t>
      </w:r>
      <w:r w:rsidRPr="00D3031E">
        <w:t>k</w:t>
      </w:r>
      <w:r w:rsidRPr="00D3031E">
        <w:t>ställas. Samma sak skall gälla vid skyddstillsyn om den dömde inte sköter sina åligganden t.ex. vad gäller behandling och lämnande av blodprover. Är systemet tydligt kommer det att följas i högre utsträc</w:t>
      </w:r>
      <w:r w:rsidRPr="00D3031E">
        <w:t>k</w:t>
      </w:r>
      <w:r w:rsidRPr="00D3031E">
        <w:t>ning.</w:t>
      </w:r>
    </w:p>
    <w:p w:rsidR="00F869B7" w:rsidRPr="00D3031E" w:rsidRDefault="00F869B7">
      <w:pPr>
        <w:pStyle w:val="Normaltindrag"/>
      </w:pPr>
      <w:r w:rsidRPr="00D3031E">
        <w:t xml:space="preserve">Samhällstjänst skall utföras inom en viss tid från det att domen har vunnit laga kraft. I dag tar genomförandet alltför lång tid, och det händer att saken lämnas därhän. En sådan ordning är oacceptabel. </w:t>
      </w:r>
      <w:r w:rsidRPr="00D3031E">
        <w:rPr>
          <w:color w:val="000000"/>
        </w:rPr>
        <w:t>Vi föreslår därför att sa</w:t>
      </w:r>
      <w:r w:rsidRPr="00D3031E">
        <w:rPr>
          <w:color w:val="000000"/>
        </w:rPr>
        <w:t>m</w:t>
      </w:r>
      <w:r w:rsidRPr="00D3031E">
        <w:rPr>
          <w:color w:val="000000"/>
        </w:rPr>
        <w:t>hällstjänsten skall vara påbörjad inom en månad från att domen vunnit laga kraft. Har så inte skett skall frågan lyftas till domstol som dömer ut det alte</w:t>
      </w:r>
      <w:r w:rsidRPr="00D3031E">
        <w:rPr>
          <w:color w:val="000000"/>
        </w:rPr>
        <w:t>r</w:t>
      </w:r>
      <w:r w:rsidRPr="00D3031E">
        <w:rPr>
          <w:color w:val="000000"/>
        </w:rPr>
        <w:t>nativa fängelsestraffet.</w:t>
      </w:r>
    </w:p>
    <w:p w:rsidR="00F869B7" w:rsidRPr="00D3031E" w:rsidRDefault="00F869B7" w:rsidP="00944AF5">
      <w:pPr>
        <w:pStyle w:val="PunktlistaBomb"/>
        <w:tabs>
          <w:tab w:val="clear" w:pos="360"/>
        </w:tabs>
      </w:pPr>
      <w:r w:rsidRPr="00D3031E">
        <w:t xml:space="preserve">Samhällstjänst skall vara påbörjad inom en månad från att domen vunnit laga kraft. </w:t>
      </w:r>
    </w:p>
    <w:p w:rsidR="00F869B7" w:rsidRPr="00D3031E" w:rsidRDefault="00F869B7" w:rsidP="00A20795">
      <w:r w:rsidRPr="00D3031E">
        <w:t xml:space="preserve">Vår grundinställning är att utdömt fängelsestraff skall avtjänas men det skall löna sig att vara skötsam under verkställighetstiden. Efter att </w:t>
      </w:r>
      <w:r w:rsidR="00A20795" w:rsidRPr="00D3031E">
        <w:t>två tredje</w:t>
      </w:r>
      <w:r w:rsidRPr="00D3031E">
        <w:t>delar av strafftiden har avtjänats skall det därför vara möjligt att bli villkorligt frig</w:t>
      </w:r>
      <w:r w:rsidRPr="00D3031E">
        <w:t>i</w:t>
      </w:r>
      <w:r w:rsidRPr="00D3031E">
        <w:t>ven. Hänsyn skall då tas till hur den dömde skött sig under fängelsetiden. H</w:t>
      </w:r>
      <w:r w:rsidR="00A20795" w:rsidRPr="00D3031E">
        <w:t>a</w:t>
      </w:r>
      <w:r w:rsidRPr="00D3031E">
        <w:t>r den intagne skött sin tid på anstalten genom deltagande i programverksamhet, hållit sig borta från missbruk, skött permissionerna m.m. skall villkorlig fr</w:t>
      </w:r>
      <w:r w:rsidRPr="00D3031E">
        <w:t>i</w:t>
      </w:r>
      <w:r w:rsidRPr="00D3031E">
        <w:t xml:space="preserve">givning vara möjlig. Vi menar också att en farlighetsbedömning bör ske. </w:t>
      </w:r>
    </w:p>
    <w:p w:rsidR="00F869B7" w:rsidRPr="00D3031E" w:rsidRDefault="00F869B7">
      <w:pPr>
        <w:pStyle w:val="Normaltindrag"/>
        <w:rPr>
          <w:color w:val="000000"/>
          <w:szCs w:val="24"/>
        </w:rPr>
      </w:pPr>
      <w:r w:rsidRPr="00D3031E">
        <w:rPr>
          <w:color w:val="000000"/>
          <w:szCs w:val="24"/>
        </w:rPr>
        <w:t>Vid misskötsel såsom rymning bör frigivningen skjutas upp eller helt ut</w:t>
      </w:r>
      <w:r w:rsidRPr="00D3031E">
        <w:rPr>
          <w:color w:val="000000"/>
          <w:szCs w:val="24"/>
        </w:rPr>
        <w:t>e</w:t>
      </w:r>
      <w:r w:rsidRPr="00D3031E">
        <w:rPr>
          <w:color w:val="000000"/>
          <w:szCs w:val="24"/>
        </w:rPr>
        <w:t>bli innebärande att den intagne får sitta hela strafftiden.</w:t>
      </w:r>
    </w:p>
    <w:p w:rsidR="00F869B7" w:rsidRPr="00D3031E" w:rsidRDefault="00F869B7" w:rsidP="00944AF5">
      <w:pPr>
        <w:pStyle w:val="PunktlistaBomb"/>
        <w:tabs>
          <w:tab w:val="clear" w:pos="360"/>
        </w:tabs>
      </w:pPr>
      <w:r w:rsidRPr="00D3031E">
        <w:t xml:space="preserve">Villkorlig frigivning efter </w:t>
      </w:r>
      <w:r w:rsidR="00A20795" w:rsidRPr="00D3031E">
        <w:t>två tredje</w:t>
      </w:r>
      <w:r w:rsidRPr="00D3031E">
        <w:t xml:space="preserve">delar av utdömt straff skall ske efter individuell prövning där skötsamhet skall premieras. </w:t>
      </w:r>
    </w:p>
    <w:p w:rsidR="00F869B7" w:rsidRPr="00D3031E" w:rsidRDefault="00F869B7" w:rsidP="00813B9F">
      <w:r w:rsidRPr="00D3031E">
        <w:t>Intensivövervakning med elektronisk kontroll</w:t>
      </w:r>
      <w:r w:rsidR="00813B9F" w:rsidRPr="00D3031E">
        <w:t>,</w:t>
      </w:r>
      <w:r w:rsidRPr="00D3031E">
        <w:t xml:space="preserve"> ”fotboja”</w:t>
      </w:r>
      <w:r w:rsidR="00813B9F" w:rsidRPr="00D3031E">
        <w:t>,</w:t>
      </w:r>
      <w:r w:rsidRPr="00D3031E">
        <w:t xml:space="preserve"> har kommit att u</w:t>
      </w:r>
      <w:r w:rsidRPr="00D3031E">
        <w:t>t</w:t>
      </w:r>
      <w:r w:rsidRPr="00D3031E">
        <w:t>veckla sig positivt under de senaste åren. Emellertid har den av regeringen förda politiken medfört en del oönskade effekter. En av dessa negativa effe</w:t>
      </w:r>
      <w:r w:rsidRPr="00D3031E">
        <w:t>k</w:t>
      </w:r>
      <w:r w:rsidRPr="00D3031E">
        <w:t>ter är att det inte är domstolen som fattar beslut om huruvida den dömde skall få möjlighet att avtjäna straffet med fotboja. Vi moderater vill därför att dessa beslut skall fattas av domstolen</w:t>
      </w:r>
      <w:r w:rsidR="00813B9F" w:rsidRPr="00D3031E">
        <w:t>,</w:t>
      </w:r>
      <w:r w:rsidRPr="00D3031E">
        <w:t xml:space="preserve"> och fotboja skall betraktas som ett villkorligt fängelsestraff som vid misskötsel skall omvandlas till ovillkorligt fängelse. Kriminalvården skall ta fram nödvändigt underlag till domstolen för att mö</w:t>
      </w:r>
      <w:r w:rsidRPr="00D3031E">
        <w:t>j</w:t>
      </w:r>
      <w:r w:rsidRPr="00D3031E">
        <w:t xml:space="preserve">liggöra korrekta beslut. På detta sätt kan man undvika de situationer där brottsoffer upplever att gärningsmannen inte fått något straff samtidigt som tydligheten </w:t>
      </w:r>
      <w:r w:rsidR="00813B9F" w:rsidRPr="00D3031E">
        <w:t xml:space="preserve">i </w:t>
      </w:r>
      <w:r w:rsidRPr="00D3031E">
        <w:t xml:space="preserve">processen blir bättre.  </w:t>
      </w:r>
    </w:p>
    <w:p w:rsidR="00F869B7" w:rsidRPr="00D3031E" w:rsidRDefault="00F869B7">
      <w:pPr>
        <w:pStyle w:val="Normaltindrag"/>
        <w:rPr>
          <w:color w:val="000000"/>
          <w:szCs w:val="24"/>
        </w:rPr>
      </w:pPr>
      <w:r w:rsidRPr="00D3031E">
        <w:rPr>
          <w:color w:val="000000"/>
          <w:szCs w:val="24"/>
        </w:rPr>
        <w:t>Regeringen har vidare genom lagstiftning (prop. 2004/05:34) väsentligen utvidgat möjligheterna till att en gärningsman skall få avtjäna si</w:t>
      </w:r>
      <w:r w:rsidR="00813B9F" w:rsidRPr="00D3031E">
        <w:rPr>
          <w:color w:val="000000"/>
          <w:szCs w:val="24"/>
        </w:rPr>
        <w:t>tt fängels</w:t>
      </w:r>
      <w:r w:rsidR="00813B9F" w:rsidRPr="00D3031E">
        <w:rPr>
          <w:color w:val="000000"/>
          <w:szCs w:val="24"/>
        </w:rPr>
        <w:t>e</w:t>
      </w:r>
      <w:r w:rsidR="00813B9F" w:rsidRPr="00D3031E">
        <w:rPr>
          <w:color w:val="000000"/>
          <w:szCs w:val="24"/>
        </w:rPr>
        <w:t>straff med fotboja. Det är t</w:t>
      </w:r>
      <w:r w:rsidRPr="00D3031E">
        <w:rPr>
          <w:color w:val="000000"/>
          <w:szCs w:val="24"/>
        </w:rPr>
        <w:t>.ex. möjligt för en person som har fällts till ansvar för grov kvinnofrid</w:t>
      </w:r>
      <w:r w:rsidR="00813B9F" w:rsidRPr="00D3031E">
        <w:rPr>
          <w:color w:val="000000"/>
          <w:szCs w:val="24"/>
        </w:rPr>
        <w:t>s</w:t>
      </w:r>
      <w:r w:rsidRPr="00D3031E">
        <w:rPr>
          <w:color w:val="000000"/>
          <w:szCs w:val="24"/>
        </w:rPr>
        <w:t xml:space="preserve">kränkning </w:t>
      </w:r>
      <w:r w:rsidR="00813B9F" w:rsidRPr="00D3031E">
        <w:rPr>
          <w:color w:val="000000"/>
          <w:szCs w:val="24"/>
        </w:rPr>
        <w:t>att</w:t>
      </w:r>
      <w:r w:rsidRPr="00D3031E">
        <w:rPr>
          <w:color w:val="000000"/>
          <w:szCs w:val="24"/>
        </w:rPr>
        <w:t xml:space="preserve"> få avtjäna sitt straff med fotboja. Vi mod</w:t>
      </w:r>
      <w:r w:rsidRPr="00D3031E">
        <w:rPr>
          <w:color w:val="000000"/>
          <w:szCs w:val="24"/>
        </w:rPr>
        <w:t>e</w:t>
      </w:r>
      <w:r w:rsidRPr="00D3031E">
        <w:rPr>
          <w:color w:val="000000"/>
          <w:szCs w:val="24"/>
        </w:rPr>
        <w:t xml:space="preserve">rater motsatte oss denna förändring när den presenterades för </w:t>
      </w:r>
      <w:r w:rsidR="00813B9F" w:rsidRPr="00D3031E">
        <w:rPr>
          <w:color w:val="000000"/>
          <w:szCs w:val="24"/>
        </w:rPr>
        <w:t>riksdagen</w:t>
      </w:r>
      <w:r w:rsidR="0060763B" w:rsidRPr="00D3031E">
        <w:rPr>
          <w:color w:val="000000"/>
          <w:szCs w:val="24"/>
        </w:rPr>
        <w:t>,</w:t>
      </w:r>
      <w:r w:rsidR="00813B9F" w:rsidRPr="00D3031E">
        <w:rPr>
          <w:color w:val="000000"/>
          <w:szCs w:val="24"/>
        </w:rPr>
        <w:t xml:space="preserve"> </w:t>
      </w:r>
      <w:r w:rsidRPr="00D3031E">
        <w:rPr>
          <w:color w:val="000000"/>
          <w:szCs w:val="24"/>
        </w:rPr>
        <w:t xml:space="preserve">bl.a. då lagförslaget knappast kan anses stå i överensstämmelse med det allmänna rättsmedvetandet. Ett antal remissinstanser delade denna uppfattning. Då vi nu har föreslagit ett reformerat påföljdssystem finns det anledning att se över nuvarande lagstiftning i denna fråga och snarast utvärdera den av regeringen genomförda reformen. </w:t>
      </w:r>
    </w:p>
    <w:p w:rsidR="00F869B7" w:rsidRPr="00D3031E" w:rsidRDefault="00F869B7" w:rsidP="00944AF5">
      <w:pPr>
        <w:pStyle w:val="PunktlistaBomb"/>
        <w:tabs>
          <w:tab w:val="clear" w:pos="360"/>
        </w:tabs>
      </w:pPr>
      <w:r w:rsidRPr="00D3031E">
        <w:t>Domstol skall fatta beslut om huruvida ett straff skall avtjänas med fo</w:t>
      </w:r>
      <w:r w:rsidRPr="00D3031E">
        <w:t>t</w:t>
      </w:r>
      <w:r w:rsidRPr="00D3031E">
        <w:t xml:space="preserve">boja eller ej. </w:t>
      </w:r>
    </w:p>
    <w:p w:rsidR="00F869B7" w:rsidRPr="00D3031E" w:rsidRDefault="00F869B7" w:rsidP="00944AF5">
      <w:pPr>
        <w:pStyle w:val="PunktlistaBomb"/>
        <w:tabs>
          <w:tab w:val="clear" w:pos="360"/>
        </w:tabs>
        <w:spacing w:before="0"/>
      </w:pPr>
      <w:r w:rsidRPr="00D3031E">
        <w:t xml:space="preserve">Intensivövervakning med elektronisk kontroll skall vara en påföljd som sorterar under villkorligt fängelse.  </w:t>
      </w:r>
    </w:p>
    <w:p w:rsidR="00F869B7" w:rsidRPr="00D3031E" w:rsidRDefault="00F869B7" w:rsidP="00944AF5">
      <w:pPr>
        <w:pStyle w:val="PunktlistaBomb"/>
        <w:tabs>
          <w:tab w:val="clear" w:pos="360"/>
        </w:tabs>
        <w:spacing w:before="0"/>
      </w:pPr>
      <w:r w:rsidRPr="00D3031E">
        <w:t xml:space="preserve">Lagstiftningen rörande intensivövervakning med elektronisk kontroll skall utvärderas. </w:t>
      </w:r>
    </w:p>
    <w:p w:rsidR="00F869B7" w:rsidRPr="00D3031E" w:rsidRDefault="00F869B7">
      <w:pPr>
        <w:pStyle w:val="Rubrik2"/>
      </w:pPr>
      <w:bookmarkStart w:id="56" w:name="_Toc94526436"/>
      <w:bookmarkStart w:id="57" w:name="_Toc95756116"/>
      <w:bookmarkStart w:id="58" w:name="_Toc115493267"/>
      <w:bookmarkStart w:id="59" w:name="_Toc115517488"/>
      <w:bookmarkStart w:id="60" w:name="_Toc116196995"/>
      <w:bookmarkStart w:id="61" w:name="_Toc116197691"/>
      <w:bookmarkStart w:id="62" w:name="_Toc116198083"/>
      <w:bookmarkStart w:id="63" w:name="_Toc117298207"/>
      <w:bookmarkEnd w:id="46"/>
      <w:bookmarkEnd w:id="47"/>
      <w:r w:rsidRPr="00D3031E">
        <w:t>Böteslagstiftningen</w:t>
      </w:r>
      <w:bookmarkEnd w:id="56"/>
      <w:bookmarkEnd w:id="57"/>
      <w:bookmarkEnd w:id="58"/>
      <w:bookmarkEnd w:id="59"/>
      <w:bookmarkEnd w:id="60"/>
      <w:bookmarkEnd w:id="61"/>
      <w:bookmarkEnd w:id="62"/>
      <w:bookmarkEnd w:id="63"/>
    </w:p>
    <w:p w:rsidR="00F869B7" w:rsidRPr="00D3031E" w:rsidRDefault="00F869B7">
      <w:r w:rsidRPr="00D3031E">
        <w:t>Böteslagstiftningen behöver ses över och beloppen behöver höjas. Högsta pennin</w:t>
      </w:r>
      <w:r w:rsidRPr="00D3031E">
        <w:t>g</w:t>
      </w:r>
      <w:r w:rsidRPr="00D3031E">
        <w:t>bot f</w:t>
      </w:r>
      <w:r w:rsidR="00FD251C" w:rsidRPr="00D3031E">
        <w:t>ör ett enskilt brott är i dag 2 </w:t>
      </w:r>
      <w:r w:rsidRPr="00D3031E">
        <w:t>000 kr. Penningboten har under många år urholkats på grund av inflationen. En höjd beloppsgräns medför också större respekt för gällande regler och kan komma att motverka sådana rättsliga avarter där företag har som affärsidé att betala den enskildes böter. I detta sammanhang bör även de olika ordningsböterna ses över. Det är mö</w:t>
      </w:r>
      <w:r w:rsidRPr="00D3031E">
        <w:t>j</w:t>
      </w:r>
      <w:r w:rsidRPr="00D3031E">
        <w:t>ligt att en del brott inte bör bestraffas med ordningsbot, t.ex. vissa trafikförseelser.</w:t>
      </w:r>
    </w:p>
    <w:p w:rsidR="00F869B7" w:rsidRPr="00D3031E" w:rsidRDefault="00F869B7">
      <w:pPr>
        <w:pStyle w:val="Normaltindrag"/>
      </w:pPr>
      <w:r w:rsidRPr="00D3031E">
        <w:t>Lägsta dagsbotsbelopp uppgår i dag till 30 kr</w:t>
      </w:r>
      <w:r w:rsidR="00FD251C" w:rsidRPr="00D3031E">
        <w:t>,</w:t>
      </w:r>
      <w:r w:rsidRPr="00D3031E">
        <w:t xml:space="preserve"> vilket innebär</w:t>
      </w:r>
      <w:r w:rsidR="00FD251C" w:rsidRPr="00D3031E">
        <w:t xml:space="preserve"> att lägsta u</w:t>
      </w:r>
      <w:r w:rsidR="00FD251C" w:rsidRPr="00D3031E">
        <w:t>t</w:t>
      </w:r>
      <w:r w:rsidR="00FD251C" w:rsidRPr="00D3031E">
        <w:t>dömda dagsbot</w:t>
      </w:r>
      <w:r w:rsidRPr="00D3031E">
        <w:t xml:space="preserve"> i dag blir 900 kr. För att stå i bättre överensstämmelse med ovan föreslagna penningbot</w:t>
      </w:r>
      <w:r w:rsidRPr="00D3031E">
        <w:t>s</w:t>
      </w:r>
      <w:r w:rsidRPr="00D3031E">
        <w:t>belopp föreslår vi att lägsta dagsbotsbeloppet höjs.</w:t>
      </w:r>
    </w:p>
    <w:p w:rsidR="00F869B7" w:rsidRPr="00D3031E" w:rsidRDefault="00F869B7" w:rsidP="009606D7">
      <w:pPr>
        <w:pStyle w:val="PunktlistaBomb"/>
      </w:pPr>
      <w:r w:rsidRPr="00D3031E">
        <w:t>Höj bötesbeloppen.</w:t>
      </w:r>
    </w:p>
    <w:p w:rsidR="00F869B7" w:rsidRPr="00D3031E" w:rsidRDefault="00F869B7">
      <w:pPr>
        <w:pStyle w:val="Rubrik1"/>
      </w:pPr>
      <w:bookmarkStart w:id="64" w:name="_Toc94526437"/>
      <w:bookmarkStart w:id="65" w:name="_Toc95756117"/>
      <w:bookmarkStart w:id="66" w:name="_Toc115493268"/>
      <w:bookmarkStart w:id="67" w:name="_Toc115517489"/>
      <w:bookmarkStart w:id="68" w:name="_Toc116196996"/>
      <w:bookmarkStart w:id="69" w:name="_Toc116197692"/>
      <w:bookmarkStart w:id="70" w:name="_Toc116198084"/>
      <w:bookmarkStart w:id="71" w:name="_Toc117298208"/>
      <w:r w:rsidRPr="00D3031E">
        <w:t>Unga lagöverträdare</w:t>
      </w:r>
      <w:bookmarkEnd w:id="64"/>
      <w:bookmarkEnd w:id="65"/>
      <w:bookmarkEnd w:id="66"/>
      <w:bookmarkEnd w:id="67"/>
      <w:bookmarkEnd w:id="68"/>
      <w:bookmarkEnd w:id="69"/>
      <w:bookmarkEnd w:id="70"/>
      <w:bookmarkEnd w:id="71"/>
    </w:p>
    <w:p w:rsidR="00F869B7" w:rsidRPr="00D3031E" w:rsidRDefault="00F869B7" w:rsidP="009606D7">
      <w:r w:rsidRPr="00D3031E">
        <w:t>Kriminalitet eller asocialt leverne debuterar sällan i vuxen ålder. Tecknen har ofta fu</w:t>
      </w:r>
      <w:r w:rsidRPr="00D3031E">
        <w:t>n</w:t>
      </w:r>
      <w:r w:rsidRPr="00D3031E">
        <w:t>nits länge, många gånger i tidig skolålder. Ofta är kriminaliteten en inkörsport till mis</w:t>
      </w:r>
      <w:r w:rsidRPr="00D3031E">
        <w:t>s</w:t>
      </w:r>
      <w:r w:rsidRPr="00D3031E">
        <w:t xml:space="preserve">bruk, inte tvärtom. Hälften av de manliga fångarna </w:t>
      </w:r>
      <w:r w:rsidR="00335FDA" w:rsidRPr="00D3031E">
        <w:t xml:space="preserve">på våra anstalter </w:t>
      </w:r>
      <w:r w:rsidRPr="00D3031E">
        <w:t>fanns redan i polisens register över begångna brott innan de fyllt 16 år. Omkring 14 procent av svenska barn har en mamma eller pappa som missbrukar. Ur denna grupp rekryteras sedan 80 procent av dem som blir kriminella och/eller missbrukare. Det är därför viktigt att samhället reagerar tydligt och tidigt, redan första gången dessa unga kommer i klammeri med rättvisan.</w:t>
      </w:r>
    </w:p>
    <w:p w:rsidR="00F869B7" w:rsidRPr="00D3031E" w:rsidRDefault="00F869B7">
      <w:pPr>
        <w:pStyle w:val="Normaltindrag"/>
      </w:pPr>
      <w:r w:rsidRPr="00D3031E">
        <w:t>Överlämnande till vård inom socialtjänsten är ett misslyckande. I dag åte</w:t>
      </w:r>
      <w:r w:rsidRPr="00D3031E">
        <w:t>r</w:t>
      </w:r>
      <w:r w:rsidRPr="00D3031E">
        <w:t>faller 70 procent i brottslighet efter tre år. Ett problem är socialtjänstens dub</w:t>
      </w:r>
      <w:r w:rsidRPr="00D3031E">
        <w:t>b</w:t>
      </w:r>
      <w:r w:rsidRPr="00D3031E">
        <w:t>la roll i ege</w:t>
      </w:r>
      <w:r w:rsidRPr="00D3031E">
        <w:t>n</w:t>
      </w:r>
      <w:r w:rsidRPr="00D3031E">
        <w:t>skap av att erbjuda hjälp och samtidigt verkställa ett utdömt straff. I praktiken fö</w:t>
      </w:r>
      <w:r w:rsidRPr="00D3031E">
        <w:t>r</w:t>
      </w:r>
      <w:r w:rsidRPr="00D3031E">
        <w:t>står vare sig socialtjänsten eller den unge skillnaden mellan dessa roller. Vi moder</w:t>
      </w:r>
      <w:r w:rsidRPr="00D3031E">
        <w:t>a</w:t>
      </w:r>
      <w:r w:rsidRPr="00D3031E">
        <w:t>ter menar därför att socialtjänsten skall kopplas bort från den straffande rollen och enbart inrikta sitt arbete på att lämna erfo</w:t>
      </w:r>
      <w:r w:rsidRPr="00D3031E">
        <w:t>r</w:t>
      </w:r>
      <w:r w:rsidRPr="00D3031E">
        <w:t>derligt stöd. För dessa unga lagöverträdare torde i</w:t>
      </w:r>
      <w:r w:rsidR="00FD251C" w:rsidRPr="00D3031E">
        <w:t xml:space="preserve"> </w:t>
      </w:r>
      <w:r w:rsidRPr="00D3031E">
        <w:t>stället skyddstillsyn i fr</w:t>
      </w:r>
      <w:r w:rsidRPr="00D3031E">
        <w:t>i</w:t>
      </w:r>
      <w:r w:rsidRPr="00D3031E">
        <w:t xml:space="preserve">vården regi vara en möjlig väg. Frivården, som är en del av </w:t>
      </w:r>
      <w:r w:rsidR="00FD251C" w:rsidRPr="00D3031E">
        <w:t>kriminalvården</w:t>
      </w:r>
      <w:r w:rsidRPr="00D3031E">
        <w:t xml:space="preserve">, kan bidra med kompetens och kan sannolikt utforma </w:t>
      </w:r>
      <w:r w:rsidR="00335FDA" w:rsidRPr="00D3031E">
        <w:t>ett</w:t>
      </w:r>
      <w:r w:rsidRPr="00D3031E">
        <w:t xml:space="preserve"> behandlingsprogram likt dagens konsekvensprogram som i än högre grad anknyter till vad en kr</w:t>
      </w:r>
      <w:r w:rsidRPr="00D3031E">
        <w:t>i</w:t>
      </w:r>
      <w:r w:rsidRPr="00D3031E">
        <w:t>minell karriär i verkligheten innebär. Dessutom kommer större likhet inför lagen att up</w:t>
      </w:r>
      <w:r w:rsidRPr="00D3031E">
        <w:t>p</w:t>
      </w:r>
      <w:r w:rsidRPr="00D3031E">
        <w:t>nås om det överförs från en kommunal till en statlig utförare. Det är också viktigt att tydligheten gentemot den unge brottslingen ökar. Krim</w:t>
      </w:r>
      <w:r w:rsidRPr="00D3031E">
        <w:t>i</w:t>
      </w:r>
      <w:r w:rsidRPr="00D3031E">
        <w:t xml:space="preserve">nalvården står för att verkställa en påföljd medan det sociala arbetet ligger </w:t>
      </w:r>
      <w:r w:rsidR="00AD0AB5" w:rsidRPr="00D3031E">
        <w:t xml:space="preserve">kvar </w:t>
      </w:r>
      <w:r w:rsidRPr="00D3031E">
        <w:t>på socialtjänsten enligt gällande lagstif</w:t>
      </w:r>
      <w:r w:rsidRPr="00D3031E">
        <w:t>t</w:t>
      </w:r>
      <w:r w:rsidRPr="00D3031E">
        <w:t>ning.</w:t>
      </w:r>
    </w:p>
    <w:p w:rsidR="00F869B7" w:rsidRPr="00D3031E" w:rsidRDefault="00F869B7" w:rsidP="003B1C72">
      <w:pPr>
        <w:pStyle w:val="PunktlistaBomb"/>
      </w:pPr>
      <w:r w:rsidRPr="00D3031E">
        <w:t>Avskaffa vård inom socialtjänsten som påföljd</w:t>
      </w:r>
      <w:r w:rsidR="00FD251C" w:rsidRPr="00D3031E">
        <w:t>.</w:t>
      </w:r>
    </w:p>
    <w:p w:rsidR="00F869B7" w:rsidRPr="00D3031E" w:rsidRDefault="00F869B7" w:rsidP="003B1C72">
      <w:r w:rsidRPr="00D3031E">
        <w:t>Återrapporteringen avseende unga lagöverträdare måste förbättras. Socia</w:t>
      </w:r>
      <w:r w:rsidRPr="00D3031E">
        <w:t>l</w:t>
      </w:r>
      <w:r w:rsidRPr="00D3031E">
        <w:t>tjänsten uppv</w:t>
      </w:r>
      <w:r w:rsidRPr="00D3031E">
        <w:t>i</w:t>
      </w:r>
      <w:r w:rsidRPr="00D3031E">
        <w:t>sar i</w:t>
      </w:r>
      <w:r w:rsidR="00AD0AB5" w:rsidRPr="00D3031E">
        <w:t xml:space="preserve"> </w:t>
      </w:r>
      <w:r w:rsidRPr="00D3031E">
        <w:t>dag brister vad gäller återrapportering till åklagare när den unge avbrutit eller misskött vår</w:t>
      </w:r>
      <w:r w:rsidRPr="00D3031E">
        <w:t>d</w:t>
      </w:r>
      <w:r w:rsidRPr="00D3031E">
        <w:t>planen. Återrapportering underlåts av flera olika skäl men främst är skälen hänförliga till tidsbrist och hög arbetsbörda. Även bristande rutiner för kontakt med åklagare samt okunskap om när åte</w:t>
      </w:r>
      <w:r w:rsidRPr="00D3031E">
        <w:t>r</w:t>
      </w:r>
      <w:r w:rsidRPr="00D3031E">
        <w:t>rapportering skall ske och hur stora avvikelser från vårdplanen som kunde accepteras är bidragande ors</w:t>
      </w:r>
      <w:r w:rsidRPr="00D3031E">
        <w:t>a</w:t>
      </w:r>
      <w:r w:rsidRPr="00D3031E">
        <w:t>ker.</w:t>
      </w:r>
    </w:p>
    <w:p w:rsidR="00F869B7" w:rsidRPr="00D3031E" w:rsidRDefault="00F869B7">
      <w:pPr>
        <w:pStyle w:val="Normaltindrag"/>
      </w:pPr>
      <w:r w:rsidRPr="00D3031E">
        <w:t>Vi finner dessa förhållanden oacceptabla. Det är för det första inte rimligt att åte</w:t>
      </w:r>
      <w:r w:rsidRPr="00D3031E">
        <w:t>r</w:t>
      </w:r>
      <w:r w:rsidRPr="00D3031E">
        <w:t>rapporteringen skiljer sig åt olika kommuner emellan och för det andra måste n</w:t>
      </w:r>
      <w:r w:rsidRPr="00D3031E">
        <w:t>a</w:t>
      </w:r>
      <w:r w:rsidRPr="00D3031E">
        <w:t>turligtvis återrapportering ske vid alla former av misskötsel. För att motverka dessa tveksamheter vill vi moderater förutom att flytta över ansv</w:t>
      </w:r>
      <w:r w:rsidRPr="00D3031E">
        <w:t>a</w:t>
      </w:r>
      <w:r w:rsidRPr="00D3031E">
        <w:t xml:space="preserve">ret till frivården även införa obligatoriska uppföljningssammanträden vid den </w:t>
      </w:r>
      <w:r w:rsidR="00944AF5" w:rsidRPr="00D3031E">
        <w:t>domstol som dömt ut den aktuella</w:t>
      </w:r>
      <w:r w:rsidRPr="00D3031E">
        <w:t xml:space="preserve"> påföljden.</w:t>
      </w:r>
    </w:p>
    <w:p w:rsidR="00F869B7" w:rsidRPr="00D3031E" w:rsidRDefault="00F869B7" w:rsidP="009606D7">
      <w:pPr>
        <w:pStyle w:val="PunktlistaBomb"/>
      </w:pPr>
      <w:r w:rsidRPr="00D3031E">
        <w:t>Inför uppföljningssammanträden med åklagare eller domare.</w:t>
      </w:r>
    </w:p>
    <w:p w:rsidR="00F869B7" w:rsidRPr="00D3031E" w:rsidRDefault="00F869B7" w:rsidP="003B1C72">
      <w:r w:rsidRPr="00D3031E">
        <w:t>Sluten ungdomsvård är ett bra alternativ till fängelse. Emellertid finns det brister inom denna påföljdsform som måste åtgärdas. Ett stort problem är att de som döms till sluten ungdomsvård placeras tillsammans med andra unga som är tvång</w:t>
      </w:r>
      <w:r w:rsidRPr="00D3031E">
        <w:t>s</w:t>
      </w:r>
      <w:r w:rsidRPr="00D3031E">
        <w:t>omhändertagna enligt lagen med särskilda bestämmelser om vård av unga, LVU. Denna sammanblandning har kritiserats av de unga i</w:t>
      </w:r>
      <w:r w:rsidRPr="00D3031E">
        <w:t>n</w:t>
      </w:r>
      <w:r w:rsidRPr="00D3031E">
        <w:t>tagna, personal och Riksrev</w:t>
      </w:r>
      <w:r w:rsidRPr="00D3031E">
        <w:t>i</w:t>
      </w:r>
      <w:r w:rsidRPr="00D3031E">
        <w:t>sionsverket.</w:t>
      </w:r>
    </w:p>
    <w:p w:rsidR="00F869B7" w:rsidRPr="00D3031E" w:rsidRDefault="00F869B7">
      <w:pPr>
        <w:pStyle w:val="Normaltindrag"/>
      </w:pPr>
      <w:r w:rsidRPr="00D3031E">
        <w:t>Ansvaret för de</w:t>
      </w:r>
      <w:r w:rsidR="00944AF5" w:rsidRPr="00D3031E">
        <w:t>m</w:t>
      </w:r>
      <w:r w:rsidRPr="00D3031E">
        <w:t xml:space="preserve"> som döms till sluten ungdomsvård bör därför flyttas till kriminalvården. Kriminalvården har bäst förutsättningar att klara denna up</w:t>
      </w:r>
      <w:r w:rsidRPr="00D3031E">
        <w:t>p</w:t>
      </w:r>
      <w:r w:rsidRPr="00D3031E">
        <w:t>gift och samtidigt tydliggörs samhällets reaktion. Dessutom bidrar detta till ett helhetsansvar inom kriminalvården som vi menar är positivt. Samtidigt bör socialtjänstens ansvar tydliggöras och ansvaret för eftervården måste formal</w:t>
      </w:r>
      <w:r w:rsidRPr="00D3031E">
        <w:t>i</w:t>
      </w:r>
      <w:r w:rsidRPr="00D3031E">
        <w:t>seras.</w:t>
      </w:r>
    </w:p>
    <w:p w:rsidR="00F869B7" w:rsidRPr="00D3031E" w:rsidRDefault="00F869B7" w:rsidP="009606D7">
      <w:pPr>
        <w:pStyle w:val="PunktlistaBomb"/>
      </w:pPr>
      <w:r w:rsidRPr="00D3031E">
        <w:t>Sluten ungdomsvård ska</w:t>
      </w:r>
      <w:r w:rsidR="00AD0AB5" w:rsidRPr="00D3031E">
        <w:t>ll</w:t>
      </w:r>
      <w:r w:rsidRPr="00D3031E">
        <w:t xml:space="preserve"> vara kriminalvårdens ansvar</w:t>
      </w:r>
      <w:r w:rsidR="00944AF5" w:rsidRPr="00D3031E">
        <w:t>.</w:t>
      </w:r>
    </w:p>
    <w:p w:rsidR="00F869B7" w:rsidRPr="00D3031E" w:rsidRDefault="00F869B7" w:rsidP="003B1C72">
      <w:r w:rsidRPr="00D3031E">
        <w:t>Veckoslutshem bör övervägas som alternativpåföljd. Fördelen med en s</w:t>
      </w:r>
      <w:r w:rsidRPr="00D3031E">
        <w:t>å</w:t>
      </w:r>
      <w:r w:rsidRPr="00D3031E">
        <w:t>dan påföljd är att skolgången inte blir lidande och den unge hålls under ko</w:t>
      </w:r>
      <w:r w:rsidRPr="00D3031E">
        <w:t>n</w:t>
      </w:r>
      <w:r w:rsidRPr="00D3031E">
        <w:t>troll på helgen då de brottsliga aktiviteterna tenderar att öka. Vidare minskar mö</w:t>
      </w:r>
      <w:r w:rsidRPr="00D3031E">
        <w:t>j</w:t>
      </w:r>
      <w:r w:rsidRPr="00D3031E">
        <w:t>ligheterna till användandet av droger. En förutsättning för att denna på följd skall kunna bli aktuell är att den genomförs i n</w:t>
      </w:r>
      <w:r w:rsidR="00944AF5" w:rsidRPr="00D3031E">
        <w:t>ära samarbete med familj, skola</w:t>
      </w:r>
      <w:r w:rsidRPr="00D3031E">
        <w:t xml:space="preserve"> och socialtjänst så att den övervakande funktionen upprätthålls.</w:t>
      </w:r>
    </w:p>
    <w:p w:rsidR="00F869B7" w:rsidRPr="00D3031E" w:rsidRDefault="00F869B7">
      <w:pPr>
        <w:pStyle w:val="PunktlistaBomb"/>
      </w:pPr>
      <w:r w:rsidRPr="00D3031E">
        <w:t>Veckoslutshem skall införas som påföljd</w:t>
      </w:r>
      <w:r w:rsidR="00944AF5" w:rsidRPr="00D3031E">
        <w:t>.</w:t>
      </w:r>
    </w:p>
    <w:p w:rsidR="00F869B7" w:rsidRPr="00D3031E" w:rsidRDefault="00F869B7" w:rsidP="003B1C72">
      <w:r w:rsidRPr="00D3031E">
        <w:t>Ungdomstjänst ska</w:t>
      </w:r>
      <w:r w:rsidR="00AD0AB5" w:rsidRPr="00D3031E">
        <w:t>ll</w:t>
      </w:r>
      <w:r w:rsidRPr="00D3031E">
        <w:t xml:space="preserve"> vara en självständig påföljd. Ungdomstjänst fyller en viktig funktion ur ett brottsförebyggande perspektiv då den unge kan komma till insikt om vad brottsligheten kan komma att medföra för brottsoffret. Un</w:t>
      </w:r>
      <w:r w:rsidRPr="00D3031E">
        <w:t>g</w:t>
      </w:r>
      <w:r w:rsidRPr="00D3031E">
        <w:t>domstjänsten bör därför u</w:t>
      </w:r>
      <w:r w:rsidRPr="00D3031E">
        <w:t>t</w:t>
      </w:r>
      <w:r w:rsidRPr="00D3031E">
        <w:t>formas enligt principen att den unge skall reparera den skada som han/hon har åsta</w:t>
      </w:r>
      <w:r w:rsidRPr="00D3031E">
        <w:t>d</w:t>
      </w:r>
      <w:r w:rsidRPr="00D3031E">
        <w:t>kommit. I enlighet med vad vi anfört ovan skall ungdomstjänsten ligga under kriminalvårdens huvudmanna</w:t>
      </w:r>
      <w:r w:rsidRPr="00D3031E">
        <w:t>s</w:t>
      </w:r>
      <w:r w:rsidRPr="00D3031E">
        <w:t>kap.</w:t>
      </w:r>
    </w:p>
    <w:p w:rsidR="00F869B7" w:rsidRPr="00D3031E" w:rsidRDefault="00F869B7">
      <w:pPr>
        <w:pStyle w:val="PunktlistaBomb"/>
      </w:pPr>
      <w:r w:rsidRPr="00D3031E">
        <w:t>Ungdomstjänst skall vara en självständig påföljd.</w:t>
      </w:r>
    </w:p>
    <w:p w:rsidR="00F869B7" w:rsidRPr="00D3031E" w:rsidRDefault="00F869B7" w:rsidP="003B1C72">
      <w:r w:rsidRPr="00D3031E">
        <w:t>En annan alternativpåföljd som bör övervägas är att den unge döms till ele</w:t>
      </w:r>
      <w:r w:rsidRPr="00D3031E">
        <w:t>k</w:t>
      </w:r>
      <w:r w:rsidRPr="00D3031E">
        <w:t>tronisk intensivövervakning, s.k. fotboja. Fördelarna med denna påföljd är att den unge kan vara kvar i skolan och i hemmet under den tid påföljden ver</w:t>
      </w:r>
      <w:r w:rsidRPr="00D3031E">
        <w:t>k</w:t>
      </w:r>
      <w:r w:rsidRPr="00D3031E">
        <w:t>ställ</w:t>
      </w:r>
      <w:r w:rsidR="00BB0527" w:rsidRPr="00D3031E">
        <w:t>s. M</w:t>
      </w:r>
      <w:r w:rsidRPr="00D3031E">
        <w:t>ed strama rutiner kan den unge hållas borta från d</w:t>
      </w:r>
      <w:r w:rsidR="00335FDA" w:rsidRPr="00D3031E">
        <w:t>åliga miljöer under kvällar och helger</w:t>
      </w:r>
      <w:r w:rsidRPr="00D3031E">
        <w:t>.</w:t>
      </w:r>
    </w:p>
    <w:p w:rsidR="00F869B7" w:rsidRPr="00D3031E" w:rsidRDefault="00F869B7" w:rsidP="003B1C72">
      <w:pPr>
        <w:pStyle w:val="PunktlistaBomb"/>
        <w:tabs>
          <w:tab w:val="clear" w:pos="360"/>
        </w:tabs>
      </w:pPr>
      <w:r w:rsidRPr="00D3031E">
        <w:t>Utred elektronisk intensivövervakning, s.k. fotboja, som påföljd för unga brottslingar.</w:t>
      </w:r>
    </w:p>
    <w:p w:rsidR="00F869B7" w:rsidRPr="00D3031E" w:rsidRDefault="00944AF5" w:rsidP="003B1C72">
      <w:r w:rsidRPr="00D3031E">
        <w:t>Tidig</w:t>
      </w:r>
      <w:r w:rsidR="00335FDA" w:rsidRPr="00D3031E">
        <w:t xml:space="preserve"> upptäckt </w:t>
      </w:r>
      <w:r w:rsidR="00F869B7" w:rsidRPr="00D3031E">
        <w:t>är mycket viktigt för att komma till</w:t>
      </w:r>
      <w:r w:rsidRPr="00D3031E">
        <w:t xml:space="preserve"> </w:t>
      </w:r>
      <w:r w:rsidR="00F869B7" w:rsidRPr="00D3031E">
        <w:t>rätta med ett begynna</w:t>
      </w:r>
      <w:r w:rsidR="00F869B7" w:rsidRPr="00D3031E">
        <w:t>n</w:t>
      </w:r>
      <w:r w:rsidR="00F869B7" w:rsidRPr="00D3031E">
        <w:t xml:space="preserve">de </w:t>
      </w:r>
      <w:r w:rsidR="00335FDA" w:rsidRPr="00D3031E">
        <w:t>narkotikam</w:t>
      </w:r>
      <w:r w:rsidR="00F869B7" w:rsidRPr="00D3031E">
        <w:t>issbruk bland unga. Den som just prövat eller börjat använda dr</w:t>
      </w:r>
      <w:r w:rsidR="00F869B7" w:rsidRPr="00D3031E">
        <w:t>o</w:t>
      </w:r>
      <w:r w:rsidR="00F869B7" w:rsidRPr="00D3031E">
        <w:t>ger lyssnar oftast inte på förmaningar och vill helst inte</w:t>
      </w:r>
      <w:r w:rsidR="00335FDA" w:rsidRPr="00D3031E">
        <w:t xml:space="preserve"> erkänna sitt mis</w:t>
      </w:r>
      <w:r w:rsidR="00335FDA" w:rsidRPr="00D3031E">
        <w:t>s</w:t>
      </w:r>
      <w:r w:rsidR="00335FDA" w:rsidRPr="00D3031E">
        <w:t>bruk. Därför ä</w:t>
      </w:r>
      <w:r w:rsidR="00F869B7" w:rsidRPr="00D3031E">
        <w:t>r det viktig</w:t>
      </w:r>
      <w:r w:rsidRPr="00D3031E">
        <w:t>t</w:t>
      </w:r>
      <w:r w:rsidR="00F869B7" w:rsidRPr="00D3031E">
        <w:t xml:space="preserve"> att kunna få fram fakta om droganvändning. Dro</w:t>
      </w:r>
      <w:r w:rsidR="00F869B7" w:rsidRPr="00D3031E">
        <w:t>g</w:t>
      </w:r>
      <w:r w:rsidR="00F869B7" w:rsidRPr="00D3031E">
        <w:t>tester får i dag göras om föräldrarna samtycke</w:t>
      </w:r>
      <w:r w:rsidRPr="00D3031E">
        <w:t>r</w:t>
      </w:r>
      <w:r w:rsidR="00F869B7" w:rsidRPr="00D3031E">
        <w:t>, men alla har inte detta föräl</w:t>
      </w:r>
      <w:r w:rsidR="00F869B7" w:rsidRPr="00D3031E">
        <w:t>d</w:t>
      </w:r>
      <w:r w:rsidR="00F869B7" w:rsidRPr="00D3031E">
        <w:t>rastöd, exempelvis om föräldrarna själva missbrukar. För att kunna ge den hjälp ungdomar behöver bör därför polisen få rätt att besluta om blod- och uri</w:t>
      </w:r>
      <w:r w:rsidR="00F869B7" w:rsidRPr="00D3031E">
        <w:t>n</w:t>
      </w:r>
      <w:r w:rsidR="00F869B7" w:rsidRPr="00D3031E">
        <w:t>prov även för de</w:t>
      </w:r>
      <w:r w:rsidRPr="00D3031E">
        <w:t>m</w:t>
      </w:r>
      <w:r w:rsidR="00F869B7" w:rsidRPr="00D3031E">
        <w:t xml:space="preserve"> som har fyllt tolv år, när misstanke föreligger om att den unge a</w:t>
      </w:r>
      <w:r w:rsidR="00F869B7" w:rsidRPr="00D3031E">
        <w:t>n</w:t>
      </w:r>
      <w:r w:rsidR="00F869B7" w:rsidRPr="00D3031E">
        <w:t>vänt narkotika.</w:t>
      </w:r>
    </w:p>
    <w:p w:rsidR="00F869B7" w:rsidRPr="00D3031E" w:rsidRDefault="00F869B7" w:rsidP="005C79FF">
      <w:pPr>
        <w:pStyle w:val="PunktlistaBomb"/>
      </w:pPr>
      <w:r w:rsidRPr="00D3031E">
        <w:t>Tillåt drogtester på unga från tolv års ålder.</w:t>
      </w:r>
    </w:p>
    <w:p w:rsidR="00F869B7" w:rsidRPr="00D3031E" w:rsidRDefault="00F869B7">
      <w:pPr>
        <w:pStyle w:val="Rubrik1"/>
      </w:pPr>
      <w:bookmarkStart w:id="72" w:name="_Toc94526442"/>
      <w:bookmarkStart w:id="73" w:name="_Toc95756122"/>
      <w:bookmarkStart w:id="74" w:name="_Toc115493269"/>
      <w:bookmarkStart w:id="75" w:name="_Toc115517490"/>
      <w:bookmarkStart w:id="76" w:name="_Toc116196997"/>
      <w:bookmarkStart w:id="77" w:name="_Toc116197693"/>
      <w:bookmarkStart w:id="78" w:name="_Toc116198085"/>
      <w:bookmarkStart w:id="79" w:name="_Toc117298209"/>
      <w:r w:rsidRPr="00D3031E">
        <w:t>Utländska brottslingar</w:t>
      </w:r>
      <w:bookmarkEnd w:id="72"/>
      <w:bookmarkEnd w:id="73"/>
      <w:bookmarkEnd w:id="74"/>
      <w:bookmarkEnd w:id="75"/>
      <w:bookmarkEnd w:id="76"/>
      <w:bookmarkEnd w:id="77"/>
      <w:bookmarkEnd w:id="78"/>
      <w:bookmarkEnd w:id="79"/>
    </w:p>
    <w:p w:rsidR="00F869B7" w:rsidRPr="00D3031E" w:rsidRDefault="00F869B7" w:rsidP="00A20795">
      <w:pPr>
        <w:pStyle w:val="Rubrik2"/>
        <w:spacing w:before="120"/>
      </w:pPr>
      <w:bookmarkStart w:id="80" w:name="_Toc94526443"/>
      <w:bookmarkStart w:id="81" w:name="_Toc95756123"/>
      <w:bookmarkStart w:id="82" w:name="_Toc115493270"/>
      <w:bookmarkStart w:id="83" w:name="_Toc115517491"/>
      <w:bookmarkStart w:id="84" w:name="_Toc116196998"/>
      <w:bookmarkStart w:id="85" w:name="_Toc116197694"/>
      <w:bookmarkStart w:id="86" w:name="_Toc116198086"/>
      <w:bookmarkStart w:id="87" w:name="_Toc117298210"/>
      <w:r w:rsidRPr="00D3031E">
        <w:t>Utvisning på grund av brott</w:t>
      </w:r>
      <w:bookmarkEnd w:id="80"/>
      <w:bookmarkEnd w:id="81"/>
      <w:bookmarkEnd w:id="82"/>
      <w:bookmarkEnd w:id="83"/>
      <w:bookmarkEnd w:id="84"/>
      <w:bookmarkEnd w:id="85"/>
      <w:bookmarkEnd w:id="86"/>
      <w:bookmarkEnd w:id="87"/>
    </w:p>
    <w:p w:rsidR="00F869B7" w:rsidRPr="00D3031E" w:rsidRDefault="00F869B7">
      <w:r w:rsidRPr="00D3031E">
        <w:t xml:space="preserve">Många </w:t>
      </w:r>
      <w:r w:rsidR="00335FDA" w:rsidRPr="00D3031E">
        <w:t xml:space="preserve">av de </w:t>
      </w:r>
      <w:r w:rsidRPr="00D3031E">
        <w:t xml:space="preserve">dömda som </w:t>
      </w:r>
      <w:r w:rsidR="00335FDA" w:rsidRPr="00D3031E">
        <w:t>är intagna på</w:t>
      </w:r>
      <w:r w:rsidRPr="00D3031E">
        <w:t xml:space="preserve"> fängelserna är utländska medborgare. Av dessa u</w:t>
      </w:r>
      <w:r w:rsidRPr="00D3031E">
        <w:t>t</w:t>
      </w:r>
      <w:r w:rsidRPr="00D3031E">
        <w:t xml:space="preserve">ländska medborgare är </w:t>
      </w:r>
      <w:r w:rsidR="00335FDA" w:rsidRPr="00D3031E">
        <w:t>cirka 25</w:t>
      </w:r>
      <w:r w:rsidRPr="00D3031E">
        <w:t xml:space="preserve"> procent dömda till utvisning efter avtjänat straff. Den som döms till fän</w:t>
      </w:r>
      <w:r w:rsidRPr="00D3031E">
        <w:t>g</w:t>
      </w:r>
      <w:r w:rsidRPr="00D3031E">
        <w:t>else får utvisas om det finns en risk att han fortsätter sin brottsliga verksamhet eller att brottet är så pass allvarligt med hänsyn till den skada, fara eller kränkning som uppstått för enskilda eller allmänna intressen. Vidare finns det begränsningsregler som tar sikte på u</w:t>
      </w:r>
      <w:r w:rsidRPr="00D3031E">
        <w:t>t</w:t>
      </w:r>
      <w:r w:rsidRPr="00D3031E">
        <w:t>länningens levnadsomständigheter, barn, övriga familjeförhållanden och hur länge han har vistats i Sverige. Har den dö</w:t>
      </w:r>
      <w:r w:rsidRPr="00D3031E">
        <w:t>m</w:t>
      </w:r>
      <w:r w:rsidRPr="00D3031E">
        <w:t>de permanent uppehållstillstånd och har varit bosatt i Sverige i minst fem år får han u</w:t>
      </w:r>
      <w:r w:rsidRPr="00D3031E">
        <w:t>t</w:t>
      </w:r>
      <w:r w:rsidRPr="00D3031E">
        <w:t>visas endast om det föreligger synnerliga skäl. Denna lagstiftning som återfinns i utlä</w:t>
      </w:r>
      <w:r w:rsidRPr="00D3031E">
        <w:t>n</w:t>
      </w:r>
      <w:r w:rsidRPr="00D3031E">
        <w:t>ningslagen gör att domstolarna är tämligen restriktiva med att fatta beslut om utvisning på grund av brott.</w:t>
      </w:r>
    </w:p>
    <w:p w:rsidR="00F869B7" w:rsidRPr="00D3031E" w:rsidRDefault="00F869B7">
      <w:pPr>
        <w:pStyle w:val="Normaltindrag"/>
      </w:pPr>
      <w:r w:rsidRPr="00D3031E">
        <w:t>Vi vill uppmärksamma att familjerättsliga hänsyn ofta riskerar att förvärra situati</w:t>
      </w:r>
      <w:r w:rsidRPr="00D3031E">
        <w:t>o</w:t>
      </w:r>
      <w:r w:rsidRPr="00D3031E">
        <w:t>nen för brottsoffret, vilket i synnerhet gäller de brottsoffer som varit utsatta för hedersrelat</w:t>
      </w:r>
      <w:r w:rsidRPr="00D3031E">
        <w:t>e</w:t>
      </w:r>
      <w:r w:rsidRPr="00D3031E">
        <w:t>rad brottslighet.</w:t>
      </w:r>
    </w:p>
    <w:p w:rsidR="00F869B7" w:rsidRPr="00D3031E" w:rsidRDefault="00F869B7">
      <w:pPr>
        <w:pStyle w:val="Normaltindrag"/>
      </w:pPr>
      <w:r w:rsidRPr="00D3031E">
        <w:t>En annan effekt av nuvarande lagstiftning är att en man som slår sin fru kommer att få stanna om de har gemensamma barn. Det finns till och med fall där gärningsma</w:t>
      </w:r>
      <w:r w:rsidRPr="00D3031E">
        <w:t>n</w:t>
      </w:r>
      <w:r w:rsidRPr="00D3031E">
        <w:t>nen slagit sina barn men ändå tillåtits stanna med hänsyn till barnens behov av en far.</w:t>
      </w:r>
    </w:p>
    <w:p w:rsidR="00F869B7" w:rsidRPr="00D3031E" w:rsidRDefault="00F869B7">
      <w:pPr>
        <w:pStyle w:val="Normaltindrag"/>
      </w:pPr>
      <w:r w:rsidRPr="00D3031E">
        <w:t xml:space="preserve">Det är </w:t>
      </w:r>
      <w:r w:rsidR="005A662E" w:rsidRPr="00D3031E">
        <w:t>även</w:t>
      </w:r>
      <w:r w:rsidRPr="00D3031E">
        <w:t xml:space="preserve"> intressant att notera att 70 procent av utländska medborgare har fått fängelsestraff som överstiger två månader och 40 procent är dömda till straff som är längre än sex månader</w:t>
      </w:r>
      <w:r w:rsidRPr="00D3031E">
        <w:rPr>
          <w:rStyle w:val="Fotnotsreferens"/>
        </w:rPr>
        <w:footnoteReference w:id="3"/>
      </w:r>
      <w:r w:rsidRPr="00D3031E">
        <w:t xml:space="preserve">. </w:t>
      </w:r>
      <w:r w:rsidR="00335FDA" w:rsidRPr="00D3031E">
        <w:t xml:space="preserve">Trots detta är det endast cirka 25 procent som också skall utvisas efter avtjänat straff. </w:t>
      </w:r>
      <w:r w:rsidRPr="00D3031E">
        <w:t>Beträffande asylsökande personer saknas statistik</w:t>
      </w:r>
      <w:r w:rsidRPr="00D3031E">
        <w:rPr>
          <w:rStyle w:val="Fotnotsreferens"/>
        </w:rPr>
        <w:footnoteReference w:id="4"/>
      </w:r>
      <w:r w:rsidRPr="00D3031E">
        <w:t>. Asylenheten på Migrationsverket anger att my</w:t>
      </w:r>
      <w:r w:rsidRPr="00D3031E">
        <w:t>n</w:t>
      </w:r>
      <w:r w:rsidRPr="00D3031E">
        <w:t>digheten inte har några noteringar om vilka asylsökande som avtjänar fänge</w:t>
      </w:r>
      <w:r w:rsidRPr="00D3031E">
        <w:t>l</w:t>
      </w:r>
      <w:r w:rsidRPr="00D3031E">
        <w:t>sestraff i Sverige.</w:t>
      </w:r>
    </w:p>
    <w:p w:rsidR="00F869B7" w:rsidRPr="00D3031E" w:rsidRDefault="003B1C72" w:rsidP="003B1C72">
      <w:pPr>
        <w:pStyle w:val="Normaltindrag"/>
        <w:ind w:firstLine="0"/>
        <w:rPr>
          <w:b/>
        </w:rPr>
      </w:pPr>
      <w:bookmarkStart w:id="88" w:name="_Toc95756124"/>
      <w:r w:rsidRPr="00D3031E">
        <w:br w:type="page"/>
      </w:r>
      <w:r w:rsidR="00F869B7" w:rsidRPr="00D3031E">
        <w:rPr>
          <w:b/>
        </w:rPr>
        <w:t>Antal till fängelse dömda utländska medborgare, som</w:t>
      </w:r>
      <w:r w:rsidR="00944AF5" w:rsidRPr="00D3031E">
        <w:rPr>
          <w:b/>
        </w:rPr>
        <w:t xml:space="preserve"> intagits i anstalt åren 2000–</w:t>
      </w:r>
      <w:r w:rsidR="00F869B7" w:rsidRPr="00D3031E">
        <w:rPr>
          <w:b/>
        </w:rPr>
        <w:t>2004 och inskrivn</w:t>
      </w:r>
      <w:r w:rsidR="00944AF5" w:rsidRPr="00D3031E">
        <w:rPr>
          <w:b/>
        </w:rPr>
        <w:t>a den 1 oktober åren 1999–</w:t>
      </w:r>
      <w:r w:rsidR="00F869B7" w:rsidRPr="00D3031E">
        <w:rPr>
          <w:b/>
        </w:rPr>
        <w:t>2003</w:t>
      </w:r>
      <w:bookmarkEnd w:id="88"/>
    </w:p>
    <w:tbl>
      <w:tblPr>
        <w:tblW w:w="6127" w:type="dxa"/>
        <w:tblInd w:w="-72"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662"/>
        <w:gridCol w:w="874"/>
        <w:gridCol w:w="1017"/>
        <w:gridCol w:w="1017"/>
        <w:gridCol w:w="874"/>
        <w:gridCol w:w="683"/>
      </w:tblGrid>
      <w:tr w:rsidR="00F869B7" w:rsidRPr="00D3031E">
        <w:tblPrEx>
          <w:tblCellMar>
            <w:top w:w="0" w:type="dxa"/>
            <w:bottom w:w="0" w:type="dxa"/>
          </w:tblCellMar>
        </w:tblPrEx>
        <w:tc>
          <w:tcPr>
            <w:tcW w:w="1662" w:type="dxa"/>
            <w:tcBorders>
              <w:top w:val="single" w:sz="4" w:space="0" w:color="auto"/>
              <w:left w:val="nil"/>
              <w:bottom w:val="single" w:sz="4" w:space="0" w:color="auto"/>
              <w:right w:val="nil"/>
            </w:tcBorders>
          </w:tcPr>
          <w:p w:rsidR="00F869B7" w:rsidRPr="00D3031E" w:rsidRDefault="00F869B7" w:rsidP="00E47219">
            <w:pPr>
              <w:spacing w:before="60" w:line="200" w:lineRule="exact"/>
              <w:rPr>
                <w:b/>
                <w:color w:val="000000"/>
                <w:sz w:val="16"/>
                <w:szCs w:val="16"/>
              </w:rPr>
            </w:pPr>
          </w:p>
        </w:tc>
        <w:tc>
          <w:tcPr>
            <w:tcW w:w="874" w:type="dxa"/>
            <w:tcBorders>
              <w:top w:val="single" w:sz="4" w:space="0" w:color="auto"/>
              <w:left w:val="nil"/>
              <w:bottom w:val="single" w:sz="4" w:space="0" w:color="auto"/>
              <w:right w:val="nil"/>
            </w:tcBorders>
          </w:tcPr>
          <w:p w:rsidR="00F869B7" w:rsidRPr="00D3031E" w:rsidRDefault="00F869B7" w:rsidP="00E47219">
            <w:pPr>
              <w:spacing w:before="60" w:line="200" w:lineRule="exact"/>
              <w:jc w:val="center"/>
              <w:rPr>
                <w:b/>
                <w:color w:val="000000"/>
                <w:sz w:val="16"/>
                <w:szCs w:val="16"/>
              </w:rPr>
            </w:pPr>
            <w:r w:rsidRPr="00D3031E">
              <w:rPr>
                <w:b/>
                <w:color w:val="000000"/>
                <w:sz w:val="16"/>
                <w:szCs w:val="16"/>
              </w:rPr>
              <w:t>2000</w:t>
            </w:r>
          </w:p>
        </w:tc>
        <w:tc>
          <w:tcPr>
            <w:tcW w:w="1017" w:type="dxa"/>
            <w:tcBorders>
              <w:top w:val="single" w:sz="4" w:space="0" w:color="auto"/>
              <w:left w:val="nil"/>
              <w:bottom w:val="single" w:sz="4" w:space="0" w:color="auto"/>
              <w:right w:val="nil"/>
            </w:tcBorders>
          </w:tcPr>
          <w:p w:rsidR="00F869B7" w:rsidRPr="00D3031E" w:rsidRDefault="00F869B7" w:rsidP="00E47219">
            <w:pPr>
              <w:spacing w:before="60" w:line="200" w:lineRule="exact"/>
              <w:jc w:val="center"/>
              <w:rPr>
                <w:b/>
                <w:color w:val="000000"/>
                <w:sz w:val="16"/>
                <w:szCs w:val="16"/>
              </w:rPr>
            </w:pPr>
            <w:r w:rsidRPr="00D3031E">
              <w:rPr>
                <w:b/>
                <w:color w:val="000000"/>
                <w:sz w:val="16"/>
                <w:szCs w:val="16"/>
              </w:rPr>
              <w:t>2001</w:t>
            </w:r>
          </w:p>
        </w:tc>
        <w:tc>
          <w:tcPr>
            <w:tcW w:w="1017" w:type="dxa"/>
            <w:tcBorders>
              <w:top w:val="single" w:sz="4" w:space="0" w:color="auto"/>
              <w:left w:val="nil"/>
              <w:bottom w:val="single" w:sz="4" w:space="0" w:color="auto"/>
              <w:right w:val="nil"/>
            </w:tcBorders>
          </w:tcPr>
          <w:p w:rsidR="00F869B7" w:rsidRPr="00D3031E" w:rsidRDefault="00F869B7" w:rsidP="00E47219">
            <w:pPr>
              <w:spacing w:before="60" w:line="200" w:lineRule="exact"/>
              <w:jc w:val="center"/>
              <w:rPr>
                <w:b/>
                <w:color w:val="000000"/>
                <w:sz w:val="16"/>
                <w:szCs w:val="16"/>
              </w:rPr>
            </w:pPr>
            <w:r w:rsidRPr="00D3031E">
              <w:rPr>
                <w:b/>
                <w:color w:val="000000"/>
                <w:sz w:val="16"/>
                <w:szCs w:val="16"/>
              </w:rPr>
              <w:t>2002</w:t>
            </w:r>
          </w:p>
        </w:tc>
        <w:tc>
          <w:tcPr>
            <w:tcW w:w="874" w:type="dxa"/>
            <w:tcBorders>
              <w:top w:val="single" w:sz="4" w:space="0" w:color="auto"/>
              <w:left w:val="nil"/>
              <w:bottom w:val="single" w:sz="4" w:space="0" w:color="auto"/>
              <w:right w:val="nil"/>
            </w:tcBorders>
          </w:tcPr>
          <w:p w:rsidR="00F869B7" w:rsidRPr="00D3031E" w:rsidRDefault="00F869B7" w:rsidP="00E47219">
            <w:pPr>
              <w:spacing w:before="60" w:line="200" w:lineRule="exact"/>
              <w:jc w:val="center"/>
              <w:rPr>
                <w:b/>
                <w:color w:val="000000"/>
                <w:sz w:val="16"/>
                <w:szCs w:val="16"/>
              </w:rPr>
            </w:pPr>
            <w:r w:rsidRPr="00D3031E">
              <w:rPr>
                <w:b/>
                <w:color w:val="000000"/>
                <w:sz w:val="16"/>
                <w:szCs w:val="16"/>
              </w:rPr>
              <w:t>2003</w:t>
            </w:r>
          </w:p>
        </w:tc>
        <w:tc>
          <w:tcPr>
            <w:tcW w:w="683" w:type="dxa"/>
            <w:tcBorders>
              <w:top w:val="single" w:sz="4" w:space="0" w:color="auto"/>
              <w:left w:val="nil"/>
              <w:bottom w:val="single" w:sz="4" w:space="0" w:color="auto"/>
              <w:right w:val="nil"/>
            </w:tcBorders>
          </w:tcPr>
          <w:p w:rsidR="00F869B7" w:rsidRPr="00D3031E" w:rsidRDefault="00F869B7" w:rsidP="00E47219">
            <w:pPr>
              <w:spacing w:before="60" w:line="200" w:lineRule="exact"/>
              <w:jc w:val="center"/>
              <w:rPr>
                <w:b/>
                <w:color w:val="000000"/>
                <w:sz w:val="16"/>
                <w:szCs w:val="16"/>
              </w:rPr>
            </w:pPr>
            <w:r w:rsidRPr="00D3031E">
              <w:rPr>
                <w:b/>
                <w:color w:val="000000"/>
                <w:sz w:val="16"/>
                <w:szCs w:val="16"/>
              </w:rPr>
              <w:t>2004</w:t>
            </w:r>
          </w:p>
        </w:tc>
      </w:tr>
      <w:tr w:rsidR="00F869B7" w:rsidRPr="00D3031E">
        <w:tblPrEx>
          <w:tblCellMar>
            <w:top w:w="0" w:type="dxa"/>
            <w:bottom w:w="0" w:type="dxa"/>
          </w:tblCellMar>
        </w:tblPrEx>
        <w:tc>
          <w:tcPr>
            <w:tcW w:w="1662" w:type="dxa"/>
            <w:tcBorders>
              <w:top w:val="single" w:sz="4" w:space="0" w:color="auto"/>
              <w:left w:val="nil"/>
              <w:bottom w:val="nil"/>
              <w:right w:val="nil"/>
            </w:tcBorders>
            <w:vAlign w:val="bottom"/>
          </w:tcPr>
          <w:p w:rsidR="00F869B7" w:rsidRPr="00D3031E" w:rsidRDefault="00F869B7" w:rsidP="00E47219">
            <w:pPr>
              <w:spacing w:before="60" w:line="200" w:lineRule="exact"/>
              <w:jc w:val="left"/>
              <w:rPr>
                <w:color w:val="000000"/>
                <w:sz w:val="16"/>
                <w:szCs w:val="16"/>
              </w:rPr>
            </w:pPr>
            <w:r w:rsidRPr="00D3031E">
              <w:rPr>
                <w:color w:val="000000"/>
                <w:sz w:val="16"/>
                <w:szCs w:val="16"/>
              </w:rPr>
              <w:t>Nyintagna</w:t>
            </w:r>
          </w:p>
        </w:tc>
        <w:tc>
          <w:tcPr>
            <w:tcW w:w="874" w:type="dxa"/>
            <w:tcBorders>
              <w:top w:val="single" w:sz="4" w:space="0" w:color="auto"/>
              <w:left w:val="nil"/>
              <w:bottom w:val="nil"/>
              <w:right w:val="nil"/>
            </w:tcBorders>
          </w:tcPr>
          <w:p w:rsidR="00F869B7" w:rsidRPr="00D3031E" w:rsidRDefault="00F869B7" w:rsidP="00E47219">
            <w:pPr>
              <w:tabs>
                <w:tab w:val="right" w:pos="639"/>
              </w:tabs>
              <w:spacing w:before="60" w:line="200" w:lineRule="exact"/>
              <w:jc w:val="center"/>
              <w:rPr>
                <w:color w:val="000000"/>
                <w:sz w:val="16"/>
                <w:szCs w:val="16"/>
              </w:rPr>
            </w:pPr>
            <w:r w:rsidRPr="00D3031E">
              <w:rPr>
                <w:color w:val="000000"/>
                <w:sz w:val="16"/>
                <w:szCs w:val="16"/>
              </w:rPr>
              <w:t>2 304</w:t>
            </w:r>
          </w:p>
        </w:tc>
        <w:tc>
          <w:tcPr>
            <w:tcW w:w="1017" w:type="dxa"/>
            <w:tcBorders>
              <w:top w:val="single" w:sz="4" w:space="0" w:color="auto"/>
              <w:left w:val="nil"/>
              <w:bottom w:val="nil"/>
              <w:right w:val="nil"/>
            </w:tcBorders>
          </w:tcPr>
          <w:p w:rsidR="00F869B7" w:rsidRPr="00D3031E" w:rsidRDefault="00F869B7" w:rsidP="00E47219">
            <w:pPr>
              <w:tabs>
                <w:tab w:val="right" w:pos="781"/>
              </w:tabs>
              <w:spacing w:before="60" w:line="200" w:lineRule="exact"/>
              <w:jc w:val="center"/>
              <w:rPr>
                <w:color w:val="000000"/>
                <w:sz w:val="16"/>
                <w:szCs w:val="16"/>
              </w:rPr>
            </w:pPr>
            <w:r w:rsidRPr="00D3031E">
              <w:rPr>
                <w:color w:val="000000"/>
                <w:sz w:val="16"/>
                <w:szCs w:val="16"/>
              </w:rPr>
              <w:t>2 306</w:t>
            </w:r>
          </w:p>
        </w:tc>
        <w:tc>
          <w:tcPr>
            <w:tcW w:w="1017" w:type="dxa"/>
            <w:tcBorders>
              <w:top w:val="single" w:sz="4" w:space="0" w:color="auto"/>
              <w:left w:val="nil"/>
              <w:bottom w:val="nil"/>
              <w:right w:val="nil"/>
            </w:tcBorders>
          </w:tcPr>
          <w:p w:rsidR="00F869B7" w:rsidRPr="00D3031E" w:rsidRDefault="00F869B7" w:rsidP="00E47219">
            <w:pPr>
              <w:tabs>
                <w:tab w:val="right" w:pos="781"/>
              </w:tabs>
              <w:spacing w:before="60" w:line="200" w:lineRule="exact"/>
              <w:jc w:val="center"/>
              <w:rPr>
                <w:color w:val="000000"/>
                <w:sz w:val="16"/>
                <w:szCs w:val="16"/>
              </w:rPr>
            </w:pPr>
            <w:r w:rsidRPr="00D3031E">
              <w:rPr>
                <w:color w:val="000000"/>
                <w:sz w:val="16"/>
                <w:szCs w:val="16"/>
              </w:rPr>
              <w:t>2 693</w:t>
            </w:r>
          </w:p>
        </w:tc>
        <w:tc>
          <w:tcPr>
            <w:tcW w:w="874" w:type="dxa"/>
            <w:tcBorders>
              <w:top w:val="single" w:sz="4" w:space="0" w:color="auto"/>
              <w:left w:val="nil"/>
              <w:bottom w:val="nil"/>
              <w:right w:val="nil"/>
            </w:tcBorders>
          </w:tcPr>
          <w:p w:rsidR="00F869B7" w:rsidRPr="00D3031E" w:rsidRDefault="00F869B7" w:rsidP="00E47219">
            <w:pPr>
              <w:tabs>
                <w:tab w:val="right" w:pos="639"/>
              </w:tabs>
              <w:spacing w:before="60" w:line="200" w:lineRule="exact"/>
              <w:jc w:val="center"/>
              <w:rPr>
                <w:color w:val="000000"/>
                <w:sz w:val="16"/>
                <w:szCs w:val="16"/>
              </w:rPr>
            </w:pPr>
            <w:r w:rsidRPr="00D3031E">
              <w:rPr>
                <w:color w:val="000000"/>
                <w:sz w:val="16"/>
                <w:szCs w:val="16"/>
              </w:rPr>
              <w:t>2 735</w:t>
            </w:r>
          </w:p>
        </w:tc>
        <w:tc>
          <w:tcPr>
            <w:tcW w:w="683" w:type="dxa"/>
            <w:tcBorders>
              <w:top w:val="single" w:sz="4" w:space="0" w:color="auto"/>
              <w:left w:val="nil"/>
              <w:bottom w:val="nil"/>
              <w:right w:val="nil"/>
            </w:tcBorders>
          </w:tcPr>
          <w:p w:rsidR="00F869B7" w:rsidRPr="00D3031E" w:rsidRDefault="00F869B7" w:rsidP="00E47219">
            <w:pPr>
              <w:tabs>
                <w:tab w:val="right" w:pos="780"/>
              </w:tabs>
              <w:spacing w:before="60" w:line="200" w:lineRule="exact"/>
              <w:jc w:val="center"/>
              <w:rPr>
                <w:color w:val="000000"/>
                <w:sz w:val="16"/>
                <w:szCs w:val="16"/>
              </w:rPr>
            </w:pPr>
            <w:r w:rsidRPr="00D3031E">
              <w:rPr>
                <w:color w:val="000000"/>
                <w:sz w:val="16"/>
                <w:szCs w:val="16"/>
              </w:rPr>
              <w:t>3003</w:t>
            </w:r>
          </w:p>
        </w:tc>
      </w:tr>
      <w:tr w:rsidR="00F869B7" w:rsidRPr="00D3031E">
        <w:tblPrEx>
          <w:tblCellMar>
            <w:top w:w="0" w:type="dxa"/>
            <w:bottom w:w="0" w:type="dxa"/>
          </w:tblCellMar>
        </w:tblPrEx>
        <w:trPr>
          <w:trHeight w:val="227"/>
        </w:trPr>
        <w:tc>
          <w:tcPr>
            <w:tcW w:w="1662" w:type="dxa"/>
            <w:tcBorders>
              <w:top w:val="nil"/>
              <w:left w:val="nil"/>
              <w:bottom w:val="nil"/>
              <w:right w:val="nil"/>
            </w:tcBorders>
            <w:vAlign w:val="bottom"/>
          </w:tcPr>
          <w:p w:rsidR="00F869B7" w:rsidRPr="00D3031E" w:rsidRDefault="00F869B7" w:rsidP="00E47219">
            <w:pPr>
              <w:spacing w:before="60" w:line="200" w:lineRule="exact"/>
              <w:jc w:val="left"/>
              <w:rPr>
                <w:i/>
                <w:color w:val="000000"/>
                <w:sz w:val="16"/>
                <w:szCs w:val="16"/>
              </w:rPr>
            </w:pPr>
            <w:r w:rsidRPr="00D3031E">
              <w:rPr>
                <w:i/>
                <w:color w:val="000000"/>
                <w:sz w:val="16"/>
                <w:szCs w:val="16"/>
              </w:rPr>
              <w:t>procent nyintagna</w:t>
            </w:r>
          </w:p>
        </w:tc>
        <w:tc>
          <w:tcPr>
            <w:tcW w:w="874" w:type="dxa"/>
            <w:tcBorders>
              <w:top w:val="nil"/>
              <w:left w:val="nil"/>
              <w:bottom w:val="nil"/>
              <w:right w:val="nil"/>
            </w:tcBorders>
            <w:vAlign w:val="bottom"/>
          </w:tcPr>
          <w:p w:rsidR="00F869B7" w:rsidRPr="00D3031E" w:rsidRDefault="00953DD6" w:rsidP="00E47219">
            <w:pPr>
              <w:tabs>
                <w:tab w:val="right" w:pos="639"/>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25</w:t>
            </w:r>
          </w:p>
        </w:tc>
        <w:tc>
          <w:tcPr>
            <w:tcW w:w="1017" w:type="dxa"/>
            <w:tcBorders>
              <w:top w:val="nil"/>
              <w:left w:val="nil"/>
              <w:bottom w:val="nil"/>
              <w:right w:val="nil"/>
            </w:tcBorders>
            <w:vAlign w:val="bottom"/>
          </w:tcPr>
          <w:p w:rsidR="00F869B7" w:rsidRPr="00D3031E" w:rsidRDefault="00953DD6" w:rsidP="00E47219">
            <w:pPr>
              <w:tabs>
                <w:tab w:val="right" w:pos="781"/>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25</w:t>
            </w:r>
          </w:p>
        </w:tc>
        <w:tc>
          <w:tcPr>
            <w:tcW w:w="1017" w:type="dxa"/>
            <w:tcBorders>
              <w:top w:val="nil"/>
              <w:left w:val="nil"/>
              <w:bottom w:val="nil"/>
              <w:right w:val="nil"/>
            </w:tcBorders>
            <w:vAlign w:val="bottom"/>
          </w:tcPr>
          <w:p w:rsidR="00F869B7" w:rsidRPr="00D3031E" w:rsidRDefault="00953DD6" w:rsidP="00E47219">
            <w:pPr>
              <w:tabs>
                <w:tab w:val="right" w:pos="781"/>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26</w:t>
            </w:r>
          </w:p>
        </w:tc>
        <w:tc>
          <w:tcPr>
            <w:tcW w:w="874" w:type="dxa"/>
            <w:tcBorders>
              <w:top w:val="nil"/>
              <w:left w:val="nil"/>
              <w:bottom w:val="nil"/>
              <w:right w:val="nil"/>
            </w:tcBorders>
            <w:vAlign w:val="bottom"/>
          </w:tcPr>
          <w:p w:rsidR="00F869B7" w:rsidRPr="00D3031E" w:rsidRDefault="00953DD6" w:rsidP="00E47219">
            <w:pPr>
              <w:tabs>
                <w:tab w:val="right" w:pos="639"/>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26</w:t>
            </w:r>
          </w:p>
        </w:tc>
        <w:tc>
          <w:tcPr>
            <w:tcW w:w="683" w:type="dxa"/>
            <w:tcBorders>
              <w:top w:val="nil"/>
              <w:left w:val="nil"/>
              <w:bottom w:val="nil"/>
              <w:right w:val="nil"/>
            </w:tcBorders>
            <w:vAlign w:val="bottom"/>
          </w:tcPr>
          <w:p w:rsidR="00F869B7" w:rsidRPr="00D3031E" w:rsidRDefault="00953DD6" w:rsidP="00E47219">
            <w:pPr>
              <w:tabs>
                <w:tab w:val="right" w:pos="780"/>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26</w:t>
            </w:r>
          </w:p>
        </w:tc>
      </w:tr>
      <w:tr w:rsidR="00F869B7" w:rsidRPr="00D3031E">
        <w:tblPrEx>
          <w:tblCellMar>
            <w:top w:w="0" w:type="dxa"/>
            <w:bottom w:w="0" w:type="dxa"/>
          </w:tblCellMar>
        </w:tblPrEx>
        <w:tc>
          <w:tcPr>
            <w:tcW w:w="1662" w:type="dxa"/>
            <w:tcBorders>
              <w:top w:val="nil"/>
            </w:tcBorders>
            <w:vAlign w:val="bottom"/>
          </w:tcPr>
          <w:p w:rsidR="00F869B7" w:rsidRPr="00D3031E" w:rsidRDefault="00F869B7" w:rsidP="00E47219">
            <w:pPr>
              <w:spacing w:before="60" w:line="200" w:lineRule="exact"/>
              <w:jc w:val="left"/>
              <w:rPr>
                <w:color w:val="000000"/>
                <w:sz w:val="16"/>
                <w:szCs w:val="16"/>
              </w:rPr>
            </w:pPr>
            <w:r w:rsidRPr="00D3031E">
              <w:rPr>
                <w:color w:val="000000"/>
                <w:sz w:val="16"/>
                <w:szCs w:val="16"/>
              </w:rPr>
              <w:t>Därav med utvi</w:t>
            </w:r>
            <w:r w:rsidRPr="00D3031E">
              <w:rPr>
                <w:color w:val="000000"/>
                <w:sz w:val="16"/>
                <w:szCs w:val="16"/>
              </w:rPr>
              <w:t>s</w:t>
            </w:r>
            <w:r w:rsidRPr="00D3031E">
              <w:rPr>
                <w:color w:val="000000"/>
                <w:sz w:val="16"/>
                <w:szCs w:val="16"/>
              </w:rPr>
              <w:t>ning</w:t>
            </w:r>
          </w:p>
        </w:tc>
        <w:tc>
          <w:tcPr>
            <w:tcW w:w="874" w:type="dxa"/>
            <w:tcBorders>
              <w:top w:val="nil"/>
            </w:tcBorders>
            <w:vAlign w:val="bottom"/>
          </w:tcPr>
          <w:p w:rsidR="00F869B7" w:rsidRPr="00D3031E" w:rsidRDefault="00953DD6" w:rsidP="00E47219">
            <w:pPr>
              <w:tabs>
                <w:tab w:val="right" w:pos="639"/>
              </w:tabs>
              <w:spacing w:before="60" w:line="200" w:lineRule="exact"/>
              <w:jc w:val="center"/>
              <w:rPr>
                <w:color w:val="000000"/>
                <w:sz w:val="16"/>
                <w:szCs w:val="16"/>
              </w:rPr>
            </w:pPr>
            <w:r w:rsidRPr="00D3031E">
              <w:rPr>
                <w:color w:val="000000"/>
                <w:sz w:val="16"/>
                <w:szCs w:val="16"/>
              </w:rPr>
              <w:t xml:space="preserve">   </w:t>
            </w:r>
            <w:r w:rsidR="00F869B7" w:rsidRPr="00D3031E">
              <w:rPr>
                <w:color w:val="000000"/>
                <w:sz w:val="16"/>
                <w:szCs w:val="16"/>
              </w:rPr>
              <w:t>447</w:t>
            </w:r>
          </w:p>
        </w:tc>
        <w:tc>
          <w:tcPr>
            <w:tcW w:w="1017" w:type="dxa"/>
            <w:tcBorders>
              <w:top w:val="nil"/>
            </w:tcBorders>
            <w:vAlign w:val="bottom"/>
          </w:tcPr>
          <w:p w:rsidR="00F869B7" w:rsidRPr="00D3031E" w:rsidRDefault="00953DD6" w:rsidP="00E47219">
            <w:pPr>
              <w:tabs>
                <w:tab w:val="right" w:pos="781"/>
              </w:tabs>
              <w:spacing w:before="60" w:line="200" w:lineRule="exact"/>
              <w:jc w:val="center"/>
              <w:rPr>
                <w:color w:val="000000"/>
                <w:sz w:val="16"/>
                <w:szCs w:val="16"/>
              </w:rPr>
            </w:pPr>
            <w:r w:rsidRPr="00D3031E">
              <w:rPr>
                <w:color w:val="000000"/>
                <w:sz w:val="16"/>
                <w:szCs w:val="16"/>
              </w:rPr>
              <w:t xml:space="preserve">  </w:t>
            </w:r>
            <w:r w:rsidR="00F869B7" w:rsidRPr="00D3031E">
              <w:rPr>
                <w:color w:val="000000"/>
                <w:sz w:val="16"/>
                <w:szCs w:val="16"/>
              </w:rPr>
              <w:t>483</w:t>
            </w:r>
          </w:p>
        </w:tc>
        <w:tc>
          <w:tcPr>
            <w:tcW w:w="1017" w:type="dxa"/>
            <w:tcBorders>
              <w:top w:val="nil"/>
            </w:tcBorders>
            <w:vAlign w:val="bottom"/>
          </w:tcPr>
          <w:p w:rsidR="00F869B7" w:rsidRPr="00D3031E" w:rsidRDefault="00953DD6" w:rsidP="00E47219">
            <w:pPr>
              <w:tabs>
                <w:tab w:val="right" w:pos="781"/>
              </w:tabs>
              <w:spacing w:before="60" w:line="200" w:lineRule="exact"/>
              <w:jc w:val="center"/>
              <w:rPr>
                <w:color w:val="000000"/>
                <w:sz w:val="16"/>
                <w:szCs w:val="16"/>
              </w:rPr>
            </w:pPr>
            <w:r w:rsidRPr="00D3031E">
              <w:rPr>
                <w:color w:val="000000"/>
                <w:sz w:val="16"/>
                <w:szCs w:val="16"/>
              </w:rPr>
              <w:t xml:space="preserve">   </w:t>
            </w:r>
            <w:r w:rsidR="00F869B7" w:rsidRPr="00D3031E">
              <w:rPr>
                <w:color w:val="000000"/>
                <w:sz w:val="16"/>
                <w:szCs w:val="16"/>
              </w:rPr>
              <w:t>605</w:t>
            </w:r>
          </w:p>
        </w:tc>
        <w:tc>
          <w:tcPr>
            <w:tcW w:w="874" w:type="dxa"/>
            <w:tcBorders>
              <w:top w:val="nil"/>
            </w:tcBorders>
            <w:vAlign w:val="bottom"/>
          </w:tcPr>
          <w:p w:rsidR="00F869B7" w:rsidRPr="00D3031E" w:rsidRDefault="00953DD6" w:rsidP="00E47219">
            <w:pPr>
              <w:tabs>
                <w:tab w:val="right" w:pos="639"/>
              </w:tabs>
              <w:spacing w:before="60" w:line="200" w:lineRule="exact"/>
              <w:jc w:val="center"/>
              <w:rPr>
                <w:color w:val="000000"/>
                <w:sz w:val="16"/>
                <w:szCs w:val="16"/>
              </w:rPr>
            </w:pPr>
            <w:r w:rsidRPr="00D3031E">
              <w:rPr>
                <w:color w:val="000000"/>
                <w:sz w:val="16"/>
                <w:szCs w:val="16"/>
              </w:rPr>
              <w:t xml:space="preserve"> </w:t>
            </w:r>
            <w:r w:rsidR="00F869B7" w:rsidRPr="00D3031E">
              <w:rPr>
                <w:color w:val="000000"/>
                <w:sz w:val="16"/>
                <w:szCs w:val="16"/>
              </w:rPr>
              <w:t>599</w:t>
            </w:r>
          </w:p>
        </w:tc>
        <w:tc>
          <w:tcPr>
            <w:tcW w:w="683" w:type="dxa"/>
            <w:tcBorders>
              <w:top w:val="nil"/>
            </w:tcBorders>
            <w:vAlign w:val="bottom"/>
          </w:tcPr>
          <w:p w:rsidR="00F869B7" w:rsidRPr="00D3031E" w:rsidRDefault="00F869B7" w:rsidP="00E47219">
            <w:pPr>
              <w:tabs>
                <w:tab w:val="right" w:pos="780"/>
              </w:tabs>
              <w:spacing w:before="60" w:line="200" w:lineRule="exact"/>
              <w:jc w:val="center"/>
              <w:rPr>
                <w:color w:val="000000"/>
                <w:sz w:val="16"/>
                <w:szCs w:val="16"/>
              </w:rPr>
            </w:pPr>
            <w:r w:rsidRPr="00D3031E">
              <w:rPr>
                <w:color w:val="000000"/>
                <w:sz w:val="16"/>
                <w:szCs w:val="16"/>
              </w:rPr>
              <w:t>760</w:t>
            </w:r>
          </w:p>
        </w:tc>
      </w:tr>
      <w:tr w:rsidR="00F869B7" w:rsidRPr="00D3031E">
        <w:tblPrEx>
          <w:tblCellMar>
            <w:top w:w="0" w:type="dxa"/>
            <w:bottom w:w="0" w:type="dxa"/>
          </w:tblCellMar>
        </w:tblPrEx>
        <w:trPr>
          <w:trHeight w:val="245"/>
        </w:trPr>
        <w:tc>
          <w:tcPr>
            <w:tcW w:w="1662" w:type="dxa"/>
            <w:vAlign w:val="bottom"/>
          </w:tcPr>
          <w:p w:rsidR="00F869B7" w:rsidRPr="00D3031E" w:rsidRDefault="00F869B7" w:rsidP="00E47219">
            <w:pPr>
              <w:spacing w:before="60" w:line="200" w:lineRule="exact"/>
              <w:jc w:val="left"/>
              <w:rPr>
                <w:i/>
                <w:color w:val="000000"/>
                <w:sz w:val="16"/>
                <w:szCs w:val="16"/>
              </w:rPr>
            </w:pPr>
            <w:r w:rsidRPr="00D3031E">
              <w:rPr>
                <w:i/>
                <w:color w:val="000000"/>
                <w:sz w:val="16"/>
                <w:szCs w:val="16"/>
              </w:rPr>
              <w:t>procent med utvi</w:t>
            </w:r>
            <w:r w:rsidRPr="00D3031E">
              <w:rPr>
                <w:i/>
                <w:color w:val="000000"/>
                <w:sz w:val="16"/>
                <w:szCs w:val="16"/>
              </w:rPr>
              <w:t>s</w:t>
            </w:r>
            <w:r w:rsidRPr="00D3031E">
              <w:rPr>
                <w:i/>
                <w:color w:val="000000"/>
                <w:sz w:val="16"/>
                <w:szCs w:val="16"/>
              </w:rPr>
              <w:t>ning</w:t>
            </w:r>
          </w:p>
        </w:tc>
        <w:tc>
          <w:tcPr>
            <w:tcW w:w="874" w:type="dxa"/>
            <w:vAlign w:val="bottom"/>
          </w:tcPr>
          <w:p w:rsidR="00F869B7" w:rsidRPr="00D3031E" w:rsidRDefault="00953DD6" w:rsidP="00E47219">
            <w:pPr>
              <w:tabs>
                <w:tab w:val="right" w:pos="639"/>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19</w:t>
            </w:r>
          </w:p>
        </w:tc>
        <w:tc>
          <w:tcPr>
            <w:tcW w:w="1017" w:type="dxa"/>
            <w:vAlign w:val="bottom"/>
          </w:tcPr>
          <w:p w:rsidR="00F869B7" w:rsidRPr="00D3031E" w:rsidRDefault="00953DD6" w:rsidP="00E47219">
            <w:pPr>
              <w:tabs>
                <w:tab w:val="right" w:pos="781"/>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21</w:t>
            </w:r>
          </w:p>
        </w:tc>
        <w:tc>
          <w:tcPr>
            <w:tcW w:w="1017" w:type="dxa"/>
            <w:vAlign w:val="bottom"/>
          </w:tcPr>
          <w:p w:rsidR="00F869B7" w:rsidRPr="00D3031E" w:rsidRDefault="00953DD6" w:rsidP="00E47219">
            <w:pPr>
              <w:tabs>
                <w:tab w:val="right" w:pos="781"/>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22</w:t>
            </w:r>
          </w:p>
        </w:tc>
        <w:tc>
          <w:tcPr>
            <w:tcW w:w="874" w:type="dxa"/>
            <w:vAlign w:val="bottom"/>
          </w:tcPr>
          <w:p w:rsidR="00F869B7" w:rsidRPr="00D3031E" w:rsidRDefault="00953DD6" w:rsidP="00E47219">
            <w:pPr>
              <w:tabs>
                <w:tab w:val="right" w:pos="639"/>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22</w:t>
            </w:r>
          </w:p>
        </w:tc>
        <w:tc>
          <w:tcPr>
            <w:tcW w:w="683" w:type="dxa"/>
            <w:vAlign w:val="bottom"/>
          </w:tcPr>
          <w:p w:rsidR="00F869B7" w:rsidRPr="00D3031E" w:rsidRDefault="00F869B7" w:rsidP="00E47219">
            <w:pPr>
              <w:tabs>
                <w:tab w:val="right" w:pos="780"/>
              </w:tabs>
              <w:spacing w:before="60" w:line="200" w:lineRule="exact"/>
              <w:jc w:val="center"/>
              <w:rPr>
                <w:i/>
                <w:color w:val="000000"/>
                <w:sz w:val="16"/>
                <w:szCs w:val="16"/>
              </w:rPr>
            </w:pPr>
            <w:r w:rsidRPr="00D3031E">
              <w:rPr>
                <w:i/>
                <w:color w:val="000000"/>
                <w:sz w:val="16"/>
                <w:szCs w:val="16"/>
              </w:rPr>
              <w:t>25</w:t>
            </w:r>
          </w:p>
        </w:tc>
      </w:tr>
      <w:tr w:rsidR="00F869B7" w:rsidRPr="00D3031E">
        <w:tblPrEx>
          <w:tblCellMar>
            <w:top w:w="0" w:type="dxa"/>
            <w:bottom w:w="0" w:type="dxa"/>
          </w:tblCellMar>
        </w:tblPrEx>
        <w:tc>
          <w:tcPr>
            <w:tcW w:w="1662" w:type="dxa"/>
            <w:tcBorders>
              <w:bottom w:val="nil"/>
            </w:tcBorders>
            <w:vAlign w:val="bottom"/>
          </w:tcPr>
          <w:p w:rsidR="00F869B7" w:rsidRPr="00D3031E" w:rsidRDefault="00F869B7" w:rsidP="00E47219">
            <w:pPr>
              <w:spacing w:before="60" w:line="200" w:lineRule="exact"/>
              <w:jc w:val="left"/>
              <w:rPr>
                <w:color w:val="000000"/>
                <w:sz w:val="16"/>
                <w:szCs w:val="16"/>
              </w:rPr>
            </w:pPr>
            <w:r w:rsidRPr="00D3031E">
              <w:rPr>
                <w:color w:val="000000"/>
                <w:sz w:val="16"/>
                <w:szCs w:val="16"/>
              </w:rPr>
              <w:t>Inskrivna 1 oktober</w:t>
            </w:r>
          </w:p>
        </w:tc>
        <w:tc>
          <w:tcPr>
            <w:tcW w:w="874" w:type="dxa"/>
            <w:tcBorders>
              <w:bottom w:val="nil"/>
            </w:tcBorders>
          </w:tcPr>
          <w:p w:rsidR="00F869B7" w:rsidRPr="00D3031E" w:rsidRDefault="00953DD6" w:rsidP="00E47219">
            <w:pPr>
              <w:tabs>
                <w:tab w:val="right" w:pos="639"/>
              </w:tabs>
              <w:spacing w:before="60" w:line="200" w:lineRule="exact"/>
              <w:jc w:val="center"/>
              <w:rPr>
                <w:color w:val="000000"/>
                <w:sz w:val="16"/>
                <w:szCs w:val="16"/>
              </w:rPr>
            </w:pPr>
            <w:r w:rsidRPr="00D3031E">
              <w:rPr>
                <w:color w:val="000000"/>
                <w:sz w:val="16"/>
                <w:szCs w:val="16"/>
              </w:rPr>
              <w:t xml:space="preserve"> </w:t>
            </w:r>
            <w:r w:rsidR="00F869B7" w:rsidRPr="00D3031E">
              <w:rPr>
                <w:color w:val="000000"/>
                <w:sz w:val="16"/>
                <w:szCs w:val="16"/>
              </w:rPr>
              <w:t>1 211</w:t>
            </w:r>
          </w:p>
        </w:tc>
        <w:tc>
          <w:tcPr>
            <w:tcW w:w="1017" w:type="dxa"/>
            <w:tcBorders>
              <w:bottom w:val="nil"/>
            </w:tcBorders>
          </w:tcPr>
          <w:p w:rsidR="00F869B7" w:rsidRPr="00D3031E" w:rsidRDefault="00F869B7" w:rsidP="00E47219">
            <w:pPr>
              <w:tabs>
                <w:tab w:val="right" w:pos="781"/>
              </w:tabs>
              <w:spacing w:before="60" w:line="200" w:lineRule="exact"/>
              <w:jc w:val="center"/>
              <w:rPr>
                <w:color w:val="000000"/>
                <w:sz w:val="16"/>
                <w:szCs w:val="16"/>
              </w:rPr>
            </w:pPr>
            <w:r w:rsidRPr="00D3031E">
              <w:rPr>
                <w:color w:val="000000"/>
                <w:sz w:val="16"/>
                <w:szCs w:val="16"/>
              </w:rPr>
              <w:t>1 307</w:t>
            </w:r>
          </w:p>
        </w:tc>
        <w:tc>
          <w:tcPr>
            <w:tcW w:w="1017" w:type="dxa"/>
            <w:tcBorders>
              <w:bottom w:val="nil"/>
            </w:tcBorders>
          </w:tcPr>
          <w:p w:rsidR="00F869B7" w:rsidRPr="00D3031E" w:rsidRDefault="00F869B7" w:rsidP="00E47219">
            <w:pPr>
              <w:tabs>
                <w:tab w:val="right" w:pos="781"/>
              </w:tabs>
              <w:spacing w:before="60" w:line="200" w:lineRule="exact"/>
              <w:jc w:val="center"/>
              <w:rPr>
                <w:color w:val="000000"/>
                <w:sz w:val="16"/>
                <w:szCs w:val="16"/>
              </w:rPr>
            </w:pPr>
            <w:r w:rsidRPr="00D3031E">
              <w:rPr>
                <w:color w:val="000000"/>
                <w:sz w:val="16"/>
                <w:szCs w:val="16"/>
              </w:rPr>
              <w:t>1 390</w:t>
            </w:r>
          </w:p>
        </w:tc>
        <w:tc>
          <w:tcPr>
            <w:tcW w:w="874" w:type="dxa"/>
            <w:tcBorders>
              <w:bottom w:val="nil"/>
            </w:tcBorders>
          </w:tcPr>
          <w:p w:rsidR="00F869B7" w:rsidRPr="00D3031E" w:rsidRDefault="00F869B7" w:rsidP="00E47219">
            <w:pPr>
              <w:tabs>
                <w:tab w:val="right" w:pos="639"/>
              </w:tabs>
              <w:spacing w:before="60" w:line="200" w:lineRule="exact"/>
              <w:jc w:val="center"/>
              <w:rPr>
                <w:color w:val="000000"/>
                <w:sz w:val="16"/>
                <w:szCs w:val="16"/>
              </w:rPr>
            </w:pPr>
            <w:r w:rsidRPr="00D3031E">
              <w:rPr>
                <w:color w:val="000000"/>
                <w:sz w:val="16"/>
                <w:szCs w:val="16"/>
              </w:rPr>
              <w:t>1 458</w:t>
            </w:r>
          </w:p>
        </w:tc>
        <w:tc>
          <w:tcPr>
            <w:tcW w:w="683" w:type="dxa"/>
            <w:tcBorders>
              <w:bottom w:val="nil"/>
            </w:tcBorders>
          </w:tcPr>
          <w:p w:rsidR="00F869B7" w:rsidRPr="00D3031E" w:rsidRDefault="00F869B7" w:rsidP="00E47219">
            <w:pPr>
              <w:tabs>
                <w:tab w:val="right" w:pos="780"/>
              </w:tabs>
              <w:spacing w:before="60" w:line="200" w:lineRule="exact"/>
              <w:jc w:val="center"/>
              <w:rPr>
                <w:color w:val="000000"/>
                <w:sz w:val="16"/>
                <w:szCs w:val="16"/>
              </w:rPr>
            </w:pPr>
            <w:r w:rsidRPr="00D3031E">
              <w:rPr>
                <w:color w:val="000000"/>
                <w:sz w:val="16"/>
                <w:szCs w:val="16"/>
              </w:rPr>
              <w:t>1460</w:t>
            </w:r>
          </w:p>
        </w:tc>
      </w:tr>
      <w:tr w:rsidR="00F869B7" w:rsidRPr="00D3031E">
        <w:tblPrEx>
          <w:tblCellMar>
            <w:top w:w="0" w:type="dxa"/>
            <w:bottom w:w="0" w:type="dxa"/>
          </w:tblCellMar>
        </w:tblPrEx>
        <w:tc>
          <w:tcPr>
            <w:tcW w:w="1662" w:type="dxa"/>
            <w:tcBorders>
              <w:top w:val="nil"/>
              <w:left w:val="nil"/>
              <w:bottom w:val="single" w:sz="4" w:space="0" w:color="auto"/>
              <w:right w:val="nil"/>
            </w:tcBorders>
          </w:tcPr>
          <w:p w:rsidR="00F869B7" w:rsidRPr="00D3031E" w:rsidRDefault="00F869B7" w:rsidP="00E47219">
            <w:pPr>
              <w:spacing w:before="60" w:line="200" w:lineRule="exact"/>
              <w:jc w:val="left"/>
              <w:rPr>
                <w:i/>
                <w:color w:val="000000"/>
                <w:sz w:val="16"/>
                <w:szCs w:val="16"/>
              </w:rPr>
            </w:pPr>
            <w:r w:rsidRPr="00D3031E">
              <w:rPr>
                <w:i/>
                <w:color w:val="000000"/>
                <w:sz w:val="16"/>
                <w:szCs w:val="16"/>
              </w:rPr>
              <w:t>procent inskrivna</w:t>
            </w:r>
          </w:p>
        </w:tc>
        <w:tc>
          <w:tcPr>
            <w:tcW w:w="874" w:type="dxa"/>
            <w:tcBorders>
              <w:top w:val="nil"/>
              <w:left w:val="nil"/>
              <w:bottom w:val="single" w:sz="4" w:space="0" w:color="auto"/>
              <w:right w:val="nil"/>
            </w:tcBorders>
          </w:tcPr>
          <w:p w:rsidR="00F869B7" w:rsidRPr="00D3031E" w:rsidRDefault="00953DD6" w:rsidP="00E47219">
            <w:pPr>
              <w:tabs>
                <w:tab w:val="right" w:pos="639"/>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28,4</w:t>
            </w:r>
          </w:p>
        </w:tc>
        <w:tc>
          <w:tcPr>
            <w:tcW w:w="1017" w:type="dxa"/>
            <w:tcBorders>
              <w:top w:val="nil"/>
              <w:left w:val="nil"/>
              <w:bottom w:val="single" w:sz="4" w:space="0" w:color="auto"/>
              <w:right w:val="nil"/>
            </w:tcBorders>
          </w:tcPr>
          <w:p w:rsidR="00F869B7" w:rsidRPr="00D3031E" w:rsidRDefault="00F869B7" w:rsidP="00E47219">
            <w:pPr>
              <w:tabs>
                <w:tab w:val="right" w:pos="781"/>
              </w:tabs>
              <w:spacing w:before="60" w:line="200" w:lineRule="exact"/>
              <w:jc w:val="center"/>
              <w:rPr>
                <w:i/>
                <w:color w:val="000000"/>
                <w:sz w:val="16"/>
                <w:szCs w:val="16"/>
              </w:rPr>
            </w:pPr>
            <w:r w:rsidRPr="00D3031E">
              <w:rPr>
                <w:i/>
                <w:color w:val="000000"/>
                <w:sz w:val="16"/>
                <w:szCs w:val="16"/>
              </w:rPr>
              <w:t>27,4</w:t>
            </w:r>
          </w:p>
        </w:tc>
        <w:tc>
          <w:tcPr>
            <w:tcW w:w="1017" w:type="dxa"/>
            <w:tcBorders>
              <w:top w:val="nil"/>
              <w:left w:val="nil"/>
              <w:bottom w:val="single" w:sz="4" w:space="0" w:color="auto"/>
              <w:right w:val="nil"/>
            </w:tcBorders>
          </w:tcPr>
          <w:p w:rsidR="00F869B7" w:rsidRPr="00D3031E" w:rsidRDefault="00F869B7" w:rsidP="00E47219">
            <w:pPr>
              <w:tabs>
                <w:tab w:val="right" w:pos="781"/>
              </w:tabs>
              <w:spacing w:before="60" w:line="200" w:lineRule="exact"/>
              <w:jc w:val="center"/>
              <w:rPr>
                <w:i/>
                <w:color w:val="000000"/>
                <w:sz w:val="16"/>
                <w:szCs w:val="16"/>
              </w:rPr>
            </w:pPr>
            <w:r w:rsidRPr="00D3031E">
              <w:rPr>
                <w:i/>
                <w:color w:val="000000"/>
                <w:sz w:val="16"/>
                <w:szCs w:val="16"/>
              </w:rPr>
              <w:t>27,4</w:t>
            </w:r>
          </w:p>
        </w:tc>
        <w:tc>
          <w:tcPr>
            <w:tcW w:w="874" w:type="dxa"/>
            <w:tcBorders>
              <w:top w:val="nil"/>
              <w:left w:val="nil"/>
              <w:bottom w:val="single" w:sz="4" w:space="0" w:color="auto"/>
              <w:right w:val="nil"/>
            </w:tcBorders>
          </w:tcPr>
          <w:p w:rsidR="00F869B7" w:rsidRPr="00D3031E" w:rsidRDefault="00953DD6" w:rsidP="00E47219">
            <w:pPr>
              <w:tabs>
                <w:tab w:val="right" w:pos="639"/>
              </w:tabs>
              <w:spacing w:before="60" w:line="200" w:lineRule="exact"/>
              <w:jc w:val="center"/>
              <w:rPr>
                <w:i/>
                <w:color w:val="000000"/>
                <w:sz w:val="16"/>
                <w:szCs w:val="16"/>
              </w:rPr>
            </w:pPr>
            <w:r w:rsidRPr="00D3031E">
              <w:rPr>
                <w:i/>
                <w:color w:val="000000"/>
                <w:sz w:val="16"/>
                <w:szCs w:val="16"/>
              </w:rPr>
              <w:t xml:space="preserve"> </w:t>
            </w:r>
            <w:r w:rsidR="00F869B7" w:rsidRPr="00D3031E">
              <w:rPr>
                <w:i/>
                <w:color w:val="000000"/>
                <w:sz w:val="16"/>
                <w:szCs w:val="16"/>
              </w:rPr>
              <w:t>27,4</w:t>
            </w:r>
          </w:p>
        </w:tc>
        <w:tc>
          <w:tcPr>
            <w:tcW w:w="683" w:type="dxa"/>
            <w:tcBorders>
              <w:top w:val="nil"/>
              <w:left w:val="nil"/>
              <w:bottom w:val="single" w:sz="4" w:space="0" w:color="auto"/>
              <w:right w:val="nil"/>
            </w:tcBorders>
          </w:tcPr>
          <w:p w:rsidR="00F869B7" w:rsidRPr="00D3031E" w:rsidRDefault="00F869B7" w:rsidP="00E47219">
            <w:pPr>
              <w:tabs>
                <w:tab w:val="right" w:pos="780"/>
              </w:tabs>
              <w:spacing w:before="60" w:line="200" w:lineRule="exact"/>
              <w:jc w:val="center"/>
              <w:rPr>
                <w:i/>
                <w:color w:val="000000"/>
                <w:sz w:val="16"/>
                <w:szCs w:val="16"/>
              </w:rPr>
            </w:pPr>
            <w:r w:rsidRPr="00D3031E">
              <w:rPr>
                <w:i/>
                <w:color w:val="000000"/>
                <w:sz w:val="16"/>
                <w:szCs w:val="16"/>
              </w:rPr>
              <w:t>25,5</w:t>
            </w:r>
          </w:p>
        </w:tc>
      </w:tr>
    </w:tbl>
    <w:p w:rsidR="00F869B7" w:rsidRPr="00D3031E" w:rsidRDefault="00F869B7" w:rsidP="003B1C72">
      <w:pPr>
        <w:pStyle w:val="Normaltindrag"/>
        <w:ind w:firstLine="0"/>
        <w:rPr>
          <w:sz w:val="16"/>
          <w:szCs w:val="16"/>
        </w:rPr>
      </w:pPr>
      <w:r w:rsidRPr="00D3031E">
        <w:rPr>
          <w:sz w:val="16"/>
          <w:szCs w:val="16"/>
        </w:rPr>
        <w:t>Källa: Kriminalvårdens officiella statistik, KOS, 2004.</w:t>
      </w:r>
    </w:p>
    <w:p w:rsidR="00F869B7" w:rsidRPr="00D3031E" w:rsidRDefault="00F869B7">
      <w:r w:rsidRPr="00D3031E">
        <w:t>Vi moderater vill därför skärpa reglerna för utvisning för den som blivit dömd till fängelse. Den utländske medborgare som har blivit dömd till fängelse skall u</w:t>
      </w:r>
      <w:r w:rsidRPr="00D3031E">
        <w:t>t</w:t>
      </w:r>
      <w:r w:rsidRPr="00D3031E">
        <w:t xml:space="preserve">visas om det inte föreligger </w:t>
      </w:r>
      <w:r w:rsidRPr="00D3031E">
        <w:rPr>
          <w:i/>
        </w:rPr>
        <w:t>särskilda skäl</w:t>
      </w:r>
      <w:r w:rsidRPr="00D3031E">
        <w:t xml:space="preserve"> mot utvisning. Utvisning ska</w:t>
      </w:r>
      <w:r w:rsidR="00AD0AB5" w:rsidRPr="00D3031E">
        <w:t>ll</w:t>
      </w:r>
      <w:r w:rsidRPr="00D3031E">
        <w:t xml:space="preserve"> således ske oavsett om det föreligger risk för fortsatt brottslighet eller brottets allvarlighet. Vidare bör begrän</w:t>
      </w:r>
      <w:r w:rsidRPr="00D3031E">
        <w:t>s</w:t>
      </w:r>
      <w:r w:rsidRPr="00D3031E">
        <w:t>ningsreglerna skärpas så att mindre hänsyn tas till den enskildes familjeförhållanden och levnadsomständi</w:t>
      </w:r>
      <w:r w:rsidRPr="00D3031E">
        <w:t>g</w:t>
      </w:r>
      <w:r w:rsidRPr="00D3031E">
        <w:t>heter.</w:t>
      </w:r>
    </w:p>
    <w:p w:rsidR="00F869B7" w:rsidRPr="00D3031E" w:rsidRDefault="00F869B7">
      <w:pPr>
        <w:pStyle w:val="Rubrik2"/>
      </w:pPr>
      <w:bookmarkStart w:id="89" w:name="_Toc94526444"/>
      <w:bookmarkStart w:id="90" w:name="_Toc95756125"/>
      <w:bookmarkStart w:id="91" w:name="_Toc115493271"/>
      <w:bookmarkStart w:id="92" w:name="_Toc115517492"/>
      <w:bookmarkStart w:id="93" w:name="_Toc116196999"/>
      <w:bookmarkStart w:id="94" w:name="_Toc116197695"/>
      <w:bookmarkStart w:id="95" w:name="_Toc116198087"/>
      <w:bookmarkStart w:id="96" w:name="_Toc117298211"/>
      <w:r w:rsidRPr="00D3031E">
        <w:t>Allvarlig brottslighet</w:t>
      </w:r>
      <w:bookmarkStart w:id="97" w:name="_Toc94526445"/>
      <w:bookmarkEnd w:id="89"/>
      <w:bookmarkEnd w:id="90"/>
      <w:bookmarkEnd w:id="91"/>
      <w:bookmarkEnd w:id="92"/>
      <w:bookmarkEnd w:id="93"/>
      <w:bookmarkEnd w:id="94"/>
      <w:bookmarkEnd w:id="95"/>
      <w:bookmarkEnd w:id="96"/>
    </w:p>
    <w:p w:rsidR="00F869B7" w:rsidRPr="00D3031E" w:rsidRDefault="00F869B7">
      <w:r w:rsidRPr="00D3031E">
        <w:t>Grov brottslighet är ett gissel för samhället som medför stora kostnader och stort personligt lidande. Inte sällan är brottsligheten organiserad och med internationell anknytning.</w:t>
      </w:r>
    </w:p>
    <w:p w:rsidR="00F869B7" w:rsidRPr="00D3031E" w:rsidRDefault="00F869B7">
      <w:pPr>
        <w:pStyle w:val="Normaltindrag"/>
      </w:pPr>
      <w:r w:rsidRPr="00D3031E">
        <w:t>För att på ett tydligt sätt visa att Sverige inte är en fristad för grova brott</w:t>
      </w:r>
      <w:r w:rsidRPr="00D3031E">
        <w:t>s</w:t>
      </w:r>
      <w:r w:rsidRPr="00D3031E">
        <w:t>lin</w:t>
      </w:r>
      <w:r w:rsidRPr="00D3031E">
        <w:t>g</w:t>
      </w:r>
      <w:r w:rsidRPr="00D3031E">
        <w:t>ar vill vi införa en mycket stark presumtion för utvisning för den som begått grova brott. Av de utländska medborgare som döms till fängelse är cirka 14 pr</w:t>
      </w:r>
      <w:r w:rsidRPr="00D3031E">
        <w:t>o</w:t>
      </w:r>
      <w:r w:rsidRPr="00D3031E">
        <w:t>cent dömda till strafftider som överstiger två år. Vi menar att den som har gjort sig skyldig till brott som inte ger lindrigare straff än två år eller har ett straffvärde som överstiger två år ska</w:t>
      </w:r>
      <w:r w:rsidR="00AD0AB5" w:rsidRPr="00D3031E">
        <w:t>ll</w:t>
      </w:r>
      <w:r w:rsidRPr="00D3031E">
        <w:t xml:space="preserve"> u</w:t>
      </w:r>
      <w:r w:rsidRPr="00D3031E">
        <w:t>t</w:t>
      </w:r>
      <w:r w:rsidRPr="00D3031E">
        <w:t>visas om det inte föreligger synnerliga skäl. För denna typ av brottslighet menar vi att någon begränsning i tid för hur länge brottslingen har bott i Sverige inte ska</w:t>
      </w:r>
      <w:r w:rsidR="00AD0AB5" w:rsidRPr="00D3031E">
        <w:t>ll</w:t>
      </w:r>
      <w:r w:rsidRPr="00D3031E">
        <w:t xml:space="preserve"> finnas. De som är dömda till fängelse och utvisning skall i största möjligaste mån avtjäna sina straff i hemlandet. Vi vill därför intensifiera a</w:t>
      </w:r>
      <w:r w:rsidRPr="00D3031E">
        <w:t>r</w:t>
      </w:r>
      <w:r w:rsidRPr="00D3031E">
        <w:t>betet med att överföra fångar till deras hemlä</w:t>
      </w:r>
      <w:r w:rsidRPr="00D3031E">
        <w:t>n</w:t>
      </w:r>
      <w:r w:rsidRPr="00D3031E">
        <w:t>der.</w:t>
      </w:r>
    </w:p>
    <w:p w:rsidR="00F869B7" w:rsidRPr="00D3031E" w:rsidRDefault="00F869B7">
      <w:pPr>
        <w:pStyle w:val="Normaltindrag"/>
      </w:pPr>
      <w:r w:rsidRPr="00D3031E">
        <w:t>Det skall poängteras att strängare utvisningsregler inte påverkar reglerna kring hi</w:t>
      </w:r>
      <w:r w:rsidRPr="00D3031E">
        <w:t>n</w:t>
      </w:r>
      <w:r w:rsidRPr="00D3031E">
        <w:t>der för att verkställa en utvisning, t.ex. om den enskilde riskerar tortyr. Sverige skall leva upp till mänskliga fri- och rättigheter.</w:t>
      </w:r>
    </w:p>
    <w:p w:rsidR="00F869B7" w:rsidRPr="00D3031E" w:rsidRDefault="00F869B7">
      <w:pPr>
        <w:pStyle w:val="PunktlistaBomb"/>
      </w:pPr>
      <w:r w:rsidRPr="00D3031E">
        <w:t>Lagstiftningen avseende utvisning på grund av brott sk</w:t>
      </w:r>
      <w:r w:rsidR="003B1C72" w:rsidRPr="00D3031E">
        <w:t>a</w:t>
      </w:r>
      <w:r w:rsidR="00944AF5" w:rsidRPr="00D3031E">
        <w:t>ll</w:t>
      </w:r>
      <w:r w:rsidRPr="00D3031E">
        <w:t xml:space="preserve"> skärpas.</w:t>
      </w:r>
    </w:p>
    <w:p w:rsidR="00F869B7" w:rsidRPr="00D3031E" w:rsidRDefault="00F869B7">
      <w:pPr>
        <w:pStyle w:val="Rubrik1"/>
      </w:pPr>
      <w:bookmarkStart w:id="98" w:name="_Toc115517493"/>
      <w:bookmarkStart w:id="99" w:name="_Toc116197000"/>
      <w:bookmarkStart w:id="100" w:name="_Toc116197696"/>
      <w:bookmarkStart w:id="101" w:name="_Toc116198088"/>
      <w:bookmarkStart w:id="102" w:name="_Toc117298212"/>
      <w:bookmarkEnd w:id="97"/>
      <w:r w:rsidRPr="00D3031E">
        <w:t>Vissa övriga frågor</w:t>
      </w:r>
      <w:bookmarkEnd w:id="98"/>
      <w:bookmarkEnd w:id="99"/>
      <w:bookmarkEnd w:id="100"/>
      <w:bookmarkEnd w:id="101"/>
      <w:bookmarkEnd w:id="102"/>
    </w:p>
    <w:p w:rsidR="00F869B7" w:rsidRPr="00D3031E" w:rsidRDefault="00F869B7" w:rsidP="00944AF5">
      <w:r w:rsidRPr="00D3031E">
        <w:t>Moderat påföljdspolitik kommer att innebära avsevärda förändringar vad gäller utdömda påföljder. Vi menar att påföljdssystemet i högre grad kommer att överensstämma med medborgarnas förväntningar. Emellertid kommer våra förslag inte att rätta alla obalanser i systemet. Det finns brott för vilka straf</w:t>
      </w:r>
      <w:r w:rsidRPr="00D3031E">
        <w:t>f</w:t>
      </w:r>
      <w:r w:rsidRPr="00D3031E">
        <w:t xml:space="preserve">skalorna behöver justeras för att rimliga resultat skall kunna nås. Ett exempel på detta är brottet olovlig körning vars </w:t>
      </w:r>
      <w:r w:rsidRPr="00D3031E">
        <w:rPr>
          <w:snapToGrid w:val="0"/>
        </w:rPr>
        <w:t>straffskala omöjliggör frihetsberöva</w:t>
      </w:r>
      <w:r w:rsidRPr="00D3031E">
        <w:rPr>
          <w:snapToGrid w:val="0"/>
        </w:rPr>
        <w:t>n</w:t>
      </w:r>
      <w:r w:rsidRPr="00D3031E">
        <w:rPr>
          <w:snapToGrid w:val="0"/>
        </w:rPr>
        <w:t>de åtgärder. Detta får till följd att polis och även åklagare känner maktlöshet inför brottstypen då d</w:t>
      </w:r>
      <w:r w:rsidRPr="00D3031E">
        <w:t>et inte</w:t>
      </w:r>
      <w:r w:rsidR="00944AF5" w:rsidRPr="00D3031E">
        <w:t xml:space="preserve"> är</w:t>
      </w:r>
      <w:r w:rsidRPr="00D3031E">
        <w:t xml:space="preserve"> ovanligt att en och samma person rapporteras flera gånger i veckan. De individer som kör utan körkort är dessutom ofta svåra att få tag i, vilket medför att domstolar inte lyckas delge dem stämning, vilket i sin tur leder till att brotten preskriberas. Frihetsberövande åtgärder mot de personer som kör vanemässigt trots avsaknad av körkort kommer sannolikt att få betydande effekt</w:t>
      </w:r>
      <w:r w:rsidR="00944AF5" w:rsidRPr="00D3031E">
        <w:t>,</w:t>
      </w:r>
      <w:r w:rsidRPr="00D3031E">
        <w:t xml:space="preserve"> och dessutom kommer trafiksäkerheten att höjas.</w:t>
      </w:r>
    </w:p>
    <w:p w:rsidR="00F869B7" w:rsidRPr="00D3031E" w:rsidRDefault="00F869B7">
      <w:pPr>
        <w:pStyle w:val="Normaltindrag"/>
      </w:pPr>
      <w:r w:rsidRPr="00D3031E">
        <w:t>Det finns emellertid anledning att se över även andra straffskalor där mö</w:t>
      </w:r>
      <w:r w:rsidRPr="00D3031E">
        <w:t>j</w:t>
      </w:r>
      <w:r w:rsidRPr="00D3031E">
        <w:t>ligheten till frihetsberövand</w:t>
      </w:r>
      <w:r w:rsidR="005A662E" w:rsidRPr="00D3031E">
        <w:t xml:space="preserve">e åtgärder kan anses motiverade främst </w:t>
      </w:r>
      <w:r w:rsidRPr="00D3031E">
        <w:t>med hä</w:t>
      </w:r>
      <w:r w:rsidRPr="00D3031E">
        <w:t>n</w:t>
      </w:r>
      <w:r w:rsidRPr="00D3031E">
        <w:t>syn till brottsutvecklingen</w:t>
      </w:r>
      <w:r w:rsidR="005A662E" w:rsidRPr="00D3031E">
        <w:t xml:space="preserve"> för den enskilda brottstypen. Exempelvis kan nä</w:t>
      </w:r>
      <w:r w:rsidR="005A662E" w:rsidRPr="00D3031E">
        <w:t>m</w:t>
      </w:r>
      <w:r w:rsidR="005A662E" w:rsidRPr="00D3031E">
        <w:t xml:space="preserve">nas </w:t>
      </w:r>
      <w:r w:rsidRPr="00D3031E">
        <w:t>skadegörelsebro</w:t>
      </w:r>
      <w:r w:rsidR="005A662E" w:rsidRPr="00D3031E">
        <w:t>ttet</w:t>
      </w:r>
      <w:r w:rsidRPr="00D3031E">
        <w:t xml:space="preserve"> </w:t>
      </w:r>
      <w:r w:rsidR="005A662E" w:rsidRPr="00D3031E">
        <w:t xml:space="preserve">som på grund av klotterproblematiken </w:t>
      </w:r>
      <w:r w:rsidRPr="00D3031E">
        <w:t>redan fått en förändrad straffskala för att möjliggöra frihetsberövande åtgärder. Detta är en indikation på att påföljder regelbundet måste ses över för att anpassas till rådande verklighet. Som exempel kan nämnas drograttfylleri som oftas</w:t>
      </w:r>
      <w:r w:rsidR="005A662E" w:rsidRPr="00D3031E">
        <w:t>t</w:t>
      </w:r>
      <w:r w:rsidRPr="00D3031E">
        <w:t xml:space="preserve"> b</w:t>
      </w:r>
      <w:r w:rsidRPr="00D3031E">
        <w:t>e</w:t>
      </w:r>
      <w:r w:rsidRPr="00D3031E">
        <w:t>döms som rattfylleri av normalgraden</w:t>
      </w:r>
      <w:r w:rsidR="00944AF5" w:rsidRPr="00D3031E">
        <w:t>,</w:t>
      </w:r>
      <w:r w:rsidRPr="00D3031E">
        <w:t xml:space="preserve"> varför frihetsberövande åtgärder inte kan företas trots att beteendet är mycket trafikfarligt. </w:t>
      </w:r>
    </w:p>
    <w:p w:rsidR="00F869B7" w:rsidRPr="00D3031E" w:rsidRDefault="00F869B7" w:rsidP="003B1C72">
      <w:pPr>
        <w:pStyle w:val="PunktlistaBomb"/>
        <w:tabs>
          <w:tab w:val="clear" w:pos="360"/>
        </w:tabs>
      </w:pPr>
      <w:r w:rsidRPr="00D3031E">
        <w:t>Straffskalan för grov olovlig körning skall höjas till ett år.</w:t>
      </w:r>
    </w:p>
    <w:p w:rsidR="00F869B7" w:rsidRPr="00D3031E" w:rsidRDefault="00F869B7" w:rsidP="003B1C72">
      <w:pPr>
        <w:pStyle w:val="PunktlistaBomb"/>
        <w:tabs>
          <w:tab w:val="clear" w:pos="360"/>
        </w:tabs>
        <w:spacing w:before="0"/>
      </w:pPr>
      <w:r w:rsidRPr="00D3031E">
        <w:t>Straffskalorna skall ses över för att se om det är fler straffskalor som beh</w:t>
      </w:r>
      <w:r w:rsidRPr="00D3031E">
        <w:t>ö</w:t>
      </w:r>
      <w:r w:rsidRPr="00D3031E">
        <w:t xml:space="preserve">ver justeras för att möjliggöra frihetsberövande åtgärder.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4AF5" w:rsidRPr="00D3031E">
        <w:tblPrEx>
          <w:tblCellMar>
            <w:top w:w="0" w:type="dxa"/>
            <w:bottom w:w="0" w:type="dxa"/>
          </w:tblCellMar>
        </w:tblPrEx>
        <w:trPr>
          <w:cantSplit/>
        </w:trPr>
        <w:tc>
          <w:tcPr>
            <w:tcW w:w="3046" w:type="dxa"/>
          </w:tcPr>
          <w:p w:rsidR="00944AF5" w:rsidRPr="00D3031E" w:rsidRDefault="00944AF5" w:rsidP="00944AF5">
            <w:pPr>
              <w:pStyle w:val="UnderskriftDatum"/>
              <w:spacing w:before="240"/>
            </w:pPr>
            <w:r w:rsidRPr="00D3031E">
              <w:t>Stockholm den 4 oktober 2005</w:t>
            </w:r>
          </w:p>
        </w:tc>
        <w:tc>
          <w:tcPr>
            <w:tcW w:w="3047" w:type="dxa"/>
          </w:tcPr>
          <w:p w:rsidR="00944AF5" w:rsidRPr="00D3031E" w:rsidRDefault="00944AF5" w:rsidP="00944AF5">
            <w:pPr>
              <w:pStyle w:val="Underskrifter"/>
              <w:spacing w:before="240"/>
            </w:pPr>
          </w:p>
        </w:tc>
      </w:tr>
      <w:tr w:rsidR="00944AF5" w:rsidRPr="00D3031E">
        <w:tblPrEx>
          <w:tblCellMar>
            <w:top w:w="0" w:type="dxa"/>
            <w:bottom w:w="0" w:type="dxa"/>
          </w:tblCellMar>
        </w:tblPrEx>
        <w:trPr>
          <w:cantSplit/>
        </w:trPr>
        <w:tc>
          <w:tcPr>
            <w:tcW w:w="3046" w:type="dxa"/>
          </w:tcPr>
          <w:p w:rsidR="00944AF5" w:rsidRPr="00D3031E" w:rsidRDefault="00944AF5" w:rsidP="00944AF5">
            <w:pPr>
              <w:pStyle w:val="Underskrifter"/>
            </w:pPr>
            <w:r w:rsidRPr="00D3031E">
              <w:t>Beatrice Ask (m)</w:t>
            </w:r>
          </w:p>
        </w:tc>
        <w:tc>
          <w:tcPr>
            <w:tcW w:w="3047" w:type="dxa"/>
          </w:tcPr>
          <w:p w:rsidR="00944AF5" w:rsidRPr="00D3031E" w:rsidRDefault="00944AF5" w:rsidP="00944AF5">
            <w:pPr>
              <w:pStyle w:val="Underskrifter"/>
            </w:pPr>
          </w:p>
        </w:tc>
      </w:tr>
      <w:tr w:rsidR="00944AF5" w:rsidRPr="00D3031E">
        <w:tblPrEx>
          <w:tblCellMar>
            <w:top w:w="0" w:type="dxa"/>
            <w:bottom w:w="0" w:type="dxa"/>
          </w:tblCellMar>
        </w:tblPrEx>
        <w:trPr>
          <w:cantSplit/>
        </w:trPr>
        <w:tc>
          <w:tcPr>
            <w:tcW w:w="3046" w:type="dxa"/>
          </w:tcPr>
          <w:p w:rsidR="00944AF5" w:rsidRPr="00D3031E" w:rsidRDefault="00944AF5" w:rsidP="00944AF5">
            <w:pPr>
              <w:pStyle w:val="Underskrifter"/>
            </w:pPr>
            <w:r w:rsidRPr="00D3031E">
              <w:t>Jeppe Johnsson (m)</w:t>
            </w:r>
          </w:p>
        </w:tc>
        <w:tc>
          <w:tcPr>
            <w:tcW w:w="3047" w:type="dxa"/>
          </w:tcPr>
          <w:p w:rsidR="00944AF5" w:rsidRPr="00D3031E" w:rsidRDefault="00944AF5" w:rsidP="00944AF5">
            <w:pPr>
              <w:pStyle w:val="Underskrifter"/>
            </w:pPr>
            <w:r w:rsidRPr="00D3031E">
              <w:t>Cecilia Magnusson (m)</w:t>
            </w:r>
          </w:p>
        </w:tc>
      </w:tr>
      <w:tr w:rsidR="00944AF5" w:rsidRPr="00D3031E">
        <w:tblPrEx>
          <w:tblCellMar>
            <w:top w:w="0" w:type="dxa"/>
            <w:bottom w:w="0" w:type="dxa"/>
          </w:tblCellMar>
        </w:tblPrEx>
        <w:trPr>
          <w:cantSplit/>
        </w:trPr>
        <w:tc>
          <w:tcPr>
            <w:tcW w:w="3046" w:type="dxa"/>
          </w:tcPr>
          <w:p w:rsidR="00944AF5" w:rsidRPr="00D3031E" w:rsidRDefault="00944AF5" w:rsidP="00944AF5">
            <w:pPr>
              <w:pStyle w:val="Underskrifter"/>
            </w:pPr>
            <w:r w:rsidRPr="00D3031E">
              <w:t>Hillevi Engström (m)</w:t>
            </w:r>
          </w:p>
        </w:tc>
        <w:tc>
          <w:tcPr>
            <w:tcW w:w="3047" w:type="dxa"/>
          </w:tcPr>
          <w:p w:rsidR="00944AF5" w:rsidRPr="00D3031E" w:rsidRDefault="00944AF5" w:rsidP="00944AF5">
            <w:pPr>
              <w:pStyle w:val="Underskrifter"/>
            </w:pPr>
            <w:r w:rsidRPr="00D3031E">
              <w:t>Bengt-Anders Johansson (m)</w:t>
            </w:r>
          </w:p>
        </w:tc>
      </w:tr>
      <w:tr w:rsidR="00944AF5" w:rsidRPr="00D3031E">
        <w:tblPrEx>
          <w:tblCellMar>
            <w:top w:w="0" w:type="dxa"/>
            <w:bottom w:w="0" w:type="dxa"/>
          </w:tblCellMar>
        </w:tblPrEx>
        <w:trPr>
          <w:cantSplit/>
        </w:trPr>
        <w:tc>
          <w:tcPr>
            <w:tcW w:w="3046" w:type="dxa"/>
          </w:tcPr>
          <w:p w:rsidR="00944AF5" w:rsidRPr="00D3031E" w:rsidRDefault="00944AF5" w:rsidP="00944AF5">
            <w:pPr>
              <w:pStyle w:val="Underskrifter"/>
            </w:pPr>
            <w:r w:rsidRPr="00D3031E">
              <w:t>Anita Sidén (m)</w:t>
            </w:r>
          </w:p>
        </w:tc>
        <w:tc>
          <w:tcPr>
            <w:tcW w:w="3047" w:type="dxa"/>
          </w:tcPr>
          <w:p w:rsidR="00944AF5" w:rsidRPr="00D3031E" w:rsidRDefault="00944AF5" w:rsidP="00944AF5">
            <w:pPr>
              <w:pStyle w:val="Underskrifter"/>
            </w:pPr>
            <w:r w:rsidRPr="00D3031E">
              <w:t>Bertil Kjellberg (m)</w:t>
            </w:r>
          </w:p>
        </w:tc>
      </w:tr>
    </w:tbl>
    <w:p w:rsidR="00F869B7" w:rsidRPr="00D3031E" w:rsidRDefault="00F869B7" w:rsidP="00944AF5">
      <w:pPr>
        <w:pStyle w:val="Normaltindrag"/>
      </w:pPr>
    </w:p>
    <w:sectPr w:rsidR="00F869B7" w:rsidRPr="00D3031E" w:rsidSect="00944A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97A" w:rsidRPr="00D3031E" w:rsidRDefault="0057397A">
      <w:r w:rsidRPr="00D3031E">
        <w:separator/>
      </w:r>
    </w:p>
  </w:endnote>
  <w:endnote w:type="continuationSeparator" w:id="0">
    <w:p w:rsidR="0057397A" w:rsidRPr="00D3031E" w:rsidRDefault="0057397A">
      <w:r w:rsidRPr="00D30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CA3" w:rsidRPr="00D3031E" w:rsidRDefault="00D3031E" w:rsidP="00944AF5">
    <w:pPr>
      <w:pStyle w:val="Sidfot"/>
    </w:pPr>
    <w:r w:rsidRPr="00D303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0168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CA3" w:rsidRDefault="00354CA3">
                          <w:pPr>
                            <w:pStyle w:val="NormalS5sidnrV"/>
                          </w:pPr>
                          <w:r>
                            <w:fldChar w:fldCharType="begin"/>
                          </w:r>
                          <w:r>
                            <w:instrText xml:space="preserve"> PAGE *\charformat</w:instrText>
                          </w:r>
                          <w:r>
                            <w:fldChar w:fldCharType="separate"/>
                          </w:r>
                          <w:r w:rsidR="007334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4CA3" w:rsidRDefault="00354CA3">
                    <w:pPr>
                      <w:pStyle w:val="NormalS5sidnrV"/>
                    </w:pPr>
                    <w:r>
                      <w:fldChar w:fldCharType="begin"/>
                    </w:r>
                    <w:r>
                      <w:instrText xml:space="preserve"> PAGE *\charformat</w:instrText>
                    </w:r>
                    <w:r>
                      <w:fldChar w:fldCharType="separate"/>
                    </w:r>
                    <w:r w:rsidR="007334D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CA3" w:rsidRPr="00D3031E" w:rsidRDefault="00D3031E" w:rsidP="00944AF5">
    <w:pPr>
      <w:pStyle w:val="Sidfot"/>
    </w:pPr>
    <w:r w:rsidRPr="00D303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525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CA3" w:rsidRDefault="00354CA3">
                          <w:pPr>
                            <w:pStyle w:val="NormalS5sidnrH"/>
                            <w:ind w:right="0"/>
                          </w:pPr>
                          <w:r>
                            <w:fldChar w:fldCharType="begin"/>
                          </w:r>
                          <w:r>
                            <w:instrText xml:space="preserve"> PAGE *\charformat</w:instrText>
                          </w:r>
                          <w:r>
                            <w:fldChar w:fldCharType="separate"/>
                          </w:r>
                          <w:r w:rsidR="007334D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4CA3" w:rsidRDefault="00354CA3">
                    <w:pPr>
                      <w:pStyle w:val="NormalS5sidnrH"/>
                      <w:ind w:right="0"/>
                    </w:pPr>
                    <w:r>
                      <w:fldChar w:fldCharType="begin"/>
                    </w:r>
                    <w:r>
                      <w:instrText xml:space="preserve"> PAGE *\charformat</w:instrText>
                    </w:r>
                    <w:r>
                      <w:fldChar w:fldCharType="separate"/>
                    </w:r>
                    <w:r w:rsidR="007334D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CA3" w:rsidRPr="00D3031E" w:rsidRDefault="00D3031E" w:rsidP="00944AF5">
    <w:pPr>
      <w:pStyle w:val="Sidfot"/>
    </w:pPr>
    <w:r w:rsidRPr="00D303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576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CA3" w:rsidRDefault="00354CA3">
                          <w:pPr>
                            <w:pStyle w:val="NormalS5sidnrH"/>
                            <w:ind w:right="0"/>
                          </w:pPr>
                          <w:r>
                            <w:fldChar w:fldCharType="begin"/>
                          </w:r>
                          <w:r>
                            <w:instrText xml:space="preserve"> PAGE *\charformat</w:instrText>
                          </w:r>
                          <w:r>
                            <w:fldChar w:fldCharType="separate"/>
                          </w:r>
                          <w:r w:rsidR="007334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4CA3" w:rsidRDefault="00354CA3">
                    <w:pPr>
                      <w:pStyle w:val="NormalS5sidnrH"/>
                      <w:ind w:right="0"/>
                    </w:pPr>
                    <w:r>
                      <w:fldChar w:fldCharType="begin"/>
                    </w:r>
                    <w:r>
                      <w:instrText xml:space="preserve"> PAGE *\charformat</w:instrText>
                    </w:r>
                    <w:r>
                      <w:fldChar w:fldCharType="separate"/>
                    </w:r>
                    <w:r w:rsidR="007334D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97A" w:rsidRPr="00D3031E" w:rsidRDefault="0057397A" w:rsidP="00A20795">
      <w:pPr>
        <w:pStyle w:val="Sidfot"/>
      </w:pPr>
    </w:p>
  </w:footnote>
  <w:footnote w:type="continuationSeparator" w:id="0">
    <w:p w:rsidR="0057397A" w:rsidRPr="00D3031E" w:rsidRDefault="0057397A" w:rsidP="00A20795">
      <w:pPr>
        <w:pStyle w:val="Sidfot"/>
      </w:pPr>
    </w:p>
  </w:footnote>
  <w:footnote w:type="continuationNotice" w:id="1">
    <w:p w:rsidR="0057397A" w:rsidRPr="00D3031E" w:rsidRDefault="0057397A"/>
  </w:footnote>
  <w:footnote w:id="2">
    <w:p w:rsidR="00354CA3" w:rsidRPr="00D3031E" w:rsidRDefault="00354CA3" w:rsidP="00354CA3">
      <w:pPr>
        <w:pStyle w:val="Fotnotstext"/>
        <w:pBdr>
          <w:top w:val="none" w:sz="0" w:space="0" w:color="auto"/>
        </w:pBdr>
        <w:rPr>
          <w:rFonts w:ascii="Times New Roman" w:hAnsi="Times New Roman"/>
          <w:sz w:val="16"/>
          <w:szCs w:val="16"/>
        </w:rPr>
      </w:pPr>
      <w:r w:rsidRPr="00D3031E">
        <w:rPr>
          <w:rStyle w:val="Fotnotsreferens"/>
          <w:rFonts w:ascii="Times New Roman" w:hAnsi="Times New Roman"/>
          <w:sz w:val="16"/>
          <w:szCs w:val="16"/>
        </w:rPr>
        <w:footnoteRef/>
      </w:r>
      <w:r w:rsidRPr="00D3031E">
        <w:rPr>
          <w:rFonts w:ascii="Times New Roman" w:hAnsi="Times New Roman"/>
          <w:sz w:val="16"/>
          <w:szCs w:val="16"/>
        </w:rPr>
        <w:t xml:space="preserve"> Riksdagens utredningstjänst, 2005-09-08, Dnr 2005:1426.</w:t>
      </w:r>
    </w:p>
  </w:footnote>
  <w:footnote w:id="3">
    <w:p w:rsidR="00354CA3" w:rsidRPr="00D3031E" w:rsidRDefault="00354CA3" w:rsidP="0060763B">
      <w:pPr>
        <w:pStyle w:val="Fotnotstext"/>
        <w:pBdr>
          <w:top w:val="none" w:sz="0" w:space="0" w:color="auto"/>
        </w:pBdr>
        <w:rPr>
          <w:rFonts w:ascii="Times New Roman" w:hAnsi="Times New Roman"/>
          <w:sz w:val="16"/>
          <w:szCs w:val="16"/>
        </w:rPr>
      </w:pPr>
      <w:r w:rsidRPr="00D3031E">
        <w:rPr>
          <w:rStyle w:val="Fotnotsreferens"/>
        </w:rPr>
        <w:footnoteRef/>
      </w:r>
      <w:r w:rsidRPr="00D3031E">
        <w:t xml:space="preserve"> </w:t>
      </w:r>
      <w:r w:rsidRPr="00D3031E">
        <w:rPr>
          <w:rFonts w:ascii="Times New Roman" w:hAnsi="Times New Roman"/>
          <w:sz w:val="16"/>
          <w:szCs w:val="16"/>
        </w:rPr>
        <w:t>Kriminalvårdens officiella statistik, KOS 2003 avsnitt 4:14.</w:t>
      </w:r>
    </w:p>
  </w:footnote>
  <w:footnote w:id="4">
    <w:p w:rsidR="00354CA3" w:rsidRPr="00D3031E" w:rsidRDefault="00354CA3" w:rsidP="0060763B">
      <w:pPr>
        <w:pStyle w:val="Fotnotstext"/>
        <w:pBdr>
          <w:top w:val="none" w:sz="0" w:space="0" w:color="auto"/>
        </w:pBdr>
        <w:spacing w:before="0"/>
        <w:rPr>
          <w:rFonts w:ascii="Times New Roman" w:hAnsi="Times New Roman"/>
          <w:sz w:val="16"/>
          <w:szCs w:val="16"/>
        </w:rPr>
      </w:pPr>
      <w:r w:rsidRPr="00D3031E">
        <w:rPr>
          <w:rStyle w:val="Fotnotsreferens"/>
          <w:rFonts w:ascii="Times New Roman" w:hAnsi="Times New Roman"/>
          <w:sz w:val="16"/>
          <w:szCs w:val="16"/>
        </w:rPr>
        <w:footnoteRef/>
      </w:r>
      <w:r w:rsidRPr="00D3031E">
        <w:rPr>
          <w:rFonts w:ascii="Times New Roman" w:hAnsi="Times New Roman"/>
          <w:sz w:val="16"/>
          <w:szCs w:val="16"/>
        </w:rPr>
        <w:t xml:space="preserve"> Enligt Riksdagens utredningstjänst dnr 2004:2513.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CA3" w:rsidRPr="00D3031E" w:rsidRDefault="00D3031E" w:rsidP="00944AF5">
    <w:pPr>
      <w:pStyle w:val="Sidhuvud"/>
    </w:pPr>
    <w:r w:rsidRPr="00D303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035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CA3" w:rsidRDefault="00354CA3">
                          <w:pPr>
                            <w:pStyle w:val="KantRubrikS5V"/>
                          </w:pPr>
                          <w:r>
                            <w:fldChar w:fldCharType="begin"/>
                          </w:r>
                          <w:r>
                            <w:instrText xml:space="preserve"> DOCPROPERTY "YearUser" *\charformat </w:instrText>
                          </w:r>
                          <w:r>
                            <w:fldChar w:fldCharType="separate"/>
                          </w:r>
                          <w:r w:rsidR="007334D1">
                            <w:t>2005/06</w:t>
                          </w:r>
                          <w:r>
                            <w:fldChar w:fldCharType="end"/>
                          </w:r>
                          <w:r>
                            <w:t>:</w:t>
                          </w:r>
                          <w:r>
                            <w:fldChar w:fldCharType="begin"/>
                          </w:r>
                          <w:r>
                            <w:instrText xml:space="preserve"> DOCPROPERTY "Motionsnummer" *\charformat </w:instrText>
                          </w:r>
                          <w:r>
                            <w:fldChar w:fldCharType="separate"/>
                          </w:r>
                          <w:r w:rsidR="007334D1">
                            <w:t>Ju530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4CA3" w:rsidRDefault="00354CA3">
                    <w:pPr>
                      <w:pStyle w:val="KantRubrikS5V"/>
                    </w:pPr>
                    <w:r>
                      <w:fldChar w:fldCharType="begin"/>
                    </w:r>
                    <w:r>
                      <w:instrText xml:space="preserve"> DOCPROPERTY "YearUser" *\charformat </w:instrText>
                    </w:r>
                    <w:r>
                      <w:fldChar w:fldCharType="separate"/>
                    </w:r>
                    <w:r w:rsidR="007334D1">
                      <w:t>2005/06</w:t>
                    </w:r>
                    <w:r>
                      <w:fldChar w:fldCharType="end"/>
                    </w:r>
                    <w:r>
                      <w:t>:</w:t>
                    </w:r>
                    <w:r>
                      <w:fldChar w:fldCharType="begin"/>
                    </w:r>
                    <w:r>
                      <w:instrText xml:space="preserve"> DOCPROPERTY "Motionsnummer" *\charformat </w:instrText>
                    </w:r>
                    <w:r>
                      <w:fldChar w:fldCharType="separate"/>
                    </w:r>
                    <w:r w:rsidR="007334D1">
                      <w:t>Ju530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CA3" w:rsidRPr="00D3031E" w:rsidRDefault="00D3031E" w:rsidP="00944AF5">
    <w:pPr>
      <w:pStyle w:val="Sidhuvud"/>
    </w:pPr>
    <w:r w:rsidRPr="00D303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950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CA3" w:rsidRDefault="00354CA3">
                          <w:pPr>
                            <w:pStyle w:val="KantRubrikS5H"/>
                            <w:ind w:right="0"/>
                          </w:pPr>
                          <w:r>
                            <w:fldChar w:fldCharType="begin"/>
                          </w:r>
                          <w:r>
                            <w:instrText xml:space="preserve"> DOCPROPERTY "YearUser" *\charformat </w:instrText>
                          </w:r>
                          <w:r>
                            <w:fldChar w:fldCharType="separate"/>
                          </w:r>
                          <w:r w:rsidR="007334D1">
                            <w:t>2005/06</w:t>
                          </w:r>
                          <w:r>
                            <w:fldChar w:fldCharType="end"/>
                          </w:r>
                          <w:r>
                            <w:t>:</w:t>
                          </w:r>
                          <w:r>
                            <w:fldChar w:fldCharType="begin"/>
                          </w:r>
                          <w:r>
                            <w:instrText xml:space="preserve"> DOCPROPERTY "Motionsnummer" *\charformat </w:instrText>
                          </w:r>
                          <w:r>
                            <w:fldChar w:fldCharType="separate"/>
                          </w:r>
                          <w:r w:rsidR="007334D1">
                            <w:t>Ju530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4CA3" w:rsidRDefault="00354CA3">
                    <w:pPr>
                      <w:pStyle w:val="KantRubrikS5H"/>
                      <w:ind w:right="0"/>
                    </w:pPr>
                    <w:r>
                      <w:fldChar w:fldCharType="begin"/>
                    </w:r>
                    <w:r>
                      <w:instrText xml:space="preserve"> DOCPROPERTY "YearUser" *\charformat </w:instrText>
                    </w:r>
                    <w:r>
                      <w:fldChar w:fldCharType="separate"/>
                    </w:r>
                    <w:r w:rsidR="007334D1">
                      <w:t>2005/06</w:t>
                    </w:r>
                    <w:r>
                      <w:fldChar w:fldCharType="end"/>
                    </w:r>
                    <w:r>
                      <w:t>:</w:t>
                    </w:r>
                    <w:r>
                      <w:fldChar w:fldCharType="begin"/>
                    </w:r>
                    <w:r>
                      <w:instrText xml:space="preserve"> DOCPROPERTY "Motionsnummer" *\charformat </w:instrText>
                    </w:r>
                    <w:r>
                      <w:fldChar w:fldCharType="separate"/>
                    </w:r>
                    <w:r w:rsidR="007334D1">
                      <w:t>Ju530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CA3" w:rsidRPr="00D3031E" w:rsidRDefault="00354CA3">
    <w:pPr>
      <w:pStyle w:val="FSHNormal"/>
      <w:tabs>
        <w:tab w:val="right" w:pos="5840"/>
      </w:tabs>
    </w:pPr>
    <w:r w:rsidRPr="00D3031E">
      <w:br/>
    </w:r>
    <w:r w:rsidRPr="00D3031E">
      <w:fldChar w:fldCharType="begin" w:fldLock="1"/>
    </w:r>
    <w:r w:rsidRPr="00D3031E">
      <w:instrText xml:space="preserve"> DOCPROPERTY</w:instrText>
    </w:r>
    <w:r w:rsidRPr="00D3031E">
      <w:rPr>
        <w:sz w:val="18"/>
      </w:rPr>
      <w:instrText xml:space="preserve"> "YearUser" *\charformat </w:instrText>
    </w:r>
    <w:r w:rsidRPr="00D3031E">
      <w:fldChar w:fldCharType="separate"/>
    </w:r>
    <w:r w:rsidR="007334D1" w:rsidRPr="00D3031E">
      <w:t>2005/06</w:t>
    </w:r>
    <w:r w:rsidRPr="00D3031E">
      <w:fldChar w:fldCharType="end"/>
    </w:r>
    <w:r w:rsidRPr="00D3031E">
      <w:t xml:space="preserve"> </w:t>
    </w:r>
    <w:r w:rsidRPr="00D3031E">
      <w:tab/>
      <w:t xml:space="preserve">mnr: </w:t>
    </w:r>
    <w:r w:rsidRPr="00D3031E">
      <w:fldChar w:fldCharType="begin" w:fldLock="1"/>
    </w:r>
    <w:r w:rsidRPr="00D3031E">
      <w:instrText xml:space="preserve"> DOCPROPERTY</w:instrText>
    </w:r>
    <w:r w:rsidRPr="00D3031E">
      <w:rPr>
        <w:sz w:val="18"/>
      </w:rPr>
      <w:instrText xml:space="preserve"> "Motionsnummer" *\charformat </w:instrText>
    </w:r>
    <w:r w:rsidRPr="00D3031E">
      <w:fldChar w:fldCharType="separate"/>
    </w:r>
    <w:r w:rsidR="007334D1" w:rsidRPr="00D3031E">
      <w:t>Ju530</w:t>
    </w:r>
    <w:r w:rsidRPr="00D3031E">
      <w:fldChar w:fldCharType="end"/>
    </w:r>
    <w:r w:rsidRPr="00D3031E">
      <w:br/>
    </w:r>
    <w:r w:rsidRPr="00D3031E">
      <w:fldChar w:fldCharType="begin" w:fldLock="1"/>
    </w:r>
    <w:r w:rsidRPr="00D3031E">
      <w:instrText xml:space="preserve"> DOCPROPERTY</w:instrText>
    </w:r>
    <w:r w:rsidRPr="00D3031E">
      <w:rPr>
        <w:sz w:val="18"/>
      </w:rPr>
      <w:instrText xml:space="preserve"> "Samling" *\charformat </w:instrText>
    </w:r>
    <w:r w:rsidRPr="00D3031E">
      <w:fldChar w:fldCharType="end"/>
    </w:r>
    <w:r w:rsidRPr="00D3031E">
      <w:tab/>
      <w:t xml:space="preserve">pnr: </w:t>
    </w:r>
    <w:r w:rsidRPr="00D3031E">
      <w:fldChar w:fldCharType="begin" w:fldLock="1"/>
    </w:r>
    <w:r w:rsidRPr="00D3031E">
      <w:instrText xml:space="preserve"> DOCPROPERTY</w:instrText>
    </w:r>
    <w:r w:rsidRPr="00D3031E">
      <w:rPr>
        <w:sz w:val="18"/>
      </w:rPr>
      <w:instrText xml:space="preserve"> "Partinummer" *\charformat </w:instrText>
    </w:r>
    <w:r w:rsidRPr="00D3031E">
      <w:fldChar w:fldCharType="separate"/>
    </w:r>
    <w:r w:rsidR="007334D1" w:rsidRPr="00D3031E">
      <w:t>m125</w:t>
    </w:r>
    <w:r w:rsidRPr="00D3031E">
      <w:fldChar w:fldCharType="end"/>
    </w:r>
  </w:p>
  <w:p w:rsidR="00354CA3" w:rsidRPr="00D3031E" w:rsidRDefault="00354CA3">
    <w:pPr>
      <w:pStyle w:val="FSHRub1"/>
    </w:pPr>
    <w:r w:rsidRPr="00D3031E">
      <w:t>Motion till riksdagen</w:t>
    </w:r>
    <w:r w:rsidRPr="00D3031E">
      <w:br/>
    </w:r>
    <w:r w:rsidRPr="00D3031E">
      <w:fldChar w:fldCharType="begin" w:fldLock="1"/>
    </w:r>
    <w:r w:rsidRPr="00D3031E">
      <w:instrText xml:space="preserve"> DOCPROPERTY "YearUser" *\charformat </w:instrText>
    </w:r>
    <w:r w:rsidRPr="00D3031E">
      <w:fldChar w:fldCharType="separate"/>
    </w:r>
    <w:r w:rsidR="007334D1" w:rsidRPr="00D3031E">
      <w:t>2005/06</w:t>
    </w:r>
    <w:r w:rsidRPr="00D3031E">
      <w:fldChar w:fldCharType="end"/>
    </w:r>
    <w:r w:rsidRPr="00D3031E">
      <w:t>:</w:t>
    </w:r>
    <w:r w:rsidRPr="00D3031E">
      <w:fldChar w:fldCharType="begin" w:fldLock="1"/>
    </w:r>
    <w:r w:rsidRPr="00D3031E">
      <w:instrText xml:space="preserve"> DOCPROPERTY "Motionsnummer" *\charformat </w:instrText>
    </w:r>
    <w:r w:rsidRPr="00D3031E">
      <w:fldChar w:fldCharType="separate"/>
    </w:r>
    <w:r w:rsidR="007334D1" w:rsidRPr="00D3031E">
      <w:t>Ju530</w:t>
    </w:r>
    <w:r w:rsidRPr="00D3031E">
      <w:fldChar w:fldCharType="end"/>
    </w:r>
  </w:p>
  <w:p w:rsidR="00354CA3" w:rsidRPr="00D3031E" w:rsidRDefault="00354CA3">
    <w:pPr>
      <w:pStyle w:val="FSHNormalS5"/>
    </w:pPr>
    <w:r w:rsidRPr="00D3031E">
      <w:fldChar w:fldCharType="begin" w:fldLock="1"/>
    </w:r>
    <w:r w:rsidRPr="00D3031E">
      <w:instrText xml:space="preserve"> DOCPROPERTY "MotionarText" *\charformat </w:instrText>
    </w:r>
    <w:r w:rsidRPr="00D3031E">
      <w:fldChar w:fldCharType="separate"/>
    </w:r>
    <w:r w:rsidR="007334D1" w:rsidRPr="00D3031E">
      <w:t>av Beatrice Ask m.fl. (m)</w:t>
    </w:r>
    <w:r w:rsidRPr="00D3031E">
      <w:fldChar w:fldCharType="end"/>
    </w:r>
    <w:r w:rsidRPr="00D3031E">
      <w:br/>
    </w:r>
    <w:r w:rsidRPr="00D3031E">
      <w:fldChar w:fldCharType="begin" w:fldLock="1"/>
    </w:r>
    <w:r w:rsidRPr="00D3031E">
      <w:instrText xml:space="preserve"> DOCPROPERTY "SvarFrasKort" *\charformat </w:instrText>
    </w:r>
    <w:r w:rsidRPr="00D3031E">
      <w:fldChar w:fldCharType="end"/>
    </w:r>
  </w:p>
  <w:p w:rsidR="00354CA3" w:rsidRPr="00D3031E" w:rsidRDefault="00354CA3">
    <w:pPr>
      <w:pStyle w:val="FSHTitel"/>
    </w:pPr>
    <w:r w:rsidRPr="00D3031E">
      <w:fldChar w:fldCharType="begin" w:fldLock="1"/>
    </w:r>
    <w:r w:rsidRPr="00D3031E">
      <w:instrText xml:space="preserve"> DOCPROPERTY</w:instrText>
    </w:r>
    <w:r w:rsidRPr="00D3031E">
      <w:rPr>
        <w:sz w:val="18"/>
      </w:rPr>
      <w:instrText xml:space="preserve"> "RubrikSvar" *\charformat </w:instrText>
    </w:r>
    <w:r w:rsidRPr="00D3031E">
      <w:fldChar w:fldCharType="separate"/>
    </w:r>
    <w:r w:rsidR="007334D1" w:rsidRPr="00D3031E">
      <w:t>Påföljder</w:t>
    </w:r>
    <w:r w:rsidRPr="00D3031E">
      <w:fldChar w:fldCharType="end"/>
    </w:r>
  </w:p>
  <w:p w:rsidR="00354CA3" w:rsidRPr="00D3031E" w:rsidRDefault="00354CA3" w:rsidP="00944AF5">
    <w:pPr>
      <w:pStyle w:val="Normal00"/>
      <w:rPr>
        <w:i/>
      </w:rPr>
    </w:pPr>
    <w:r w:rsidRPr="00D3031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D725E"/>
    <w:multiLevelType w:val="multilevel"/>
    <w:tmpl w:val="941A2C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5455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BE07DB"/>
    <w:multiLevelType w:val="hybridMultilevel"/>
    <w:tmpl w:val="D4F2E79A"/>
    <w:lvl w:ilvl="0" w:tplc="537E7F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4" w15:restartNumberingAfterBreak="0">
    <w:nsid w:val="0B3D510C"/>
    <w:multiLevelType w:val="multilevel"/>
    <w:tmpl w:val="3236C4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0D94079C"/>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19D633E"/>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58C5BEE"/>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9" w15:restartNumberingAfterBreak="0">
    <w:nsid w:val="22960F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65E19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BDD6AC1"/>
    <w:multiLevelType w:val="multilevel"/>
    <w:tmpl w:val="4590F2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36E65CD9"/>
    <w:multiLevelType w:val="hybridMultilevel"/>
    <w:tmpl w:val="89CCD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4F68DA"/>
    <w:multiLevelType w:val="multilevel"/>
    <w:tmpl w:val="9142FE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4BD5245"/>
    <w:multiLevelType w:val="multilevel"/>
    <w:tmpl w:val="9B14D6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6" w15:restartNumberingAfterBreak="0">
    <w:nsid w:val="47221525"/>
    <w:multiLevelType w:val="multilevel"/>
    <w:tmpl w:val="A9EA2B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8B809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A86200"/>
    <w:multiLevelType w:val="hybridMultilevel"/>
    <w:tmpl w:val="EF3218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6F8351F1"/>
    <w:multiLevelType w:val="singleLevel"/>
    <w:tmpl w:val="041D0001"/>
    <w:lvl w:ilvl="0">
      <w:start w:val="1"/>
      <w:numFmt w:val="bullet"/>
      <w:lvlText w:val=""/>
      <w:lvlJc w:val="left"/>
      <w:pPr>
        <w:tabs>
          <w:tab w:val="num" w:pos="720"/>
        </w:tabs>
        <w:ind w:left="720" w:hanging="360"/>
      </w:pPr>
      <w:rPr>
        <w:rFonts w:ascii="Symbol" w:hAnsi="Symbol" w:hint="default"/>
      </w:rPr>
    </w:lvl>
  </w:abstractNum>
  <w:num w:numId="1" w16cid:durableId="1012294506">
    <w:abstractNumId w:val="29"/>
  </w:num>
  <w:num w:numId="2" w16cid:durableId="854265080">
    <w:abstractNumId w:val="13"/>
  </w:num>
  <w:num w:numId="3" w16cid:durableId="687415635">
    <w:abstractNumId w:val="18"/>
  </w:num>
  <w:num w:numId="4" w16cid:durableId="479925345">
    <w:abstractNumId w:val="25"/>
  </w:num>
  <w:num w:numId="5" w16cid:durableId="2076930997">
    <w:abstractNumId w:val="8"/>
  </w:num>
  <w:num w:numId="6" w16cid:durableId="871915900">
    <w:abstractNumId w:val="3"/>
  </w:num>
  <w:num w:numId="7" w16cid:durableId="597444540">
    <w:abstractNumId w:val="2"/>
  </w:num>
  <w:num w:numId="8" w16cid:durableId="1291012972">
    <w:abstractNumId w:val="1"/>
  </w:num>
  <w:num w:numId="9" w16cid:durableId="935869583">
    <w:abstractNumId w:val="0"/>
  </w:num>
  <w:num w:numId="10" w16cid:durableId="1846050209">
    <w:abstractNumId w:val="9"/>
  </w:num>
  <w:num w:numId="11" w16cid:durableId="1394934788">
    <w:abstractNumId w:val="7"/>
  </w:num>
  <w:num w:numId="12" w16cid:durableId="878978798">
    <w:abstractNumId w:val="6"/>
  </w:num>
  <w:num w:numId="13" w16cid:durableId="697197664">
    <w:abstractNumId w:val="5"/>
  </w:num>
  <w:num w:numId="14" w16cid:durableId="130028501">
    <w:abstractNumId w:val="4"/>
  </w:num>
  <w:num w:numId="15" w16cid:durableId="298074925">
    <w:abstractNumId w:val="10"/>
  </w:num>
  <w:num w:numId="16" w16cid:durableId="1792163424">
    <w:abstractNumId w:val="20"/>
  </w:num>
  <w:num w:numId="17" w16cid:durableId="648707686">
    <w:abstractNumId w:val="16"/>
  </w:num>
  <w:num w:numId="18" w16cid:durableId="1893805295">
    <w:abstractNumId w:val="19"/>
  </w:num>
  <w:num w:numId="19" w16cid:durableId="3172730">
    <w:abstractNumId w:val="17"/>
  </w:num>
  <w:num w:numId="20" w16cid:durableId="921527483">
    <w:abstractNumId w:val="11"/>
  </w:num>
  <w:num w:numId="21" w16cid:durableId="925920715">
    <w:abstractNumId w:val="15"/>
  </w:num>
  <w:num w:numId="22" w16cid:durableId="1640840434">
    <w:abstractNumId w:val="30"/>
  </w:num>
  <w:num w:numId="23" w16cid:durableId="1507011309">
    <w:abstractNumId w:val="27"/>
  </w:num>
  <w:num w:numId="24" w16cid:durableId="240675614">
    <w:abstractNumId w:val="26"/>
  </w:num>
  <w:num w:numId="25" w16cid:durableId="536626292">
    <w:abstractNumId w:val="14"/>
  </w:num>
  <w:num w:numId="26" w16cid:durableId="1178231988">
    <w:abstractNumId w:val="23"/>
  </w:num>
  <w:num w:numId="27" w16cid:durableId="465316036">
    <w:abstractNumId w:val="28"/>
  </w:num>
  <w:num w:numId="28" w16cid:durableId="4334013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9342176">
    <w:abstractNumId w:val="22"/>
  </w:num>
  <w:num w:numId="30" w16cid:durableId="1857380752">
    <w:abstractNumId w:val="12"/>
  </w:num>
  <w:num w:numId="31" w16cid:durableId="355280547">
    <w:abstractNumId w:val="24"/>
  </w:num>
  <w:num w:numId="32" w16cid:durableId="55007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F869B7"/>
    <w:rsid w:val="000D6037"/>
    <w:rsid w:val="00335FDA"/>
    <w:rsid w:val="00354CA3"/>
    <w:rsid w:val="003843E1"/>
    <w:rsid w:val="003B1C72"/>
    <w:rsid w:val="003C6DFE"/>
    <w:rsid w:val="00472D92"/>
    <w:rsid w:val="0057397A"/>
    <w:rsid w:val="005A662E"/>
    <w:rsid w:val="005C79FF"/>
    <w:rsid w:val="005F12F9"/>
    <w:rsid w:val="0060763B"/>
    <w:rsid w:val="00655B8D"/>
    <w:rsid w:val="006F1577"/>
    <w:rsid w:val="007334D1"/>
    <w:rsid w:val="007A518C"/>
    <w:rsid w:val="00813B9F"/>
    <w:rsid w:val="008711A5"/>
    <w:rsid w:val="00944AF5"/>
    <w:rsid w:val="00953DD6"/>
    <w:rsid w:val="009606D7"/>
    <w:rsid w:val="00A20795"/>
    <w:rsid w:val="00A26433"/>
    <w:rsid w:val="00AA2590"/>
    <w:rsid w:val="00AD0AB5"/>
    <w:rsid w:val="00BB0527"/>
    <w:rsid w:val="00BE06A0"/>
    <w:rsid w:val="00CD1E6D"/>
    <w:rsid w:val="00D3031E"/>
    <w:rsid w:val="00E2516C"/>
    <w:rsid w:val="00E47219"/>
    <w:rsid w:val="00F869B7"/>
    <w:rsid w:val="00FD251C"/>
    <w:rsid w:val="00FD4E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B2B1FE-1309-4C30-A017-24568507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606D7"/>
    <w:pPr>
      <w:spacing w:before="125" w:line="250" w:lineRule="atLeast"/>
      <w:jc w:val="both"/>
    </w:pPr>
    <w:rPr>
      <w:sz w:val="19"/>
      <w:lang w:val="sv-SE" w:eastAsia="sv-SE"/>
    </w:rPr>
  </w:style>
  <w:style w:type="paragraph" w:styleId="Rubrik1">
    <w:name w:val="heading 1"/>
    <w:basedOn w:val="Normal"/>
    <w:next w:val="Normal"/>
    <w:qFormat/>
    <w:rsid w:val="00944AF5"/>
    <w:pPr>
      <w:keepNext/>
      <w:keepLines/>
      <w:numPr>
        <w:numId w:val="3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44AF5"/>
    <w:pPr>
      <w:numPr>
        <w:ilvl w:val="1"/>
      </w:numPr>
      <w:spacing w:before="500" w:line="250" w:lineRule="exact"/>
      <w:outlineLvl w:val="1"/>
    </w:pPr>
    <w:rPr>
      <w:sz w:val="27"/>
    </w:rPr>
  </w:style>
  <w:style w:type="paragraph" w:styleId="Rubrik3">
    <w:name w:val="heading 3"/>
    <w:aliases w:val="Mellanrubrik"/>
    <w:basedOn w:val="Rubrik2"/>
    <w:next w:val="Normal"/>
    <w:qFormat/>
    <w:rsid w:val="00944AF5"/>
    <w:pPr>
      <w:numPr>
        <w:ilvl w:val="2"/>
      </w:numPr>
      <w:spacing w:before="250" w:after="0"/>
      <w:outlineLvl w:val="2"/>
    </w:pPr>
    <w:rPr>
      <w:b/>
      <w:sz w:val="21"/>
    </w:rPr>
  </w:style>
  <w:style w:type="paragraph" w:styleId="Rubrik4">
    <w:name w:val="heading 4"/>
    <w:aliases w:val="KursivRubrik"/>
    <w:basedOn w:val="Rubrik3"/>
    <w:next w:val="Normal"/>
    <w:qFormat/>
    <w:rsid w:val="00944AF5"/>
    <w:pPr>
      <w:numPr>
        <w:ilvl w:val="3"/>
      </w:numPr>
      <w:outlineLvl w:val="3"/>
    </w:pPr>
    <w:rPr>
      <w:b w:val="0"/>
      <w:i/>
    </w:rPr>
  </w:style>
  <w:style w:type="paragraph" w:styleId="Rubrik5">
    <w:name w:val="heading 5"/>
    <w:aliases w:val="PackadFetRubrik,PackadKursivRubrik"/>
    <w:basedOn w:val="Rubrik4"/>
    <w:next w:val="Normal"/>
    <w:qFormat/>
    <w:rsid w:val="00944AF5"/>
    <w:pPr>
      <w:numPr>
        <w:ilvl w:val="4"/>
      </w:numPr>
      <w:tabs>
        <w:tab w:val="clear" w:pos="1021"/>
      </w:tabs>
      <w:spacing w:before="125"/>
      <w:outlineLvl w:val="4"/>
    </w:pPr>
    <w:rPr>
      <w:i w:val="0"/>
      <w:sz w:val="19"/>
    </w:rPr>
  </w:style>
  <w:style w:type="paragraph" w:styleId="Rubrik6">
    <w:name w:val="heading 6"/>
    <w:basedOn w:val="Rubrik5"/>
    <w:next w:val="Normal"/>
    <w:qFormat/>
    <w:rsid w:val="00944AF5"/>
    <w:pPr>
      <w:numPr>
        <w:ilvl w:val="5"/>
      </w:numPr>
      <w:spacing w:before="50" w:line="200" w:lineRule="exact"/>
      <w:outlineLvl w:val="5"/>
    </w:pPr>
    <w:rPr>
      <w:caps/>
      <w:sz w:val="14"/>
    </w:rPr>
  </w:style>
  <w:style w:type="paragraph" w:styleId="Rubrik7">
    <w:name w:val="heading 7"/>
    <w:basedOn w:val="Rubrik6"/>
    <w:next w:val="Normal"/>
    <w:qFormat/>
    <w:rsid w:val="00944AF5"/>
    <w:pPr>
      <w:numPr>
        <w:ilvl w:val="6"/>
      </w:numPr>
      <w:spacing w:before="0"/>
      <w:outlineLvl w:val="6"/>
    </w:pPr>
  </w:style>
  <w:style w:type="paragraph" w:styleId="Rubrik8">
    <w:name w:val="heading 8"/>
    <w:basedOn w:val="Rubrik7"/>
    <w:next w:val="Normal"/>
    <w:qFormat/>
    <w:rsid w:val="00944AF5"/>
    <w:pPr>
      <w:numPr>
        <w:ilvl w:val="7"/>
      </w:numPr>
      <w:outlineLvl w:val="7"/>
    </w:pPr>
  </w:style>
  <w:style w:type="paragraph" w:styleId="Rubrik9">
    <w:name w:val="heading 9"/>
    <w:basedOn w:val="Rubrik8"/>
    <w:next w:val="Normal"/>
    <w:qFormat/>
    <w:rsid w:val="00944AF5"/>
    <w:pPr>
      <w:numPr>
        <w:ilvl w:val="8"/>
      </w:numPr>
      <w:outlineLvl w:val="8"/>
    </w:pPr>
  </w:style>
  <w:style w:type="character" w:default="1" w:styleId="Standardstycketeckensnitt">
    <w:name w:val="Default Paragraph Font"/>
    <w:semiHidden/>
    <w:rsid w:val="009606D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606D7"/>
  </w:style>
  <w:style w:type="paragraph" w:styleId="Normaltindrag">
    <w:name w:val="Normal Indent"/>
    <w:aliases w:val="Normal_indrag,Normal Indrag"/>
    <w:basedOn w:val="Normal"/>
    <w:rsid w:val="009606D7"/>
    <w:pPr>
      <w:spacing w:before="0"/>
      <w:ind w:firstLine="227"/>
    </w:pPr>
  </w:style>
  <w:style w:type="paragraph" w:styleId="Citat">
    <w:name w:val="Quote"/>
    <w:basedOn w:val="Normal"/>
    <w:next w:val="Normal"/>
    <w:qFormat/>
    <w:rsid w:val="009606D7"/>
    <w:pPr>
      <w:spacing w:line="200" w:lineRule="exact"/>
      <w:ind w:left="340"/>
    </w:pPr>
  </w:style>
  <w:style w:type="paragraph" w:customStyle="1" w:styleId="Citatindrag">
    <w:name w:val="Citat_indrag"/>
    <w:aliases w:val="Packad"/>
    <w:basedOn w:val="Citat"/>
    <w:rsid w:val="009606D7"/>
    <w:pPr>
      <w:spacing w:before="0"/>
      <w:ind w:firstLine="227"/>
    </w:pPr>
  </w:style>
  <w:style w:type="paragraph" w:customStyle="1" w:styleId="FSHNormal">
    <w:name w:val="FSH_Normal"/>
    <w:semiHidden/>
    <w:rsid w:val="009606D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606D7"/>
    <w:pPr>
      <w:spacing w:line="240" w:lineRule="auto"/>
    </w:pPr>
  </w:style>
  <w:style w:type="paragraph" w:customStyle="1" w:styleId="FSHNormalS5">
    <w:name w:val="FSH_NormalS5"/>
    <w:basedOn w:val="FSHNormal"/>
    <w:next w:val="FSHNormal"/>
    <w:semiHidden/>
    <w:rsid w:val="009606D7"/>
    <w:pPr>
      <w:keepNext/>
      <w:keepLines/>
      <w:widowControl/>
      <w:spacing w:before="230" w:after="520" w:line="250" w:lineRule="exact"/>
    </w:pPr>
    <w:rPr>
      <w:b/>
      <w:sz w:val="27"/>
    </w:rPr>
  </w:style>
  <w:style w:type="paragraph" w:customStyle="1" w:styleId="FSHNormL">
    <w:name w:val="FSH_NormLÖ"/>
    <w:basedOn w:val="FSHNormal"/>
    <w:next w:val="FSHNormal"/>
    <w:semiHidden/>
    <w:rsid w:val="009606D7"/>
    <w:pPr>
      <w:pBdr>
        <w:top w:val="single" w:sz="12" w:space="1" w:color="auto"/>
      </w:pBdr>
    </w:pPr>
  </w:style>
  <w:style w:type="paragraph" w:customStyle="1" w:styleId="FSHRub1">
    <w:name w:val="FSH_Rub1"/>
    <w:aliases w:val="Rubrik1_S5,Huvudrubrik"/>
    <w:basedOn w:val="FSHNormal"/>
    <w:next w:val="FSHNormal"/>
    <w:semiHidden/>
    <w:rsid w:val="009606D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606D7"/>
    <w:pPr>
      <w:spacing w:before="240" w:after="80" w:line="360" w:lineRule="exact"/>
    </w:pPr>
    <w:rPr>
      <w:sz w:val="36"/>
    </w:rPr>
  </w:style>
  <w:style w:type="paragraph" w:customStyle="1" w:styleId="FSHTitel">
    <w:name w:val="FSH_Titel"/>
    <w:aliases w:val="Dokumentrubrik"/>
    <w:basedOn w:val="FSHRub1"/>
    <w:next w:val="FSHNormal"/>
    <w:semiHidden/>
    <w:rsid w:val="009606D7"/>
    <w:pPr>
      <w:pBdr>
        <w:bottom w:val="single" w:sz="4" w:space="3" w:color="auto"/>
      </w:pBdr>
      <w:spacing w:before="0" w:after="80" w:line="400" w:lineRule="exact"/>
    </w:pPr>
    <w:rPr>
      <w:sz w:val="40"/>
    </w:rPr>
  </w:style>
  <w:style w:type="paragraph" w:customStyle="1" w:styleId="Hemstlrubrik">
    <w:name w:val="Hemstl_rubrik"/>
    <w:basedOn w:val="Rubrik1"/>
    <w:next w:val="Normal"/>
    <w:rsid w:val="00A20795"/>
    <w:pPr>
      <w:spacing w:after="250"/>
    </w:pPr>
  </w:style>
  <w:style w:type="paragraph" w:customStyle="1" w:styleId="Hemstlatt">
    <w:name w:val="Hemstl_att"/>
    <w:aliases w:val="HemstPunkt,HemstPunktFlera,HemställansPunkt,Förslagstext"/>
    <w:basedOn w:val="Normal"/>
    <w:next w:val="Normal"/>
    <w:rsid w:val="00944AF5"/>
    <w:pPr>
      <w:keepLines/>
      <w:numPr>
        <w:numId w:val="30"/>
      </w:numPr>
      <w:spacing w:before="0"/>
    </w:pPr>
  </w:style>
  <w:style w:type="paragraph" w:customStyle="1" w:styleId="KantRubrikS5H">
    <w:name w:val="KantRubrikS5H"/>
    <w:semiHidden/>
    <w:rsid w:val="009606D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606D7"/>
    <w:pPr>
      <w:spacing w:line="200" w:lineRule="exact"/>
    </w:pPr>
  </w:style>
  <w:style w:type="paragraph" w:customStyle="1" w:styleId="KantRubrikS5V">
    <w:name w:val="KantRubrikS5V"/>
    <w:basedOn w:val="KantRubrikS5H"/>
    <w:semiHidden/>
    <w:rsid w:val="009606D7"/>
    <w:pPr>
      <w:tabs>
        <w:tab w:val="right" w:pos="1814"/>
        <w:tab w:val="left" w:pos="1899"/>
      </w:tabs>
      <w:ind w:right="0"/>
      <w:jc w:val="left"/>
    </w:pPr>
  </w:style>
  <w:style w:type="paragraph" w:customStyle="1" w:styleId="KantRubrikS5Vrad2">
    <w:name w:val="KantRubrikS5Vrad2"/>
    <w:basedOn w:val="KantRubrikS5V"/>
    <w:semiHidden/>
    <w:rsid w:val="009606D7"/>
    <w:pPr>
      <w:tabs>
        <w:tab w:val="clear" w:pos="1814"/>
        <w:tab w:val="clear" w:pos="1899"/>
        <w:tab w:val="right" w:pos="1418"/>
        <w:tab w:val="left" w:pos="1503"/>
      </w:tabs>
    </w:pPr>
  </w:style>
  <w:style w:type="paragraph" w:customStyle="1" w:styleId="Lagtext">
    <w:name w:val="Lagtext"/>
    <w:basedOn w:val="Lagtextrubrik"/>
    <w:next w:val="Lagtextindrag"/>
    <w:rsid w:val="009606D7"/>
    <w:pPr>
      <w:spacing w:before="0"/>
    </w:pPr>
    <w:rPr>
      <w:sz w:val="19"/>
    </w:rPr>
  </w:style>
  <w:style w:type="paragraph" w:customStyle="1" w:styleId="Lagtextindrag">
    <w:name w:val="Lagtext_indrag"/>
    <w:basedOn w:val="Lagtext"/>
    <w:rsid w:val="009606D7"/>
    <w:pPr>
      <w:ind w:firstLine="170"/>
    </w:pPr>
  </w:style>
  <w:style w:type="paragraph" w:customStyle="1" w:styleId="Lagtextrubrik">
    <w:name w:val="Lagtext_rubrik"/>
    <w:basedOn w:val="Normal"/>
    <w:next w:val="Normal"/>
    <w:rsid w:val="009606D7"/>
    <w:pPr>
      <w:suppressAutoHyphens/>
      <w:spacing w:line="220" w:lineRule="exact"/>
    </w:pPr>
    <w:rPr>
      <w:i/>
      <w:sz w:val="21"/>
    </w:rPr>
  </w:style>
  <w:style w:type="paragraph" w:customStyle="1" w:styleId="NormalA4fot">
    <w:name w:val="Normal_A4fot"/>
    <w:basedOn w:val="Normal"/>
    <w:semiHidden/>
    <w:rsid w:val="009606D7"/>
    <w:pPr>
      <w:spacing w:before="240" w:line="240" w:lineRule="auto"/>
      <w:jc w:val="center"/>
    </w:pPr>
  </w:style>
  <w:style w:type="paragraph" w:customStyle="1" w:styleId="NormalA4sidnr">
    <w:name w:val="Normal_A4sidnr"/>
    <w:basedOn w:val="Normal"/>
    <w:semiHidden/>
    <w:rsid w:val="009606D7"/>
    <w:pPr>
      <w:spacing w:after="240"/>
      <w:jc w:val="center"/>
    </w:pPr>
  </w:style>
  <w:style w:type="paragraph" w:customStyle="1" w:styleId="NormalS5sidnrH">
    <w:name w:val="Normal_S5sidnrH"/>
    <w:basedOn w:val="Normal"/>
    <w:semiHidden/>
    <w:rsid w:val="009606D7"/>
    <w:pPr>
      <w:spacing w:before="0" w:line="240" w:lineRule="auto"/>
      <w:ind w:right="57"/>
      <w:jc w:val="right"/>
    </w:pPr>
  </w:style>
  <w:style w:type="paragraph" w:customStyle="1" w:styleId="NormalS5sidnrV">
    <w:name w:val="Normal_S5sidnrV"/>
    <w:basedOn w:val="NormalS5sidnrH"/>
    <w:semiHidden/>
    <w:rsid w:val="009606D7"/>
    <w:pPr>
      <w:tabs>
        <w:tab w:val="right" w:pos="1814"/>
        <w:tab w:val="left" w:pos="1899"/>
      </w:tabs>
      <w:ind w:right="0"/>
      <w:jc w:val="left"/>
    </w:pPr>
  </w:style>
  <w:style w:type="paragraph" w:customStyle="1" w:styleId="Normal00">
    <w:name w:val="Normal00"/>
    <w:basedOn w:val="Normal"/>
    <w:semiHidden/>
    <w:rsid w:val="009606D7"/>
    <w:pPr>
      <w:spacing w:before="0" w:line="240" w:lineRule="auto"/>
      <w:jc w:val="left"/>
    </w:pPr>
  </w:style>
  <w:style w:type="paragraph" w:customStyle="1" w:styleId="PunktlistaBomb">
    <w:name w:val="Punktlista_Bomb"/>
    <w:aliases w:val="Bomb"/>
    <w:basedOn w:val="Normal"/>
    <w:rsid w:val="009606D7"/>
    <w:pPr>
      <w:numPr>
        <w:numId w:val="2"/>
      </w:numPr>
    </w:pPr>
  </w:style>
  <w:style w:type="paragraph" w:customStyle="1" w:styleId="PunktlistaNummer">
    <w:name w:val="Punktlista_Nummer"/>
    <w:aliases w:val="Nummerlista"/>
    <w:basedOn w:val="Normal"/>
    <w:rsid w:val="009606D7"/>
    <w:pPr>
      <w:numPr>
        <w:numId w:val="3"/>
      </w:numPr>
    </w:pPr>
  </w:style>
  <w:style w:type="paragraph" w:customStyle="1" w:styleId="PunktlistaTankstreck">
    <w:name w:val="Punktlista_Tankstreck"/>
    <w:aliases w:val="Tankstreck"/>
    <w:basedOn w:val="Normal"/>
    <w:rsid w:val="009606D7"/>
    <w:pPr>
      <w:numPr>
        <w:numId w:val="4"/>
      </w:numPr>
    </w:pPr>
  </w:style>
  <w:style w:type="paragraph" w:customStyle="1" w:styleId="RubrikSammanf">
    <w:name w:val="RubrikSammanf"/>
    <w:basedOn w:val="Rubrik1"/>
    <w:next w:val="Normal"/>
    <w:rsid w:val="009606D7"/>
  </w:style>
  <w:style w:type="paragraph" w:customStyle="1" w:styleId="RubrikInnehllsf">
    <w:name w:val="RubrikInnehållsf"/>
    <w:basedOn w:val="RubrikSammanf"/>
    <w:next w:val="Normal"/>
    <w:rsid w:val="009606D7"/>
  </w:style>
  <w:style w:type="paragraph" w:customStyle="1" w:styleId="Tabellochbildrubrik">
    <w:name w:val="Tabell och bildrubrik"/>
    <w:basedOn w:val="Normal"/>
    <w:next w:val="Normal"/>
    <w:rsid w:val="009606D7"/>
    <w:pPr>
      <w:suppressAutoHyphens/>
      <w:spacing w:before="300" w:line="200" w:lineRule="exact"/>
      <w:jc w:val="left"/>
    </w:pPr>
    <w:rPr>
      <w:caps/>
      <w:sz w:val="14"/>
    </w:rPr>
  </w:style>
  <w:style w:type="paragraph" w:customStyle="1" w:styleId="Underskrifter">
    <w:name w:val="Underskrifter"/>
    <w:basedOn w:val="Normal"/>
    <w:rsid w:val="009606D7"/>
    <w:pPr>
      <w:keepNext/>
      <w:keepLines/>
      <w:suppressAutoHyphens/>
      <w:spacing w:before="0" w:after="40" w:line="250" w:lineRule="exact"/>
    </w:pPr>
    <w:rPr>
      <w:i/>
    </w:rPr>
  </w:style>
  <w:style w:type="paragraph" w:customStyle="1" w:styleId="UnderskriftDatum">
    <w:name w:val="UnderskriftDatum"/>
    <w:basedOn w:val="Underskrifter"/>
    <w:next w:val="Underskrifter"/>
    <w:rsid w:val="009606D7"/>
    <w:pPr>
      <w:spacing w:before="250" w:after="125"/>
    </w:pPr>
    <w:rPr>
      <w:i w:val="0"/>
    </w:rPr>
  </w:style>
  <w:style w:type="paragraph" w:styleId="Sidhuvud">
    <w:name w:val="header"/>
    <w:basedOn w:val="Normal"/>
    <w:semiHidden/>
    <w:rsid w:val="009606D7"/>
    <w:pPr>
      <w:tabs>
        <w:tab w:val="center" w:pos="4536"/>
        <w:tab w:val="right" w:pos="9072"/>
      </w:tabs>
    </w:pPr>
  </w:style>
  <w:style w:type="paragraph" w:styleId="Sidfot">
    <w:name w:val="footer"/>
    <w:basedOn w:val="Normal"/>
    <w:semiHidden/>
    <w:rsid w:val="009606D7"/>
    <w:pPr>
      <w:tabs>
        <w:tab w:val="center" w:pos="4536"/>
        <w:tab w:val="right" w:pos="9072"/>
      </w:tabs>
    </w:pPr>
  </w:style>
  <w:style w:type="paragraph" w:styleId="Innehll1">
    <w:name w:val="toc 1"/>
    <w:basedOn w:val="Normal"/>
    <w:next w:val="Innehll2"/>
    <w:semiHidden/>
    <w:rsid w:val="009606D7"/>
    <w:pPr>
      <w:tabs>
        <w:tab w:val="right" w:leader="dot" w:pos="5953"/>
      </w:tabs>
      <w:suppressAutoHyphens/>
      <w:spacing w:before="0"/>
      <w:ind w:right="567"/>
      <w:jc w:val="left"/>
    </w:pPr>
  </w:style>
  <w:style w:type="paragraph" w:styleId="Innehll2">
    <w:name w:val="toc 2"/>
    <w:basedOn w:val="Innehll1"/>
    <w:next w:val="Innehll3"/>
    <w:semiHidden/>
    <w:rsid w:val="009606D7"/>
    <w:pPr>
      <w:ind w:left="284"/>
    </w:pPr>
  </w:style>
  <w:style w:type="paragraph" w:styleId="Innehll3">
    <w:name w:val="toc 3"/>
    <w:basedOn w:val="Innehll2"/>
    <w:next w:val="Innehll4"/>
    <w:semiHidden/>
    <w:rsid w:val="009606D7"/>
    <w:pPr>
      <w:ind w:left="567"/>
    </w:pPr>
  </w:style>
  <w:style w:type="paragraph" w:styleId="Innehll4">
    <w:name w:val="toc 4"/>
    <w:basedOn w:val="Innehll3"/>
    <w:next w:val="Normal"/>
    <w:semiHidden/>
    <w:rsid w:val="009606D7"/>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emiHidden/>
    <w:rsid w:val="009606D7"/>
  </w:style>
  <w:style w:type="character" w:styleId="AnvndHyperlnk">
    <w:name w:val="FollowedHyperlink"/>
    <w:basedOn w:val="Standardstycketeckensnitt"/>
    <w:rPr>
      <w:color w:val="800080"/>
      <w:u w:val="single"/>
    </w:rPr>
  </w:style>
  <w:style w:type="paragraph" w:styleId="E-postsignatur">
    <w:name w:val="E-mail Signature"/>
    <w:basedOn w:val="Normal"/>
  </w:style>
  <w:style w:type="paragraph" w:styleId="HTML-adress">
    <w:name w:val="HTML Address"/>
    <w:basedOn w:val="Normal"/>
    <w:rPr>
      <w:i/>
      <w:iCs/>
    </w:rPr>
  </w:style>
  <w:style w:type="character" w:styleId="HTML-akronym">
    <w:name w:val="HTML Acronym"/>
    <w:basedOn w:val="Standardstycketeckensnitt"/>
  </w:style>
  <w:style w:type="character" w:styleId="HTML-citat">
    <w:name w:val="HTML Cite"/>
    <w:basedOn w:val="Standardstycketeckensnitt"/>
    <w:rPr>
      <w:i/>
      <w:iCs/>
    </w:rPr>
  </w:style>
  <w:style w:type="character" w:styleId="HTML-definition">
    <w:name w:val="HTML Definition"/>
    <w:basedOn w:val="Standardstycketeckensnitt"/>
    <w:rPr>
      <w:i/>
      <w:iCs/>
    </w:rPr>
  </w:style>
  <w:style w:type="character" w:styleId="HTML-exempel">
    <w:name w:val="HTML Sample"/>
    <w:basedOn w:val="Standardstycketeckensnitt"/>
    <w:rPr>
      <w:rFonts w:ascii="Courier New" w:hAnsi="Courier New" w:cs="Courier New"/>
    </w:rPr>
  </w:style>
  <w:style w:type="paragraph" w:styleId="HTML-frformaterad">
    <w:name w:val="HTML Preformatted"/>
    <w:basedOn w:val="Normal"/>
    <w:rPr>
      <w:rFonts w:ascii="Courier New" w:hAnsi="Courier New" w:cs="Courier New"/>
      <w:sz w:val="20"/>
    </w:rPr>
  </w:style>
  <w:style w:type="character" w:styleId="HTML-kod">
    <w:name w:val="HTML Code"/>
    <w:basedOn w:val="Standardstycketeckensnitt"/>
    <w:rPr>
      <w:rFonts w:ascii="Courier New" w:hAnsi="Courier New" w:cs="Courier New"/>
      <w:sz w:val="20"/>
      <w:szCs w:val="20"/>
    </w:rPr>
  </w:style>
  <w:style w:type="character" w:styleId="HTML-skrivmaskin">
    <w:name w:val="HTML Typewriter"/>
    <w:basedOn w:val="Standardstycketeckensnitt"/>
    <w:rPr>
      <w:rFonts w:ascii="Courier New" w:hAnsi="Courier New" w:cs="Courier New"/>
      <w:sz w:val="20"/>
      <w:szCs w:val="20"/>
    </w:rPr>
  </w:style>
  <w:style w:type="character" w:styleId="HTML-tangentbord">
    <w:name w:val="HTML Keyboard"/>
    <w:basedOn w:val="Standardstycketeckensnitt"/>
    <w:rPr>
      <w:rFonts w:ascii="Courier New" w:hAnsi="Courier New" w:cs="Courier New"/>
      <w:sz w:val="20"/>
      <w:szCs w:val="20"/>
    </w:rPr>
  </w:style>
  <w:style w:type="character" w:styleId="HTML-variabel">
    <w:name w:val="HTML Variable"/>
    <w:basedOn w:val="Standardstycketeckensnitt"/>
    <w:rPr>
      <w:i/>
      <w:iCs/>
    </w:rPr>
  </w:style>
  <w:style w:type="character" w:styleId="Hyperlnk">
    <w:name w:val="Hyperlink"/>
    <w:basedOn w:val="Standardstycketeckensnitt"/>
    <w:semiHidden/>
    <w:rsid w:val="009606D7"/>
    <w:rPr>
      <w:color w:val="0000FF"/>
      <w:u w:val="single"/>
    </w:rPr>
  </w:style>
  <w:style w:type="paragraph" w:styleId="Indragetstycke">
    <w:name w:val="Block Text"/>
    <w:basedOn w:val="Normal"/>
    <w:semiHidden/>
    <w:rsid w:val="009606D7"/>
    <w:pPr>
      <w:spacing w:after="120"/>
      <w:ind w:left="1440" w:right="1440"/>
    </w:pPr>
  </w:style>
  <w:style w:type="paragraph" w:styleId="Inledning">
    <w:name w:val="Salutation"/>
    <w:basedOn w:val="Normal"/>
    <w:next w:val="Normal"/>
  </w:style>
  <w:style w:type="paragraph" w:styleId="Innehll5">
    <w:name w:val="toc 5"/>
    <w:basedOn w:val="Innehll4"/>
    <w:next w:val="Normal"/>
    <w:semiHidden/>
    <w:rsid w:val="009606D7"/>
  </w:style>
  <w:style w:type="paragraph" w:styleId="Lista">
    <w:name w:val="List"/>
    <w:basedOn w:val="Normal"/>
    <w:semiHidden/>
    <w:rsid w:val="009606D7"/>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sid w:val="009606D7"/>
    <w:rPr>
      <w:szCs w:val="24"/>
    </w:rPr>
  </w:style>
  <w:style w:type="paragraph" w:styleId="Numreradlista">
    <w:name w:val="List Number"/>
    <w:basedOn w:val="Normal"/>
    <w:semiHidden/>
    <w:rsid w:val="009606D7"/>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semiHidden/>
    <w:rsid w:val="009606D7"/>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emiHidden/>
    <w:rsid w:val="009606D7"/>
  </w:style>
  <w:style w:type="character" w:styleId="Sidnummer">
    <w:name w:val="page number"/>
    <w:basedOn w:val="Standardstycketeckensnitt"/>
    <w:semiHidden/>
    <w:rsid w:val="009606D7"/>
  </w:style>
  <w:style w:type="paragraph" w:styleId="Signatur">
    <w:name w:val="Signature"/>
    <w:basedOn w:val="Normal"/>
    <w:semiHidden/>
    <w:rsid w:val="009606D7"/>
    <w:pPr>
      <w:ind w:left="4252"/>
    </w:pPr>
  </w:style>
  <w:style w:type="character" w:styleId="Stark">
    <w:name w:val="Strong"/>
    <w:basedOn w:val="Standardstycketeckensnitt"/>
    <w:qFormat/>
    <w:rPr>
      <w:b/>
      <w:bCs/>
    </w:rPr>
  </w:style>
  <w:style w:type="paragraph" w:styleId="Underrubrik">
    <w:name w:val="Subtitle"/>
    <w:basedOn w:val="Normal"/>
    <w:qFormat/>
    <w:rsid w:val="009606D7"/>
    <w:pPr>
      <w:spacing w:after="60"/>
      <w:jc w:val="center"/>
      <w:outlineLvl w:val="1"/>
    </w:pPr>
    <w:rPr>
      <w:rFonts w:ascii="Arial" w:hAnsi="Arial" w:cs="Arial"/>
      <w:szCs w:val="24"/>
    </w:rPr>
  </w:style>
  <w:style w:type="paragraph" w:customStyle="1" w:styleId="Normalfrsta">
    <w:name w:val="Normal första"/>
    <w:basedOn w:val="Normal"/>
    <w:next w:val="Normal"/>
    <w:pPr>
      <w:spacing w:before="120" w:line="240" w:lineRule="auto"/>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pBdr>
        <w:top w:val="single" w:sz="4" w:space="1" w:color="auto"/>
      </w:pBdr>
      <w:spacing w:before="240" w:line="240" w:lineRule="auto"/>
    </w:pPr>
    <w:rPr>
      <w:rFonts w:ascii="Stempel Garamond Roman" w:hAnsi="Stempel Garamond Roman"/>
      <w:sz w:val="20"/>
    </w:rPr>
  </w:style>
  <w:style w:type="paragraph" w:styleId="Ballongtext">
    <w:name w:val="Balloon Text"/>
    <w:basedOn w:val="Normal"/>
    <w:semiHidden/>
    <w:rsid w:val="00FD4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4189</Words>
  <Characters>24177</Characters>
  <Application>Microsoft Office Word</Application>
  <DocSecurity>4</DocSecurity>
  <Lines>537</Lines>
  <Paragraphs>223</Paragraphs>
  <ScaleCrop>false</ScaleCrop>
  <HeadingPairs>
    <vt:vector size="2" baseType="variant">
      <vt:variant>
        <vt:lpstr>Rubrik</vt:lpstr>
      </vt:variant>
      <vt:variant>
        <vt:i4>1</vt:i4>
      </vt:variant>
    </vt:vector>
  </HeadingPairs>
  <TitlesOfParts>
    <vt:vector size="1" baseType="lpstr">
      <vt:lpstr>Ju530</vt:lpstr>
    </vt:vector>
  </TitlesOfParts>
  <Company>Riksdagen</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Ju530</dc:title>
  <dc:subject>Ju530</dc:subject>
  <dc:creator>Riksdagen</dc:creator>
  <cp:keywords>Riksdagen</cp:keywords>
  <dc:description/>
  <cp:lastModifiedBy>Lars Brink</cp:lastModifiedBy>
  <cp:revision>2</cp:revision>
  <cp:lastPrinted>2006-01-19T07:44:00Z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Påföljder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Påföljder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Ju530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20052006000000000109000001250075</vt:lpwstr>
  </property>
  <property fmtid="{D5CDD505-2E9C-101B-9397-08002B2CF9AE}" pid="47" name="datum">
    <vt:lpwstr>051004</vt:lpwstr>
  </property>
  <property fmtid="{D5CDD505-2E9C-101B-9397-08002B2CF9AE}" pid="48" name="avsändar-e-post">
    <vt:lpwstr>birgitta.svensen.gronkvist@riksdagen.se</vt:lpwstr>
  </property>
  <property fmtid="{D5CDD505-2E9C-101B-9397-08002B2CF9AE}" pid="49" name="id">
    <vt:lpwstr>20052006000000000109000001250075</vt:lpwstr>
  </property>
  <property fmtid="{D5CDD505-2E9C-101B-9397-08002B2CF9AE}" pid="50" name="nummer">
    <vt:lpwstr>530</vt:lpwstr>
  </property>
  <property fmtid="{D5CDD505-2E9C-101B-9397-08002B2CF9AE}" pid="51" name="utskottsbeteckning">
    <vt:lpwstr>Ju</vt:lpwstr>
  </property>
</Properties>
</file>