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C8DE07" w14:textId="77777777">
        <w:tc>
          <w:tcPr>
            <w:tcW w:w="2268" w:type="dxa"/>
          </w:tcPr>
          <w:p w14:paraId="3BB01F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A930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0C2025" w14:textId="77777777">
        <w:tc>
          <w:tcPr>
            <w:tcW w:w="2268" w:type="dxa"/>
          </w:tcPr>
          <w:p w14:paraId="13FAB2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9C9B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945F71" w14:textId="77777777">
        <w:tc>
          <w:tcPr>
            <w:tcW w:w="3402" w:type="dxa"/>
            <w:gridSpan w:val="2"/>
          </w:tcPr>
          <w:p w14:paraId="3E3A1A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1408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2A43A6" w14:textId="77777777">
        <w:tc>
          <w:tcPr>
            <w:tcW w:w="2268" w:type="dxa"/>
          </w:tcPr>
          <w:p w14:paraId="2C1E59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4C24BE" w14:textId="77777777" w:rsidR="006E4E11" w:rsidRPr="00ED583F" w:rsidRDefault="000644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N2017/04672/FJR</w:t>
            </w:r>
          </w:p>
        </w:tc>
      </w:tr>
      <w:tr w:rsidR="006E4E11" w14:paraId="3469A69E" w14:textId="77777777">
        <w:tc>
          <w:tcPr>
            <w:tcW w:w="2268" w:type="dxa"/>
          </w:tcPr>
          <w:p w14:paraId="5F71FA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AD10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047" w:type="dxa"/>
        <w:tblLayout w:type="fixed"/>
        <w:tblLook w:val="0000" w:firstRow="0" w:lastRow="0" w:firstColumn="0" w:lastColumn="0" w:noHBand="0" w:noVBand="0"/>
      </w:tblPr>
      <w:tblGrid>
        <w:gridCol w:w="5047"/>
      </w:tblGrid>
      <w:tr w:rsidR="006E4E11" w14:paraId="629EA593" w14:textId="77777777" w:rsidTr="006E5C10">
        <w:trPr>
          <w:trHeight w:val="246"/>
        </w:trPr>
        <w:tc>
          <w:tcPr>
            <w:tcW w:w="5047" w:type="dxa"/>
          </w:tcPr>
          <w:p w14:paraId="5429CCB2" w14:textId="77777777" w:rsidR="006E4E11" w:rsidRDefault="000644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EE156AD" w14:textId="77777777" w:rsidTr="006E5C10">
        <w:trPr>
          <w:trHeight w:val="246"/>
        </w:trPr>
        <w:tc>
          <w:tcPr>
            <w:tcW w:w="5047" w:type="dxa"/>
          </w:tcPr>
          <w:p w14:paraId="7B42DB3B" w14:textId="77777777" w:rsidR="006E4E11" w:rsidRDefault="000644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2F9B5F25" w14:textId="77777777" w:rsidTr="006E5C10">
        <w:trPr>
          <w:trHeight w:val="246"/>
        </w:trPr>
        <w:tc>
          <w:tcPr>
            <w:tcW w:w="5047" w:type="dxa"/>
          </w:tcPr>
          <w:p w14:paraId="35C708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B17D2E" w14:textId="77777777" w:rsidTr="006E5C10">
        <w:trPr>
          <w:trHeight w:val="246"/>
        </w:trPr>
        <w:tc>
          <w:tcPr>
            <w:tcW w:w="5047" w:type="dxa"/>
          </w:tcPr>
          <w:p w14:paraId="769DD997" w14:textId="784D7F87" w:rsidR="006E4E11" w:rsidRDefault="006E4E11" w:rsidP="005F5F7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A59D43" w14:textId="77777777" w:rsidTr="006E5C10">
        <w:trPr>
          <w:trHeight w:val="246"/>
        </w:trPr>
        <w:tc>
          <w:tcPr>
            <w:tcW w:w="5047" w:type="dxa"/>
          </w:tcPr>
          <w:p w14:paraId="541C02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C5A5FF" w14:textId="77777777" w:rsidTr="006E5C10">
        <w:trPr>
          <w:trHeight w:val="246"/>
        </w:trPr>
        <w:tc>
          <w:tcPr>
            <w:tcW w:w="5047" w:type="dxa"/>
          </w:tcPr>
          <w:p w14:paraId="598F05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20E63" w14:textId="77777777" w:rsidTr="006E5C10">
        <w:trPr>
          <w:trHeight w:val="246"/>
        </w:trPr>
        <w:tc>
          <w:tcPr>
            <w:tcW w:w="5047" w:type="dxa"/>
          </w:tcPr>
          <w:p w14:paraId="5F7E19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F2F2A7" w14:textId="77777777" w:rsidTr="006E5C10">
        <w:trPr>
          <w:trHeight w:val="246"/>
        </w:trPr>
        <w:tc>
          <w:tcPr>
            <w:tcW w:w="5047" w:type="dxa"/>
          </w:tcPr>
          <w:p w14:paraId="153EA9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2FB93" w14:textId="77777777" w:rsidTr="006E5C10">
        <w:trPr>
          <w:trHeight w:val="246"/>
        </w:trPr>
        <w:tc>
          <w:tcPr>
            <w:tcW w:w="5047" w:type="dxa"/>
          </w:tcPr>
          <w:p w14:paraId="4653C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29FDA9" w14:textId="77777777" w:rsidR="006E4E11" w:rsidRDefault="00064454">
      <w:pPr>
        <w:framePr w:w="4400" w:h="2523" w:wrap="notBeside" w:vAnchor="page" w:hAnchor="page" w:x="6453" w:y="2445"/>
        <w:ind w:left="142"/>
      </w:pPr>
      <w:r>
        <w:t>Till riksdagen</w:t>
      </w:r>
    </w:p>
    <w:p w14:paraId="69F50C44" w14:textId="77777777" w:rsidR="006E4E11" w:rsidRDefault="00064454" w:rsidP="00064454">
      <w:pPr>
        <w:pStyle w:val="RKrubrik"/>
        <w:pBdr>
          <w:bottom w:val="single" w:sz="4" w:space="1" w:color="auto"/>
        </w:pBdr>
        <w:spacing w:before="0" w:after="0"/>
      </w:pPr>
      <w:r>
        <w:t>Svar på fråga 2016/17:1722 av Isabella Hökmark (M) Bottentrålning i Östersjön</w:t>
      </w:r>
    </w:p>
    <w:p w14:paraId="70DC4A86" w14:textId="77777777" w:rsidR="006E4E11" w:rsidRDefault="00064454" w:rsidP="005F5F71">
      <w:r>
        <w:t>Isabella Hökmark har frågat mig vilka åtgärder jag avser vidta med anledning av de konsekvenser som bottentrålning innebär för Östersjötorskens existens och vanliga fiskares möjligheter till försörjning.</w:t>
      </w:r>
    </w:p>
    <w:p w14:paraId="4E23DFCE" w14:textId="77777777" w:rsidR="00064454" w:rsidRDefault="00064454" w:rsidP="005F5F71"/>
    <w:p w14:paraId="3120D499" w14:textId="49E93506" w:rsidR="003B150B" w:rsidRDefault="003B150B" w:rsidP="005F5F71">
      <w:r>
        <w:t>Det är Europaparlamentets</w:t>
      </w:r>
      <w:r w:rsidR="00A32DD8">
        <w:t xml:space="preserve"> och rådets</w:t>
      </w:r>
      <w:r>
        <w:t xml:space="preserve"> förordning (EU) nr 2016/1139 av den 6 juli 2016 om upprättande av en flerårig plan för bestånden av torsk, sill/strömming och skarpsill i Östersjön </w:t>
      </w:r>
      <w:r w:rsidR="00CC1096">
        <w:t>och det fiske som nyttjar dessa bestånd</w:t>
      </w:r>
      <w:r w:rsidR="00A32DD8">
        <w:t xml:space="preserve"> </w:t>
      </w:r>
      <w:r>
        <w:t xml:space="preserve">som anger ramarna för förvaltningen av </w:t>
      </w:r>
      <w:r w:rsidR="00E92104">
        <w:t xml:space="preserve">de två </w:t>
      </w:r>
      <w:r>
        <w:t>torsk</w:t>
      </w:r>
      <w:r w:rsidR="00E92104">
        <w:t>bestånden</w:t>
      </w:r>
      <w:r>
        <w:t xml:space="preserve"> i Östersjön. Den fleråriga planen syftar till att uppnå de mål som anges i den gemensamma fiskeripolitiken, särskilt genom att tillämpa försiktighetsansatsen i fiskeriförvaltningen, och bidra till att nyttjandet av de arter som omfattas av planen sker på ett sådant sätt att populationerna återställs till och bevaras över nivåer som säkerställer maximalt hållbart nyttjande</w:t>
      </w:r>
      <w:r w:rsidR="009B0415">
        <w:t xml:space="preserve"> (MSY</w:t>
      </w:r>
      <w:r>
        <w:t xml:space="preserve">). </w:t>
      </w:r>
      <w:r w:rsidR="00792763">
        <w:t xml:space="preserve">Planen ska även bidra till att underlätta genomförandet av landningsskyldigheten genom att </w:t>
      </w:r>
      <w:r w:rsidR="008068DF">
        <w:t xml:space="preserve">i möjligaste mån </w:t>
      </w:r>
      <w:r w:rsidR="00792763">
        <w:t>undvika och reducera oönskade fångster.</w:t>
      </w:r>
      <w:r w:rsidR="00BB48CD" w:rsidRPr="00BB48CD">
        <w:t xml:space="preserve"> Vidare är det rådets förordning (EG) nr 2187/2005 av den 21 december 2005 om bevarande av fiskeresurser genom tekniska åtgärder i Östersjön, Bälten och Öresund som definierar vilka redskap som får nyttjas vid torskfiske</w:t>
      </w:r>
      <w:r w:rsidR="00BB48CD">
        <w:t xml:space="preserve"> i Östersjön</w:t>
      </w:r>
      <w:r w:rsidR="00BB48CD" w:rsidRPr="00BB48CD">
        <w:t xml:space="preserve">.  </w:t>
      </w:r>
    </w:p>
    <w:p w14:paraId="520FC5A3" w14:textId="77777777" w:rsidR="0034564C" w:rsidRDefault="0034564C" w:rsidP="005F5F71"/>
    <w:p w14:paraId="61AD869B" w14:textId="7E468FFE" w:rsidR="001126C7" w:rsidRPr="000419E4" w:rsidRDefault="00844BBD" w:rsidP="005F5F71">
      <w:r>
        <w:t xml:space="preserve">De senaste åren har mycket arbete genomförts i Sverige med att </w:t>
      </w:r>
      <w:r w:rsidR="006E5C10">
        <w:t>utveckla alternativa fiskemetoder</w:t>
      </w:r>
      <w:r w:rsidR="006E5C10">
        <w:t xml:space="preserve"> och att </w:t>
      </w:r>
      <w:r>
        <w:t xml:space="preserve">anpassa redskapen </w:t>
      </w:r>
      <w:r w:rsidR="006E5C10">
        <w:t>till att bli mer</w:t>
      </w:r>
      <w:r>
        <w:t xml:space="preserve"> selektiv</w:t>
      </w:r>
      <w:r w:rsidR="006E5C10">
        <w:t>a</w:t>
      </w:r>
      <w:r>
        <w:t>. Det är viktigt att detta arbete fortgår, och det har brett stöd inom fiskerinäringen.</w:t>
      </w:r>
      <w:r w:rsidR="00D7590C">
        <w:t xml:space="preserve"> </w:t>
      </w:r>
      <w:r w:rsidR="00CC1096">
        <w:t>S</w:t>
      </w:r>
      <w:r w:rsidR="00792763" w:rsidRPr="00BB48CD">
        <w:t xml:space="preserve">venska fiskare </w:t>
      </w:r>
      <w:r w:rsidR="00CC1096" w:rsidRPr="00BB48CD">
        <w:t xml:space="preserve">utvecklade 2015 </w:t>
      </w:r>
      <w:r w:rsidR="00D7590C">
        <w:t xml:space="preserve">bl.a. </w:t>
      </w:r>
      <w:r w:rsidR="00BB48CD" w:rsidRPr="00BB48CD">
        <w:t xml:space="preserve">en alternativ </w:t>
      </w:r>
      <w:r w:rsidR="008068DF">
        <w:t>utformning av en av de i dag tillåtna trålarna</w:t>
      </w:r>
      <w:r w:rsidR="00BB48CD" w:rsidRPr="00BB48CD">
        <w:t xml:space="preserve"> för torskfiske</w:t>
      </w:r>
      <w:r w:rsidR="008068DF">
        <w:t xml:space="preserve"> i Östersjön</w:t>
      </w:r>
      <w:r w:rsidR="00BB48CD" w:rsidRPr="00BB48CD">
        <w:t xml:space="preserve">. </w:t>
      </w:r>
      <w:r w:rsidR="008068DF">
        <w:t>Det alternativa redskapet</w:t>
      </w:r>
      <w:r w:rsidR="00BB48CD" w:rsidRPr="00BB48CD">
        <w:t xml:space="preserve"> utvärderades av </w:t>
      </w:r>
      <w:r>
        <w:t xml:space="preserve">Sveriges Lantbruksuniversitet </w:t>
      </w:r>
      <w:bookmarkStart w:id="0" w:name="_GoBack"/>
      <w:bookmarkEnd w:id="0"/>
      <w:r>
        <w:t>(</w:t>
      </w:r>
      <w:r w:rsidR="00BB48CD" w:rsidRPr="00BB48CD">
        <w:t>SLU</w:t>
      </w:r>
      <w:r>
        <w:t>)</w:t>
      </w:r>
      <w:r w:rsidR="00BB48CD" w:rsidRPr="00BB48CD">
        <w:t xml:space="preserve"> som presenterade sin rapport våren 2017. Rapporten </w:t>
      </w:r>
      <w:r w:rsidR="00CC1096">
        <w:t>slog fast</w:t>
      </w:r>
      <w:r w:rsidR="00CC1096" w:rsidRPr="00BB48CD">
        <w:t xml:space="preserve"> </w:t>
      </w:r>
      <w:r w:rsidR="00BB48CD" w:rsidRPr="00BB48CD">
        <w:t xml:space="preserve">att redskapsförsök visade på en bättre storleksselektivitet än de trålar som idag är tillåtna enligt förordning (EG) nr 2187/2005. På grundval av de </w:t>
      </w:r>
      <w:r w:rsidR="00BB48CD" w:rsidRPr="00BB48CD">
        <w:lastRenderedPageBreak/>
        <w:t>svenska redskapsförsöken och SLU</w:t>
      </w:r>
      <w:r w:rsidR="00A32DD8">
        <w:t>:</w:t>
      </w:r>
      <w:r w:rsidR="00BB48CD" w:rsidRPr="00BB48CD">
        <w:t>s rapport, och i</w:t>
      </w:r>
      <w:r w:rsidR="001126C7" w:rsidRPr="00BB48CD">
        <w:t xml:space="preserve"> enlighet med det regionaliserade förfarandet som beskrivs i den gemensamma fiskeripolitiken</w:t>
      </w:r>
      <w:r w:rsidR="00BB48CD" w:rsidRPr="00BB48CD">
        <w:t>,</w:t>
      </w:r>
      <w:r w:rsidR="001126C7" w:rsidRPr="00BB48CD">
        <w:t xml:space="preserve"> </w:t>
      </w:r>
      <w:r w:rsidR="00D7590C">
        <w:t>har</w:t>
      </w:r>
      <w:r w:rsidR="001126C7" w:rsidRPr="00BB48CD">
        <w:t xml:space="preserve"> det regionala forumet för Östersjön</w:t>
      </w:r>
      <w:r w:rsidR="00BB48CD" w:rsidRPr="00BB48CD">
        <w:t>, Baltfish</w:t>
      </w:r>
      <w:r w:rsidR="00D7590C">
        <w:t xml:space="preserve">, </w:t>
      </w:r>
      <w:r w:rsidR="00CC1096">
        <w:t>rekommenderat</w:t>
      </w:r>
      <w:r w:rsidR="001126C7" w:rsidRPr="00BB48CD">
        <w:t xml:space="preserve"> kommissionen </w:t>
      </w:r>
      <w:r w:rsidR="00A32DD8">
        <w:t xml:space="preserve">att i </w:t>
      </w:r>
      <w:r w:rsidR="001126C7" w:rsidRPr="00BB48CD">
        <w:t xml:space="preserve">en delegerad akt </w:t>
      </w:r>
      <w:r w:rsidR="00BB48CD" w:rsidRPr="00BB48CD">
        <w:t xml:space="preserve">tillåta </w:t>
      </w:r>
      <w:r w:rsidR="00D2574D">
        <w:t>att</w:t>
      </w:r>
      <w:r w:rsidR="008068DF">
        <w:t xml:space="preserve"> </w:t>
      </w:r>
      <w:r w:rsidR="00BB48CD" w:rsidRPr="00BB48CD">
        <w:t>de</w:t>
      </w:r>
      <w:r w:rsidR="008068DF">
        <w:t>n</w:t>
      </w:r>
      <w:r w:rsidR="00BB48CD" w:rsidRPr="00BB48CD">
        <w:t xml:space="preserve"> alternativa trål</w:t>
      </w:r>
      <w:r w:rsidR="008068DF">
        <w:t>utformningen</w:t>
      </w:r>
      <w:r w:rsidR="00D2574D">
        <w:t xml:space="preserve"> används</w:t>
      </w:r>
      <w:r w:rsidR="00BB48CD" w:rsidRPr="00BB48CD">
        <w:t>.</w:t>
      </w:r>
      <w:r w:rsidR="001126C7" w:rsidRPr="00BB48CD">
        <w:t xml:space="preserve"> </w:t>
      </w:r>
      <w:r>
        <w:t>K</w:t>
      </w:r>
      <w:r w:rsidR="001126C7" w:rsidRPr="00BB48CD">
        <w:t xml:space="preserve">ommissionen </w:t>
      </w:r>
      <w:r w:rsidR="008068DF">
        <w:t xml:space="preserve">förväntas </w:t>
      </w:r>
      <w:r w:rsidR="00D2574D">
        <w:t>presentera</w:t>
      </w:r>
      <w:r w:rsidR="001126C7" w:rsidRPr="00BB48CD">
        <w:t xml:space="preserve"> en delegerad akt</w:t>
      </w:r>
      <w:r w:rsidR="008068DF">
        <w:t xml:space="preserve"> hösten 2017</w:t>
      </w:r>
      <w:r w:rsidR="001126C7" w:rsidRPr="00BB48CD">
        <w:t>.</w:t>
      </w:r>
      <w:r w:rsidR="001126C7">
        <w:t xml:space="preserve"> </w:t>
      </w:r>
    </w:p>
    <w:p w14:paraId="1E906115" w14:textId="77777777" w:rsidR="001126C7" w:rsidRDefault="001126C7" w:rsidP="005F5F71"/>
    <w:p w14:paraId="0376EE59" w14:textId="3C1BB5F7" w:rsidR="003B150B" w:rsidRDefault="00CC1096" w:rsidP="005F5F71">
      <w:r>
        <w:t>Internationella havsforskningsrådet (</w:t>
      </w:r>
      <w:r w:rsidR="003B150B" w:rsidRPr="003B150B">
        <w:t>ICES</w:t>
      </w:r>
      <w:r>
        <w:t>)</w:t>
      </w:r>
      <w:r w:rsidR="003B150B" w:rsidRPr="003B150B">
        <w:t xml:space="preserve"> presenterade sin rådgivning avseende beståndssituationen för torsk i Östersjön för 2018 </w:t>
      </w:r>
      <w:r w:rsidR="003B150B">
        <w:t>den 31 maj 2017</w:t>
      </w:r>
      <w:r w:rsidR="003B150B" w:rsidRPr="003B150B">
        <w:t xml:space="preserve">. </w:t>
      </w:r>
      <w:r w:rsidR="003B150B" w:rsidRPr="00EC542E">
        <w:t xml:space="preserve">Enligt ICES </w:t>
      </w:r>
      <w:r w:rsidR="003B150B">
        <w:t xml:space="preserve">rådgivning för 2018 </w:t>
      </w:r>
      <w:r w:rsidR="003B150B" w:rsidRPr="00EC542E">
        <w:t>ligger det västra torskbeståndet</w:t>
      </w:r>
      <w:r w:rsidR="00E92104">
        <w:t xml:space="preserve"> </w:t>
      </w:r>
      <w:r w:rsidR="003B150B" w:rsidRPr="00EC542E">
        <w:t xml:space="preserve">under MSY-nivån. När det gäller det östra torskbeståndet kan ICES, </w:t>
      </w:r>
      <w:r w:rsidR="006E5C10">
        <w:t>på grund av</w:t>
      </w:r>
      <w:r w:rsidR="003B150B" w:rsidRPr="00EC542E">
        <w:t xml:space="preserve"> bristfällig biologisk information, inte genomföra en fullständig beståndsanalys och </w:t>
      </w:r>
      <w:r w:rsidR="009B0415">
        <w:t xml:space="preserve">har därför </w:t>
      </w:r>
      <w:r w:rsidR="003B150B" w:rsidRPr="00EC542E">
        <w:t xml:space="preserve">inte </w:t>
      </w:r>
      <w:r w:rsidR="009B0415">
        <w:t>l</w:t>
      </w:r>
      <w:r w:rsidR="003B150B" w:rsidRPr="00EC542E">
        <w:t>ämna</w:t>
      </w:r>
      <w:r w:rsidR="009B0415">
        <w:t>t</w:t>
      </w:r>
      <w:r w:rsidR="003B150B" w:rsidRPr="00EC542E">
        <w:t xml:space="preserve"> någon information om fiskeridödlighet</w:t>
      </w:r>
      <w:r w:rsidR="009B0415">
        <w:t xml:space="preserve"> för 2018</w:t>
      </w:r>
      <w:r w:rsidR="003B150B" w:rsidRPr="00EC542E">
        <w:t xml:space="preserve">. </w:t>
      </w:r>
    </w:p>
    <w:p w14:paraId="125CA46D" w14:textId="77777777" w:rsidR="001126C7" w:rsidRDefault="001126C7" w:rsidP="005F5F71"/>
    <w:p w14:paraId="646F8714" w14:textId="3EAC3113" w:rsidR="003B150B" w:rsidRDefault="0034564C" w:rsidP="005F5F71">
      <w:r w:rsidRPr="0034564C">
        <w:t>När fiskemöjligheterna i Östersjön för 201</w:t>
      </w:r>
      <w:r>
        <w:t>8</w:t>
      </w:r>
      <w:r w:rsidRPr="0034564C">
        <w:t xml:space="preserve"> sk</w:t>
      </w:r>
      <w:r>
        <w:t>a</w:t>
      </w:r>
      <w:r w:rsidRPr="0034564C">
        <w:t xml:space="preserve"> fastställas hösten 201</w:t>
      </w:r>
      <w:r>
        <w:t>7</w:t>
      </w:r>
      <w:r w:rsidRPr="0034564C">
        <w:t xml:space="preserve"> </w:t>
      </w:r>
      <w:r>
        <w:t xml:space="preserve">kommer jag att </w:t>
      </w:r>
      <w:r w:rsidRPr="0034564C">
        <w:t>agera för att fiskemöjligheterna för torsk i Östersjön för 201</w:t>
      </w:r>
      <w:r>
        <w:t>8</w:t>
      </w:r>
      <w:r w:rsidRPr="0034564C">
        <w:t xml:space="preserve"> sätts i enlighet med Östersjöplanen och den gemensamma fiskeripolitikens </w:t>
      </w:r>
      <w:r>
        <w:t xml:space="preserve">MSY-mål </w:t>
      </w:r>
      <w:r w:rsidRPr="0034564C">
        <w:t>samt att den vetenskapliga rådgivningen och försiktighetsansatsen utgör grunden för beslutet.</w:t>
      </w:r>
      <w:r w:rsidR="00D7590C" w:rsidRPr="00D7590C">
        <w:t xml:space="preserve"> </w:t>
      </w:r>
      <w:r w:rsidR="00D7590C">
        <w:t>Jag kommer även fortsätta att verka för mer hållbara fiskemetoder och redskap i syfte</w:t>
      </w:r>
      <w:r w:rsidR="003B150B">
        <w:t xml:space="preserve"> </w:t>
      </w:r>
      <w:r w:rsidR="001126C7">
        <w:t>att</w:t>
      </w:r>
      <w:r>
        <w:t xml:space="preserve"> underlätta</w:t>
      </w:r>
      <w:r w:rsidR="001126C7">
        <w:t xml:space="preserve"> den gemensamma fiskeripolitikens </w:t>
      </w:r>
      <w:r w:rsidR="001126C7" w:rsidRPr="001126C7">
        <w:t xml:space="preserve">mål </w:t>
      </w:r>
      <w:r>
        <w:t xml:space="preserve">om </w:t>
      </w:r>
      <w:r w:rsidR="001126C7" w:rsidRPr="001126C7">
        <w:t>landningsskyldighet</w:t>
      </w:r>
      <w:r w:rsidR="00D7590C">
        <w:t xml:space="preserve">. </w:t>
      </w:r>
      <w:r w:rsidR="001126C7">
        <w:t xml:space="preserve">Allt detta i syfte att uppnå </w:t>
      </w:r>
      <w:r w:rsidR="003B150B">
        <w:t>en långsiktigt hållbar förvaltning av torsken i Östersjön.</w:t>
      </w:r>
      <w:r w:rsidR="001126C7">
        <w:t xml:space="preserve"> Hållbara bestånd är förutsättningen för en skälig inkomst för våra fiskare och tillgång till hälsosam</w:t>
      </w:r>
      <w:r w:rsidR="00844BBD">
        <w:t>ma</w:t>
      </w:r>
      <w:r w:rsidR="001126C7">
        <w:t xml:space="preserve"> livsmedel för konsumenterna.</w:t>
      </w:r>
    </w:p>
    <w:p w14:paraId="514DB5AE" w14:textId="0FF6DD4B" w:rsidR="00064454" w:rsidRDefault="005F5F71" w:rsidP="005F5F71">
      <w:r>
        <w:tab/>
      </w:r>
    </w:p>
    <w:p w14:paraId="2D3FB7DE" w14:textId="77777777" w:rsidR="00064454" w:rsidRDefault="00064454" w:rsidP="005F5F71"/>
    <w:p w14:paraId="007D8975" w14:textId="186B2999" w:rsidR="00064454" w:rsidRPr="0034564C" w:rsidRDefault="00064454" w:rsidP="005F5F71">
      <w:pPr>
        <w:rPr>
          <w:lang w:val="de-DE"/>
        </w:rPr>
      </w:pPr>
      <w:r w:rsidRPr="0034564C">
        <w:rPr>
          <w:lang w:val="de-DE"/>
        </w:rPr>
        <w:t xml:space="preserve">Stockholm den </w:t>
      </w:r>
      <w:r w:rsidR="00727786">
        <w:rPr>
          <w:lang w:val="de-DE"/>
        </w:rPr>
        <w:t>13</w:t>
      </w:r>
      <w:r w:rsidR="00844BBD" w:rsidRPr="0034564C">
        <w:rPr>
          <w:lang w:val="de-DE"/>
        </w:rPr>
        <w:t xml:space="preserve"> juli 2017</w:t>
      </w:r>
    </w:p>
    <w:p w14:paraId="6B0EFDC1" w14:textId="77777777" w:rsidR="00064454" w:rsidRPr="0034564C" w:rsidRDefault="00064454" w:rsidP="005F5F71">
      <w:pPr>
        <w:rPr>
          <w:lang w:val="de-DE"/>
        </w:rPr>
      </w:pPr>
    </w:p>
    <w:p w14:paraId="3929D46B" w14:textId="77777777" w:rsidR="00064454" w:rsidRPr="0034564C" w:rsidRDefault="00064454" w:rsidP="005F5F71">
      <w:pPr>
        <w:rPr>
          <w:lang w:val="de-DE"/>
        </w:rPr>
      </w:pPr>
    </w:p>
    <w:p w14:paraId="14C6E31E" w14:textId="77777777" w:rsidR="00064454" w:rsidRPr="0034564C" w:rsidRDefault="00064454" w:rsidP="005F5F71">
      <w:pPr>
        <w:rPr>
          <w:lang w:val="de-DE"/>
        </w:rPr>
      </w:pPr>
      <w:r w:rsidRPr="0034564C">
        <w:rPr>
          <w:lang w:val="de-DE"/>
        </w:rPr>
        <w:t>Sven-Erik Bucht</w:t>
      </w:r>
    </w:p>
    <w:sectPr w:rsidR="00064454" w:rsidRPr="0034564C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4B37E" w14:textId="77777777" w:rsidR="00064454" w:rsidRDefault="00064454">
      <w:r>
        <w:separator/>
      </w:r>
    </w:p>
  </w:endnote>
  <w:endnote w:type="continuationSeparator" w:id="0">
    <w:p w14:paraId="7CBB563D" w14:textId="77777777" w:rsidR="00064454" w:rsidRDefault="0006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3AC00" w14:textId="77777777" w:rsidR="00064454" w:rsidRDefault="00064454">
      <w:r>
        <w:separator/>
      </w:r>
    </w:p>
  </w:footnote>
  <w:footnote w:type="continuationSeparator" w:id="0">
    <w:p w14:paraId="3400E36C" w14:textId="77777777" w:rsidR="00064454" w:rsidRDefault="00064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5D7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E5C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257DBE" w14:textId="77777777">
      <w:trPr>
        <w:cantSplit/>
      </w:trPr>
      <w:tc>
        <w:tcPr>
          <w:tcW w:w="3119" w:type="dxa"/>
        </w:tcPr>
        <w:p w14:paraId="54F5AB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BD11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4953ED" w14:textId="77777777" w:rsidR="00E80146" w:rsidRDefault="00E80146">
          <w:pPr>
            <w:pStyle w:val="Sidhuvud"/>
            <w:ind w:right="360"/>
          </w:pPr>
        </w:p>
      </w:tc>
    </w:tr>
  </w:tbl>
  <w:p w14:paraId="0C55C9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640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564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294C8D" w14:textId="77777777">
      <w:trPr>
        <w:cantSplit/>
      </w:trPr>
      <w:tc>
        <w:tcPr>
          <w:tcW w:w="3119" w:type="dxa"/>
        </w:tcPr>
        <w:p w14:paraId="1021A3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7F30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67F4DB" w14:textId="77777777" w:rsidR="00E80146" w:rsidRDefault="00E80146">
          <w:pPr>
            <w:pStyle w:val="Sidhuvud"/>
            <w:ind w:right="360"/>
          </w:pPr>
        </w:p>
      </w:tc>
    </w:tr>
  </w:tbl>
  <w:p w14:paraId="216A92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190E3" w14:textId="6A11BA66" w:rsidR="00064454" w:rsidRDefault="000644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E37770" wp14:editId="6C7F489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032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0F6FF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4823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807FB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54"/>
    <w:rsid w:val="00064454"/>
    <w:rsid w:val="001126C7"/>
    <w:rsid w:val="00150384"/>
    <w:rsid w:val="00160901"/>
    <w:rsid w:val="001805B7"/>
    <w:rsid w:val="001E7002"/>
    <w:rsid w:val="002117C3"/>
    <w:rsid w:val="00284055"/>
    <w:rsid w:val="0034564C"/>
    <w:rsid w:val="00367B1C"/>
    <w:rsid w:val="003B150B"/>
    <w:rsid w:val="004A328D"/>
    <w:rsid w:val="0058762B"/>
    <w:rsid w:val="005F5F71"/>
    <w:rsid w:val="006E4E11"/>
    <w:rsid w:val="006E5C10"/>
    <w:rsid w:val="007242A3"/>
    <w:rsid w:val="00727786"/>
    <w:rsid w:val="00792763"/>
    <w:rsid w:val="007A6855"/>
    <w:rsid w:val="007F7BD4"/>
    <w:rsid w:val="008068DF"/>
    <w:rsid w:val="00844BBD"/>
    <w:rsid w:val="0092027A"/>
    <w:rsid w:val="00955E31"/>
    <w:rsid w:val="00992E72"/>
    <w:rsid w:val="009B0415"/>
    <w:rsid w:val="00A32DD8"/>
    <w:rsid w:val="00AF26D1"/>
    <w:rsid w:val="00BB48CD"/>
    <w:rsid w:val="00CC1096"/>
    <w:rsid w:val="00D133D7"/>
    <w:rsid w:val="00D2574D"/>
    <w:rsid w:val="00D61414"/>
    <w:rsid w:val="00D7590C"/>
    <w:rsid w:val="00E80146"/>
    <w:rsid w:val="00E904D0"/>
    <w:rsid w:val="00E92104"/>
    <w:rsid w:val="00EC25F9"/>
    <w:rsid w:val="00ED583F"/>
    <w:rsid w:val="00EE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7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4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445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126C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44B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4BB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4BB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4BB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4BB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4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4454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126C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44B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4BB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4BB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4BB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4BB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68be58c9-65cf-4177-b25c-ba34d426c25b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55B09-20F9-49FD-B71F-32FACC874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A3260-DE75-44E6-9503-EABC9C6A1C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27D5E3-D4E7-47FE-ADA1-6F8F09ABB879}"/>
</file>

<file path=customXml/itemProps4.xml><?xml version="1.0" encoding="utf-8"?>
<ds:datastoreItem xmlns:ds="http://schemas.openxmlformats.org/officeDocument/2006/customXml" ds:itemID="{D33450E5-99EC-4CAE-94F1-A0362470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Staffan Andersson</cp:lastModifiedBy>
  <cp:revision>5</cp:revision>
  <cp:lastPrinted>2017-07-07T10:04:00Z</cp:lastPrinted>
  <dcterms:created xsi:type="dcterms:W3CDTF">2017-07-10T07:37:00Z</dcterms:created>
  <dcterms:modified xsi:type="dcterms:W3CDTF">2017-07-12T12:12:00Z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78286a08-fbd1-4d91-b329-00508a675cdb</vt:lpwstr>
  </property>
</Properties>
</file>