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B893B5329674A70BD026EADF49EBEEC"/>
        </w:placeholder>
        <w:text/>
      </w:sdtPr>
      <w:sdtEndPr/>
      <w:sdtContent>
        <w:p w:rsidRPr="009B062B" w:rsidR="00AF30DD" w:rsidP="00DA28CE" w:rsidRDefault="00AF30DD" w14:paraId="34302B1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7e6487d-dc73-48c7-8167-392102d47bb1"/>
        <w:id w:val="577173626"/>
        <w:lock w:val="sdtLocked"/>
      </w:sdtPr>
      <w:sdtEndPr/>
      <w:sdtContent>
        <w:p w:rsidR="008970A9" w:rsidRDefault="00C2561C" w14:paraId="667E2A8E" w14:textId="77777777">
          <w:pPr>
            <w:pStyle w:val="Frslagstext"/>
          </w:pPr>
          <w:r>
            <w:t>Riksdagen ställer sig bakom det som anförs i motionen om att utreda Regelrådets organisatoriska placering och uppdrag och tillkännager detta för regeringen.</w:t>
          </w:r>
        </w:p>
      </w:sdtContent>
    </w:sdt>
    <w:sdt>
      <w:sdtPr>
        <w:alias w:val="Yrkande 2"/>
        <w:tag w:val="49a7e4d8-a469-4f16-8a21-f980950ead93"/>
        <w:id w:val="-2115047863"/>
        <w:lock w:val="sdtLocked"/>
      </w:sdtPr>
      <w:sdtEndPr/>
      <w:sdtContent>
        <w:p w:rsidR="008970A9" w:rsidRDefault="00C2561C" w14:paraId="619C3705" w14:textId="77777777">
          <w:pPr>
            <w:pStyle w:val="Frslagstext"/>
          </w:pPr>
          <w:r>
            <w:t>Riksdagen ställer sig bakom det som anförs i motionen om att vidta åtgärder för att säkerställa kvaliteten i konsekvensanalyser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47FEFDCB3254C979773A62046C045F8"/>
        </w:placeholder>
        <w:text/>
      </w:sdtPr>
      <w:sdtEndPr/>
      <w:sdtContent>
        <w:p w:rsidRPr="00EB0725" w:rsidR="006D79C9" w:rsidP="00EB0725" w:rsidRDefault="00EB0725" w14:paraId="7375186B" w14:textId="62A0C4D4">
          <w:pPr>
            <w:pStyle w:val="Rubrik1"/>
          </w:pPr>
          <w:r w:rsidRPr="00EB0725">
            <w:t>Regelrådet</w:t>
          </w:r>
        </w:p>
      </w:sdtContent>
    </w:sdt>
    <w:p w:rsidR="00E32CE1" w:rsidP="00E32CE1" w:rsidRDefault="00E32CE1" w14:paraId="5A35C284" w14:textId="617AC60E">
      <w:pPr>
        <w:pStyle w:val="Normalutanindragellerluft"/>
      </w:pPr>
      <w:r>
        <w:t>Regelrådets uppdrag är sedan bildandet år 2008 att granska och yttra sig över kvaliteten på regeringens och andra myndigheters konsekvensutredningar som görs i anslutning till förslag om nya och ändrade regler som kan få effekter av betydelse för</w:t>
      </w:r>
      <w:r w:rsidR="00C6177B">
        <w:t xml:space="preserve"> företag. Regelrådet är sedan 1 </w:t>
      </w:r>
      <w:r>
        <w:t>januari 2015 ett särskilt beslutsorgan inom Tillväxtverket.</w:t>
      </w:r>
    </w:p>
    <w:p w:rsidR="00E32CE1" w:rsidP="00A1597E" w:rsidRDefault="00E32CE1" w14:paraId="10A00951" w14:textId="3D371D84">
      <w:r>
        <w:t>Regelrådet publicerar årligen en sammanställning av de konsekvensutredningar som granskats. I Regelrådets senaste rapport framkommer det att en majoritet av konsekvens</w:t>
      </w:r>
      <w:bookmarkStart w:name="_GoBack" w:id="1"/>
      <w:bookmarkEnd w:id="1"/>
      <w:r>
        <w:t xml:space="preserve">utredningarna inte håller måttet; av de 42 konsekvensutredningar som Regeringskansliet skickade uppfyllde endast 13 kraven. </w:t>
      </w:r>
      <w:r w:rsidR="00A1597E">
        <w:t xml:space="preserve">Med andra ord var det 69 procent av konsekvensutredningarna från Regeringskansliet som inte uppfyllde kraven. </w:t>
      </w:r>
      <w:r>
        <w:t xml:space="preserve">Finansdepartementet stod för </w:t>
      </w:r>
      <w:r w:rsidR="00A1597E">
        <w:t xml:space="preserve">23 konsekvensutredningar och endast 8 uppfyllde kraven. </w:t>
      </w:r>
    </w:p>
    <w:p w:rsidR="00E32CE1" w:rsidP="00E32CE1" w:rsidRDefault="00E32CE1" w14:paraId="10A0E36F" w14:textId="672401E7">
      <w:r>
        <w:t>Regelrådets organisatoriska placering bör därför utredas. En sådan utredning bör samtidigt se över hur Regelrådets roll kan stärkas.</w:t>
      </w:r>
    </w:p>
    <w:p w:rsidR="00E32CE1" w:rsidP="00E32CE1" w:rsidRDefault="00E32CE1" w14:paraId="04D309B2" w14:textId="52BF20DF">
      <w:r>
        <w:t>Svenska företags konkurrenskraft baseras i stor utsträckning på hur regler och byråkrati i vårt land står sig gentemot andra länder. EU-samarbetet medför en lång rad lagar och regler. Implementeringen av dessa påverkar svenska företags konkurrenskraft gentemot våra europeiska grannar. Regelrådet bör därför även ges i uppgift att granska och ge råd om implementeringen av europeisk lag i Sverige, enligt dansk modell. Syftet är att öka svensk konkurrenskraft, säkerställa transparens och tydliggöra politiska mål. Rimligt i en sådan granskning skulle vara att inför implementeringen av ett EU-direktiv ange en miniminivå i konsekvensutredningen. Om man avser att gå därutöver bör detta motiveras särskilt.</w:t>
      </w:r>
    </w:p>
    <w:p w:rsidR="00E32CE1" w:rsidP="00E32CE1" w:rsidRDefault="00E32CE1" w14:paraId="20A7D36D" w14:textId="479EE689">
      <w:r>
        <w:lastRenderedPageBreak/>
        <w:t>Regelrådet behöver under tiden få tillräckliga, oberoende och egna resurser inom Tillväxtverket för att kunna utveckla och kvalitetssäkra sin granskningsfunktion.</w:t>
      </w:r>
    </w:p>
    <w:p w:rsidR="00520A52" w:rsidP="00520A52" w:rsidRDefault="00520A52" w14:paraId="393D713D" w14:textId="1D5D029D">
      <w:r>
        <w:t>För att komma tillrätta med de bristfälliga konsekvensutredningarna vill vi uppdra åt Tillväxtverket att intensifiera utbildningar för regelgivare i syfte att förbättra de kunskapsmässiga förutsättningarna för att upprätta konsekvensutredningar som håller god kvalitet.</w:t>
      </w:r>
    </w:p>
    <w:p w:rsidRPr="00520A52" w:rsidR="00520A52" w:rsidP="00520A52" w:rsidRDefault="00520A52" w14:paraId="1F45AF63" w14:textId="42EFEF05">
      <w:r>
        <w:t>Vidare behöver regeringen säkerställa att en utredare sätter ett speciellt fokus på bättre konsekvensanalyser av författningsförslag, och då särskilt deras påverkan på företags kostnader och konkurrensförhållanden.</w:t>
      </w:r>
    </w:p>
    <w:sdt>
      <w:sdtPr>
        <w:alias w:val="CC_Underskrifter"/>
        <w:tag w:val="CC_Underskrifter"/>
        <w:id w:val="583496634"/>
        <w:lock w:val="sdtContentLocked"/>
        <w:placeholder>
          <w:docPart w:val="A427B16E5A764CFEB914A591FE9C9F66"/>
        </w:placeholder>
      </w:sdtPr>
      <w:sdtEndPr/>
      <w:sdtContent>
        <w:p w:rsidR="00417B64" w:rsidP="00417B64" w:rsidRDefault="00417B64" w14:paraId="26E32B69" w14:textId="77777777"/>
        <w:p w:rsidRPr="008E0FE2" w:rsidR="004801AC" w:rsidP="00417B64" w:rsidRDefault="00EB0725" w14:paraId="7EACF221" w14:textId="2B6285A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Cecilia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Helena Bouveng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Boriana Åberg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Jörgen Berglund (M)</w:t>
            </w:r>
          </w:p>
        </w:tc>
      </w:tr>
    </w:tbl>
    <w:p w:rsidR="00202525" w:rsidRDefault="00202525" w14:paraId="0DF0FF34" w14:textId="77777777"/>
    <w:sectPr w:rsidR="0020252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17F77" w14:textId="77777777" w:rsidR="00BA3BDC" w:rsidRDefault="00BA3BDC" w:rsidP="000C1CAD">
      <w:pPr>
        <w:spacing w:line="240" w:lineRule="auto"/>
      </w:pPr>
      <w:r>
        <w:separator/>
      </w:r>
    </w:p>
  </w:endnote>
  <w:endnote w:type="continuationSeparator" w:id="0">
    <w:p w14:paraId="17A5EA09" w14:textId="77777777" w:rsidR="00BA3BDC" w:rsidRDefault="00BA3B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8BE4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5AD2" w14:textId="160DF31D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B072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442C3" w14:textId="77777777" w:rsidR="00BA3BDC" w:rsidRDefault="00BA3BDC" w:rsidP="000C1CAD">
      <w:pPr>
        <w:spacing w:line="240" w:lineRule="auto"/>
      </w:pPr>
      <w:r>
        <w:separator/>
      </w:r>
    </w:p>
  </w:footnote>
  <w:footnote w:type="continuationSeparator" w:id="0">
    <w:p w14:paraId="6F56AFA4" w14:textId="77777777" w:rsidR="00BA3BDC" w:rsidRDefault="00BA3B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A2E20D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8CD74B" wp14:anchorId="18112A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B0725" w14:paraId="2EE84B7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78FD37356D54CDC96528D05A5E81B05"/>
                              </w:placeholder>
                              <w:text/>
                            </w:sdtPr>
                            <w:sdtEndPr/>
                            <w:sdtContent>
                              <w:r w:rsidR="00C071D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FC29481AF9D41D688D43877B62918F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112A3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B0725" w14:paraId="2EE84B7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78FD37356D54CDC96528D05A5E81B05"/>
                        </w:placeholder>
                        <w:text/>
                      </w:sdtPr>
                      <w:sdtEndPr/>
                      <w:sdtContent>
                        <w:r w:rsidR="00C071D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FC29481AF9D41D688D43877B62918F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6AE1E7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E9DE50E" w14:textId="77777777">
    <w:pPr>
      <w:jc w:val="right"/>
    </w:pPr>
  </w:p>
  <w:p w:rsidR="00262EA3" w:rsidP="00776B74" w:rsidRDefault="00262EA3" w14:paraId="3A69364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B0725" w14:paraId="2BC93FD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7A98F39" wp14:anchorId="672C403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B0725" w14:paraId="62A258CB" w14:textId="07B306B1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071DD">
          <w:t>M</w:t>
        </w:r>
      </w:sdtContent>
    </w:sdt>
    <w:sdt>
      <w:sdtPr>
        <w:alias w:val="CC_Noformat_Partinummer"/>
        <w:tag w:val="CC_Noformat_Partinummer"/>
        <w:id w:val="-2014525982"/>
        <w:placeholder>
          <w:docPart w:val="B71ABF33B26B474D88DADBC8D70EBDCD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B0725" w14:paraId="0935471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B0725" w14:paraId="5BF584B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58BD78400DAD497DAE9730A32F31E59E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:2875</w:t>
        </w:r>
      </w:sdtContent>
    </w:sdt>
  </w:p>
  <w:p w:rsidR="00262EA3" w:rsidP="00E03A3D" w:rsidRDefault="00EB0725" w14:paraId="74F22DC2" w14:textId="37FB81B1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Cecilia Widegren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A75E0" w14:paraId="09D26949" w14:textId="77777777">
        <w:pPr>
          <w:pStyle w:val="FSHRub2"/>
        </w:pPr>
        <w:r>
          <w:t>Bättre konsekvensutredningar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81DC81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9001A"/>
    <w:multiLevelType w:val="hybridMultilevel"/>
    <w:tmpl w:val="0CB26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071D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C9D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92F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52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3AA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454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807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17B64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0A52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9A3"/>
    <w:rsid w:val="00562C61"/>
    <w:rsid w:val="00563AD4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0A9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97E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5E0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A65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BDC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1DD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61C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77B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14C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2CE1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0725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95A997"/>
  <w15:chartTrackingRefBased/>
  <w15:docId w15:val="{1B6A052F-3726-4815-96FF-21674311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893B5329674A70BD026EADF49EB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B9E211-FF24-4254-AF26-5C581F838D92}"/>
      </w:docPartPr>
      <w:docPartBody>
        <w:p w:rsidR="005F014C" w:rsidRDefault="005F014C">
          <w:pPr>
            <w:pStyle w:val="DB893B5329674A70BD026EADF49EBE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7FEFDCB3254C979773A62046C04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ED5D8-30FF-4DDA-9964-F98D2FA51B2B}"/>
      </w:docPartPr>
      <w:docPartBody>
        <w:p w:rsidR="005F014C" w:rsidRDefault="005F014C">
          <w:pPr>
            <w:pStyle w:val="C47FEFDCB3254C979773A62046C045F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78FD37356D54CDC96528D05A5E81B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80DAB-C653-485D-9FD3-521CB6FFC5B0}"/>
      </w:docPartPr>
      <w:docPartBody>
        <w:p w:rsidR="005F014C" w:rsidRDefault="005F014C">
          <w:pPr>
            <w:pStyle w:val="F78FD37356D54CDC96528D05A5E81B0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C29481AF9D41D688D43877B6291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54DC2-55F4-41BC-81DA-B18B9C6D6091}"/>
      </w:docPartPr>
      <w:docPartBody>
        <w:p w:rsidR="005F014C" w:rsidRDefault="00C570B1">
          <w:pPr>
            <w:pStyle w:val="8FC29481AF9D41D688D43877B62918F0"/>
          </w:pPr>
          <w:r>
            <w:t xml:space="preserve"> </w:t>
          </w:r>
        </w:p>
      </w:docPartBody>
    </w:docPart>
    <w:docPart>
      <w:docPartPr>
        <w:name w:val="A427B16E5A764CFEB914A591FE9C9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0DCD43-76C1-4F5D-B30F-4078D4182707}"/>
      </w:docPartPr>
      <w:docPartBody>
        <w:p w:rsidR="007515E1" w:rsidRDefault="007515E1"/>
      </w:docPartBody>
    </w:docPart>
    <w:docPart>
      <w:docPartPr>
        <w:name w:val="B71ABF33B26B474D88DADBC8D70EBD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B35DF-7A3D-46CD-9412-125FC1D9896C}"/>
      </w:docPartPr>
      <w:docPartBody>
        <w:p w:rsidR="00000000" w:rsidRDefault="00C570B1">
          <w:r>
            <w:t xml:space="preserve"> </w:t>
          </w:r>
        </w:p>
      </w:docPartBody>
    </w:docPart>
    <w:docPart>
      <w:docPartPr>
        <w:name w:val="58BD78400DAD497DAE9730A32F31E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0D3506-CECF-4C5D-ABD3-714C3880FF77}"/>
      </w:docPartPr>
      <w:docPartBody>
        <w:p w:rsidR="00000000" w:rsidRDefault="00C570B1">
          <w:r>
            <w:t>:2875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4C"/>
    <w:rsid w:val="005F014C"/>
    <w:rsid w:val="007515E1"/>
    <w:rsid w:val="00823531"/>
    <w:rsid w:val="008D0022"/>
    <w:rsid w:val="00C5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570B1"/>
    <w:rPr>
      <w:color w:val="F4B083" w:themeColor="accent2" w:themeTint="99"/>
    </w:rPr>
  </w:style>
  <w:style w:type="paragraph" w:customStyle="1" w:styleId="DB893B5329674A70BD026EADF49EBEEC">
    <w:name w:val="DB893B5329674A70BD026EADF49EBEEC"/>
  </w:style>
  <w:style w:type="paragraph" w:customStyle="1" w:styleId="24A5B1BCF30A433D8A260941710F6210">
    <w:name w:val="24A5B1BCF30A433D8A260941710F621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D91EB1570994CDCA943B716DE173FE4">
    <w:name w:val="5D91EB1570994CDCA943B716DE173FE4"/>
  </w:style>
  <w:style w:type="paragraph" w:customStyle="1" w:styleId="C47FEFDCB3254C979773A62046C045F8">
    <w:name w:val="C47FEFDCB3254C979773A62046C045F8"/>
  </w:style>
  <w:style w:type="paragraph" w:customStyle="1" w:styleId="C49685AE09BE44E9AEED68B0EFB5F252">
    <w:name w:val="C49685AE09BE44E9AEED68B0EFB5F252"/>
  </w:style>
  <w:style w:type="paragraph" w:customStyle="1" w:styleId="BE174E1F7B67475284E55CF5F197822F">
    <w:name w:val="BE174E1F7B67475284E55CF5F197822F"/>
  </w:style>
  <w:style w:type="paragraph" w:customStyle="1" w:styleId="F78FD37356D54CDC96528D05A5E81B05">
    <w:name w:val="F78FD37356D54CDC96528D05A5E81B05"/>
  </w:style>
  <w:style w:type="paragraph" w:customStyle="1" w:styleId="8FC29481AF9D41D688D43877B62918F0">
    <w:name w:val="8FC29481AF9D41D688D43877B6291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B8FA1-0CAE-40B4-BCF4-442E3FA9BE38}"/>
</file>

<file path=customXml/itemProps2.xml><?xml version="1.0" encoding="utf-8"?>
<ds:datastoreItem xmlns:ds="http://schemas.openxmlformats.org/officeDocument/2006/customXml" ds:itemID="{7FB982F9-BC11-4071-9EB2-837A97BF3F5A}"/>
</file>

<file path=customXml/itemProps3.xml><?xml version="1.0" encoding="utf-8"?>
<ds:datastoreItem xmlns:ds="http://schemas.openxmlformats.org/officeDocument/2006/customXml" ds:itemID="{E0C7CB87-3191-4E43-AA44-49905BD5C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2417</Characters>
  <Application>Microsoft Office Word</Application>
  <DocSecurity>0</DocSecurity>
  <Lines>46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Bättre konsekvensutredningar</vt:lpstr>
      <vt:lpstr>
      </vt:lpstr>
    </vt:vector>
  </TitlesOfParts>
  <Company>Sveriges riksdag</Company>
  <LinksUpToDate>false</LinksUpToDate>
  <CharactersWithSpaces>2774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