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4151B" w:rsidRDefault="00C426FA" w14:paraId="2C378AE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DBBD1522236647A696ACA77B84A30AF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64eab22-e0c7-4aff-ab0e-6785b90f06d1"/>
        <w:id w:val="1698882938"/>
        <w:lock w:val="sdtLocked"/>
      </w:sdtPr>
      <w:sdtEndPr/>
      <w:sdtContent>
        <w:p xmlns:w14="http://schemas.microsoft.com/office/word/2010/wordml" w:rsidR="00E3366B" w:rsidRDefault="003C1DDC" w14:paraId="704369A1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2024 inom utgiftsområde 2 Samhällsekonomi och finansförvaltning enligt förslaget i tabellen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5C48F0107C49D095434E726B753E02"/>
        </w:placeholder>
        <w:text/>
      </w:sdtPr>
      <w:sdtEndPr/>
      <w:sdtContent>
        <w:p xmlns:w14="http://schemas.microsoft.com/office/word/2010/wordml" w:rsidRPr="009B062B" w:rsidR="006D79C9" w:rsidP="00333E95" w:rsidRDefault="00C426FA" w14:paraId="409BF9E4" w14:textId="7843C0DE">
          <w:pPr>
            <w:pStyle w:val="Rubrik1"/>
          </w:pPr>
          <w:r>
            <w:t>Utgiftsområde 2 Samhällsekonomi och finansförvaltning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02F5E" w:rsidP="00C426FA" w:rsidRDefault="00602F5E" w14:paraId="31CDFFFA" w14:textId="6011AF74">
      <w:pPr>
        <w:pStyle w:val="Normalutanindragellerluft"/>
      </w:pPr>
      <w:r>
        <w:t>Centerpartiet strävar efter en ökad finansiell stabilitet. Hushållens och företagens tillgång till finansiella tjänster är viktig för att omvandla sparande och konsumtions</w:t>
      </w:r>
      <w:r w:rsidR="00D278FA">
        <w:softHyphen/>
      </w:r>
      <w:r>
        <w:t xml:space="preserve">utjämning till produktiva investeringar. Välfungerande marknader för riskhantering och allokering av kapital är ett viktigt fundament för ekonomisk tillväxt. Sådana tjänster bör </w:t>
      </w:r>
      <w:r w:rsidRPr="00C426FA">
        <w:rPr>
          <w:spacing w:val="-1"/>
        </w:rPr>
        <w:t>erbjudas med ett starkt konsumentskydd och på ett sätt som inte äventyrar den finansiella</w:t>
      </w:r>
      <w:r>
        <w:t xml:space="preserve"> stabiliteten. </w:t>
      </w:r>
    </w:p>
    <w:p xmlns:w14="http://schemas.microsoft.com/office/word/2010/wordml" w:rsidR="00602F5E" w:rsidP="00D278FA" w:rsidRDefault="00602F5E" w14:paraId="46E1E247" w14:textId="33C3D117">
      <w:r>
        <w:t>Finansinspektionens arbete med tillsyn och deras mandat att hantera risker för</w:t>
      </w:r>
      <w:r w:rsidR="00D278FA">
        <w:softHyphen/>
      </w:r>
      <w:r>
        <w:t>knippade med hushållens skuldsättning är här viktiga. Också Riksgäldens roll som resolutionsmyndighet, statens internbank och skuldförvaltare är av största vikt.</w:t>
      </w:r>
    </w:p>
    <w:p xmlns:w14="http://schemas.microsoft.com/office/word/2010/wordml" w:rsidR="00602F5E" w:rsidP="00D278FA" w:rsidRDefault="00602F5E" w14:paraId="62B28A11" w14:textId="7F964D5E">
      <w:r w:rsidRPr="00D278FA">
        <w:rPr>
          <w:spacing w:val="-1"/>
        </w:rPr>
        <w:t>Att granska det offentligas verksamhet är också centralt för att kontinuerligt förbättra</w:t>
      </w:r>
      <w:r>
        <w:t xml:space="preserve"> den offentliga sektorns arbete. Här fyller Statistiska centralbyrån, Riksrevisionen, Statskontoret och Finanspolitiska rådet viktiga funktioner. Tilltron till den statliga förvaltningens effektivitet påverkar i förlängningen tilltron till den svenska demokratins förmåga att företräda folkviljan och hantera olika samhällsproblem.</w:t>
      </w:r>
    </w:p>
    <w:p xmlns:w14="http://schemas.microsoft.com/office/word/2010/wordml" w:rsidR="00602F5E" w:rsidP="00602F5E" w:rsidRDefault="00602F5E" w14:paraId="021556DD" w14:textId="4539B7EE">
      <w:pPr>
        <w:pStyle w:val="Normalutanindragellerluft"/>
      </w:pPr>
      <w:r>
        <w:rPr>
          <w:noProof/>
          <w14:numSpacing w14:val="default"/>
        </w:rPr>
        <w:drawing>
          <wp:inline xmlns:wp14="http://schemas.microsoft.com/office/word/2010/wordprocessingDrawing" xmlns:wp="http://schemas.openxmlformats.org/drawingml/2006/wordprocessingDrawing" distT="0" distB="0" distL="0" distR="0" wp14:anchorId="5251F782" wp14:editId="2CC33FFC">
            <wp:extent cx="5249008" cy="5992061"/>
            <wp:effectExtent l="0" t="0" r="8890" b="8890"/>
            <wp:docPr id="4" name="Bildobjekt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59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14="http://schemas.microsoft.com/office/word/2010/wordml" w:rsidR="00602F5E" w:rsidP="00D278FA" w:rsidRDefault="00602F5E" w14:paraId="308D6CEB" w14:textId="6B538CD5">
      <w:pPr>
        <w:pStyle w:val="Normalutanindragellerluft"/>
      </w:pPr>
      <w:r>
        <w:t>Centerpartiet välkomnar regeringens införande av en utbetalningsmyndighet samt regeringens förstärkningar inom område 1:11 kopplade till tillsyn. Därutöver föreslår Centerpartiet en sänkning av pris-</w:t>
      </w:r>
      <w:r w:rsidR="003C1DDC">
        <w:t xml:space="preserve"> </w:t>
      </w:r>
      <w:r>
        <w:t>och löneomräkningen, vilket påverkar de anslag som räknas upp med denna.</w:t>
      </w:r>
    </w:p>
    <w:sdt>
      <w:sdtPr>
        <w:alias w:val="CC_Underskrifter"/>
        <w:tag w:val="CC_Underskrifter"/>
        <w:id w:val="583496634"/>
        <w:lock w:val="sdtContentLocked"/>
        <w:placeholder>
          <w:docPart w:val="EE2F40F32BFB4A189D52F3BCEACF9FF3"/>
        </w:placeholder>
      </w:sdtPr>
      <w:sdtEndPr/>
      <w:sdtContent>
        <w:p xmlns:w14="http://schemas.microsoft.com/office/word/2010/wordml" w:rsidR="00602F5E" w:rsidP="00D04804" w:rsidRDefault="00602F5E" w14:paraId="40215F18" w14:textId="77777777"/>
        <w:p xmlns:w14="http://schemas.microsoft.com/office/word/2010/wordml" w:rsidRPr="008E0FE2" w:rsidR="004801AC" w:rsidP="00D04804" w:rsidRDefault="00C426FA" w14:paraId="78B9F18A" w14:textId="43B876C3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 Ådahl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Liljeberg (C)</w:t>
            </w:r>
          </w:p>
        </w:tc>
      </w:tr>
    </w:tbl>
    <w:p xmlns:w14="http://schemas.microsoft.com/office/word/2010/wordml" w:rsidR="000C0783" w:rsidRDefault="000C0783" w14:paraId="38B4B7F2" w14:textId="77777777"/>
    <w:sectPr w:rsidR="000C0783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3FC4" w14:textId="77777777" w:rsidR="00602F5E" w:rsidRDefault="00602F5E" w:rsidP="000C1CAD">
      <w:pPr>
        <w:spacing w:line="240" w:lineRule="auto"/>
      </w:pPr>
      <w:r>
        <w:separator/>
      </w:r>
    </w:p>
  </w:endnote>
  <w:endnote w:type="continuationSeparator" w:id="0">
    <w:p w14:paraId="2D366464" w14:textId="77777777" w:rsidR="00602F5E" w:rsidRDefault="00602F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79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64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8D83" w14:textId="1BC01647" w:rsidR="00262EA3" w:rsidRPr="00D04804" w:rsidRDefault="00262EA3" w:rsidP="00D048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1478" w14:textId="77777777" w:rsidR="00602F5E" w:rsidRDefault="00602F5E" w:rsidP="000C1CAD">
      <w:pPr>
        <w:spacing w:line="240" w:lineRule="auto"/>
      </w:pPr>
      <w:r>
        <w:separator/>
      </w:r>
    </w:p>
  </w:footnote>
  <w:footnote w:type="continuationSeparator" w:id="0">
    <w:p w14:paraId="60BB9680" w14:textId="77777777" w:rsidR="00602F5E" w:rsidRDefault="00602F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4B11C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A0CE30" wp14:anchorId="65A15E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426FA" w14:paraId="28590138" w14:textId="346128C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02F5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4294075E41409E8948C55438B6160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A15E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426FA" w14:paraId="28590138" w14:textId="346128C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02F5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4294075E41409E8948C55438B6160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9FC8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E9CCE3F" w14:textId="77777777">
    <w:pPr>
      <w:jc w:val="right"/>
    </w:pPr>
  </w:p>
  <w:p w:rsidR="00262EA3" w:rsidP="00776B74" w:rsidRDefault="00262EA3" w14:paraId="30A0F9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147408800" w:id="5"/>
  <w:bookmarkStart w:name="_Hlk147408801" w:id="6"/>
  <w:p w:rsidR="00262EA3" w:rsidP="008563AC" w:rsidRDefault="00C426FA" w14:paraId="0CA20A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3E4E92" wp14:anchorId="061308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426FA" w14:paraId="3F6A02A6" w14:textId="727B0CA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480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2F5E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45839D8AAB334E3CADCDB7E0D4B523DD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426FA" w14:paraId="60F482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426FA" w14:paraId="1F406849" w14:textId="7543EC4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480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C41DE0F94A54CDAAA80776510BB148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4804">
          <w:t>:2717</w:t>
        </w:r>
      </w:sdtContent>
    </w:sdt>
  </w:p>
  <w:p w:rsidR="00262EA3" w:rsidP="00E03A3D" w:rsidRDefault="00C426FA" w14:paraId="04ED79F0" w14:textId="72B4AD7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04804">
          <w:t>av Martin Ådahl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02F5E" w14:paraId="256B8F42" w14:textId="7C588194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638AC1" w14:textId="77777777">
        <w:pPr>
          <w:pStyle w:val="FSHNormL"/>
        </w:pPr>
        <w:r>
          <w:br/>
        </w:r>
      </w:p>
    </w:sdtContent>
  </w:sdt>
  <w:bookmarkEnd w:displacedByCustomXml="prev" w:id="6"/>
  <w:bookmarkEnd w:displacedByCustomXml="prev"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02F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04D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783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1DDC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4B8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2F5E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6FA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804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8FA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66B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4FB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03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25C945"/>
  <w15:chartTrackingRefBased/>
  <w15:docId w15:val="{02F0B51E-A24B-4F81-855D-60BCD9E9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D1522236647A696ACA77B84A30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F073A-A407-441C-9BB6-E6DFC2D9F404}"/>
      </w:docPartPr>
      <w:docPartBody>
        <w:p w:rsidR="00AC4C20" w:rsidRDefault="00AC4C20">
          <w:pPr>
            <w:pStyle w:val="DBBD1522236647A696ACA77B84A30A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5C48F0107C49D095434E726B753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8A9D1-27B6-44AC-AB3B-99D9CA8B3546}"/>
      </w:docPartPr>
      <w:docPartBody>
        <w:p w:rsidR="00AC4C20" w:rsidRDefault="00AC4C20">
          <w:pPr>
            <w:pStyle w:val="9D5C48F0107C49D095434E726B753E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2F40F32BFB4A189D52F3BCEACF9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15323-699E-4CC1-A666-FFD4C2325EB4}"/>
      </w:docPartPr>
      <w:docPartBody>
        <w:p w:rsidR="00415981" w:rsidRDefault="00415981"/>
      </w:docPartBody>
    </w:docPart>
    <w:docPart>
      <w:docPartPr>
        <w:name w:val="F44294075E41409E8948C55438B61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D70F2-4857-4313-93E7-0DEC5791A241}"/>
      </w:docPartPr>
      <w:docPartBody>
        <w:p w:rsidR="00000000" w:rsidRDefault="000959F2">
          <w:r>
            <w:t xml:space="preserve"> </w:t>
          </w:r>
        </w:p>
      </w:docPartBody>
    </w:docPart>
    <w:docPart>
      <w:docPartPr>
        <w:name w:val="45839D8AAB334E3CADCDB7E0D4B523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31427-DABA-40DA-B1E1-1CBC3CC2680B}"/>
      </w:docPartPr>
      <w:docPartBody>
        <w:p w:rsidR="00000000" w:rsidRDefault="000959F2">
          <w:r>
            <w:t xml:space="preserve"> </w:t>
          </w:r>
        </w:p>
      </w:docPartBody>
    </w:docPart>
    <w:docPart>
      <w:docPartPr>
        <w:name w:val="FC41DE0F94A54CDAAA80776510BB1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DF023-E19B-4420-AEAB-85FF24DDDEB0}"/>
      </w:docPartPr>
      <w:docPartBody>
        <w:p w:rsidR="00000000" w:rsidRDefault="000959F2">
          <w:r>
            <w:t>:2717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20"/>
    <w:rsid w:val="000959F2"/>
    <w:rsid w:val="00415981"/>
    <w:rsid w:val="00A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BD1522236647A696ACA77B84A30AF9">
    <w:name w:val="DBBD1522236647A696ACA77B84A30AF9"/>
  </w:style>
  <w:style w:type="paragraph" w:customStyle="1" w:styleId="9D5C48F0107C49D095434E726B753E02">
    <w:name w:val="9D5C48F0107C49D095434E726B753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1B6C6-37A6-408C-A4B4-7B661E8635C1}"/>
</file>

<file path=customXml/itemProps2.xml><?xml version="1.0" encoding="utf-8"?>
<ds:datastoreItem xmlns:ds="http://schemas.openxmlformats.org/officeDocument/2006/customXml" ds:itemID="{28116327-041C-44C7-A86A-4AA08BA034A9}"/>
</file>

<file path=customXml/itemProps3.xml><?xml version="1.0" encoding="utf-8"?>
<ds:datastoreItem xmlns:ds="http://schemas.openxmlformats.org/officeDocument/2006/customXml" ds:itemID="{128153CA-2E83-4215-B6AD-042BE43E4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241</Words>
  <Characters>1449</Characters>
  <Application>Microsoft Office Word</Application>
  <DocSecurity>0</DocSecurity>
  <Lines>34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Samhällsekonomi och finansförvaltning</vt:lpstr>
      <vt:lpstr>
      </vt:lpstr>
    </vt:vector>
  </TitlesOfParts>
  <Company>Sveriges riksdag</Company>
  <LinksUpToDate>false</LinksUpToDate>
  <CharactersWithSpaces>1672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