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E672E">
        <w:tblPrEx>
          <w:tblCellMar>
            <w:top w:w="0" w:type="dxa"/>
            <w:left w:w="0" w:type="dxa"/>
            <w:bottom w:w="0" w:type="dxa"/>
            <w:right w:w="0" w:type="dxa"/>
          </w:tblCellMar>
        </w:tblPrEx>
        <w:trPr>
          <w:gridAfter w:val="2"/>
          <w:wAfter w:w="1758" w:type="dxa"/>
          <w:cantSplit/>
          <w:trHeight w:val="1320"/>
        </w:trPr>
        <w:tc>
          <w:tcPr>
            <w:tcW w:w="5897" w:type="dxa"/>
          </w:tcPr>
          <w:p w:rsidR="00AE672E" w:rsidRPr="00AE672E" w:rsidRDefault="00AE672E">
            <w:pPr>
              <w:pStyle w:val="HuvudRubrik"/>
            </w:pPr>
            <w:r w:rsidRPr="00AE672E">
              <w:t>Regeringskansliet</w:t>
            </w:r>
          </w:p>
          <w:p w:rsidR="00AE672E" w:rsidRPr="00AE672E" w:rsidRDefault="00AE672E">
            <w:pPr>
              <w:pStyle w:val="HuvudRubrik"/>
            </w:pPr>
            <w:r w:rsidRPr="00AE672E">
              <w:t>Faktapromemoria  2008/09:FPM74</w:t>
            </w:r>
          </w:p>
        </w:tc>
      </w:tr>
      <w:tr w:rsidR="00000000" w:rsidRPr="00AE672E">
        <w:tblPrEx>
          <w:tblCellMar>
            <w:top w:w="0" w:type="dxa"/>
            <w:left w:w="0" w:type="dxa"/>
            <w:bottom w:w="0" w:type="dxa"/>
            <w:right w:w="0" w:type="dxa"/>
          </w:tblCellMar>
        </w:tblPrEx>
        <w:trPr>
          <w:gridAfter w:val="2"/>
          <w:wAfter w:w="1758" w:type="dxa"/>
          <w:cantSplit/>
          <w:trHeight w:val="240"/>
        </w:trPr>
        <w:tc>
          <w:tcPr>
            <w:tcW w:w="5897" w:type="dxa"/>
          </w:tcPr>
          <w:p w:rsidR="00AE672E" w:rsidRPr="00AE672E" w:rsidRDefault="00AE672E">
            <w:pPr>
              <w:pStyle w:val="HuvudRubrik"/>
              <w:rPr>
                <w:sz w:val="28"/>
              </w:rPr>
            </w:pPr>
            <w:r w:rsidRPr="00AE672E">
              <w:t>Ändringar i Eurodacförordningen</w:t>
            </w:r>
          </w:p>
        </w:tc>
      </w:tr>
      <w:tr w:rsidR="00000000" w:rsidRPr="00AE672E">
        <w:tblPrEx>
          <w:tblCellMar>
            <w:top w:w="0" w:type="dxa"/>
            <w:left w:w="0" w:type="dxa"/>
            <w:bottom w:w="0" w:type="dxa"/>
            <w:right w:w="0" w:type="dxa"/>
          </w:tblCellMar>
        </w:tblPrEx>
        <w:trPr>
          <w:cantSplit/>
          <w:trHeight w:val="285"/>
        </w:trPr>
        <w:tc>
          <w:tcPr>
            <w:tcW w:w="7655" w:type="dxa"/>
            <w:gridSpan w:val="3"/>
          </w:tcPr>
          <w:p w:rsidR="00AE672E" w:rsidRPr="00AE672E" w:rsidRDefault="00AE672E">
            <w:pPr>
              <w:pStyle w:val="Departement"/>
              <w:rPr>
                <w:sz w:val="28"/>
              </w:rPr>
            </w:pPr>
            <w:r w:rsidRPr="00AE672E">
              <w:t>Justitiedepartementet</w:t>
            </w:r>
          </w:p>
        </w:tc>
      </w:tr>
      <w:tr w:rsidR="00000000" w:rsidRPr="00AE672E">
        <w:tblPrEx>
          <w:tblCellMar>
            <w:top w:w="0" w:type="dxa"/>
            <w:left w:w="0" w:type="dxa"/>
            <w:bottom w:w="0" w:type="dxa"/>
            <w:right w:w="0" w:type="dxa"/>
          </w:tblCellMar>
        </w:tblPrEx>
        <w:trPr>
          <w:cantSplit/>
          <w:trHeight w:val="240"/>
        </w:trPr>
        <w:tc>
          <w:tcPr>
            <w:tcW w:w="7655" w:type="dxa"/>
            <w:gridSpan w:val="3"/>
          </w:tcPr>
          <w:p w:rsidR="00AE672E" w:rsidRPr="00AE672E" w:rsidRDefault="00AE672E">
            <w:pPr>
              <w:pStyle w:val="Dokumentdatum"/>
            </w:pPr>
            <w:r w:rsidRPr="00AE672E">
              <w:t>2009-02-16</w:t>
            </w:r>
          </w:p>
        </w:tc>
      </w:tr>
      <w:tr w:rsidR="00000000" w:rsidRPr="00AE672E">
        <w:tblPrEx>
          <w:tblCellMar>
            <w:top w:w="0" w:type="dxa"/>
            <w:left w:w="0" w:type="dxa"/>
            <w:bottom w:w="0" w:type="dxa"/>
            <w:right w:w="0" w:type="dxa"/>
          </w:tblCellMar>
        </w:tblPrEx>
        <w:trPr>
          <w:cantSplit/>
          <w:trHeight w:val="726"/>
        </w:trPr>
        <w:tc>
          <w:tcPr>
            <w:tcW w:w="7655" w:type="dxa"/>
            <w:gridSpan w:val="3"/>
            <w:vAlign w:val="bottom"/>
          </w:tcPr>
          <w:p w:rsidR="00AE672E" w:rsidRPr="00AE672E" w:rsidRDefault="00AE672E">
            <w:pPr>
              <w:pStyle w:val="Dokumentbeteckning"/>
            </w:pPr>
            <w:r w:rsidRPr="00AE672E">
              <w:t>Dokumentbeteckning</w:t>
            </w:r>
          </w:p>
        </w:tc>
      </w:tr>
      <w:tr w:rsidR="00000000" w:rsidRPr="00AE672E">
        <w:tblPrEx>
          <w:tblCellMar>
            <w:top w:w="0" w:type="dxa"/>
            <w:left w:w="0" w:type="dxa"/>
            <w:bottom w:w="0" w:type="dxa"/>
            <w:right w:w="0" w:type="dxa"/>
          </w:tblCellMar>
        </w:tblPrEx>
        <w:trPr>
          <w:gridAfter w:val="1"/>
          <w:wAfter w:w="1560" w:type="dxa"/>
          <w:trHeight w:val="120"/>
        </w:trPr>
        <w:tc>
          <w:tcPr>
            <w:tcW w:w="6095" w:type="dxa"/>
            <w:gridSpan w:val="2"/>
          </w:tcPr>
          <w:p w:rsidR="00AE672E" w:rsidRPr="00AE672E" w:rsidRDefault="00AE672E">
            <w:bookmarkStart w:id="0" w:name="KomNr"/>
            <w:bookmarkEnd w:id="0"/>
            <w:r w:rsidRPr="00AE672E">
              <w:t>KOM (2008) 825 slutlig</w:t>
            </w:r>
          </w:p>
        </w:tc>
      </w:tr>
      <w:tr w:rsidR="00000000" w:rsidRPr="00AE672E">
        <w:tblPrEx>
          <w:tblCellMar>
            <w:top w:w="0" w:type="dxa"/>
            <w:left w:w="0" w:type="dxa"/>
            <w:bottom w:w="0" w:type="dxa"/>
            <w:right w:w="0" w:type="dxa"/>
          </w:tblCellMar>
        </w:tblPrEx>
        <w:trPr>
          <w:gridAfter w:val="1"/>
          <w:wAfter w:w="1560" w:type="dxa"/>
          <w:trHeight w:val="120"/>
        </w:trPr>
        <w:tc>
          <w:tcPr>
            <w:tcW w:w="6095" w:type="dxa"/>
            <w:gridSpan w:val="2"/>
          </w:tcPr>
          <w:p w:rsidR="00AE672E" w:rsidRPr="00AE672E" w:rsidRDefault="00AE672E">
            <w:pPr>
              <w:pStyle w:val="Dokumentbeteckning-titel"/>
            </w:pPr>
            <w:r w:rsidRPr="00AE672E">
              <w:t>Förslag till Europaparlamentets och rådets förordning om inrättande av Eurodac för jämförelse av fingeravtryck för en effektiv tillämpning av förordning (EG) nr […/…] [om kriterier och mekanismer för att avgöra vilken medlemsstat som har ansvaret för att pröva en ansökan om internationellt skydd som en medborgare i tredjeland eller en statslös person har gett in i någon medlemsstat] (Reviderad)</w:t>
            </w:r>
          </w:p>
        </w:tc>
      </w:tr>
    </w:tbl>
    <w:p w:rsidR="00AE672E" w:rsidRPr="00AE672E" w:rsidRDefault="00AE672E"/>
    <w:p w:rsidR="00AE672E" w:rsidRPr="00AE672E" w:rsidRDefault="00AE672E">
      <w:pPr>
        <w:pStyle w:val="Rubrik1"/>
        <w:numPr>
          <w:ilvl w:val="0"/>
          <w:numId w:val="0"/>
        </w:numPr>
      </w:pPr>
      <w:r w:rsidRPr="00AE672E">
        <w:t>Sammanfattning</w:t>
      </w:r>
    </w:p>
    <w:p w:rsidR="00AE672E" w:rsidRPr="00AE672E" w:rsidRDefault="00AE672E">
      <w:r w:rsidRPr="00AE672E">
        <w:t>Kommissionen föreslår en revidering av rådets förordning (EG) nr 2725/2000 av den 11 december 2000 om inrättande av Eurodac för jämförelse av fingeravtryck för en effektiv tillämpning av Dublinkonventionen (Eurodacförordningen), i syfte att göra tillämpningen av Dublinförordningen mer effektiv och förbättra skyddet för personuppgifter. Kommissionen föreslår även vissa förändringar för att anpassa förordningen till det EU-gemensamma regelverket på asylområdet. Vidare föreslås förändringar avseende den opera</w:t>
      </w:r>
      <w:r w:rsidRPr="00AE672E">
        <w:t xml:space="preserve">tiva förvaltningen av Eurodac. </w:t>
      </w:r>
      <w:r w:rsidRPr="00AE672E">
        <w:rPr>
          <w:color w:val="000000"/>
          <w:szCs w:val="19"/>
        </w:rPr>
        <w:t xml:space="preserve">Regeringen välkomnar </w:t>
      </w:r>
      <w:r w:rsidRPr="00AE672E">
        <w:t>förslaget</w:t>
      </w:r>
      <w:r w:rsidRPr="00AE672E">
        <w:rPr>
          <w:color w:val="000000"/>
          <w:szCs w:val="19"/>
        </w:rPr>
        <w:t xml:space="preserve">. </w:t>
      </w:r>
    </w:p>
    <w:p w:rsidR="00AE672E" w:rsidRPr="00AE672E" w:rsidRDefault="00AE672E">
      <w:pPr>
        <w:pStyle w:val="Rubrik1"/>
      </w:pPr>
      <w:r w:rsidRPr="00AE672E">
        <w:t>Förslaget</w:t>
      </w:r>
    </w:p>
    <w:p w:rsidR="00AE672E" w:rsidRPr="00AE672E" w:rsidRDefault="00AE672E">
      <w:pPr>
        <w:pStyle w:val="Rubrik2"/>
      </w:pPr>
      <w:r w:rsidRPr="00AE672E">
        <w:t>Ärendets bakgrund</w:t>
      </w:r>
    </w:p>
    <w:p w:rsidR="00AE672E" w:rsidRPr="00AE672E" w:rsidRDefault="00AE672E">
      <w:r w:rsidRPr="00AE672E">
        <w:t>Eurodacförordningen</w:t>
      </w:r>
      <w:r w:rsidRPr="00AE672E">
        <w:rPr>
          <w:rStyle w:val="Fotnotsreferens"/>
        </w:rPr>
        <w:footnoteReference w:id="1"/>
      </w:r>
      <w:r w:rsidRPr="00AE672E">
        <w:t xml:space="preserve">, som är ett av de rättsliga instrumenten som antogs under den första fasen i arbetet med att inrätta ett gemensamt europeiskt asylsystem, trädde i kraft den 15 december 2000. Genom förordningen inrättades Eurodac, en EU-gemensam databas där fingeravtryck av asylsökande </w:t>
      </w:r>
      <w:r w:rsidRPr="00AE672E">
        <w:lastRenderedPageBreak/>
        <w:t xml:space="preserve">och utlänningar som påträffas när de illegalt reser över en yttre gräns lagras under en begränsad tid, i syfte att underlätta tillämpningen av den s.k. Dublinkonventionen (EGT C 254, 18.8.1997, s. 1), som 2003 ersattes av Dublinförordningen </w:t>
      </w:r>
      <w:r w:rsidRPr="00AE672E">
        <w:t>(</w:t>
      </w:r>
      <w:r w:rsidRPr="00AE672E">
        <w:rPr>
          <w:color w:val="000000"/>
          <w:szCs w:val="19"/>
        </w:rPr>
        <w:t>EUT L 50, 25.2.2003, s. 1)</w:t>
      </w:r>
      <w:r w:rsidRPr="00AE672E">
        <w:t xml:space="preserve">. Den 15 januari 2003 inleddes Eurodacdatabasens verksamhet. </w:t>
      </w:r>
    </w:p>
    <w:p w:rsidR="00AE672E" w:rsidRPr="00AE672E" w:rsidRDefault="00AE672E">
      <w:r w:rsidRPr="00AE672E">
        <w:t>I Haagprogrammet från år 2004 slog medlemsstaterna fast att målet för den andra fasen i arbetet med att införa ett gemensamt europeiskt asylsystem är att ett gemensamt förfarande och en enhetlig status för personer som har rätt till skydd  ska införas senast år 2010. I juni 2007 presenterade kommissionen en utvärdering av Dublinsystemet [Rapport från kommissionen till Europaparlamentet och rådet om utvärdering av Dublin</w:t>
      </w:r>
      <w:r w:rsidRPr="00AE672E">
        <w:t xml:space="preserve">systemet, KOM(2007) 299 slutlig]. I utvärderingen konstaterade kommissionen att Eurodac i stort sett fungerade på ett tillfredsställande sätt, men att vissa av bestämmelserna behövde ses över för att förbättra systemets effektivitet. </w:t>
      </w:r>
    </w:p>
    <w:p w:rsidR="00AE672E" w:rsidRPr="00AE672E" w:rsidRDefault="00AE672E">
      <w:r w:rsidRPr="00AE672E">
        <w:t>I juni 2008 tillkännagav kommissionen i meddelandet ”Strategisk plan för asylpolitiken–Ett integrerat grepp på skyddsfrågor över hela EU” [KOM(2008) 360 slutlig] sin avsikt att föreslå åtgärder, som ett led i den andra fasen i arbetet med att skapa ett gemensamt europeiskt asy</w:t>
      </w:r>
      <w:r w:rsidRPr="00AE672E">
        <w:t>lsystem. Förslaget om en reviderad Eurodacförordning antogs av kommissionen den 3 december 2008.</w:t>
      </w:r>
    </w:p>
    <w:p w:rsidR="00AE672E" w:rsidRPr="00AE672E" w:rsidRDefault="00AE672E">
      <w:pPr>
        <w:pStyle w:val="Rubrik2"/>
      </w:pPr>
      <w:r w:rsidRPr="00AE672E">
        <w:t>Förslagets innehåll</w:t>
      </w:r>
    </w:p>
    <w:p w:rsidR="00AE672E" w:rsidRPr="00AE672E" w:rsidRDefault="00AE672E">
      <w:r w:rsidRPr="00AE672E">
        <w:t>För att anpassa Eurodac till de förändringar som det EU-</w:t>
      </w:r>
      <w:r w:rsidRPr="00AE672E">
        <w:rPr>
          <w:color w:val="000000"/>
          <w:szCs w:val="19"/>
        </w:rPr>
        <w:t xml:space="preserve">gemensamma regelverket på asylområdet har inneburit föreslår kommissionen att förordningens tillämpningsområde ska utvidgas till att, utöver personer som söker asyl, omfatta personer som söker </w:t>
      </w:r>
      <w:r w:rsidRPr="00AE672E">
        <w:t>sådant subsidiärt skydd som avses i skyddsgrundsdirektivet (rådets direktiv 2004/83/EG av den 29 april 2004 om miniminormer för när tredjelandsmedborgare eller statslösa personer skall betraktas som flyktingar eller som personer som av andra skäl behöver internationellt skydd samt om dessa personers rättsliga ställnin</w:t>
      </w:r>
      <w:r w:rsidRPr="00AE672E">
        <w:t xml:space="preserve">g och om innehållet i det beviljade skyddet, EUT L 304, </w:t>
      </w:r>
      <w:r w:rsidRPr="00AE672E">
        <w:rPr>
          <w:rStyle w:val="Betoning"/>
          <w:i w:val="0"/>
        </w:rPr>
        <w:t>30/09/2004, s. 12</w:t>
      </w:r>
      <w:r w:rsidRPr="00AE672E">
        <w:rPr>
          <w:i/>
        </w:rPr>
        <w:t>)</w:t>
      </w:r>
      <w:r w:rsidRPr="00AE672E">
        <w:rPr>
          <w:color w:val="000000"/>
          <w:szCs w:val="19"/>
        </w:rPr>
        <w:t xml:space="preserve">. Det föreslås även att </w:t>
      </w:r>
      <w:r w:rsidRPr="00AE672E">
        <w:t xml:space="preserve">vissa begrepp ska anpassas till terminologin i övriga asylrättsakter. </w:t>
      </w:r>
    </w:p>
    <w:p w:rsidR="00AE672E" w:rsidRPr="00AE672E" w:rsidRDefault="00AE672E">
      <w:r w:rsidRPr="00AE672E">
        <w:t>I syfte att underlätta tillämpningen av Dublinförordningen föreslår kommissionen att en skyldighet införs för medlemsstaterna att inom 48 timmar överföra fingeravtryck på personer som ansöker om internationellt skydd, samt på tredjelandsmedborgare eller statslösa som påträffas i samband med att de illegalt passerar en yttre gräns. Kommission</w:t>
      </w:r>
      <w:r w:rsidRPr="00AE672E">
        <w:t xml:space="preserve">en föreslår också att lagringstiden för fingeravtryck på tredjelandsmedborgare eller statslösa som påträffas i samband med att de illegalt passerar en yttre gräns sänks från två till ett år, för att anpassas till Dublinförordningens regler om när ett land ska anses vara ansvarigt att pröva en ansökan. Kommissionen föreslår också åtgärder för att medlemsstaterna bättre ska efterleva bestämmelserna om radering av personuppgifter. </w:t>
      </w:r>
    </w:p>
    <w:p w:rsidR="00AE672E" w:rsidRPr="00AE672E" w:rsidRDefault="00AE672E">
      <w:r w:rsidRPr="00AE672E">
        <w:t>Den gällande Eurodacförordningen föreskriver att fem år efter det att Eurodac h</w:t>
      </w:r>
      <w:r w:rsidRPr="00AE672E">
        <w:t>ar startat sin verksamhet, ska ett beslut fattas huruvida uppgifter om personer som har beviljats flyktingstatus ska raderas eller göras sökbara. Mot bakgrund av att det har framkommit att personer som redan har beviljats flyktingstatus har ansökt om asyl på nytt, föreslår kommissionen att uppgifterna nu ska göras sökbara.</w:t>
      </w:r>
    </w:p>
    <w:p w:rsidR="00AE672E" w:rsidRPr="00AE672E" w:rsidRDefault="00AE672E">
      <w:r w:rsidRPr="00AE672E">
        <w:t>Kommissionen föreslår vidare förändringar som ska tydliggöra hur den operativa förvaltningen av databasen ska organiseras, samt förtydliganden i bestämmelserna som reglerar ansvaret för a</w:t>
      </w:r>
      <w:r w:rsidRPr="00AE672E">
        <w:t>tt personuppgifter hanteras på ett lagligt sätt på nationell nivå samt centralt på EU-nivån. Kommissionen föreslår vidare förändringar till följd av bland annat den tekniska utveckling som har ägt rum sedan Eurodacförordningen trädde i kraft.</w:t>
      </w:r>
    </w:p>
    <w:p w:rsidR="00AE672E" w:rsidRPr="00AE672E" w:rsidRDefault="00AE672E">
      <w:r w:rsidRPr="00AE672E">
        <w:t>Slutligen föreslår kommissionen att Eurodacförordningens tillämpnings</w:t>
      </w:r>
      <w:r w:rsidRPr="00AE672E">
        <w:softHyphen/>
        <w:t>föreskrifter ska upphävas och bestämmelserna i stället föras in i förordningen, eftersom bestämmelserna i båda instrumenten är likartade och medbeslutandeförfarandet numera gäller för deras antagande.</w:t>
      </w:r>
    </w:p>
    <w:p w:rsidR="00AE672E" w:rsidRPr="00AE672E" w:rsidRDefault="00AE672E">
      <w:pPr>
        <w:pStyle w:val="Rubrik2"/>
      </w:pPr>
      <w:r w:rsidRPr="00AE672E">
        <w:t>Gällande svenska regler och förslagets effekt på dessa</w:t>
      </w:r>
    </w:p>
    <w:p w:rsidR="00AE672E" w:rsidRPr="00AE672E" w:rsidRDefault="00AE672E">
      <w:r w:rsidRPr="00AE672E">
        <w:t>Förslaget om ändringar i Eurodacförordningen, som är direkt tillämplig, förutses för närvarande inte få några effekter på gällande svenska regler. Eventuellt kan några mindre författningsändringar krävas.</w:t>
      </w:r>
    </w:p>
    <w:p w:rsidR="00AE672E" w:rsidRPr="00AE672E" w:rsidRDefault="00AE672E">
      <w:pPr>
        <w:pStyle w:val="Rubrik2"/>
      </w:pPr>
      <w:r w:rsidRPr="00AE672E">
        <w:t>Budgetära konsekvenser / Konsekvensanalys</w:t>
      </w:r>
    </w:p>
    <w:p w:rsidR="00AE672E" w:rsidRPr="00AE672E" w:rsidRDefault="00AE672E">
      <w:r w:rsidRPr="00AE672E">
        <w:t>Förslaget påverkar inte gemenskapens budget.</w:t>
      </w:r>
      <w:r w:rsidRPr="00AE672E">
        <w:rPr>
          <w:color w:val="000000"/>
          <w:szCs w:val="19"/>
        </w:rPr>
        <w:t xml:space="preserve"> En preliminär bedömning av förslagets ekonomiska konsekvenser för den svenska statsbudgeten är att om förslaget antas, kommer detta inte att medföra några ökade kostnader för statsbudgeten som inte ryms inom nuvarande anslagsramar.</w:t>
      </w:r>
    </w:p>
    <w:p w:rsidR="00AE672E" w:rsidRPr="00AE672E" w:rsidRDefault="00AE672E">
      <w:pPr>
        <w:pStyle w:val="Rubrik1"/>
      </w:pPr>
      <w:r w:rsidRPr="00AE672E">
        <w:t>Ståndpunkter</w:t>
      </w:r>
    </w:p>
    <w:p w:rsidR="00AE672E" w:rsidRPr="00AE672E" w:rsidRDefault="00AE672E">
      <w:pPr>
        <w:pStyle w:val="Rubrik2"/>
      </w:pPr>
      <w:r w:rsidRPr="00AE672E">
        <w:t>Preliminär svensk ståndpunkt</w:t>
      </w:r>
    </w:p>
    <w:p w:rsidR="00AE672E" w:rsidRPr="00AE672E" w:rsidRDefault="00AE672E">
      <w:r w:rsidRPr="00AE672E">
        <w:rPr>
          <w:color w:val="000000"/>
          <w:szCs w:val="19"/>
        </w:rPr>
        <w:t>Regeringen välkomnar</w:t>
      </w:r>
      <w:r w:rsidRPr="00AE672E">
        <w:t xml:space="preserve"> förslaget</w:t>
      </w:r>
      <w:r w:rsidRPr="00AE672E">
        <w:rPr>
          <w:color w:val="000000"/>
          <w:szCs w:val="19"/>
        </w:rPr>
        <w:t xml:space="preserve">. Regeringen eftersträvar ett fördjupat samarbete inom asylområdet och ser ett väl fungerande Dublinsystem som en viktig beståndsdel i ett gemensamt europeiskt asylsystem. Regeringen välkomnar därför förslaget </w:t>
      </w:r>
      <w:r w:rsidRPr="00AE672E">
        <w:t>att Eurodacförordningen anpassas till de förändringar som antagandet av gemensamma rättsakter har inneburit på asylområdet</w:t>
      </w:r>
      <w:r w:rsidRPr="00AE672E">
        <w:rPr>
          <w:color w:val="000000"/>
          <w:szCs w:val="19"/>
        </w:rPr>
        <w:t>. Regeringen välkomnar även de förslag som bidrar till en mer effektiv tillämpning av Dublinsystemet samt de förslag som bidrar till ett bättre skydd för personuppgifter.</w:t>
      </w:r>
    </w:p>
    <w:p w:rsidR="00AE672E" w:rsidRPr="00AE672E" w:rsidRDefault="00AE672E">
      <w:pPr>
        <w:pStyle w:val="Rubrik2"/>
      </w:pPr>
      <w:r w:rsidRPr="00AE672E">
        <w:t>Medlemsstaternas ståndpunkter</w:t>
      </w:r>
    </w:p>
    <w:p w:rsidR="00AE672E" w:rsidRPr="00AE672E" w:rsidRDefault="00AE672E">
      <w:r w:rsidRPr="00AE672E">
        <w:t>Ännu inte kända.</w:t>
      </w:r>
    </w:p>
    <w:p w:rsidR="00AE672E" w:rsidRPr="00AE672E" w:rsidRDefault="00AE672E">
      <w:pPr>
        <w:pStyle w:val="Rubrik2"/>
      </w:pPr>
      <w:r w:rsidRPr="00AE672E">
        <w:t>Institutionernas ståndpunkter</w:t>
      </w:r>
    </w:p>
    <w:p w:rsidR="00AE672E" w:rsidRPr="00AE672E" w:rsidRDefault="00AE672E">
      <w:r w:rsidRPr="00AE672E">
        <w:t>Europaparlamentet har ännu inte yttrat sig.</w:t>
      </w:r>
    </w:p>
    <w:p w:rsidR="00AE672E" w:rsidRPr="00AE672E" w:rsidRDefault="00AE672E">
      <w:pPr>
        <w:pStyle w:val="Rubrik2"/>
      </w:pPr>
      <w:r w:rsidRPr="00AE672E">
        <w:t>Remissinstansernas ståndpunkter</w:t>
      </w:r>
    </w:p>
    <w:p w:rsidR="00AE672E" w:rsidRPr="00AE672E" w:rsidRDefault="00AE672E">
      <w:r w:rsidRPr="00AE672E">
        <w:t>Ännu inte kända. Förslaget har remitterats till Migrationsverket och andra berörda myndigheter och organisationer.</w:t>
      </w:r>
    </w:p>
    <w:p w:rsidR="00AE672E" w:rsidRPr="00AE672E" w:rsidRDefault="00AE672E"/>
    <w:p w:rsidR="00AE672E" w:rsidRPr="00AE672E" w:rsidRDefault="00AE672E">
      <w:pPr>
        <w:pStyle w:val="Rubrik1"/>
      </w:pPr>
      <w:r w:rsidRPr="00AE672E">
        <w:t>Förslagets förutsättningar</w:t>
      </w:r>
    </w:p>
    <w:p w:rsidR="00AE672E" w:rsidRPr="00AE672E" w:rsidRDefault="00AE672E">
      <w:pPr>
        <w:pStyle w:val="Rubrik2"/>
      </w:pPr>
      <w:r w:rsidRPr="00AE672E">
        <w:t>Rättslig grund och beslutsförfarande</w:t>
      </w:r>
    </w:p>
    <w:p w:rsidR="00AE672E" w:rsidRPr="00AE672E" w:rsidRDefault="00AE672E">
      <w:r w:rsidRPr="00AE672E">
        <w:t xml:space="preserve">Kommissionen anger att den rättsliga grunden är artikel 63.1 a i EG-fördraget. </w:t>
      </w:r>
      <w:r w:rsidRPr="00AE672E">
        <w:rPr>
          <w:color w:val="000000"/>
          <w:szCs w:val="19"/>
        </w:rPr>
        <w:t xml:space="preserve">Beslut fattas av Europaparlamentet och rådet enligt medbeslutandeförfarandet i artikel 251 EG-fördraget, </w:t>
      </w:r>
      <w:r w:rsidRPr="00AE672E">
        <w:t>med kvalificerad majoritet i rådet.</w:t>
      </w:r>
    </w:p>
    <w:p w:rsidR="00AE672E" w:rsidRPr="00AE672E" w:rsidRDefault="00AE672E">
      <w:pPr>
        <w:pStyle w:val="Rubrik2"/>
      </w:pPr>
      <w:r w:rsidRPr="00AE672E">
        <w:t>Subsidiaritets- och proportionalitetsprincipen</w:t>
      </w:r>
    </w:p>
    <w:p w:rsidR="00AE672E" w:rsidRPr="00AE672E" w:rsidRDefault="00AE672E">
      <w:r w:rsidRPr="00AE672E">
        <w:t>Förslaget innebär en revidering av gällande regelverk på området. Preliminärt bedöms förslaget vara acceptabelt både från subsidiaritets- och proportionalitetssynpunkt.</w:t>
      </w:r>
    </w:p>
    <w:p w:rsidR="00AE672E" w:rsidRPr="00AE672E" w:rsidRDefault="00AE672E">
      <w:pPr>
        <w:pStyle w:val="Rubrik1"/>
      </w:pPr>
      <w:r w:rsidRPr="00AE672E">
        <w:t>Övrigt</w:t>
      </w:r>
    </w:p>
    <w:p w:rsidR="00AE672E" w:rsidRPr="00AE672E" w:rsidRDefault="00AE672E">
      <w:pPr>
        <w:pStyle w:val="Rubrik2"/>
      </w:pPr>
      <w:r w:rsidRPr="00AE672E">
        <w:t>Fortsatt behandling av ärendet</w:t>
      </w:r>
    </w:p>
    <w:p w:rsidR="00AE672E" w:rsidRPr="00AE672E" w:rsidRDefault="00AE672E">
      <w:r w:rsidRPr="00AE672E">
        <w:rPr>
          <w:color w:val="000000"/>
          <w:szCs w:val="19"/>
        </w:rPr>
        <w:t>Förslaget kommer att förhandlas i rådet med början under det tjeckiska ordförandeskapet våren 2009.</w:t>
      </w:r>
    </w:p>
    <w:p w:rsidR="00AE672E" w:rsidRPr="00AE672E" w:rsidRDefault="00AE672E"/>
    <w:p w:rsidR="00AE672E" w:rsidRPr="00AE672E" w:rsidRDefault="00AE672E">
      <w:pPr>
        <w:pStyle w:val="Rubrik2"/>
      </w:pPr>
      <w:r w:rsidRPr="00AE672E">
        <w:t>Fackuttryck/termer</w:t>
      </w:r>
    </w:p>
    <w:p w:rsidR="00AE672E" w:rsidRPr="00AE672E" w:rsidRDefault="00AE672E"/>
    <w:sectPr w:rsidR="00000000" w:rsidRPr="00AE672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672E" w:rsidRPr="00AE672E" w:rsidRDefault="00AE672E">
      <w:r w:rsidRPr="00AE672E">
        <w:separator/>
      </w:r>
    </w:p>
  </w:endnote>
  <w:endnote w:type="continuationSeparator" w:id="0">
    <w:p w:rsidR="00AE672E" w:rsidRPr="00AE672E" w:rsidRDefault="00AE672E">
      <w:r w:rsidRPr="00AE67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72E" w:rsidRPr="00AE672E" w:rsidRDefault="00AE672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72E" w:rsidRPr="00AE672E" w:rsidRDefault="00AE672E">
    <w:pPr>
      <w:pStyle w:val="SidfotH"/>
      <w:framePr w:wrap="around"/>
    </w:pPr>
    <w:r w:rsidRPr="00AE672E">
      <w:t>4</w:t>
    </w:r>
  </w:p>
  <w:p w:rsidR="00AE672E" w:rsidRPr="00AE672E" w:rsidRDefault="00AE672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72E" w:rsidRPr="00AE672E" w:rsidRDefault="00AE672E">
    <w:pPr>
      <w:pStyle w:val="SidfotH"/>
      <w:framePr w:wrap="around"/>
    </w:pPr>
    <w:r w:rsidRPr="00AE672E">
      <w:t>1</w:t>
    </w:r>
  </w:p>
  <w:p w:rsidR="00AE672E" w:rsidRPr="00AE672E" w:rsidRDefault="00AE67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672E" w:rsidRPr="00AE672E" w:rsidRDefault="00AE672E">
      <w:r w:rsidRPr="00AE672E">
        <w:separator/>
      </w:r>
    </w:p>
  </w:footnote>
  <w:footnote w:type="continuationSeparator" w:id="0">
    <w:p w:rsidR="00AE672E" w:rsidRPr="00AE672E" w:rsidRDefault="00AE672E">
      <w:r w:rsidRPr="00AE672E">
        <w:continuationSeparator/>
      </w:r>
    </w:p>
  </w:footnote>
  <w:footnote w:id="1">
    <w:p w:rsidR="00AE672E" w:rsidRPr="00AE672E" w:rsidRDefault="00AE672E">
      <w:pPr>
        <w:pStyle w:val="Fotnotstext"/>
      </w:pPr>
      <w:r w:rsidRPr="00AE672E">
        <w:rPr>
          <w:rStyle w:val="Fotnotsreferens"/>
        </w:rPr>
        <w:footnoteRef/>
      </w:r>
      <w:r w:rsidRPr="00AE672E">
        <w:t xml:space="preserve"> EGT L 316, 15.12.2000,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72E" w:rsidRPr="00AE672E" w:rsidRDefault="00AE672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72E" w:rsidRPr="00AE672E" w:rsidRDefault="00AE672E">
    <w:pPr>
      <w:pStyle w:val="Kantrubrik"/>
      <w:framePr w:h="1157" w:hRule="exact" w:wrap="around" w:y="738"/>
    </w:pPr>
    <w:r w:rsidRPr="00AE672E">
      <w:t>2008/09:FPM74</w:t>
    </w:r>
  </w:p>
  <w:p w:rsidR="00AE672E" w:rsidRPr="00AE672E" w:rsidRDefault="00AE672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72E" w:rsidRPr="00AE672E" w:rsidRDefault="00AE672E">
    <w:pPr>
      <w:pStyle w:val="Sidhuvud"/>
    </w:pPr>
    <w:r w:rsidRPr="00AE672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578906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672E" w:rsidRDefault="00AE672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3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E672E" w:rsidRDefault="00AE672E">
                    <w:pPr>
                      <w:pStyle w:val="Logo"/>
                    </w:pPr>
                    <w:r>
                      <w:object w:dxaOrig="840" w:dyaOrig="1545">
                        <v:shape id="_x0000_i1025" type="#_x0000_t75" style="width:42pt;height:77.5pt" filled="t">
                          <v:imagedata r:id="rId1" o:title=""/>
                        </v:shape>
                        <o:OLEObject Type="Embed" ProgID="Word.Picture.8" ShapeID="_x0000_i1025" DrawAspect="Content" ObjectID="_182751033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05365317">
    <w:abstractNumId w:val="4"/>
  </w:num>
  <w:num w:numId="2" w16cid:durableId="1643002334">
    <w:abstractNumId w:val="1"/>
  </w:num>
  <w:num w:numId="3" w16cid:durableId="974725104">
    <w:abstractNumId w:val="2"/>
  </w:num>
  <w:num w:numId="4" w16cid:durableId="1898471030">
    <w:abstractNumId w:val="3"/>
  </w:num>
  <w:num w:numId="5" w16cid:durableId="557284767">
    <w:abstractNumId w:val="5"/>
  </w:num>
  <w:num w:numId="6" w16cid:durableId="143548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2-16"/>
    <w:docVar w:name="Ar" w:val="2008/09"/>
    <w:docVar w:name="Dep" w:val="Justitiedepartementet"/>
    <w:docVar w:name="DepWeb" w:val="Justitiedepartementet"/>
    <w:docVar w:name="GDB1" w:val="KOM (2008) 82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rättande av Eurodac för jämförelse av fingeravtryck för en effektiv tillämpning av förordning (EG) nr […/…] [om kriterier och mekanismer för att avgöra vilken medlemsstat som har ansvaret för att pröva en ansökan om internationellt skydd som en medborgare i tredjeland eller en statslös person har gett in i någon medlemsstat] (Revidera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825 slutlig"/>
    <w:docVar w:name="Nr" w:val="74"/>
    <w:docVar w:name="RD_APPVERSION" w:val="3.00"/>
    <w:docVar w:name="Rub" w:val="Ändringar i Eurodacförordningen"/>
    <w:docVar w:name="UppDat" w:val="2009-02-16"/>
    <w:docVar w:name="Utsk" w:val="Socialförsäkringsutskottet"/>
  </w:docVars>
  <w:rsids>
    <w:rsidRoot w:val="009711D3"/>
    <w:rsid w:val="009711D3"/>
    <w:rsid w:val="00AE672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4A6BE20-9C63-4A0D-BCB1-6AF8B0EC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Stark">
    <w:name w:val="Strong"/>
    <w:basedOn w:val="Standardstycketeckensnitt"/>
    <w:qFormat/>
    <w:rPr>
      <w:b/>
      <w:bCs/>
    </w:rPr>
  </w:style>
  <w:style w:type="paragraph" w:customStyle="1" w:styleId="normal0">
    <w:name w:val="normal"/>
    <w:basedOn w:val="Normal"/>
    <w:pPr>
      <w:spacing w:before="100" w:beforeAutospacing="1" w:after="100" w:afterAutospacing="1" w:line="240" w:lineRule="auto"/>
      <w:jc w:val="left"/>
    </w:pPr>
    <w:rPr>
      <w:rFonts w:ascii="Verdana" w:hAnsi="Verdana"/>
      <w:sz w:val="24"/>
      <w:szCs w:val="24"/>
    </w:rPr>
  </w:style>
  <w:style w:type="character" w:styleId="Betoning">
    <w:name w:val="Emphasis"/>
    <w:basedOn w:val="Standardstycketeckensnitt"/>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1012</Words>
  <Characters>6541</Characters>
  <Application>Microsoft Office Word</Application>
  <DocSecurity>4</DocSecurity>
  <Lines>130</Lines>
  <Paragraphs>49</Paragraphs>
  <ScaleCrop>false</ScaleCrop>
  <HeadingPairs>
    <vt:vector size="2" baseType="variant">
      <vt:variant>
        <vt:lpstr>Rubrik</vt:lpstr>
      </vt:variant>
      <vt:variant>
        <vt:i4>1</vt:i4>
      </vt:variant>
    </vt:vector>
  </HeadingPairs>
  <TitlesOfParts>
    <vt:vector size="1" baseType="lpstr">
      <vt:lpstr>FPM_200809__74</vt:lpstr>
    </vt:vector>
  </TitlesOfParts>
  <Company>RD-DTSL</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FPM_200809__74</dc:title>
  <dc:subject>FPM_200809__74</dc:subject>
  <dc:creator>Riksdagen</dc:creator>
  <cp:keywords>Riksdagen</cp:keywords>
  <dc:description>KP2004-version.  Ändringarna påverkar enbart användningen inom Riksdagen. 050429 nya departement DTSL.</dc:description>
  <cp:lastModifiedBy>Lars Brink</cp:lastModifiedBy>
  <cp:revision>2</cp:revision>
  <cp:lastPrinted>2009-02-17T06:43:00Z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74</vt:lpwstr>
  </property>
  <property fmtid="{D5CDD505-2E9C-101B-9397-08002B2CF9AE}" pid="4" name="GDB1">
    <vt:lpwstr>KOM (2008) 825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Ändringar i Eurodacförordningen</vt:lpwstr>
  </property>
  <property fmtid="{D5CDD505-2E9C-101B-9397-08002B2CF9AE}" pid="8" name="UppDat">
    <vt:lpwstr>2009-02-16</vt:lpwstr>
  </property>
  <property fmtid="{D5CDD505-2E9C-101B-9397-08002B2CF9AE}" pid="9" name="AnkDat">
    <vt:lpwstr>2009-02-16</vt:lpwstr>
  </property>
  <property fmtid="{D5CDD505-2E9C-101B-9397-08002B2CF9AE}" pid="10" name="Utsk">
    <vt:lpwstr>Socialförsäkringsutskottet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2;0;0;443</vt:lpwstr>
  </property>
  <property fmtid="{D5CDD505-2E9C-101B-9397-08002B2CF9AE}" pid="42" name="Sprak">
    <vt:lpwstr>Svenska</vt:lpwstr>
  </property>
  <property fmtid="{D5CDD505-2E9C-101B-9397-08002B2CF9AE}" pid="43" name="DokID">
    <vt:i4>80</vt:i4>
  </property>
</Properties>
</file>