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AF530A" w:rsidRDefault="002F680D">
            <w:pPr>
              <w:pStyle w:val="HuvudRubrik"/>
            </w:pPr>
            <w:r>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961809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End w:id="0"/>
                                <w:bookmarkEnd w:id="1"/>
                                <w:bookmarkEnd w:id="2"/>
                                <w:bookmarkEnd w:id="3"/>
                                <w:bookmarkEnd w:id="4"/>
                                <w:bookmarkEnd w:id="5"/>
                                <w:bookmarkEnd w:id="6"/>
                                <w:p w:rsidR="00AF530A" w:rsidRDefault="00AF530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55pt;height:77.15pt" fillcolor="window">
                                        <v:imagedata r:id="rId7" o:title=""/>
                                      </v:shape>
                                      <o:OLEObject Type="Embed" ProgID="Word.Picture.8" ShapeID="_x0000_i1026" DrawAspect="Content" ObjectID="_182734052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7" w:name="_MON_929452563"/>
                          <w:bookmarkStart w:id="8" w:name="_MON_929529912"/>
                          <w:bookmarkStart w:id="9" w:name="_MON_932818888"/>
                          <w:bookmarkStart w:id="10" w:name="_MON_947076358"/>
                          <w:bookmarkStart w:id="11" w:name="_MON_947165881"/>
                          <w:bookmarkStart w:id="12" w:name="_MON_968067888"/>
                          <w:bookmarkStart w:id="13" w:name="_MON_968068624"/>
                          <w:bookmarkEnd w:id="7"/>
                          <w:bookmarkEnd w:id="8"/>
                          <w:bookmarkEnd w:id="9"/>
                          <w:bookmarkEnd w:id="10"/>
                          <w:bookmarkEnd w:id="11"/>
                          <w:bookmarkEnd w:id="12"/>
                          <w:bookmarkEnd w:id="13"/>
                          <w:p w:rsidR="00AF530A" w:rsidRDefault="00AF530A">
                            <w:pPr>
                              <w:pStyle w:val="Logo"/>
                            </w:pPr>
                            <w:r>
                              <w:object w:dxaOrig="840" w:dyaOrig="1545">
                                <v:shape id="_x0000_i1026" type="#_x0000_t75" style="width:41.55pt;height:77.15pt" fillcolor="window">
                                  <v:imagedata r:id="rId7" o:title=""/>
                                </v:shape>
                                <o:OLEObject Type="Embed" ProgID="Word.Picture.8" ShapeID="_x0000_i1026" DrawAspect="Content" ObjectID="_1827340523" r:id="rId9"/>
                              </w:object>
                            </w:r>
                          </w:p>
                        </w:txbxContent>
                      </v:textbox>
                      <w10:wrap anchorx="page" anchory="page"/>
                    </v:shape>
                  </w:pict>
                </mc:Fallback>
              </mc:AlternateContent>
            </w:r>
            <w:r w:rsidR="00AF530A">
              <w:t>Redogörelse till riksdagen</w:t>
            </w:r>
          </w:p>
          <w:p w:rsidR="00AF530A" w:rsidRDefault="00AF530A">
            <w:pPr>
              <w:pStyle w:val="HuvudRubrikRad2"/>
            </w:pPr>
            <w:bookmarkStart w:id="14" w:name="BetänkandeNr"/>
            <w:bookmarkEnd w:id="14"/>
            <w:r>
              <w:t>1998/99:ER1</w:t>
            </w:r>
          </w:p>
          <w:p w:rsidR="00AF530A" w:rsidRDefault="00AF530A">
            <w:pPr>
              <w:pStyle w:val="BetnkandeRubrik"/>
            </w:pPr>
            <w:bookmarkStart w:id="15" w:name="Huvudrubrik"/>
            <w:bookmarkEnd w:id="15"/>
            <w:r>
              <w:t xml:space="preserve">Från Sveriges delegation vid Europarådets </w:t>
            </w:r>
            <w:r>
              <w:br/>
              <w:t>parl</w:t>
            </w:r>
            <w:r>
              <w:t>a</w:t>
            </w:r>
            <w:r>
              <w:t>mentariska församling</w:t>
            </w:r>
          </w:p>
        </w:tc>
        <w:tc>
          <w:tcPr>
            <w:tcW w:w="1559" w:type="dxa"/>
            <w:tcBorders>
              <w:bottom w:val="nil"/>
            </w:tcBorders>
          </w:tcPr>
          <w:p w:rsidR="00AF530A" w:rsidRDefault="00AF530A">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F530A" w:rsidRDefault="00AF530A">
            <w:pPr>
              <w:spacing w:before="40" w:after="900" w:line="280" w:lineRule="exact"/>
              <w:jc w:val="left"/>
              <w:rPr>
                <w:sz w:val="28"/>
              </w:rPr>
            </w:pPr>
          </w:p>
        </w:tc>
        <w:tc>
          <w:tcPr>
            <w:tcW w:w="1559" w:type="dxa"/>
          </w:tcPr>
          <w:p w:rsidR="00AF530A" w:rsidRDefault="00AF530A">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F530A" w:rsidRDefault="00AF530A">
            <w:pPr>
              <w:spacing w:before="40" w:after="900" w:line="280" w:lineRule="exact"/>
              <w:jc w:val="left"/>
              <w:rPr>
                <w:sz w:val="28"/>
              </w:rPr>
            </w:pPr>
          </w:p>
        </w:tc>
        <w:tc>
          <w:tcPr>
            <w:tcW w:w="1559" w:type="dxa"/>
            <w:tcBorders>
              <w:bottom w:val="single" w:sz="6" w:space="0" w:color="auto"/>
            </w:tcBorders>
          </w:tcPr>
          <w:p w:rsidR="00AF530A" w:rsidRDefault="00AF530A">
            <w:pPr>
              <w:pStyle w:val="rtal"/>
            </w:pPr>
            <w:r>
              <w:t>ER1</w:t>
            </w:r>
          </w:p>
        </w:tc>
      </w:tr>
      <w:tr w:rsidR="00000000">
        <w:tblPrEx>
          <w:tblCellMar>
            <w:top w:w="0" w:type="dxa"/>
            <w:bottom w:w="0" w:type="dxa"/>
          </w:tblCellMar>
        </w:tblPrEx>
        <w:trPr>
          <w:cantSplit/>
          <w:trHeight w:hRule="exact" w:val="660"/>
        </w:trPr>
        <w:tc>
          <w:tcPr>
            <w:tcW w:w="3012" w:type="dxa"/>
          </w:tcPr>
          <w:p w:rsidR="00AF530A" w:rsidRDefault="00AF530A">
            <w:pPr>
              <w:pStyle w:val="StatusSida1"/>
            </w:pPr>
          </w:p>
        </w:tc>
        <w:tc>
          <w:tcPr>
            <w:tcW w:w="3012" w:type="dxa"/>
          </w:tcPr>
          <w:p w:rsidR="00AF530A" w:rsidRDefault="00AF530A">
            <w:pPr>
              <w:pStyle w:val="UtskriftsdatumSida1"/>
              <w:rPr>
                <w:b/>
                <w:sz w:val="28"/>
              </w:rPr>
            </w:pPr>
          </w:p>
        </w:tc>
        <w:tc>
          <w:tcPr>
            <w:tcW w:w="1559" w:type="dxa"/>
          </w:tcPr>
          <w:p w:rsidR="00AF530A" w:rsidRDefault="00AF530A"/>
        </w:tc>
      </w:tr>
    </w:tbl>
    <w:p w:rsidR="00AF530A" w:rsidRDefault="00AF530A"/>
    <w:p w:rsidR="00AF530A" w:rsidRDefault="00AF530A">
      <w:r>
        <w:t>Riksdagens Europarådsdelegation överlämnar bifogade redogörelse för ver</w:t>
      </w:r>
      <w:r>
        <w:t>k</w:t>
      </w:r>
      <w:r>
        <w:t>samheten inom den parlamentariska församlingen under 1998. Till redog</w:t>
      </w:r>
      <w:r>
        <w:t>ö</w:t>
      </w:r>
      <w:r>
        <w:t>relsen är fogad en förteckning över av församlingen under perioden antagna rekommendationer, resolutioner och andra beslut.</w:t>
      </w:r>
    </w:p>
    <w:p w:rsidR="00AF530A" w:rsidRDefault="00AF530A">
      <w:pPr>
        <w:pStyle w:val="Stockholm"/>
      </w:pPr>
      <w:r>
        <w:t>Stockholm den 18 februari 1999</w:t>
      </w:r>
    </w:p>
    <w:p w:rsidR="00AF530A" w:rsidRDefault="00AF530A">
      <w:pPr>
        <w:pStyle w:val="Vgnar"/>
      </w:pPr>
      <w:r>
        <w:t>På delegationens vägnar</w:t>
      </w:r>
    </w:p>
    <w:p w:rsidR="00AF530A" w:rsidRDefault="00AF530A">
      <w:pPr>
        <w:pStyle w:val="Ordfnamn"/>
      </w:pPr>
      <w:r>
        <w:t>Jan Bergqvist</w:t>
      </w:r>
    </w:p>
    <w:p w:rsidR="00AF530A" w:rsidRDefault="00AF530A">
      <w:pPr>
        <w:pStyle w:val="Ordfnamn"/>
      </w:pPr>
      <w:r>
        <w:t xml:space="preserve">                                                                   Kirsti Pulkka-Ericson</w:t>
      </w:r>
    </w:p>
    <w:p w:rsidR="00AF530A" w:rsidRDefault="00AF530A"/>
    <w:p w:rsidR="00AF530A" w:rsidRDefault="00AF530A"/>
    <w:p w:rsidR="00AF530A" w:rsidRDefault="00AF530A"/>
    <w:p w:rsidR="00AF530A" w:rsidRDefault="00AF530A"/>
    <w:p w:rsidR="00AF530A" w:rsidRDefault="00AF530A"/>
    <w:p w:rsidR="00AF530A" w:rsidRDefault="00AF530A"/>
    <w:p w:rsidR="00AF530A" w:rsidRDefault="00AF530A"/>
    <w:p w:rsidR="00AF530A" w:rsidRDefault="00AF530A">
      <w:pPr>
        <w:sectPr w:rsidR="00000000">
          <w:headerReference w:type="even" r:id="rId10"/>
          <w:headerReference w:type="default" r:id="rId11"/>
          <w:footerReference w:type="default" r:id="rId12"/>
          <w:pgSz w:w="11906" w:h="16838" w:code="9"/>
          <w:pgMar w:top="567" w:right="4876" w:bottom="4508" w:left="1134" w:header="227" w:footer="227" w:gutter="0"/>
          <w:cols w:space="720"/>
        </w:sectPr>
      </w:pPr>
    </w:p>
    <w:p w:rsidR="00AF530A" w:rsidRDefault="00AF530A">
      <w:pPr>
        <w:rPr>
          <w:sz w:val="28"/>
        </w:rPr>
      </w:pPr>
      <w:r>
        <w:rPr>
          <w:sz w:val="28"/>
        </w:rPr>
        <w:lastRenderedPageBreak/>
        <w:t xml:space="preserve">Europarådets medlemsstater 1998 </w:t>
      </w:r>
    </w:p>
    <w:p w:rsidR="00AF530A" w:rsidRDefault="002F680D">
      <w:pPr>
        <w:spacing w:line="240" w:lineRule="atLeast"/>
      </w:pPr>
      <w:r>
        <w:rPr>
          <w:noProof/>
        </w:rPr>
        <w:drawing>
          <wp:inline distT="0" distB="0" distL="0" distR="0">
            <wp:extent cx="3771900" cy="412051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71900" cy="4120515"/>
                    </a:xfrm>
                    <a:prstGeom prst="rect">
                      <a:avLst/>
                    </a:prstGeom>
                    <a:noFill/>
                    <a:ln>
                      <a:noFill/>
                    </a:ln>
                  </pic:spPr>
                </pic:pic>
              </a:graphicData>
            </a:graphic>
          </wp:inline>
        </w:drawing>
      </w:r>
    </w:p>
    <w:p w:rsidR="00AF530A" w:rsidRDefault="00AF530A">
      <w:r>
        <w:t>Albanien, Andorra, Belgien, Bulgarien, Cypern, Danmark, Estland, Finland, Frankrike, Grekland, Irland, Island, Italien, Kroatien, Lettland, Liechtenstein, Litauen, Luxemburg, Makedonien (FYROM), Malta, Moldova, Nederlä</w:t>
      </w:r>
      <w:r>
        <w:t>n</w:t>
      </w:r>
      <w:r>
        <w:t>derna, Norge, Polen, Portugal, Rumänien, Ryssland, San Marino, Schweiz, Slovakien, Slovenien, Spanien, Storbritannien, Sverige, Tjeckien, Turkiet, Tyskland, Ukraina, Ungern, Österrike</w:t>
      </w:r>
    </w:p>
    <w:p w:rsidR="00AF530A" w:rsidRDefault="00AF530A">
      <w:pPr>
        <w:spacing w:line="280" w:lineRule="exact"/>
        <w:rPr>
          <w:sz w:val="28"/>
        </w:rPr>
      </w:pPr>
      <w:r>
        <w:br w:type="page"/>
      </w:r>
      <w:r>
        <w:rPr>
          <w:sz w:val="28"/>
        </w:rPr>
        <w:t>Redogörelse från riksdagens Europarådsdelegation avseende Europarådets parlamentariska församlings session 1998</w:t>
      </w:r>
    </w:p>
    <w:p w:rsidR="00AF530A" w:rsidRDefault="00AF530A">
      <w:pPr>
        <w:spacing w:before="240"/>
        <w:rPr>
          <w:sz w:val="28"/>
        </w:rPr>
      </w:pPr>
    </w:p>
    <w:p w:rsidR="00AF530A" w:rsidRDefault="00AF530A">
      <w:pPr>
        <w:spacing w:before="240"/>
        <w:rPr>
          <w:sz w:val="28"/>
        </w:rPr>
      </w:pPr>
      <w:r>
        <w:rPr>
          <w:sz w:val="28"/>
        </w:rPr>
        <w:t>Innehållsförteckning</w:t>
      </w:r>
    </w:p>
    <w:p w:rsidR="00AF530A" w:rsidRDefault="00AF530A">
      <w:pPr>
        <w:pStyle w:val="Normaltindrag"/>
        <w:spacing w:line="180" w:lineRule="exact"/>
      </w:pPr>
    </w:p>
    <w:p w:rsidR="00AF530A" w:rsidRDefault="00AF530A">
      <w:pPr>
        <w:pStyle w:val="Innehll1"/>
        <w:rPr>
          <w:noProof/>
        </w:rPr>
      </w:pPr>
      <w:r>
        <w:rPr>
          <w:noProof/>
        </w:rPr>
        <w:t>1 Europarådets roll i det europeiska samarbetet</w:t>
      </w:r>
      <w:r>
        <w:rPr>
          <w:noProof/>
        </w:rPr>
        <w:tab/>
        <w:t>4</w:t>
      </w:r>
    </w:p>
    <w:p w:rsidR="00AF530A" w:rsidRDefault="00AF530A">
      <w:pPr>
        <w:pStyle w:val="Innehll1"/>
        <w:rPr>
          <w:noProof/>
        </w:rPr>
      </w:pPr>
      <w:r>
        <w:rPr>
          <w:noProof/>
        </w:rPr>
        <w:t>2 Den parlamentariska församlingens verksamhet under 1998: möten och viktigare frågor</w:t>
      </w:r>
      <w:r>
        <w:rPr>
          <w:noProof/>
        </w:rPr>
        <w:tab/>
        <w:t>5</w:t>
      </w:r>
    </w:p>
    <w:p w:rsidR="00AF530A" w:rsidRDefault="00AF530A">
      <w:pPr>
        <w:pStyle w:val="Innehll2"/>
        <w:rPr>
          <w:noProof/>
        </w:rPr>
      </w:pPr>
      <w:r>
        <w:rPr>
          <w:noProof/>
        </w:rPr>
        <w:t>2.1 Möten</w:t>
      </w:r>
      <w:r>
        <w:rPr>
          <w:noProof/>
        </w:rPr>
        <w:tab/>
        <w:t>5</w:t>
      </w:r>
    </w:p>
    <w:p w:rsidR="00AF530A" w:rsidRDefault="00AF530A">
      <w:pPr>
        <w:pStyle w:val="Innehll2"/>
        <w:rPr>
          <w:noProof/>
        </w:rPr>
      </w:pPr>
      <w:r>
        <w:rPr>
          <w:noProof/>
        </w:rPr>
        <w:t>2.2 Riksdagens delegation</w:t>
      </w:r>
      <w:r>
        <w:rPr>
          <w:noProof/>
        </w:rPr>
        <w:tab/>
        <w:t>5</w:t>
      </w:r>
    </w:p>
    <w:p w:rsidR="00AF530A" w:rsidRDefault="00AF530A">
      <w:pPr>
        <w:pStyle w:val="Innehll2"/>
        <w:rPr>
          <w:noProof/>
        </w:rPr>
      </w:pPr>
      <w:r>
        <w:rPr>
          <w:noProof/>
        </w:rPr>
        <w:t>2.3 Utvidgningen, granskning av efterlevnaden av åtaganden</w:t>
      </w:r>
      <w:r>
        <w:rPr>
          <w:noProof/>
        </w:rPr>
        <w:tab/>
        <w:t>6</w:t>
      </w:r>
    </w:p>
    <w:p w:rsidR="00AF530A" w:rsidRDefault="00AF530A">
      <w:pPr>
        <w:pStyle w:val="Innehll2"/>
        <w:rPr>
          <w:noProof/>
        </w:rPr>
      </w:pPr>
      <w:r>
        <w:rPr>
          <w:noProof/>
        </w:rPr>
        <w:t>2.4 Politiska frågor</w:t>
      </w:r>
      <w:r>
        <w:rPr>
          <w:noProof/>
        </w:rPr>
        <w:tab/>
        <w:t>7</w:t>
      </w:r>
    </w:p>
    <w:p w:rsidR="00AF530A" w:rsidRDefault="00AF530A">
      <w:pPr>
        <w:pStyle w:val="Innehll2"/>
        <w:rPr>
          <w:noProof/>
        </w:rPr>
      </w:pPr>
      <w:r>
        <w:rPr>
          <w:noProof/>
        </w:rPr>
        <w:t>2.5 Demokrati och mänskliga rättigheter</w:t>
      </w:r>
      <w:r>
        <w:rPr>
          <w:noProof/>
        </w:rPr>
        <w:tab/>
        <w:t>7</w:t>
      </w:r>
    </w:p>
    <w:p w:rsidR="00AF530A" w:rsidRDefault="00AF530A">
      <w:pPr>
        <w:pStyle w:val="Innehll2"/>
        <w:rPr>
          <w:noProof/>
        </w:rPr>
      </w:pPr>
      <w:r>
        <w:rPr>
          <w:noProof/>
        </w:rPr>
        <w:t>2.6 Sociala och ekonomiska frågor m.m.</w:t>
      </w:r>
      <w:r>
        <w:rPr>
          <w:noProof/>
        </w:rPr>
        <w:tab/>
        <w:t>8</w:t>
      </w:r>
    </w:p>
    <w:p w:rsidR="00AF530A" w:rsidRDefault="00AF530A">
      <w:pPr>
        <w:pStyle w:val="Innehll2"/>
        <w:rPr>
          <w:noProof/>
        </w:rPr>
      </w:pPr>
      <w:r>
        <w:rPr>
          <w:noProof/>
        </w:rPr>
        <w:t>2.7 Uppföljningen av toppmötet</w:t>
      </w:r>
      <w:r>
        <w:rPr>
          <w:noProof/>
        </w:rPr>
        <w:tab/>
        <w:t>8</w:t>
      </w:r>
    </w:p>
    <w:p w:rsidR="00AF530A" w:rsidRDefault="00AF530A">
      <w:pPr>
        <w:pStyle w:val="Innehll2"/>
        <w:rPr>
          <w:noProof/>
        </w:rPr>
      </w:pPr>
      <w:r>
        <w:rPr>
          <w:noProof/>
        </w:rPr>
        <w:t>2.8 Europeiskt talmansmöte i Stockholm</w:t>
      </w:r>
      <w:r>
        <w:rPr>
          <w:noProof/>
        </w:rPr>
        <w:tab/>
        <w:t>9</w:t>
      </w:r>
    </w:p>
    <w:p w:rsidR="00AF530A" w:rsidRDefault="00AF530A">
      <w:pPr>
        <w:pStyle w:val="Innehll2"/>
        <w:rPr>
          <w:noProof/>
        </w:rPr>
      </w:pPr>
      <w:r>
        <w:rPr>
          <w:noProof/>
        </w:rPr>
        <w:t>2.9 Utskottssammanträde i Stockholm</w:t>
      </w:r>
      <w:r>
        <w:rPr>
          <w:noProof/>
        </w:rPr>
        <w:tab/>
        <w:t>9</w:t>
      </w:r>
    </w:p>
    <w:p w:rsidR="00AF530A" w:rsidRDefault="00AF530A">
      <w:pPr>
        <w:pStyle w:val="Innehll2"/>
        <w:rPr>
          <w:noProof/>
        </w:rPr>
      </w:pPr>
      <w:r>
        <w:rPr>
          <w:noProof/>
        </w:rPr>
        <w:t>2.10 Gästtalare</w:t>
      </w:r>
      <w:r>
        <w:rPr>
          <w:noProof/>
        </w:rPr>
        <w:tab/>
        <w:t>10</w:t>
      </w:r>
    </w:p>
    <w:p w:rsidR="00AF530A" w:rsidRDefault="00AF530A">
      <w:pPr>
        <w:pStyle w:val="Innehll2"/>
        <w:rPr>
          <w:noProof/>
        </w:rPr>
      </w:pPr>
      <w:r>
        <w:rPr>
          <w:noProof/>
        </w:rPr>
        <w:t>2.11 Val av generalsekreterare för Europarådet</w:t>
      </w:r>
      <w:r>
        <w:rPr>
          <w:noProof/>
        </w:rPr>
        <w:tab/>
        <w:t>10</w:t>
      </w:r>
    </w:p>
    <w:p w:rsidR="00AF530A" w:rsidRDefault="00AF530A">
      <w:pPr>
        <w:pStyle w:val="Innehll1"/>
        <w:rPr>
          <w:noProof/>
        </w:rPr>
      </w:pPr>
      <w:r>
        <w:rPr>
          <w:noProof/>
        </w:rPr>
        <w:t>3 Den svenska representationen</w:t>
      </w:r>
      <w:r>
        <w:rPr>
          <w:noProof/>
        </w:rPr>
        <w:tab/>
        <w:t>10</w:t>
      </w:r>
    </w:p>
    <w:p w:rsidR="00AF530A" w:rsidRDefault="00AF530A">
      <w:pPr>
        <w:pStyle w:val="Innehll1"/>
        <w:rPr>
          <w:noProof/>
        </w:rPr>
      </w:pPr>
      <w:r>
        <w:rPr>
          <w:noProof/>
        </w:rPr>
        <w:t>4 Huvudområden för församlingens verksamhet</w:t>
      </w:r>
      <w:r>
        <w:rPr>
          <w:noProof/>
        </w:rPr>
        <w:tab/>
        <w:t>13</w:t>
      </w:r>
    </w:p>
    <w:p w:rsidR="00AF530A" w:rsidRDefault="00AF530A">
      <w:pPr>
        <w:pStyle w:val="Innehll2"/>
        <w:rPr>
          <w:noProof/>
        </w:rPr>
      </w:pPr>
      <w:r>
        <w:rPr>
          <w:noProof/>
        </w:rPr>
        <w:t>4.1 Granskning av hur medlemsländerna uppfyller sina åtaganden</w:t>
      </w:r>
      <w:r>
        <w:rPr>
          <w:noProof/>
        </w:rPr>
        <w:tab/>
        <w:t>13</w:t>
      </w:r>
    </w:p>
    <w:p w:rsidR="00AF530A" w:rsidRDefault="00AF530A">
      <w:pPr>
        <w:pStyle w:val="Innehll2"/>
        <w:rPr>
          <w:noProof/>
        </w:rPr>
      </w:pPr>
      <w:r>
        <w:rPr>
          <w:noProof/>
        </w:rPr>
        <w:t>4.2 Politiska frågor</w:t>
      </w:r>
      <w:r>
        <w:rPr>
          <w:noProof/>
        </w:rPr>
        <w:tab/>
        <w:t>14</w:t>
      </w:r>
    </w:p>
    <w:p w:rsidR="00AF530A" w:rsidRDefault="00AF530A">
      <w:pPr>
        <w:pStyle w:val="Innehll2"/>
        <w:rPr>
          <w:noProof/>
        </w:rPr>
      </w:pPr>
      <w:r>
        <w:rPr>
          <w:noProof/>
        </w:rPr>
        <w:t>4.3 Juridiska frågor och mänskliga rättigheter</w:t>
      </w:r>
      <w:r>
        <w:rPr>
          <w:noProof/>
        </w:rPr>
        <w:tab/>
        <w:t>16</w:t>
      </w:r>
    </w:p>
    <w:p w:rsidR="00AF530A" w:rsidRDefault="00AF530A">
      <w:pPr>
        <w:pStyle w:val="Innehll2"/>
        <w:rPr>
          <w:noProof/>
        </w:rPr>
      </w:pPr>
      <w:r>
        <w:rPr>
          <w:noProof/>
        </w:rPr>
        <w:t>4.4 Ekonomi och utveckling</w:t>
      </w:r>
      <w:r>
        <w:rPr>
          <w:noProof/>
        </w:rPr>
        <w:tab/>
        <w:t>17</w:t>
      </w:r>
    </w:p>
    <w:p w:rsidR="00AF530A" w:rsidRDefault="00AF530A">
      <w:pPr>
        <w:pStyle w:val="Innehll2"/>
        <w:rPr>
          <w:noProof/>
        </w:rPr>
      </w:pPr>
      <w:r>
        <w:rPr>
          <w:noProof/>
        </w:rPr>
        <w:t>4.5 Sociala frågor, hälso- och familjefrågor</w:t>
      </w:r>
      <w:r>
        <w:rPr>
          <w:noProof/>
        </w:rPr>
        <w:tab/>
        <w:t>17</w:t>
      </w:r>
    </w:p>
    <w:p w:rsidR="00AF530A" w:rsidRDefault="00AF530A">
      <w:pPr>
        <w:pStyle w:val="Innehll2"/>
        <w:rPr>
          <w:noProof/>
        </w:rPr>
      </w:pPr>
      <w:r>
        <w:rPr>
          <w:noProof/>
        </w:rPr>
        <w:t>4.6 Kultur och utbildning</w:t>
      </w:r>
      <w:r>
        <w:rPr>
          <w:noProof/>
        </w:rPr>
        <w:tab/>
        <w:t>18</w:t>
      </w:r>
    </w:p>
    <w:p w:rsidR="00AF530A" w:rsidRDefault="00AF530A">
      <w:pPr>
        <w:pStyle w:val="Innehll2"/>
        <w:rPr>
          <w:noProof/>
        </w:rPr>
      </w:pPr>
      <w:r>
        <w:rPr>
          <w:noProof/>
        </w:rPr>
        <w:t>4.7 Naturvetenskap och teknik</w:t>
      </w:r>
      <w:r>
        <w:rPr>
          <w:noProof/>
        </w:rPr>
        <w:tab/>
        <w:t>18</w:t>
      </w:r>
    </w:p>
    <w:p w:rsidR="00AF530A" w:rsidRDefault="00AF530A">
      <w:pPr>
        <w:pStyle w:val="Innehll2"/>
        <w:rPr>
          <w:noProof/>
        </w:rPr>
      </w:pPr>
      <w:r>
        <w:rPr>
          <w:noProof/>
        </w:rPr>
        <w:t>4.8 Miljö, regionalplanering, lokal förvaltning</w:t>
      </w:r>
      <w:r>
        <w:rPr>
          <w:noProof/>
        </w:rPr>
        <w:tab/>
        <w:t>19</w:t>
      </w:r>
    </w:p>
    <w:p w:rsidR="00AF530A" w:rsidRDefault="00AF530A">
      <w:pPr>
        <w:pStyle w:val="Innehll2"/>
        <w:rPr>
          <w:noProof/>
        </w:rPr>
      </w:pPr>
      <w:r>
        <w:rPr>
          <w:noProof/>
        </w:rPr>
        <w:t>4.9 Befolknings- och flyktingfrågor</w:t>
      </w:r>
      <w:r>
        <w:rPr>
          <w:noProof/>
        </w:rPr>
        <w:tab/>
        <w:t>19</w:t>
      </w:r>
    </w:p>
    <w:p w:rsidR="00AF530A" w:rsidRDefault="00AF530A">
      <w:pPr>
        <w:pStyle w:val="Innehll2"/>
        <w:rPr>
          <w:noProof/>
        </w:rPr>
      </w:pPr>
      <w:r>
        <w:rPr>
          <w:noProof/>
        </w:rPr>
        <w:t>4.10 Jordbruk och landsbygdsutveckling</w:t>
      </w:r>
      <w:r>
        <w:rPr>
          <w:noProof/>
        </w:rPr>
        <w:tab/>
        <w:t>20</w:t>
      </w:r>
    </w:p>
    <w:p w:rsidR="00AF530A" w:rsidRDefault="00AF530A">
      <w:pPr>
        <w:pStyle w:val="Innehll2"/>
        <w:rPr>
          <w:noProof/>
        </w:rPr>
      </w:pPr>
      <w:r>
        <w:rPr>
          <w:noProof/>
        </w:rPr>
        <w:t>4.11 Kontakter med nationella parlament och med allmänheten</w:t>
      </w:r>
      <w:r>
        <w:rPr>
          <w:noProof/>
        </w:rPr>
        <w:tab/>
        <w:t>20</w:t>
      </w:r>
    </w:p>
    <w:p w:rsidR="00AF530A" w:rsidRDefault="00AF530A">
      <w:pPr>
        <w:pStyle w:val="Innehll2"/>
        <w:rPr>
          <w:noProof/>
        </w:rPr>
      </w:pPr>
      <w:r>
        <w:rPr>
          <w:noProof/>
        </w:rPr>
        <w:t>4.12 Jämställdhet mellan kvinnor och män</w:t>
      </w:r>
      <w:r>
        <w:rPr>
          <w:noProof/>
        </w:rPr>
        <w:tab/>
        <w:t>20</w:t>
      </w:r>
    </w:p>
    <w:p w:rsidR="00AF530A" w:rsidRDefault="00AF530A">
      <w:pPr>
        <w:pStyle w:val="Innehll1"/>
        <w:rPr>
          <w:noProof/>
        </w:rPr>
      </w:pPr>
      <w:r>
        <w:rPr>
          <w:noProof/>
        </w:rPr>
        <w:t>Förteckning över församlingens beslut</w:t>
      </w:r>
      <w:r>
        <w:rPr>
          <w:noProof/>
        </w:rPr>
        <w:tab/>
        <w:t>21</w:t>
      </w:r>
    </w:p>
    <w:p w:rsidR="00AF530A" w:rsidRDefault="00AF530A">
      <w:pPr>
        <w:pStyle w:val="Rubrik2"/>
      </w:pPr>
    </w:p>
    <w:p w:rsidR="00AF530A" w:rsidRDefault="00AF530A"/>
    <w:p w:rsidR="00AF530A" w:rsidRDefault="00AF530A">
      <w:pPr>
        <w:pStyle w:val="Rubrik1"/>
      </w:pPr>
      <w:r>
        <w:br w:type="page"/>
      </w:r>
      <w:bookmarkStart w:id="16" w:name="_Toc444396618"/>
      <w:r>
        <w:t>1 Europarådets roll i det europeiska samarbetet</w:t>
      </w:r>
      <w:bookmarkEnd w:id="16"/>
    </w:p>
    <w:p w:rsidR="00AF530A" w:rsidRDefault="00AF530A">
      <w:r>
        <w:t>Europarådets historiska uppdrag är att medverka till Europas demokratiska säkerhet på grundval av kraven på demokrati, mänskliga rättigheter och en fungerande rättsstat. Europarådet har nu verkat i ett halvsekel. Sverige til</w:t>
      </w:r>
      <w:r>
        <w:t>l</w:t>
      </w:r>
      <w:r>
        <w:t>hörde grundarna när Europarådets stadgar undertecknades av 10 västeurop</w:t>
      </w:r>
      <w:r>
        <w:t>e</w:t>
      </w:r>
      <w:r>
        <w:t>iska stater i London den 5 maj 1949. Sedan dess har det politiska landskapet förändrats. Efter Berlinmurens fall har medlemskretsen snabbt utvidgats till att omfatta även flertalet länder i Central- och Östeuropa. I dag har Eur</w:t>
      </w:r>
      <w:r>
        <w:t>o</w:t>
      </w:r>
      <w:r>
        <w:t>parådet 40 medlemsländer och är därmed på väg att uppfylla sin alleuropei</w:t>
      </w:r>
      <w:r>
        <w:t>s</w:t>
      </w:r>
      <w:r>
        <w:t>ka kallelse med nästan alla europeiska stater som medlemmar.</w:t>
      </w:r>
    </w:p>
    <w:p w:rsidR="00AF530A" w:rsidRDefault="00AF530A">
      <w:pPr>
        <w:pStyle w:val="Normaltindrag"/>
      </w:pPr>
      <w:r>
        <w:t>Inom Europarådets ram samarbetar såväl medlemsländernas regeringar som parla</w:t>
      </w:r>
      <w:r>
        <w:t>ment och lokala politiska organ. Europarådet har tre huvudorgan: ett beslutande och verkställande organ – ministerkommittén, ett rådgivande organ – den parlamentariska församlingen, ett organ för samarbete på lokal och regional nivå – den europeiska kongressen för lokala och regionala o</w:t>
      </w:r>
      <w:r>
        <w:t>r</w:t>
      </w:r>
      <w:r>
        <w:t>gan, kommunalkongressen CLRAE. Den parlamentariska församlingen har för närvarande 286 ledamöter och lika många suppleanter som utsetts av de 40 medlemsländernas parlament. Dessutom deltar med gäststatus parlame</w:t>
      </w:r>
      <w:r>
        <w:t>n</w:t>
      </w:r>
      <w:r>
        <w:t>tariska dele</w:t>
      </w:r>
      <w:r>
        <w:t>gationer från fyra stater som ansökt om medlemskap, nämligen Armenien, Azerbajdzjan, Bosnien-Hercegovina och Georgien, och som obser</w:t>
      </w:r>
      <w:r>
        <w:softHyphen/>
        <w:t>vatörer parlamentariker från Israel och Canada. Vid januarisessionen 1999 tillstyrkte församlingen Georgiens ansökan om medlemskap i Eur</w:t>
      </w:r>
      <w:r>
        <w:t>o</w:t>
      </w:r>
      <w:r>
        <w:t>pa</w:t>
      </w:r>
      <w:r>
        <w:softHyphen/>
        <w:t>rådet.</w:t>
      </w:r>
    </w:p>
    <w:p w:rsidR="00AF530A" w:rsidRDefault="00AF530A">
      <w:pPr>
        <w:pStyle w:val="Normaltindrag"/>
      </w:pPr>
      <w:r>
        <w:t>Sedan tillkomsten 1949 har den parlamentariska församlingen inom Eur</w:t>
      </w:r>
      <w:r>
        <w:t>o</w:t>
      </w:r>
      <w:r>
        <w:t>parådets ram bidragit till att främja fred och frihet, mänskliga rättigheter, demokratins principer och social rättvisa i Europa. Även om församlingen i första hand har en rådgivande funktion har parlamentarikerförsamlingen aktivt medverkat till utvidgningen av Europarådet. I arbetet har ingått att  förbereda kandidatländer för medlemskap, bedöma om villkoren för me</w:t>
      </w:r>
      <w:r>
        <w:t>d</w:t>
      </w:r>
      <w:r>
        <w:t xml:space="preserve">lemskap är uppfyllda och bistå de nya medlemsländerna i deras demokratiska utveckling. Församlingen har även varit pådrivande i andra frågor, </w:t>
      </w:r>
      <w:r>
        <w:t>bl.a. för tillkomsten av konventioner.</w:t>
      </w:r>
    </w:p>
    <w:p w:rsidR="00AF530A" w:rsidRDefault="00AF530A">
      <w:pPr>
        <w:pStyle w:val="Normaltindrag"/>
      </w:pPr>
      <w:r>
        <w:t>En viktig fråga för den parlamentariska församlingen är att säkerställa att Europarådets grundläggande värderingar inte försvagas – och därigenom dess trovärdighet – när medlemsantalet växer. Församlingen följer två vägar för att stödja de nya medlemsländerna i deras strävan att uppfylla sina åt</w:t>
      </w:r>
      <w:r>
        <w:t>a</w:t>
      </w:r>
      <w:r>
        <w:t>ganden om en demokratisk samhällsutveckling. Man har utvecklat grans</w:t>
      </w:r>
      <w:r>
        <w:t>k</w:t>
      </w:r>
      <w:r>
        <w:t>ningsprocedurer och inrättat ett utskott för granskning av medlemsländernas uppfyllande av sina åtaganden, som metodiskt och återkommande granskar hur medlemsstaterna efterlever sina åtaganden och tillämpar Europarådets principer om demokrati, mänskliga rättigheter och rättsstatens principer. Samtidigt stödjer man utvecklingen av de nya medlemsstaternas lagstiftning och rättsväsende genom utbildningsprogram, studiebesök, rådgivning till n</w:t>
      </w:r>
      <w:r>
        <w:t>ybi</w:t>
      </w:r>
      <w:r>
        <w:t>l</w:t>
      </w:r>
      <w:r>
        <w:t>dade parlament och seminarier för lagstiftare.</w:t>
      </w:r>
    </w:p>
    <w:p w:rsidR="00AF530A" w:rsidRDefault="00AF530A">
      <w:pPr>
        <w:pStyle w:val="Normaltindrag"/>
      </w:pPr>
      <w:r>
        <w:t>Europarådet högtidlighåller sitt femtioårsjubileum den 5 maj 1999. Fö</w:t>
      </w:r>
      <w:r>
        <w:t>r</w:t>
      </w:r>
      <w:r>
        <w:t>ändringarna i omvärlden ställer nya krav på organisationen. Inför millenni</w:t>
      </w:r>
      <w:r>
        <w:t>e</w:t>
      </w:r>
      <w:r>
        <w:t>skiftet har medlemsstaternas regeringar och parlament arbetat med  frågan om verksamhetens framtida inriktning och det europeiska samarbetet. En grupp ”visa personer”, tillsatta av toppmötet, har utarbetat ett förslag till förnyelse av organisationen.</w:t>
      </w:r>
    </w:p>
    <w:p w:rsidR="00AF530A" w:rsidRDefault="00AF530A">
      <w:pPr>
        <w:pStyle w:val="Rubrik1"/>
      </w:pPr>
      <w:bookmarkStart w:id="17" w:name="_Toc444396619"/>
      <w:r>
        <w:t>2 Den parlamentariska församlingens verksamhet under 1998: möten och viktigare frågor</w:t>
      </w:r>
      <w:bookmarkEnd w:id="17"/>
    </w:p>
    <w:p w:rsidR="00AF530A" w:rsidRDefault="00AF530A">
      <w:pPr>
        <w:pStyle w:val="Rubrik2"/>
        <w:spacing w:before="123"/>
      </w:pPr>
      <w:bookmarkStart w:id="18" w:name="_Toc444396620"/>
      <w:r>
        <w:t>2.1 Möten</w:t>
      </w:r>
      <w:bookmarkEnd w:id="18"/>
    </w:p>
    <w:p w:rsidR="00AF530A" w:rsidRDefault="00AF530A">
      <w:r>
        <w:t>Europarådets parlamentariska församlings session 1998 var fördelad på fyra delsessioner. Samtliga hölls i Strasbourg. Delsessionerna ägde rum den 26–30 januari, den 20–24 april, den 22–26 juni och den 21–25 september. Ständ</w:t>
      </w:r>
      <w:r>
        <w:t>i</w:t>
      </w:r>
      <w:r>
        <w:t>ga utskottet, som beslutar på församlingens vägnar mellan delsessionerna, sammanträdde den 18 mars, den 26 maj och den 4 november. En s.k. min</w:t>
      </w:r>
      <w:r>
        <w:t>i</w:t>
      </w:r>
      <w:r>
        <w:t>session hölls i Lissabon den 25–26 maj med deltagande av ständiga utskottet och tre fackutskott.</w:t>
      </w:r>
    </w:p>
    <w:p w:rsidR="00AF530A" w:rsidRDefault="00AF530A">
      <w:pPr>
        <w:pStyle w:val="Normaltindrag"/>
      </w:pPr>
      <w:r>
        <w:t>Vid de fyra delsessionerna debatterade församlingen rapporter, avgav r</w:t>
      </w:r>
      <w:r>
        <w:t>e</w:t>
      </w:r>
      <w:r>
        <w:t>kommendationer till ministerkommittén, antog resolutioner samt direktiv och gjorde uttalanden i aktuella frågor. De rapporter som lades fram för försa</w:t>
      </w:r>
      <w:r>
        <w:t>m</w:t>
      </w:r>
      <w:r>
        <w:t>lingen och det ständiga utskottet hade förberetts i de 14 fackutskotten som sammanträtt  antingen i Strasbourg, i Paris eller i något av medlemsländerna på inbjudan av respektive lands parlament.</w:t>
      </w:r>
    </w:p>
    <w:p w:rsidR="00AF530A" w:rsidRDefault="00AF530A">
      <w:pPr>
        <w:pStyle w:val="Normaltindrag"/>
      </w:pPr>
      <w:r>
        <w:t>Till president för församlingen omvaldes för tredje året den tyska parl</w:t>
      </w:r>
      <w:r>
        <w:t>a</w:t>
      </w:r>
      <w:r>
        <w:t>mentsledamoten Leni Fischer (CDU). Enligt praxis kan man väljas till pres</w:t>
      </w:r>
      <w:r>
        <w:t>i</w:t>
      </w:r>
      <w:r>
        <w:t>dent högst tre år.</w:t>
      </w:r>
    </w:p>
    <w:p w:rsidR="00AF530A" w:rsidRDefault="00AF530A">
      <w:pPr>
        <w:pStyle w:val="Rubrik2"/>
      </w:pPr>
      <w:bookmarkStart w:id="19" w:name="_Toc444396621"/>
      <w:r>
        <w:t>2.2 Riksdagens delegation</w:t>
      </w:r>
      <w:bookmarkEnd w:id="19"/>
    </w:p>
    <w:p w:rsidR="00AF530A" w:rsidRDefault="00AF530A">
      <w:r>
        <w:t>Den svenska delegationen vid 1998 års session bestod av sex ordinarie led</w:t>
      </w:r>
      <w:r>
        <w:t>a</w:t>
      </w:r>
      <w:r>
        <w:t>möter: Jan Bergqvist (s), ordförande, Anders Björck (m), vice ordförande, Berit Andnor (s), Göran Magnusson (s), Lisbet Calner (s) och Birger Hagård (m). Suppleanter för dessa var Sören Lekberg (s), Ingegerd Wärnersson (s), Knut Billing (m), Inga-Britt Johansson (s), Olof Johansson (c) och Elisabeth Fleetwood (m). Maud Björnemalm (s) valdes i oktober att efterträda Ing</w:t>
      </w:r>
      <w:r>
        <w:t>e</w:t>
      </w:r>
      <w:r>
        <w:t>gerd Wärnersson som då utnämnts till statsråd.</w:t>
      </w:r>
    </w:p>
    <w:p w:rsidR="00AF530A" w:rsidRDefault="00AF530A">
      <w:pPr>
        <w:pStyle w:val="Normaltindrag"/>
      </w:pPr>
      <w:r>
        <w:t xml:space="preserve">Berit Andnor valdes till vicepresident i den parlamentariska församlingen för 1998. Hon var </w:t>
      </w:r>
      <w:r>
        <w:t>dessutom ledamot i församlingens byrå och ”Joint Co</w:t>
      </w:r>
      <w:r>
        <w:t>m</w:t>
      </w:r>
      <w:r>
        <w:t>mittee”. Birger Hagård var under 1998 ordförande i utskottet för juridiska frågor och mänskliga rättigheter. Inga-Britt Johansson var ordförande i u</w:t>
      </w:r>
      <w:r>
        <w:t>t</w:t>
      </w:r>
      <w:r>
        <w:t>skottet för jordbruksfrågor och landsbygdsutveckling.</w:t>
      </w:r>
    </w:p>
    <w:p w:rsidR="00AF530A" w:rsidRDefault="00AF530A">
      <w:pPr>
        <w:pStyle w:val="Normaltindrag"/>
      </w:pPr>
      <w:r>
        <w:t>Delegationen förberedde delsessionerna vid möten i riksdagen. Vid tre til</w:t>
      </w:r>
      <w:r>
        <w:t>l</w:t>
      </w:r>
      <w:r>
        <w:t>fällen hölls gemensamma möten med den svenska delegationen till Eur</w:t>
      </w:r>
      <w:r>
        <w:t>o</w:t>
      </w:r>
      <w:r>
        <w:t>parådets kongress för lokala och regionala organ, CLRAE, som består av kommun- och landstingspolitiker.</w:t>
      </w:r>
    </w:p>
    <w:p w:rsidR="00AF530A" w:rsidRDefault="00AF530A">
      <w:pPr>
        <w:pStyle w:val="Normaltindrag"/>
      </w:pPr>
      <w:r>
        <w:t>Efter riksdagsvalet i september 1998 utsåg kammaren en ny delegation för mandatperioden 1999–2002. Till ordinarie ledamöter utsågs Jan Bergqvist (s), Anders Björck (m), Lisbet Calner (s), Maud Björnemalm (s), Maggi Mikaelsson (v), Ingrid Näslund (kd) och till suppleanter Göran Magnusson (s), Knut Billing (m), Sören Lekberg (s), Marie Gra</w:t>
      </w:r>
      <w:r>
        <w:t>nlund (s), Mats Einarsson (v) samt Björn von der Esch (kd). Delegationen höll ett konstituerande möte i december 1998. Presidiet omvaldes.</w:t>
      </w:r>
    </w:p>
    <w:p w:rsidR="00AF530A" w:rsidRDefault="00AF530A">
      <w:pPr>
        <w:pStyle w:val="Rubrik2"/>
      </w:pPr>
      <w:bookmarkStart w:id="20" w:name="_Toc444396622"/>
      <w:r>
        <w:t>2.3 Utvidgningen, granskning av efterlevnaden av åtaganden</w:t>
      </w:r>
      <w:bookmarkEnd w:id="20"/>
    </w:p>
    <w:p w:rsidR="00AF530A" w:rsidRDefault="00AF530A">
      <w:r>
        <w:t xml:space="preserve">Den parlamentariska församlingens arbete har under hela 1990-talet präglats av utvecklingen i Öst- och Centraleuropa. För framtiden är det särskilt viktigt att stärka de demokratiska krafterna i dessa länder och stödja deras strävan att bygga upp ett oberoende rättsväsende, skydda nationella minoriteter, avskaffa dödsstraffet och stärka de mänskliga rättigheterna. </w:t>
      </w:r>
    </w:p>
    <w:p w:rsidR="00AF530A" w:rsidRDefault="00AF530A">
      <w:pPr>
        <w:pStyle w:val="Normaltindrag"/>
      </w:pPr>
      <w:r>
        <w:t>Övervakningen av att de 40 medlemsländerna uppfyller medlemskapets krav på demokrati, mänskliga rättigheter och rättsstatens principer fortsatte även under 1998 att vara en prioriterad uppgift som engagerade parlament</w:t>
      </w:r>
      <w:r>
        <w:t>a</w:t>
      </w:r>
      <w:r>
        <w:t>rikerförsamlingen. Församlingen har under de senare åren utarbetat en ny struktur för granskning.</w:t>
      </w:r>
    </w:p>
    <w:p w:rsidR="00AF530A" w:rsidRDefault="00AF530A">
      <w:pPr>
        <w:pStyle w:val="Normaltindrag"/>
      </w:pPr>
      <w:r>
        <w:t>Granskningsutskottet, som varit verksamt sedan april 1997, har till uppgift att kontinuerligt granska att alla medlemsländerna, nya såväl som gamla, respekterar Europarådets grundläggande principer och uppfyller de åtaga</w:t>
      </w:r>
      <w:r>
        <w:t>n</w:t>
      </w:r>
      <w:r>
        <w:t>den som gjorts i samband med medlemskap. Utskottet har tagit över de granskningsuppgifter som tidigare åvilat de politiska och juridiska utskotten och utskottet för förbindelser med europeiska icke-medlemsländer. Dess 65 ledamöter utses av de fem politiska grupperna (i motsats till de andra u</w:t>
      </w:r>
      <w:r>
        <w:t>t</w:t>
      </w:r>
      <w:r>
        <w:t>skotten där medlemmarna utses av de nationella delegationerna). Härutöver ingår de politiska och juridiska utskottens ordföranden ex officio. Grans</w:t>
      </w:r>
      <w:r>
        <w:t>k</w:t>
      </w:r>
      <w:r>
        <w:t xml:space="preserve">ningsutskottets möten är inte öppna  för andra än ledamöterna. Under </w:t>
      </w:r>
      <w:r>
        <w:t>1998 granskades Bulgarien och Ryssland. Andra stater, som är föremål för påg</w:t>
      </w:r>
      <w:r>
        <w:t>å</w:t>
      </w:r>
      <w:r>
        <w:t xml:space="preserve">ende övervakning, är Albanien, Kroatien, Lettland, Moldova, Slovakien, Makedonien (FYROM), Turkiet och Ukraina. </w:t>
      </w:r>
    </w:p>
    <w:p w:rsidR="00AF530A" w:rsidRDefault="00AF530A">
      <w:pPr>
        <w:pStyle w:val="Normaltindrag"/>
      </w:pPr>
      <w:r>
        <w:t xml:space="preserve">Vitrysslands parlaments gäststatus (sedan 1992) är suspenderad av byrån på rekommendation av politiska utskottet. </w:t>
      </w:r>
    </w:p>
    <w:p w:rsidR="00AF530A" w:rsidRDefault="00AF530A">
      <w:pPr>
        <w:pStyle w:val="Normaltindrag"/>
      </w:pPr>
      <w:r>
        <w:t>I Bosnien-Hercegovina, som sedan 1994 har gäststatus, har utvecklingen bedömts gå åt rätt håll. Som följd av detta beslutade församlingens byrå i mars att inleda den procedur som leder till landets medlemskap i Europar</w:t>
      </w:r>
      <w:r>
        <w:t>å</w:t>
      </w:r>
      <w:r>
        <w:t xml:space="preserve">det. Som ett första steg i proceduren reste en grupp framstående jurister till landet för att undersöka om det juridiska systemet uppfyller Europarådets krav.  </w:t>
      </w:r>
    </w:p>
    <w:p w:rsidR="00AF530A" w:rsidRDefault="00AF530A">
      <w:pPr>
        <w:pStyle w:val="Normaltindrag"/>
      </w:pPr>
      <w:r>
        <w:t>Förbundsrepubliken Jugoslavien ansökte om medlemskap under våren 1998. Monaco lämnade in sin medlemskapsansökan under hösten.</w:t>
      </w:r>
    </w:p>
    <w:p w:rsidR="00AF530A" w:rsidRDefault="00AF530A">
      <w:pPr>
        <w:pStyle w:val="Normaltindrag"/>
      </w:pPr>
      <w:r>
        <w:t xml:space="preserve">Vid den första delsessionen debatterades </w:t>
      </w:r>
      <w:r>
        <w:rPr>
          <w:i/>
        </w:rPr>
        <w:t>erkännandet av den ukrainska delegationens fullmakter</w:t>
      </w:r>
      <w:r>
        <w:t xml:space="preserve"> (dok. 7993). Församlingen hade under de föregåe</w:t>
      </w:r>
      <w:r>
        <w:t>n</w:t>
      </w:r>
      <w:r>
        <w:t>de månaderna diskuterat möjligheten att inte godkänna fullmakterna. De godkändes dock efter omröstning i plenum.</w:t>
      </w:r>
    </w:p>
    <w:p w:rsidR="00AF530A" w:rsidRDefault="00AF530A">
      <w:r>
        <w:t>Ministerkommittén har sin egen särskilda övervakningsprocedur. Även kommunalkongressen, CLRAE, har en roll som övervakare av att den lokala självstyrelsen efterlevs.</w:t>
      </w:r>
    </w:p>
    <w:p w:rsidR="00AF530A" w:rsidRDefault="00AF530A">
      <w:pPr>
        <w:pStyle w:val="Rubrik2"/>
      </w:pPr>
      <w:bookmarkStart w:id="21" w:name="_Toc444396623"/>
      <w:r>
        <w:t>2.4 Politiska frågor</w:t>
      </w:r>
      <w:bookmarkEnd w:id="21"/>
    </w:p>
    <w:p w:rsidR="00AF530A" w:rsidRDefault="00AF530A">
      <w:r>
        <w:t>Förutom kärnämnet granskning av medlemsstaternas åtaganden dominerades 1998 års debatter i parlamentarikerförsamlingen av de akuta kriserna på Balkan. Situationen i Kosovo var på parlamentarikerförsamlingens dagor</w:t>
      </w:r>
      <w:r>
        <w:t>d</w:t>
      </w:r>
      <w:r>
        <w:t>ning  vid varje delsession. Förbundsrepubliken Jugoslavien och Albanien  var också återkommande teman. Det rådde en samsyn att Europarådet inte passivt bör avvakta att andra aktörer löser kriserna. Omedelbart eldupphör, fortsatt granskning av situationen, respekt för yttrandefrihet i hela Förbund</w:t>
      </w:r>
      <w:r>
        <w:t>s</w:t>
      </w:r>
      <w:r>
        <w:t>republiken Jugoslavien samt lagstiftning och praxis som är i harmoni med Europarådets principer var krav som framfördes. Församlingen ville ge en klar signal till det jugoslaviska ledarskapet att respekt för mänsk</w:t>
      </w:r>
      <w:r>
        <w:t>liga rätti</w:t>
      </w:r>
      <w:r>
        <w:t>g</w:t>
      </w:r>
      <w:r>
        <w:t xml:space="preserve">heter, demokrati och rättsstatens principer är villkor för medlemskap. </w:t>
      </w:r>
    </w:p>
    <w:p w:rsidR="00AF530A" w:rsidRDefault="00AF530A">
      <w:pPr>
        <w:pStyle w:val="Normaltindrag"/>
      </w:pPr>
      <w:r>
        <w:t>Andra aktuella frågor som debatterades av församlingen var läget i Alger</w:t>
      </w:r>
      <w:r>
        <w:t>i</w:t>
      </w:r>
      <w:r>
        <w:t xml:space="preserve">et och fredsprocessen i Nordirland. </w:t>
      </w:r>
    </w:p>
    <w:p w:rsidR="00AF530A" w:rsidRDefault="00AF530A">
      <w:pPr>
        <w:pStyle w:val="Normaltindrag"/>
      </w:pPr>
      <w:r>
        <w:t>De akuta kriserna i Kosovo och Albanien och valövervakningar i ett flertal länder har visat att Europarådet i samarbete med andra organisationer på ett positivt sätt kan bidra till främjandet av fred och demokrati. Man kan säga att utöver debatterna rörande konflikter och fredshot var Europarådets roll och samarbete med andra internationella organisationer de mest centrala frågorna under 1998.</w:t>
      </w:r>
    </w:p>
    <w:p w:rsidR="00AF530A" w:rsidRDefault="00AF530A">
      <w:pPr>
        <w:pStyle w:val="Normaltindrag"/>
      </w:pPr>
      <w:r>
        <w:t>Samarbetet mellan EU och Europarådet samt mellan de två parlamentari</w:t>
      </w:r>
      <w:r>
        <w:t>s</w:t>
      </w:r>
      <w:r>
        <w:t xml:space="preserve">ka församlingarna berördes vid en särskild debatt och i samband med ett besök vid Europarådets parlamentariska församling av Europaparlamentets talman. </w:t>
      </w:r>
    </w:p>
    <w:p w:rsidR="00AF530A" w:rsidRDefault="00AF530A">
      <w:pPr>
        <w:pStyle w:val="Rubrik2"/>
      </w:pPr>
      <w:bookmarkStart w:id="22" w:name="_Toc444396624"/>
      <w:r>
        <w:t>2.5 Demokrati och mänskliga rättigheter</w:t>
      </w:r>
      <w:bookmarkEnd w:id="22"/>
    </w:p>
    <w:p w:rsidR="00AF530A" w:rsidRDefault="00AF530A">
      <w:r>
        <w:t xml:space="preserve">Demokrati och mänskliga rättigheter återkom i många olika debatter under 1998. Utöver granskningen inför och efter medlemskap var det främst den fortsatta förekomsten av dödsstraff i vissa av medlemsländerna som var föremål för intensiv bevakning. 1998 års session inleddes med en debatt om Ukrainas åtagande att införa moratorium på verkställandet av dödsstraff. Församlingen fortsatte sin bevakning av att flyktingars, tvångsförflyttades och asylsökandes rättigheter beaktas även under svåra förhållanden och </w:t>
      </w:r>
      <w:r>
        <w:t>att anslutningen till Europarådets konventioner om skydd för nationella minor</w:t>
      </w:r>
      <w:r>
        <w:t>i</w:t>
      </w:r>
      <w:r>
        <w:t>teter och om historiska minoritetsspråk fortskrider. De värnpliktigas mäns</w:t>
      </w:r>
      <w:r>
        <w:t>k</w:t>
      </w:r>
      <w:r>
        <w:t>liga rättigheter var också föremål för parlamentarikerförsamlingens intresse.</w:t>
      </w:r>
    </w:p>
    <w:p w:rsidR="00AF530A" w:rsidRDefault="00AF530A">
      <w:pPr>
        <w:pStyle w:val="Normaltindrag"/>
      </w:pPr>
      <w:r>
        <w:t>Den nya europeiska domstolen för mänskliga rättigheter började sin ver</w:t>
      </w:r>
      <w:r>
        <w:t>k</w:t>
      </w:r>
      <w:r>
        <w:t>samhet den 1 november 1998 i enlighet med beslut vid Europarådets top</w:t>
      </w:r>
      <w:r>
        <w:t>p</w:t>
      </w:r>
      <w:r>
        <w:t>möte. Den nya domstolen är permanent och ersätter både Europeiska ko</w:t>
      </w:r>
      <w:r>
        <w:t>m</w:t>
      </w:r>
      <w:r>
        <w:t>missionen för mänskliga rättigheter och den tidigare Europadomstolen. Detta innebär att den nya domstolens domare, till skillnad från tidigare, arbetar på heltid i Strasbourg. Den nya Europadomstolen består av en domare från varje land som tillträtt Europakonventionen. Regeringarna föreslår domarkand</w:t>
      </w:r>
      <w:r>
        <w:t>i</w:t>
      </w:r>
      <w:r>
        <w:t>dater medan det är den parlamentariska församlingen som utser domstole</w:t>
      </w:r>
      <w:r>
        <w:t>ns ledamöter. Den svenska domaren Elisabeth Palm utsågs till Europadomst</w:t>
      </w:r>
      <w:r>
        <w:t>o</w:t>
      </w:r>
      <w:r>
        <w:t>lens vice ordförande.</w:t>
      </w:r>
    </w:p>
    <w:p w:rsidR="00AF530A" w:rsidRDefault="00AF530A">
      <w:pPr>
        <w:pStyle w:val="Normaltindrag"/>
      </w:pPr>
      <w:r>
        <w:t>Vid början av 1998 års session beslutade parlamentarikerförsamlingen att inrätta ett nytt utskott som skall behandla frågor rörande jämställdhet mellan kvinnor och män.</w:t>
      </w:r>
    </w:p>
    <w:p w:rsidR="00AF530A" w:rsidRDefault="00AF530A">
      <w:pPr>
        <w:pStyle w:val="Rubrik2"/>
      </w:pPr>
      <w:bookmarkStart w:id="23" w:name="_Toc444396625"/>
      <w:r>
        <w:t>2.6 Sociala och ekonomiska frågor m.m.</w:t>
      </w:r>
      <w:bookmarkEnd w:id="23"/>
    </w:p>
    <w:p w:rsidR="00AF530A" w:rsidRDefault="00AF530A">
      <w:r>
        <w:t>Också inom det sociala området bevakades rättigheterna för utsatta grupper. Församlingen antog bl.a. rekommendationer om åtgärder för att bekämpa sexuellt utnyttjande av barn och social utslagning. På det ekonomiska omr</w:t>
      </w:r>
      <w:r>
        <w:t>å</w:t>
      </w:r>
      <w:r>
        <w:t xml:space="preserve">det debatterades ekonomisk brottslighet och åtgärder mot korruption. Den turbulens som drabbat världsekonomin under 1998 och parlamentarikernas oro för dess konsekvenser kom till uttryck i debatten om Japans ekonomiska kris. </w:t>
      </w:r>
    </w:p>
    <w:p w:rsidR="00AF530A" w:rsidRDefault="00AF530A">
      <w:pPr>
        <w:pStyle w:val="Normaltindrag"/>
      </w:pPr>
      <w:r>
        <w:t>Rapporter om verksamheterna inom Europeiska utvecklingsbanken, EBRD, och Organisationen för ekonomiskt samarbete och utveckling, OECD, finns på församlingens dagordning varje år. Församlingen har up</w:t>
      </w:r>
      <w:r>
        <w:t>p</w:t>
      </w:r>
      <w:r>
        <w:t>draget att vara parlamentariskt forum för och granska verksamheten i me</w:t>
      </w:r>
      <w:r>
        <w:t>l</w:t>
      </w:r>
      <w:r>
        <w:t>lanstatliga regeringsorgan som OECD och EBRD. Den utvidgade parlame</w:t>
      </w:r>
      <w:r>
        <w:t>n</w:t>
      </w:r>
      <w:r>
        <w:t>tariska församlingen, bestående av 44 Europaråds- och OECD-länder, d</w:t>
      </w:r>
      <w:r>
        <w:t>e</w:t>
      </w:r>
      <w:r>
        <w:t xml:space="preserve">batterade ämnet. Företrädare för Canada, Japan, Korea och Mexico deltog i debatten. </w:t>
      </w:r>
    </w:p>
    <w:p w:rsidR="00AF530A" w:rsidRDefault="00AF530A">
      <w:pPr>
        <w:pStyle w:val="Normaltindrag"/>
      </w:pPr>
      <w:r>
        <w:t>Som exempel på parlamentarikerförsamlingens breda verksamhet kan v</w:t>
      </w:r>
      <w:r>
        <w:t>i</w:t>
      </w:r>
      <w:r>
        <w:t>dare nämnas rapporterna till församlingen om världshavens tillstånd, marin forskning och teknik, senaste trender i den internationella havsrätten, turi</w:t>
      </w:r>
      <w:r>
        <w:t>s</w:t>
      </w:r>
      <w:r>
        <w:t>mens utveckling i Central- och Östeuropa samt möjligheter till hållbar u</w:t>
      </w:r>
      <w:r>
        <w:t>t</w:t>
      </w:r>
      <w:r>
        <w:t>veckling i Medelhavsbassängen och Svarta havsbassängen.</w:t>
      </w:r>
    </w:p>
    <w:p w:rsidR="00AF530A" w:rsidRDefault="00AF530A">
      <w:pPr>
        <w:pStyle w:val="Rubrik2"/>
      </w:pPr>
      <w:bookmarkStart w:id="24" w:name="_Toc444396626"/>
      <w:r>
        <w:t>2.7 Uppföljningen av toppmötet</w:t>
      </w:r>
      <w:bookmarkEnd w:id="24"/>
    </w:p>
    <w:p w:rsidR="00AF530A" w:rsidRDefault="00AF530A">
      <w:r>
        <w:t>Enligt beslut vid toppmötet i oktober 1997 utarbetade en grupp av ”visa personer” under ledning av förre portugisiske presidenten Soares ett förslag om Europarådets framtida organisation och struktur, politiska profil och relationer till andra internationella organisationer. Den parlamentariska fö</w:t>
      </w:r>
      <w:r>
        <w:t>r</w:t>
      </w:r>
      <w:r>
        <w:t>samlingens president Leni Fischer ingick i gruppen. Slutrapporten lämnades till ministerkommittén i november 1998.</w:t>
      </w:r>
    </w:p>
    <w:p w:rsidR="00AF530A" w:rsidRDefault="00AF530A">
      <w:pPr>
        <w:pStyle w:val="Normaltindrag"/>
      </w:pPr>
      <w:r>
        <w:t>Rekommendationerna kan inordnas under fyra huvudrubriker, nämligen Europarådets politiska roll och samarbete med andra organisationer, Eur</w:t>
      </w:r>
      <w:r>
        <w:t>o</w:t>
      </w:r>
      <w:r>
        <w:t>parådets olika organ, Europarådets struktur och verksamhet samt Europar</w:t>
      </w:r>
      <w:r>
        <w:t>å</w:t>
      </w:r>
      <w:r>
        <w:t>dets synlighet. Enligt rapporten bör Europarådets organisation förbli oförän</w:t>
      </w:r>
      <w:r>
        <w:t>d</w:t>
      </w:r>
      <w:r>
        <w:t>rad. Däremot föreslås  förstärkning av olika organs roll och förtydligande av samspel och relationer mellan dem. Samarbetet med andra internationella organisationer bör vidareutvecklas.</w:t>
      </w:r>
    </w:p>
    <w:p w:rsidR="00AF530A" w:rsidRDefault="00AF530A">
      <w:pPr>
        <w:pStyle w:val="Normaltindrag"/>
      </w:pPr>
      <w:r>
        <w:t>Ministerkommitténs arbete behöver aktiveras och effektiviseras. Kommi</w:t>
      </w:r>
      <w:r>
        <w:t>t</w:t>
      </w:r>
      <w:r>
        <w:t>téns möteskalender bör ses över. Konsensusbeslut är prioriterat förfarande, men majoritetsbeslut skall kunna förekomma. Ministerkommittén bör ko</w:t>
      </w:r>
      <w:r>
        <w:t>n</w:t>
      </w:r>
      <w:r>
        <w:t>sultera parlamentarikerförsamlingen i frågor som rör budgeten och antaga</w:t>
      </w:r>
      <w:r>
        <w:t>n</w:t>
      </w:r>
      <w:r>
        <w:t>det av konventioner. Vidare rekommenderas att församlingen bör få vara representerad vid alla högnivåmöten med EU, OSSE och FN. Kommuna</w:t>
      </w:r>
      <w:r>
        <w:t>l</w:t>
      </w:r>
      <w:r>
        <w:t>kongressens kompetens bör tas till vara på ett effektivare sätt. Omstruktur</w:t>
      </w:r>
      <w:r>
        <w:t>e</w:t>
      </w:r>
      <w:r>
        <w:t>ring av dess arbetsmetoder rekommenderas. Generalsekreteraren bör lämna en samlad</w:t>
      </w:r>
      <w:r>
        <w:t xml:space="preserve"> årsrapport om verksamheten till parlamentarikerförsamlingen och ministerkommittén. Den bör innehålla förslag till utveckling av verksamh</w:t>
      </w:r>
      <w:r>
        <w:t>e</w:t>
      </w:r>
      <w:r>
        <w:t>ten och uppföljning av aktiviteter. Generalsekreteraren skall enligt reko</w:t>
      </w:r>
      <w:r>
        <w:t>m</w:t>
      </w:r>
      <w:r>
        <w:t xml:space="preserve">mendationerna kunna anlita utomstående experter. Sekretariatet bör indelas i fyra direktorat. Budgetmål bör fastläggas på flera års sikt. Samtidigt bör organisationens budget ökas genom frivilliga bidrag. Målsättningen bör vara förhöjd effektivitet, kvalitet, synlighet och öppenhet. Granskningen av </w:t>
      </w:r>
      <w:r>
        <w:t>att medlemsstaterna lever upp till Europarådets principer bör vara prioriterat omr</w:t>
      </w:r>
      <w:r>
        <w:t>å</w:t>
      </w:r>
      <w:r>
        <w:t>de.</w:t>
      </w:r>
    </w:p>
    <w:p w:rsidR="00AF530A" w:rsidRDefault="00AF530A">
      <w:pPr>
        <w:pStyle w:val="Rubrik2"/>
      </w:pPr>
      <w:bookmarkStart w:id="25" w:name="_Toc444396627"/>
      <w:r>
        <w:t>2.8 Europeiskt talmansmöte i Stockholm</w:t>
      </w:r>
      <w:bookmarkEnd w:id="25"/>
    </w:p>
    <w:p w:rsidR="00AF530A" w:rsidRDefault="00AF530A">
      <w:r>
        <w:t>Europarådet har en tradition att vartannat år sammankalla ett möte med ta</w:t>
      </w:r>
      <w:r>
        <w:t>l</w:t>
      </w:r>
      <w:r>
        <w:t>männen i medlemsländernas parlament. Tidigare har sådana möten hållits i Budapest, Haag, Bern och Strasbourg. Även talmän från stater med obse</w:t>
      </w:r>
      <w:r>
        <w:t>r</w:t>
      </w:r>
      <w:r>
        <w:t>vatörs- eller gäststatus deltar liksom presidenterna i ett antal interparlament</w:t>
      </w:r>
      <w:r>
        <w:t>a</w:t>
      </w:r>
      <w:r>
        <w:t>riska församlingar – Europarådets parlamentariska församling, Europaparl</w:t>
      </w:r>
      <w:r>
        <w:t>a</w:t>
      </w:r>
      <w:r>
        <w:t>mentet, Nordatlantiska församlingen, OSSE:s parlamentariska församling, Västeuropeiska unionens församling, Beneluxrådet, Interparlamentariska unionen och Nordiska rådet. Riksdagens talman Birgitta Dahl var värd för</w:t>
      </w:r>
      <w:r>
        <w:t xml:space="preserve"> det europeiska talmansmötet 1998 som arrangerades i riksdagshuset i sama</w:t>
      </w:r>
      <w:r>
        <w:t>r</w:t>
      </w:r>
      <w:r>
        <w:t>bete med den parlamentariska församlingen den 12–13 juni med närmare 60 deltagande talmän.</w:t>
      </w:r>
    </w:p>
    <w:p w:rsidR="00AF530A" w:rsidRDefault="00AF530A">
      <w:pPr>
        <w:pStyle w:val="Normaltindrag"/>
      </w:pPr>
      <w:r>
        <w:t>Mötets tema var ”Utmaningar för de nationella parlamenten i ett demokr</w:t>
      </w:r>
      <w:r>
        <w:t>a</w:t>
      </w:r>
      <w:r>
        <w:t>tiskt Europa under utvidgning”. Huvudrapportör och inledare vid mötet var talmannen i Österrikiska nationalrådet, Dr. Heinz Fischer. ”Key note spe</w:t>
      </w:r>
      <w:r>
        <w:t>a</w:t>
      </w:r>
      <w:r>
        <w:t xml:space="preserve">kers” var talmannen i spanska Cortes deputeradekammare, Federico Trillo Figueroa, och talmannen i den ryska Statsduman, Gennadij Seleznjov.  Dr. Fischer framhöll att till millennieskiftets utmaningar för nationella parlament hör konsolideringen av Europa som ett område med frihet, stabilitet, säkerhet och ekonomisk utveckling. Utvidgningen av Europeiska unionen </w:t>
      </w:r>
      <w:r>
        <w:t xml:space="preserve"> samt b</w:t>
      </w:r>
      <w:r>
        <w:t>e</w:t>
      </w:r>
      <w:r>
        <w:t>kämpandet av arbetslösheten var andra utmaningar.</w:t>
      </w:r>
    </w:p>
    <w:p w:rsidR="00AF530A" w:rsidRDefault="00AF530A">
      <w:pPr>
        <w:pStyle w:val="Rubrik2"/>
      </w:pPr>
      <w:bookmarkStart w:id="26" w:name="_Toc444396628"/>
      <w:r>
        <w:t>2.9 Utskottssammanträde i Stockholm</w:t>
      </w:r>
      <w:bookmarkEnd w:id="26"/>
    </w:p>
    <w:p w:rsidR="00AF530A" w:rsidRDefault="00AF530A">
      <w:r>
        <w:t>Mellan de fyra årliga delsessionerna i Strasbourg sammanträder Europar</w:t>
      </w:r>
      <w:r>
        <w:t>å</w:t>
      </w:r>
      <w:r>
        <w:t>dets parlamentariska församlings utskott i medlemsländerna, på inbjudan av respektive lands parlament. Det är en tradition att utskottet för kultur och utbildning besöker den stad som är europeisk kulturhuvudstad. Med anle</w:t>
      </w:r>
      <w:r>
        <w:t>d</w:t>
      </w:r>
      <w:r>
        <w:t>ning av detta inbjöd den svenska Europarådsdelegationen  kultur- och utbil</w:t>
      </w:r>
      <w:r>
        <w:t>d</w:t>
      </w:r>
      <w:r>
        <w:t>ningsutskottet till Stockholm. Besöket ägde rum den 11–13 maj 1998. Ett anförande av kulturminister Marita Ulvskog om svensk kulturpolitik inledde besöket. En introduktion till kulturhuvudstadsårets aktiviteter oc</w:t>
      </w:r>
      <w:r>
        <w:t>h besök i Kulturhuset ingick i programmet under första dagen. Bevarandet av det marina kulturarvet inkluderades i besöket på utskottets önskemål. På utbil</w:t>
      </w:r>
      <w:r>
        <w:t>d</w:t>
      </w:r>
      <w:r>
        <w:t>ningssidan ingick studiebesök vid Stockholms universitet och vid Hjul</w:t>
      </w:r>
      <w:r>
        <w:softHyphen/>
        <w:t>staskolan. Under ett besök vid Svenska Akademien fick ledamöterna en orientering om Akademiens verksamhet och arbetet med att utse Nobelpri</w:t>
      </w:r>
      <w:r>
        <w:t>s</w:t>
      </w:r>
      <w:r>
        <w:t>tagare i litteratur. Besök i Stadshuset, Vasamuseet och Drottningholms slottste</w:t>
      </w:r>
      <w:r>
        <w:t>a</w:t>
      </w:r>
      <w:r>
        <w:t xml:space="preserve">ter kompletterade bilden av det svenska kulturutbudet. </w:t>
      </w:r>
    </w:p>
    <w:p w:rsidR="00AF530A" w:rsidRDefault="00AF530A">
      <w:pPr>
        <w:pStyle w:val="Rubrik2"/>
        <w:spacing w:before="240"/>
      </w:pPr>
      <w:bookmarkStart w:id="27" w:name="_Toc444396629"/>
      <w:r>
        <w:t>2.10 Gästta</w:t>
      </w:r>
      <w:r>
        <w:t>lare</w:t>
      </w:r>
      <w:bookmarkEnd w:id="27"/>
    </w:p>
    <w:p w:rsidR="00AF530A" w:rsidRDefault="00AF530A">
      <w:r>
        <w:t>Ett stort antal stats- och regeringschefer, parlamentstalmän, chefer för inte</w:t>
      </w:r>
      <w:r>
        <w:t>r</w:t>
      </w:r>
      <w:r>
        <w:t>nationella organisationer och andra ledande internationella personer fra</w:t>
      </w:r>
      <w:r>
        <w:t>m</w:t>
      </w:r>
      <w:r>
        <w:t>trädde vid den parlamentariska församlingens delsessioner i Strasbourg. Bland dem fanns FN:s flyktingkommissarie Sadako Ogata, EU-kom</w:t>
      </w:r>
      <w:r>
        <w:softHyphen/>
        <w:t>mis</w:t>
      </w:r>
      <w:r>
        <w:softHyphen/>
        <w:t>sionären Hans van den Broek, Rumäniens premiärminister Radu Vasile, Bulgariens premiärminister Ivan Kostov,  chefen för Internationella organ</w:t>
      </w:r>
      <w:r>
        <w:t>i</w:t>
      </w:r>
      <w:r>
        <w:t>sationen för migration (IOM) James N. Purcell, Belgiens kung Albert II, IMF:s chef Michel Camdessus, Polens utrikesminister Bronislaw Geremek (i egenskap av O</w:t>
      </w:r>
      <w:r>
        <w:t>SSE:s Chairman-in-Office), OECD:s generalsekreterare D</w:t>
      </w:r>
      <w:r>
        <w:t>o</w:t>
      </w:r>
      <w:r>
        <w:t>nald Johnston, Maltas president Ugo Mifsud Bonnici, Storbritanniens bitr</w:t>
      </w:r>
      <w:r>
        <w:t>ä</w:t>
      </w:r>
      <w:r>
        <w:t xml:space="preserve">dande minister för Nordirlandfrågor Paul Murphy samt Irlands biträdande utrikesminister Liz O'Donnell. </w:t>
      </w:r>
    </w:p>
    <w:p w:rsidR="00AF530A" w:rsidRDefault="00AF530A">
      <w:pPr>
        <w:pStyle w:val="Normaltindrag"/>
      </w:pPr>
      <w:r>
        <w:t>I egenskap av ministerrådets ordförande första halvåret  redogjorde den tyske statssekreteraren Werner Hoyer vid januarisessionen och den tyske biträdande utrikesministern Helmut Schäfer vid aprilsessionen  för ministe</w:t>
      </w:r>
      <w:r>
        <w:t>r</w:t>
      </w:r>
      <w:r>
        <w:t xml:space="preserve">rådets prioriteringar och svarade på frågor från församlingens ledamöter. Greklands biträdande utrikesminister Giorgos Papandreou fyllde samma funktion andra hälften av 1998. </w:t>
      </w:r>
    </w:p>
    <w:p w:rsidR="00AF530A" w:rsidRDefault="00AF530A">
      <w:pPr>
        <w:pStyle w:val="Normaltindrag"/>
      </w:pPr>
      <w:r>
        <w:t>Talmän som gästade församlingen var Europaparlamentets talman José Maria Gil-Robles och rumänska senatens talman Petre Roman.</w:t>
      </w:r>
    </w:p>
    <w:p w:rsidR="00AF530A" w:rsidRDefault="00AF530A">
      <w:pPr>
        <w:pStyle w:val="Rubrik2"/>
        <w:spacing w:before="240"/>
      </w:pPr>
      <w:bookmarkStart w:id="28" w:name="_Toc444396630"/>
      <w:r>
        <w:t>2.11 Val av generalsekreterare för Europarådet</w:t>
      </w:r>
      <w:bookmarkEnd w:id="28"/>
    </w:p>
    <w:p w:rsidR="00AF530A" w:rsidRDefault="00AF530A">
      <w:r>
        <w:t>Församlingen väljer ny generalsekreterare vid junisessionen 1999. Sista dagen för anmälan av kandidater är fastställd till den 15 februari 1999.</w:t>
      </w:r>
    </w:p>
    <w:p w:rsidR="00AF530A" w:rsidRDefault="00AF530A">
      <w:pPr>
        <w:pStyle w:val="Rubrik1"/>
      </w:pPr>
      <w:bookmarkStart w:id="29" w:name="_Toc444396631"/>
      <w:r>
        <w:t>3 Den svenska representationen</w:t>
      </w:r>
      <w:bookmarkEnd w:id="29"/>
    </w:p>
    <w:p w:rsidR="00AF530A" w:rsidRDefault="00AF530A">
      <w:r>
        <w:t>För 1998 års session hade riksdagen anmält följande valda ombud och sup</w:t>
      </w:r>
      <w:r>
        <w:t>p</w:t>
      </w:r>
      <w:r>
        <w:t xml:space="preserve">leanter till församlingen och dess organ. </w:t>
      </w:r>
    </w:p>
    <w:p w:rsidR="00AF530A" w:rsidRDefault="00AF530A">
      <w:pPr>
        <w:spacing w:before="160" w:line="214" w:lineRule="exact"/>
        <w:rPr>
          <w:b/>
        </w:rPr>
      </w:pPr>
      <w:r>
        <w:rPr>
          <w:b/>
        </w:rPr>
        <w:t>Ombud</w:t>
      </w:r>
    </w:p>
    <w:p w:rsidR="00AF530A" w:rsidRDefault="00AF530A">
      <w:pPr>
        <w:spacing w:before="100"/>
      </w:pPr>
      <w:r>
        <w:t>1. Jan Bergqvist (s), delegationens ordförande</w:t>
      </w:r>
    </w:p>
    <w:p w:rsidR="00AF530A" w:rsidRDefault="00AF530A">
      <w:pPr>
        <w:spacing w:before="0"/>
      </w:pPr>
      <w:r>
        <w:t>2. Berit Andnor (s)</w:t>
      </w:r>
    </w:p>
    <w:p w:rsidR="00AF530A" w:rsidRDefault="00AF530A">
      <w:pPr>
        <w:spacing w:before="0"/>
      </w:pPr>
      <w:r>
        <w:t>3. Anders Björck (m), delegationens vice ordförande</w:t>
      </w:r>
    </w:p>
    <w:p w:rsidR="00AF530A" w:rsidRDefault="00AF530A">
      <w:pPr>
        <w:spacing w:before="0"/>
      </w:pPr>
      <w:r>
        <w:t>4. Göran Magnusson (s)</w:t>
      </w:r>
    </w:p>
    <w:p w:rsidR="00AF530A" w:rsidRDefault="00AF530A">
      <w:pPr>
        <w:spacing w:before="0"/>
      </w:pPr>
      <w:r>
        <w:t xml:space="preserve">5. Lisbet Calner (s) </w:t>
      </w:r>
    </w:p>
    <w:p w:rsidR="00AF530A" w:rsidRDefault="00AF530A">
      <w:pPr>
        <w:spacing w:before="0"/>
      </w:pPr>
      <w:r>
        <w:t>6. Birger Hagård (m)</w:t>
      </w:r>
    </w:p>
    <w:p w:rsidR="00AF530A" w:rsidRDefault="00AF530A">
      <w:pPr>
        <w:spacing w:before="0"/>
        <w:rPr>
          <w:b/>
        </w:rPr>
      </w:pPr>
      <w:r>
        <w:rPr>
          <w:b/>
        </w:rPr>
        <w:br w:type="page"/>
        <w:t>Suppleanter</w:t>
      </w:r>
    </w:p>
    <w:p w:rsidR="00AF530A" w:rsidRDefault="00AF530A">
      <w:pPr>
        <w:spacing w:before="100"/>
      </w:pPr>
      <w:r>
        <w:t>1. Sören Lekberg (s)</w:t>
      </w:r>
    </w:p>
    <w:p w:rsidR="00AF530A" w:rsidRDefault="00AF530A">
      <w:pPr>
        <w:spacing w:before="0"/>
      </w:pPr>
      <w:r>
        <w:t>2. Ingegerd Wärnersson (s) till 1998-10-29 då Maud Björnemalm (s) övertog</w:t>
      </w:r>
      <w:r>
        <w:br/>
        <w:t xml:space="preserve">    hennes plats.</w:t>
      </w:r>
    </w:p>
    <w:p w:rsidR="00AF530A" w:rsidRDefault="00AF530A">
      <w:pPr>
        <w:spacing w:before="0"/>
      </w:pPr>
      <w:r>
        <w:t>3. Knut Billing (m)</w:t>
      </w:r>
    </w:p>
    <w:p w:rsidR="00AF530A" w:rsidRDefault="00AF530A">
      <w:pPr>
        <w:spacing w:before="0"/>
      </w:pPr>
      <w:r>
        <w:t xml:space="preserve">4. Inga-Britt Johansson (s) </w:t>
      </w:r>
    </w:p>
    <w:p w:rsidR="00AF530A" w:rsidRDefault="00AF530A">
      <w:pPr>
        <w:spacing w:before="0"/>
      </w:pPr>
      <w:r>
        <w:t>5. Olof Johansson (c)</w:t>
      </w:r>
    </w:p>
    <w:p w:rsidR="00AF530A" w:rsidRDefault="00AF530A">
      <w:pPr>
        <w:spacing w:before="0"/>
      </w:pPr>
      <w:r>
        <w:t>6. Elisabeth Fleetwood (m)</w:t>
      </w:r>
    </w:p>
    <w:p w:rsidR="00AF530A" w:rsidRDefault="00AF530A">
      <w:r>
        <w:t>Ombuden och suppleanterna var fördelade dels på det ständiga utskottet, dels på församlingens 14 fackutskott. Det ständiga utskottet har fullmakt att b</w:t>
      </w:r>
      <w:r>
        <w:t>e</w:t>
      </w:r>
      <w:r>
        <w:t>sluta på församlingens vägnar under perioder då denna ej är samlad. I facku</w:t>
      </w:r>
      <w:r>
        <w:t>t</w:t>
      </w:r>
      <w:r>
        <w:t>skotten, vilka sammanträder såväl under som mellan församlingens plena</w:t>
      </w:r>
      <w:r>
        <w:t>r</w:t>
      </w:r>
      <w:r>
        <w:t>möten, bereds ärenden som församlingen har att besluta om. Utgående från utskottens betänkanden och förslag antar församlingen rekommendationer till ministerkommittén, resolutioner, yttranden och direktiv. Flertalet utskott har tillsatt underutskott, vilka i många fall är permanenta från session till session. Vidare kan ad hoc-utskott utses för en särskild fråga</w:t>
      </w:r>
      <w:r>
        <w:t xml:space="preserve">. </w:t>
      </w:r>
    </w:p>
    <w:p w:rsidR="00AF530A" w:rsidRDefault="00AF530A">
      <w:pPr>
        <w:pStyle w:val="Normaltindrag"/>
      </w:pPr>
      <w:r>
        <w:t>Ombuden och suppleanterna var under 1998 års session fördelade på fö</w:t>
      </w:r>
      <w:r>
        <w:t>r</w:t>
      </w:r>
      <w:r>
        <w:t>samlingens utskott och underutskott på sätt som anges nedan (utskottssup</w:t>
      </w:r>
      <w:r>
        <w:t>p</w:t>
      </w:r>
      <w:r>
        <w:t xml:space="preserve">leanter inom parentes).  </w:t>
      </w:r>
    </w:p>
    <w:p w:rsidR="00AF530A" w:rsidRDefault="00AF530A">
      <w:r>
        <w:rPr>
          <w:b/>
        </w:rPr>
        <w:t>Ständiga utskottet</w:t>
      </w:r>
      <w:r>
        <w:t>: Andnor, Björck (Bergqvist, Billing) samt Hagård och Inga-Britt Johansson ex officio i egenskap av ordförande i utskottet för jur</w:t>
      </w:r>
      <w:r>
        <w:t>i</w:t>
      </w:r>
      <w:r>
        <w:t>diska frågor och mänskliga rättigheter respektive utskottet för jordbruksfr</w:t>
      </w:r>
      <w:r>
        <w:t>å</w:t>
      </w:r>
      <w:r>
        <w:t>gor och landsbygdsutveckling</w:t>
      </w:r>
    </w:p>
    <w:p w:rsidR="00AF530A" w:rsidRDefault="00AF530A">
      <w:r>
        <w:rPr>
          <w:b/>
        </w:rPr>
        <w:t>Politiska utskottet</w:t>
      </w:r>
      <w:r>
        <w:t>: Bergqvist, Björck (Andnor, Hagård)</w:t>
      </w:r>
    </w:p>
    <w:p w:rsidR="00AF530A" w:rsidRDefault="00AF530A">
      <w:r>
        <w:t>Underutskottet för relationer med icke-medlemsländer: Bergqvist</w:t>
      </w:r>
    </w:p>
    <w:p w:rsidR="00AF530A" w:rsidRDefault="00AF530A">
      <w:pPr>
        <w:rPr>
          <w:i/>
        </w:rPr>
      </w:pPr>
      <w:r>
        <w:rPr>
          <w:b/>
        </w:rPr>
        <w:t>Utskottet för ekonomi och utveckling</w:t>
      </w:r>
      <w:r>
        <w:t>: Billing, Calner (Björck, Wärnersson t.o.m. 98-10-29. Wärnersson ersattes av Björnemalm fr.o.m. 1998-11-04)</w:t>
      </w:r>
    </w:p>
    <w:p w:rsidR="00AF530A" w:rsidRDefault="00AF530A">
      <w:r>
        <w:t>Underutskottet för internationella ekonomiska relationer: Billing (Calner)</w:t>
      </w:r>
    </w:p>
    <w:p w:rsidR="00AF530A" w:rsidRDefault="00AF530A">
      <w:r>
        <w:t>Underutskottet ”Nord-Syd: Europas roll”: Calner (Billing)</w:t>
      </w:r>
    </w:p>
    <w:p w:rsidR="00AF530A" w:rsidRDefault="00AF530A">
      <w:r>
        <w:rPr>
          <w:b/>
        </w:rPr>
        <w:t>Utskottet för social-, hälsovårds- och familjefrågor</w:t>
      </w:r>
      <w:r>
        <w:t>: Andnor, Fleetwood (Magnusson, Wärnersson t.o.m. 1998-10-29. Wärnersson ersattes av Bjö</w:t>
      </w:r>
      <w:r>
        <w:t>r</w:t>
      </w:r>
      <w:r>
        <w:t>nemalm fr.o.m. 1998-11-04)</w:t>
      </w:r>
    </w:p>
    <w:p w:rsidR="00AF530A" w:rsidRDefault="00AF530A">
      <w:r>
        <w:t>Underutskottet för barnfrågor: Fleetwood, Wärnersson t.o.m. 1998-10-29. Wärnersson ersattes av Björnemalm fr.o.m. 1998-11-04</w:t>
      </w:r>
    </w:p>
    <w:p w:rsidR="00AF530A" w:rsidRDefault="00AF530A">
      <w:r>
        <w:t>Underutskottet för den europeiska sociala stadgan och arbetsmarknadsfrågor: Andnor</w:t>
      </w:r>
    </w:p>
    <w:p w:rsidR="00AF530A" w:rsidRDefault="00AF530A">
      <w:r>
        <w:rPr>
          <w:b/>
        </w:rPr>
        <w:t>Utskottet för juridiska frågor och mänskliga rättigheter</w:t>
      </w:r>
      <w:r>
        <w:t>: Hagård, ordf</w:t>
      </w:r>
      <w:r>
        <w:t>ö</w:t>
      </w:r>
      <w:r>
        <w:t>rande, Magnusson (Billing, I-B Johansson)</w:t>
      </w:r>
    </w:p>
    <w:p w:rsidR="00AF530A" w:rsidRDefault="00AF530A">
      <w:r>
        <w:t>Underutskottet för mänskliga rättigheter: Hagård (ex officio)</w:t>
      </w:r>
    </w:p>
    <w:p w:rsidR="00AF530A" w:rsidRDefault="00AF530A">
      <w:r>
        <w:rPr>
          <w:b/>
        </w:rPr>
        <w:t>Kultur- och utbildningsutskottet</w:t>
      </w:r>
      <w:r>
        <w:t>: Fleetwood, Wärnersson t.o.m. 1998-10-29. Wärnersson ersattes av Björnemalm fr.o.m. 1998-11-04 (Billing, Le</w:t>
      </w:r>
      <w:r>
        <w:t>k</w:t>
      </w:r>
      <w:r>
        <w:t>berg)</w:t>
      </w:r>
    </w:p>
    <w:p w:rsidR="00AF530A" w:rsidRDefault="00AF530A">
      <w:r>
        <w:t>Underutskottet för kulturarvet: Fleetwood</w:t>
      </w:r>
    </w:p>
    <w:p w:rsidR="00AF530A" w:rsidRDefault="00AF530A">
      <w:r>
        <w:t>Underutskottet för mediefrågor: Billing (Lekberg)</w:t>
      </w:r>
    </w:p>
    <w:p w:rsidR="00AF530A" w:rsidRDefault="00AF530A">
      <w:r>
        <w:rPr>
          <w:b/>
        </w:rPr>
        <w:t>Utskottet för naturvetenskap och teknik</w:t>
      </w:r>
      <w:r>
        <w:t>: O. Johansson, Lekberg (Flee</w:t>
      </w:r>
      <w:r>
        <w:t>t</w:t>
      </w:r>
      <w:r>
        <w:t>wood, Wärnersson t.o.m. 1998-10-29. Wärnersson ersattes av Björnemalm fr.o.m. 1998-11-04)</w:t>
      </w:r>
    </w:p>
    <w:p w:rsidR="00AF530A" w:rsidRDefault="00AF530A">
      <w:r>
        <w:t>Underutskottet för teknikpolicy och energi: Lekberg</w:t>
      </w:r>
    </w:p>
    <w:p w:rsidR="00AF530A" w:rsidRDefault="00AF530A">
      <w:r>
        <w:t>Underutskottet för vetenskapspolicy och etik: Lekberg</w:t>
      </w:r>
    </w:p>
    <w:p w:rsidR="00AF530A" w:rsidRDefault="00AF530A">
      <w:r>
        <w:rPr>
          <w:b/>
        </w:rPr>
        <w:t>Utskottet för miljövård, regional planering och kommunala frågor</w:t>
      </w:r>
      <w:r>
        <w:t>: I-B Johansson, O. Johansson (Calner, Bergqvist)</w:t>
      </w:r>
    </w:p>
    <w:p w:rsidR="00AF530A" w:rsidRDefault="00AF530A">
      <w:r>
        <w:t>Underutskottet för miljöfrågor: Bergqvist (I-B Johansson)</w:t>
      </w:r>
    </w:p>
    <w:p w:rsidR="00AF530A" w:rsidRDefault="00AF530A">
      <w:r>
        <w:t xml:space="preserve">Underutskottet för lokala och regionala myndigheter: I-B Johansson  </w:t>
      </w:r>
    </w:p>
    <w:p w:rsidR="00AF530A" w:rsidRDefault="00AF530A">
      <w:r>
        <w:rPr>
          <w:b/>
        </w:rPr>
        <w:t>Utskottet för befolknings- och flyktingfrågor</w:t>
      </w:r>
      <w:r>
        <w:t>: I-B Johansson, Billing (Andnor, Wärnersson t.o.m. 1998-10-29. Wärnersson ersattes av Björn</w:t>
      </w:r>
      <w:r>
        <w:t>e</w:t>
      </w:r>
      <w:r>
        <w:t>malm fr.o.m. 1998-11-04)</w:t>
      </w:r>
    </w:p>
    <w:p w:rsidR="00AF530A" w:rsidRDefault="00AF530A">
      <w:r>
        <w:t>Underutskottet för migrationsfrågor: I-B Johansson</w:t>
      </w:r>
    </w:p>
    <w:p w:rsidR="00AF530A" w:rsidRDefault="00AF530A">
      <w:r>
        <w:t>Underutskottet för flyktingfrågor: I-B Johansson</w:t>
      </w:r>
    </w:p>
    <w:p w:rsidR="00AF530A" w:rsidRDefault="00AF530A">
      <w:r>
        <w:t>Underutskottet för demografifrågor: Billing</w:t>
      </w:r>
    </w:p>
    <w:p w:rsidR="00AF530A" w:rsidRDefault="00AF530A">
      <w:r>
        <w:rPr>
          <w:b/>
        </w:rPr>
        <w:t>Utskottet för procedurfrågor</w:t>
      </w:r>
      <w:r>
        <w:t>: Magnusson (Bergqvist)</w:t>
      </w:r>
    </w:p>
    <w:p w:rsidR="00AF530A" w:rsidRDefault="00AF530A">
      <w:r>
        <w:rPr>
          <w:b/>
        </w:rPr>
        <w:t>Utskottet för jordbruksfrågor och landsbygdsutveckling</w:t>
      </w:r>
      <w:r>
        <w:t>: I-B Johansson, ordförande (O. Johansson)</w:t>
      </w:r>
    </w:p>
    <w:p w:rsidR="00AF530A" w:rsidRDefault="00AF530A">
      <w:r>
        <w:t>Underutskottet för fiske: I-B Johansson (ex officio)</w:t>
      </w:r>
    </w:p>
    <w:p w:rsidR="00AF530A" w:rsidRDefault="00AF530A">
      <w:r>
        <w:t>Underutskottet för livsmedel: I-B Johansson (ex officio)</w:t>
      </w:r>
    </w:p>
    <w:p w:rsidR="00AF530A" w:rsidRDefault="00AF530A">
      <w:r>
        <w:rPr>
          <w:b/>
        </w:rPr>
        <w:t>Utskottet för förbindelser med de nationella parlamenten och med al</w:t>
      </w:r>
      <w:r>
        <w:rPr>
          <w:b/>
        </w:rPr>
        <w:t>l</w:t>
      </w:r>
      <w:r>
        <w:rPr>
          <w:b/>
        </w:rPr>
        <w:t>mänheten</w:t>
      </w:r>
      <w:r>
        <w:t>: Lekberg (Calner)</w:t>
      </w:r>
    </w:p>
    <w:p w:rsidR="00AF530A" w:rsidRDefault="00AF530A">
      <w:r>
        <w:t>Underutskottet för deltagardemokrati: Lekberg</w:t>
      </w:r>
    </w:p>
    <w:p w:rsidR="00AF530A" w:rsidRDefault="00AF530A">
      <w:r>
        <w:rPr>
          <w:b/>
        </w:rPr>
        <w:t xml:space="preserve">Budgetutskottet: </w:t>
      </w:r>
      <w:r>
        <w:t>Calner (Fleetwood)</w:t>
      </w:r>
    </w:p>
    <w:p w:rsidR="00AF530A" w:rsidRDefault="00AF530A">
      <w:r>
        <w:t>Underutskottet för den europeiska statsförvaltningen: Calner</w:t>
      </w:r>
    </w:p>
    <w:p w:rsidR="00AF530A" w:rsidRDefault="00AF530A">
      <w:r>
        <w:rPr>
          <w:b/>
        </w:rPr>
        <w:t>Utskottet för jämställdhet mellan könen:</w:t>
      </w:r>
      <w:r>
        <w:t xml:space="preserve"> Bergqvist (Billing) </w:t>
      </w:r>
    </w:p>
    <w:p w:rsidR="00AF530A" w:rsidRDefault="00AF530A">
      <w:r>
        <w:t xml:space="preserve">Underutskottet för institutionella verktyg (bildat i september 1998): Bergqvist </w:t>
      </w:r>
    </w:p>
    <w:p w:rsidR="00AF530A" w:rsidRDefault="00AF530A">
      <w:r>
        <w:rPr>
          <w:b/>
        </w:rPr>
        <w:t>Utskottet för granskning av medlemsländernas uppfyllande av sina åtaganden (”Granskningsutskottet”)</w:t>
      </w:r>
      <w:r>
        <w:t>: Magnusson, Fleetwood, Hagård (ex officio)</w:t>
      </w:r>
    </w:p>
    <w:p w:rsidR="00AF530A" w:rsidRDefault="00AF530A">
      <w:pPr>
        <w:pStyle w:val="Rubrik1"/>
      </w:pPr>
      <w:bookmarkStart w:id="30" w:name="_Toc444396632"/>
      <w:r>
        <w:t>4 Huvudområden för församlingens verksamhet</w:t>
      </w:r>
      <w:bookmarkEnd w:id="30"/>
    </w:p>
    <w:p w:rsidR="00AF530A" w:rsidRDefault="00AF530A">
      <w:pPr>
        <w:pStyle w:val="Rubrik2"/>
        <w:spacing w:before="123"/>
      </w:pPr>
      <w:bookmarkStart w:id="31" w:name="_Toc444396633"/>
      <w:r>
        <w:t>4.1 Granskning av hur medlemsländerna uppfyller sina åtaganden</w:t>
      </w:r>
      <w:bookmarkEnd w:id="31"/>
    </w:p>
    <w:p w:rsidR="00AF530A" w:rsidRDefault="00AF530A">
      <w:r>
        <w:t xml:space="preserve">Vid den andra delsessionen debatterades  </w:t>
      </w:r>
      <w:r>
        <w:rPr>
          <w:i/>
        </w:rPr>
        <w:t>framstegen för församlingens granskningsförfarande under perioden april 1997–april 1998</w:t>
      </w:r>
      <w:r>
        <w:t xml:space="preserve"> (dok. 8057, res. 1155). Denna utvärdering utgjorde granskningsutskottets första årsra</w:t>
      </w:r>
      <w:r>
        <w:t>p</w:t>
      </w:r>
      <w:r>
        <w:t>port. Utskottet redogjorde för de svårigheter det mött. Vilka arbetsmetoder utskottet borde tillämpa i kontakterna med stater som är föremål för grans</w:t>
      </w:r>
      <w:r>
        <w:t>k</w:t>
      </w:r>
      <w:r>
        <w:t xml:space="preserve">ning har krävt noggranna överväganden. Utskottet har dragit slutsatsen att konfrontation bör undvikas och att övertalning är att föredra. Kritik riktades mot utskottet för att i huvudsak </w:t>
      </w:r>
      <w:r>
        <w:t>nya medlemsländer övervakats. Men även ”gamla” medlemmar blir föremål för granskningen. Proceduren avseende Turkiet hade t.ex. redan inletts. I resolutionen godkändes riktlinjer för u</w:t>
      </w:r>
      <w:r>
        <w:t>t</w:t>
      </w:r>
      <w:r>
        <w:t>skottets fortsatta arbete som bygger på icke-konfrontation. Ett önskemål som ofta fördes fram i debatten är ökat samarbete med ministerkommittén. I resolutionen föreslogs att övervakningsärenden skall stå på dagordningen för mötena i ”Joint Committee”.</w:t>
      </w:r>
    </w:p>
    <w:p w:rsidR="00AF530A" w:rsidRDefault="00AF530A">
      <w:pPr>
        <w:pStyle w:val="Normaltindrag"/>
      </w:pPr>
      <w:r>
        <w:t xml:space="preserve">Vid den tredje delsessionen i juni debatterade församlingen </w:t>
      </w:r>
      <w:r>
        <w:rPr>
          <w:i/>
        </w:rPr>
        <w:t>Ryska feder</w:t>
      </w:r>
      <w:r>
        <w:rPr>
          <w:i/>
        </w:rPr>
        <w:t>a</w:t>
      </w:r>
      <w:r>
        <w:rPr>
          <w:i/>
        </w:rPr>
        <w:t xml:space="preserve">tionens respekterande av sina förbindelser och åtaganden </w:t>
      </w:r>
      <w:r>
        <w:t>(dok. 8127). U</w:t>
      </w:r>
      <w:r>
        <w:t>t</w:t>
      </w:r>
      <w:r>
        <w:t>vecklingen i Ryssland har granskats sedan landet inträdde i Europarådet 1996. Utskottet rapporterade om de viktigaste framstegen, nämligen ratific</w:t>
      </w:r>
      <w:r>
        <w:t>e</w:t>
      </w:r>
      <w:r>
        <w:t>ringen av konventionen om de mänskliga rättigheterna och Europarådets antitortyrkonvention, igångsättandet av reformer av fängelsesystemet och ny lagstiftning på brottmålsområdet. Ryssland måste dock även uppfylla åt</w:t>
      </w:r>
      <w:r>
        <w:t>a</w:t>
      </w:r>
      <w:r>
        <w:t>ganden såsom genomförandet av lagar över hela territoriet, beakt</w:t>
      </w:r>
      <w:r>
        <w:t>ande av sociala rättigheter, avskaffande av dödsstraffet, reform av fängelsesystemet, bekämpande av korruption och ekonomisk brottslighet. Granskningen av utvec</w:t>
      </w:r>
      <w:r>
        <w:t>k</w:t>
      </w:r>
      <w:r>
        <w:t>lingen i Ryssland fortsätter.</w:t>
      </w:r>
    </w:p>
    <w:p w:rsidR="00AF530A" w:rsidRDefault="00AF530A">
      <w:pPr>
        <w:pStyle w:val="Normaltindrag"/>
      </w:pPr>
      <w:r>
        <w:t>Övervakningsrapporten vid den fjärde delsessionen avsåg</w:t>
      </w:r>
      <w:r>
        <w:rPr>
          <w:i/>
        </w:rPr>
        <w:t xml:space="preserve"> Bulgariens r</w:t>
      </w:r>
      <w:r>
        <w:rPr>
          <w:i/>
        </w:rPr>
        <w:t>e</w:t>
      </w:r>
      <w:r>
        <w:rPr>
          <w:i/>
        </w:rPr>
        <w:t xml:space="preserve">spekterande av sina förpliktelser och  åtaganden </w:t>
      </w:r>
      <w:r>
        <w:t>(dok. 8180). Bulgarien bedömdes befinna sig i en kritisk period av sin demokratiska och ekonomi</w:t>
      </w:r>
      <w:r>
        <w:t>s</w:t>
      </w:r>
      <w:r>
        <w:t>ka utveckling. Samtidigt som landet uppgavs ha kommit en bra bit på väg i uppfyllandet av Europarådets kriterier, fastslog församlingen att det krävs ytterligare förändringar för att det skall uppfylla de åtaganden som gjordes i samband med inträdet i organisationen. Särskilt kritiserades medielagstif</w:t>
      </w:r>
      <w:r>
        <w:t>t</w:t>
      </w:r>
      <w:r>
        <w:t>ningen som inger farhågor för att regeringen kan t</w:t>
      </w:r>
      <w:r>
        <w:t>a kontrollen över de ele</w:t>
      </w:r>
      <w:r>
        <w:t>k</w:t>
      </w:r>
      <w:r>
        <w:t>troniska medierna. Granskningen fortsätter av polisbrutalitet mot medlemmar av religiösa grupper, romer och gatubarn. Församlingen beslöt att noga följa tillämpningen av den nya lagstiftningen för juridiska system. Det ansågs nödvändigt att vaka över att principen om maktfördelning tillämpas samt att reformen om lagstiftning om lokalt självstyre genomförs. Bulgarien uppm</w:t>
      </w:r>
      <w:r>
        <w:t>a</w:t>
      </w:r>
      <w:r>
        <w:t>nades att ratificera de konventioner som landet redan undertecknat. Särskilt påpekades vikten av att Bulgarien un</w:t>
      </w:r>
      <w:r>
        <w:t>dertecknar konventionen för skydd av nationella minoriteter.</w:t>
      </w:r>
    </w:p>
    <w:p w:rsidR="00AF530A" w:rsidRDefault="00AF530A">
      <w:pPr>
        <w:pStyle w:val="Rubrik2"/>
      </w:pPr>
      <w:bookmarkStart w:id="32" w:name="_Toc444396634"/>
      <w:r>
        <w:t>4.2 Politiska frågor</w:t>
      </w:r>
      <w:bookmarkEnd w:id="32"/>
    </w:p>
    <w:p w:rsidR="00AF530A" w:rsidRDefault="00AF530A">
      <w:r>
        <w:t>Vid den första delsessionen debatterades</w:t>
      </w:r>
      <w:r>
        <w:rPr>
          <w:i/>
        </w:rPr>
        <w:t xml:space="preserve"> utvecklingen i Förbundsrepubliken Jugoslavien och dess implikationer för Balkanregionen</w:t>
      </w:r>
      <w:r>
        <w:t xml:space="preserve"> (dok. 7986, res. 1146). Tre jugoslaviska parlamentsledamöter hade för första gången inbj</w:t>
      </w:r>
      <w:r>
        <w:t>u</w:t>
      </w:r>
      <w:r>
        <w:t>dits att delta i debatten. Majoriteten välkomnade det politiska utskottets rapport och betonade vikten av att Europarådet nära följde utvecklingen särskilt i Kosovo. Församlingen fördömde förtrycket av den albanska min</w:t>
      </w:r>
      <w:r>
        <w:t>o</w:t>
      </w:r>
      <w:r>
        <w:t>riteten i Kosovo. Garantier för tillförsäkrande av pressfrihet, domstolarnas oberoende, skydd av mänskliga rättighe</w:t>
      </w:r>
      <w:r>
        <w:t>ter och nationella minoriteter är krav som ställs på Förbundsrepubliken Jugoslavien för medlemskap i Europar</w:t>
      </w:r>
      <w:r>
        <w:t>å</w:t>
      </w:r>
      <w:r>
        <w:t>det.</w:t>
      </w:r>
    </w:p>
    <w:p w:rsidR="00AF530A" w:rsidRDefault="00AF530A">
      <w:pPr>
        <w:pStyle w:val="Normaltindrag"/>
      </w:pPr>
      <w:r>
        <w:rPr>
          <w:i/>
        </w:rPr>
        <w:t>Situationen i Algeriet</w:t>
      </w:r>
      <w:r>
        <w:t xml:space="preserve"> (dok. 7997, rek. 1358) fördes upp i en extrainsatt d</w:t>
      </w:r>
      <w:r>
        <w:t>e</w:t>
      </w:r>
      <w:r>
        <w:t>batt vid januarisessionen. Byrån hade avstyrkt en debatt om en icke-medlemsstat som inte heller ligger i Europa, men församlingen gick emot byrån. Debatten resulterade i en rekommendation som uttrycker solidaritet med våldets offer. Ministerkommittén uppmanades att fördöma våldet och undersöka möjli</w:t>
      </w:r>
      <w:r>
        <w:t>g</w:t>
      </w:r>
      <w:r>
        <w:t>heterna att bidra till EU:s initiativ i området.</w:t>
      </w:r>
    </w:p>
    <w:p w:rsidR="00AF530A" w:rsidRDefault="00AF530A">
      <w:pPr>
        <w:pStyle w:val="Normaltindrag"/>
      </w:pPr>
      <w:r>
        <w:t>Vid den andra delsessionen beslutade församlingen om en extrainsatt d</w:t>
      </w:r>
      <w:r>
        <w:t>e</w:t>
      </w:r>
      <w:r>
        <w:t>batt om</w:t>
      </w:r>
      <w:r>
        <w:rPr>
          <w:i/>
        </w:rPr>
        <w:t xml:space="preserve"> den senaste utvecklingen i Förbundsrepubliken Jugoslavien och situationen i Kosovo  </w:t>
      </w:r>
      <w:r>
        <w:t>(dok. 8082, 8037, rek. 1368). Två parlamentariker från Belgrad deltog denna gång i sessionen. I rekommendationen sades beträffa</w:t>
      </w:r>
      <w:r>
        <w:t>n</w:t>
      </w:r>
      <w:r>
        <w:t>de Förbundsrepubliken Jugoslaviens  medlemskapsansökan att denna endast kan beaktas om Europarådets principer och det internationella samfundets krav uppfylls. Ministerkommittén uppmanades att besluta om uppföljning av medlemskapsansökan i ljuset av framsteg från den jugoslaviska sidan, sä</w:t>
      </w:r>
      <w:r>
        <w:t>r</w:t>
      </w:r>
      <w:r>
        <w:t>skilt beträffande Kosovo.</w:t>
      </w:r>
    </w:p>
    <w:p w:rsidR="00AF530A" w:rsidRDefault="00AF530A">
      <w:pPr>
        <w:pStyle w:val="Normaltindrag"/>
      </w:pPr>
      <w:r>
        <w:t xml:space="preserve">Vid aprilsessionen debatterade parlamentarikerförsamlingen en rapport om </w:t>
      </w:r>
      <w:r>
        <w:rPr>
          <w:i/>
        </w:rPr>
        <w:t xml:space="preserve">omdaning av FN </w:t>
      </w:r>
      <w:r>
        <w:t xml:space="preserve"> (dok. 8052, rek. 1367). Rapporten betonade behovet av en starkare parlamentarisk dimension i FN för att förstärka FN:s demokratiska legitimitet. Ministerkommittén uppmanades att undersöka möjligheter till ökat samarbete mellan Europarådet och FN. Jan Bergqvist underströk i ett inlägg att riksdagsledamöternas aktiva engagemang i FN-arbetet som del</w:t>
      </w:r>
      <w:r>
        <w:t>e</w:t>
      </w:r>
      <w:r>
        <w:t>gater är en styrka i Sveriges utrikespolitik. Parlamentarikerna har en viktig roll att spela när det gäller att förmedla kunskaper vidare till allm</w:t>
      </w:r>
      <w:r>
        <w:t>änheten i sina valkretsar och att stimulera till en debatt om FN. Europarådet har all anledning att förstärka sina relationer med FN, framhöll Bergqvist.</w:t>
      </w:r>
    </w:p>
    <w:p w:rsidR="00AF530A" w:rsidRDefault="00AF530A">
      <w:pPr>
        <w:pStyle w:val="Normaltindrag"/>
      </w:pPr>
      <w:r>
        <w:t xml:space="preserve">Vid den andra delsessionen debatterades även </w:t>
      </w:r>
      <w:r>
        <w:rPr>
          <w:i/>
        </w:rPr>
        <w:t>relationerna med EU (up</w:t>
      </w:r>
      <w:r>
        <w:rPr>
          <w:i/>
        </w:rPr>
        <w:t>p</w:t>
      </w:r>
      <w:r>
        <w:rPr>
          <w:i/>
        </w:rPr>
        <w:t xml:space="preserve">följning av Amsterdamfördraget) </w:t>
      </w:r>
      <w:r>
        <w:t>(dok. 8051, rek. 1365). Rapporten föreslog ökat samarbete mellan EU:s och Europarådets olika organ, särskilt mellan Europaparlamentet och parlamentarikerförsamlingen. Amsterdamfördraget medförde utökade befogenheter för unionen rörande bl.a. mänskliga rätti</w:t>
      </w:r>
      <w:r>
        <w:t>g</w:t>
      </w:r>
      <w:r>
        <w:t>heter. Detta innebär att EG-domstolen i Luxemburg i viss mån kommer att kunna avgöra mål rörande mänskliga rättigheter. Därmed förelåg, enligt församlingen, risk för att motsägelsefull praxis mellan</w:t>
      </w:r>
      <w:r>
        <w:t xml:space="preserve"> domstolen i Stra</w:t>
      </w:r>
      <w:r>
        <w:t>s</w:t>
      </w:r>
      <w:r>
        <w:t>bourg och domstolen i Luxemburg utvecklas. För undvikande av detta för</w:t>
      </w:r>
      <w:r>
        <w:t>e</w:t>
      </w:r>
      <w:r>
        <w:t>slogs att frågan om EU-anslutning till MR-konventionen borde aktualiseras på nytt efter Amsterdamfördragets ikraftträdande. Församlingen framhöll Europarådets roll i förberedelsen av kandidatländerna för att uppfylla uni</w:t>
      </w:r>
      <w:r>
        <w:t>o</w:t>
      </w:r>
      <w:r>
        <w:t>nens krav på bl.a. det rättsliga området.</w:t>
      </w:r>
    </w:p>
    <w:p w:rsidR="00AF530A" w:rsidRDefault="00AF530A">
      <w:pPr>
        <w:pStyle w:val="Normaltindrag"/>
      </w:pPr>
      <w:r>
        <w:t xml:space="preserve">Vid den tredje delsessionen togs återigen beslut om en extrainsatt debatt </w:t>
      </w:r>
      <w:r>
        <w:rPr>
          <w:i/>
        </w:rPr>
        <w:t xml:space="preserve">om krisen i Kosovo och situationen i Förbundsrepubliken Jugoslavien </w:t>
      </w:r>
      <w:r>
        <w:t>(rek. 1376). Rapporten  klargjorde att grundförutsättningen för lösningen av krisen var ett omedelbart eldupphör och återupptagande av dialog. De jugoslaviska myndigheterna och president Milosevic bar huvudansvaret för upptrappnin</w:t>
      </w:r>
      <w:r>
        <w:t>g</w:t>
      </w:r>
      <w:r>
        <w:t>en av våldet. Församlingens debatt fokuserade på situationen i Kosovo. R</w:t>
      </w:r>
      <w:r>
        <w:t>e</w:t>
      </w:r>
      <w:r>
        <w:t>kommendationen uteslöt inte användandet av militära medel, om de jugosl</w:t>
      </w:r>
      <w:r>
        <w:t>a</w:t>
      </w:r>
      <w:r>
        <w:t>viska myndigheterna inte skulle följa de krav som ställts på dem. Fö</w:t>
      </w:r>
      <w:r>
        <w:t>rbund</w:t>
      </w:r>
      <w:r>
        <w:t>s</w:t>
      </w:r>
      <w:r>
        <w:t>republiken Jugoslavien uppmanades upphöra med våldsanvändningen mot civilbefolkningen i Kosovo, att släppa in internationella observatörer och att  genomföra demokratiska reformer. Även denna gång deltog jugoslaviska representanter i debatten. De protesterade mot formuleringen om etnisk rensning i Kosovo; problemet var separatism och terrorism från de albanska partierna.</w:t>
      </w:r>
    </w:p>
    <w:p w:rsidR="00AF530A" w:rsidRDefault="00AF530A">
      <w:pPr>
        <w:pStyle w:val="Normaltindrag"/>
      </w:pPr>
      <w:r>
        <w:t xml:space="preserve">Vid den fjärde delsessionen debatterades och antogs en rekommendation om </w:t>
      </w:r>
      <w:r>
        <w:rPr>
          <w:i/>
        </w:rPr>
        <w:t xml:space="preserve">inrättande av en europeisk uppförandekod för vapenhandel </w:t>
      </w:r>
      <w:r>
        <w:t>(dok. 8188, rek. 1382). Jan Bergqvist gjorde ett inlägg på socialistgruppens vägnar. Han redogjorde bl.a. för öppenheten i det svenska systemet. I det svenska vap</w:t>
      </w:r>
      <w:r>
        <w:t>e</w:t>
      </w:r>
      <w:r>
        <w:t>n</w:t>
      </w:r>
      <w:r>
        <w:softHyphen/>
        <w:t>exportrådet har parlamentarikerna en viktig roll när det gäller t.ex. att tolka EU:s nya uppförandekod  för vapenhandel och att formulera politiska rik</w:t>
      </w:r>
      <w:r>
        <w:t>t</w:t>
      </w:r>
      <w:r>
        <w:t>linjer för vapenexport. Öppenheten ökar även  genom regeringens årsred</w:t>
      </w:r>
      <w:r>
        <w:t>o</w:t>
      </w:r>
      <w:r>
        <w:t>visning om vapenexporten. Bergqvist varnade för spridningen av lätt</w:t>
      </w:r>
      <w:r>
        <w:t>are vapen och den förödande användningen av barnsoldater.</w:t>
      </w:r>
    </w:p>
    <w:p w:rsidR="00AF530A" w:rsidRDefault="00AF530A">
      <w:pPr>
        <w:pStyle w:val="Normaltindrag"/>
      </w:pPr>
      <w:r>
        <w:t xml:space="preserve">Även vid den fjärde delsessionen beslöt församlingen om en extrainsatt debatt om </w:t>
      </w:r>
      <w:r>
        <w:rPr>
          <w:i/>
        </w:rPr>
        <w:t xml:space="preserve">krisen i Kosovo och situationen i Förbundsrepubliken Jugoslavien </w:t>
      </w:r>
      <w:r>
        <w:t>(dok. 8204, 8210, rek. 1384). Omedelbart eldupphör, tillbakadragande av de serbiska säkerhetsstyrkorna och omedelbar avväpning av kosovoalbanska grupper samt omedelbart återupptagande av en dialog ansågs vara grundfö</w:t>
      </w:r>
      <w:r>
        <w:t>r</w:t>
      </w:r>
      <w:r>
        <w:t>utsättningar för en hållbar lösning av krisen. Starkt stöd uttrycktes för den resolution angående Kosovokrisen som FN:s säkerhetsråd antagit dagen före församlingens debatt. I motsats till tidigare deltog inga jugoslaviska företr</w:t>
      </w:r>
      <w:r>
        <w:t>ä</w:t>
      </w:r>
      <w:r>
        <w:t>dare i sessionen. Församlingen rekommenderade ministerkommittén att anordna en internationell konferens om Kosovos framtida status, med delt</w:t>
      </w:r>
      <w:r>
        <w:t>a</w:t>
      </w:r>
      <w:r>
        <w:t>gande av alla intresserade parter, regeringar och berörda internationella o</w:t>
      </w:r>
      <w:r>
        <w:t>r</w:t>
      </w:r>
      <w:r>
        <w:t>ganisationer.</w:t>
      </w:r>
    </w:p>
    <w:p w:rsidR="00AF530A" w:rsidRDefault="00AF530A">
      <w:pPr>
        <w:pStyle w:val="Normaltindrag"/>
      </w:pPr>
      <w:r>
        <w:t xml:space="preserve">Vid den fjärde delsessionen debatterade församlingen </w:t>
      </w:r>
      <w:r>
        <w:rPr>
          <w:i/>
        </w:rPr>
        <w:t>övergripande pol</w:t>
      </w:r>
      <w:r>
        <w:rPr>
          <w:i/>
        </w:rPr>
        <w:t>i</w:t>
      </w:r>
      <w:r>
        <w:rPr>
          <w:i/>
        </w:rPr>
        <w:t>tik: Europarådet och</w:t>
      </w:r>
      <w:r>
        <w:t xml:space="preserve"> </w:t>
      </w:r>
      <w:r>
        <w:rPr>
          <w:i/>
        </w:rPr>
        <w:t xml:space="preserve">OSSE </w:t>
      </w:r>
      <w:r>
        <w:t>(dok. 8187, rek. 1381). Europarådets samtliga 40 medlemsländer är medlemmar i OSSE.  Organisationernas verksamhet gru</w:t>
      </w:r>
      <w:r>
        <w:t>n</w:t>
      </w:r>
      <w:r>
        <w:t>das på samma värderingar och principer beträffande Europas stabilitet och säkerhet. De akuta kriserna bl.a. i Kosovo och Albanien samt valövervakning i många länder har visat att Europarådet i samarbete med andra internati</w:t>
      </w:r>
      <w:r>
        <w:t>o</w:t>
      </w:r>
      <w:r>
        <w:t>nella organisationer kan bidra till en positiv utveckling.</w:t>
      </w:r>
    </w:p>
    <w:p w:rsidR="00AF530A" w:rsidRDefault="00AF530A">
      <w:pPr>
        <w:pStyle w:val="Rubrik2"/>
      </w:pPr>
      <w:bookmarkStart w:id="33" w:name="_Toc444396635"/>
      <w:r>
        <w:t>4.3 Juridiska frågor och mänskliga rättigheter</w:t>
      </w:r>
      <w:bookmarkEnd w:id="33"/>
    </w:p>
    <w:p w:rsidR="00AF530A" w:rsidRDefault="00AF530A">
      <w:r>
        <w:t xml:space="preserve">Vid den första delsessionen debatterades en rapport om </w:t>
      </w:r>
      <w:r>
        <w:rPr>
          <w:i/>
        </w:rPr>
        <w:t xml:space="preserve">Ukrainas åtagande att införa moratorium på verkställighet av dödsstraff och avskaffande av dödsstraff  </w:t>
      </w:r>
      <w:r>
        <w:t>(dok. 7974, res. 1145). Församlingen hade behandlat dödsstraffets avskaffande i Ukraina både 1996 och 1997.  Flera avrättningar hade rappo</w:t>
      </w:r>
      <w:r>
        <w:t>r</w:t>
      </w:r>
      <w:r>
        <w:t>terats i Ukraina under 1997. I resolutionen påpekades att Ukraina vid inträdet i Europarådet år 1995 åtog sig att omedelbart införa ett moratorium på död</w:t>
      </w:r>
      <w:r>
        <w:t>s</w:t>
      </w:r>
      <w:r>
        <w:t>straff. Ukraina kritiserades för det sätt på vilket landet hemlighöll inform</w:t>
      </w:r>
      <w:r>
        <w:t>a</w:t>
      </w:r>
      <w:r>
        <w:t xml:space="preserve">tion om avrättningar och om fångar som </w:t>
      </w:r>
      <w:r>
        <w:t>blivit dömda till dödsstraff.  Res</w:t>
      </w:r>
      <w:r>
        <w:t>o</w:t>
      </w:r>
      <w:r>
        <w:t>lutionen tog också upp förhållandena i Ukrainas fängelser. Församlingen förbehöll sig rätten att överväga godkännandet av den ukrainska delegati</w:t>
      </w:r>
      <w:r>
        <w:t>o</w:t>
      </w:r>
      <w:r>
        <w:t>nens fullmakter vid kommande möten till dess man erhållit obestridliga bevis på att ett moratorium i fråga om dödsstraff  införts.</w:t>
      </w:r>
    </w:p>
    <w:p w:rsidR="00AF530A" w:rsidRDefault="00AF530A">
      <w:pPr>
        <w:pStyle w:val="Normaltindrag"/>
      </w:pPr>
      <w:r>
        <w:t xml:space="preserve">Vid den tredje delsessionen antog församlingen ett yttrande om utkastet till en </w:t>
      </w:r>
      <w:r>
        <w:rPr>
          <w:i/>
        </w:rPr>
        <w:t>straffrättskonvention om korruption</w:t>
      </w:r>
      <w:r>
        <w:t xml:space="preserve"> (dok. 8133). Församlingen stödde upprättandet av en straffrättslig konvention för bekämpandet av korruption, liksom inrättandet av partsavtalet GRECO (Group of States Against Corru</w:t>
      </w:r>
      <w:r>
        <w:t>p</w:t>
      </w:r>
      <w:r>
        <w:t>tion) som skall ansvara för övervakningen av genomförandet av de 20 pri</w:t>
      </w:r>
      <w:r>
        <w:t>n</w:t>
      </w:r>
      <w:r>
        <w:t>ciperna om bekämpande av korruption. Jan Bergqvist höll ett anförande på socialistgruppens vägnar, i vilket han underströk att korruption kunde u</w:t>
      </w:r>
      <w:r>
        <w:t>n</w:t>
      </w:r>
      <w:r>
        <w:t>derminera förtroendet för demokratiska institutioner, kränka de mänskliga rät</w:t>
      </w:r>
      <w:r>
        <w:t xml:space="preserve">tigheterna och äventyra rättsstatens principer. Vidare påpekade han att det var angeläget att finansieringen av GRECO säkerställdes i enlighet med handlingsplanen från toppmötet i oktober 1997. </w:t>
      </w:r>
    </w:p>
    <w:p w:rsidR="00AF530A" w:rsidRDefault="00AF530A">
      <w:pPr>
        <w:pStyle w:val="Normaltindrag"/>
      </w:pPr>
      <w:r>
        <w:t xml:space="preserve">Vid junisessionen debatterades </w:t>
      </w:r>
      <w:r>
        <w:rPr>
          <w:i/>
        </w:rPr>
        <w:t>rätten till privatliv</w:t>
      </w:r>
      <w:r>
        <w:t xml:space="preserve"> (dok. 8130, res. 1165). Debatten behandlade frågan om huruvida man kan etablera en balans mellan det berättigade kravet på skydd för individens privatliv och kravet på yttra</w:t>
      </w:r>
      <w:r>
        <w:t>n</w:t>
      </w:r>
      <w:r>
        <w:t>defrihet och pressfrihet. Göran Magnusson gjorde ett inlägg i debatten. Han fick församlingens stöd för en ordning som överensstämmer med den som finns i Sverige. Han föreslog att medierna i medlemsländerna bör uppmun</w:t>
      </w:r>
      <w:r>
        <w:t>t</w:t>
      </w:r>
      <w:r>
        <w:t>ras att utarbeta sina egna riktlinjer  för publicering och också sätta upp inst</w:t>
      </w:r>
      <w:r>
        <w:t>i</w:t>
      </w:r>
      <w:r>
        <w:t>tutioner dit medbo</w:t>
      </w:r>
      <w:r>
        <w:t>rgarna kan vända sig med sina klagomål och med begäran om att rättelse skall publiceras.</w:t>
      </w:r>
    </w:p>
    <w:p w:rsidR="00AF530A" w:rsidRDefault="00AF530A">
      <w:pPr>
        <w:pStyle w:val="Normaltindrag"/>
      </w:pPr>
      <w:r>
        <w:t>Vid den fjärde delsessionen debatterades</w:t>
      </w:r>
      <w:r>
        <w:rPr>
          <w:i/>
        </w:rPr>
        <w:t xml:space="preserve"> värnpliktigas mänskliga rätti</w:t>
      </w:r>
      <w:r>
        <w:rPr>
          <w:i/>
        </w:rPr>
        <w:t>g</w:t>
      </w:r>
      <w:r>
        <w:rPr>
          <w:i/>
        </w:rPr>
        <w:t>heter</w:t>
      </w:r>
      <w:r>
        <w:t xml:space="preserve"> (dok. 7979, res. 1166). Debatten i denna fråga handlade om värnplikt</w:t>
      </w:r>
      <w:r>
        <w:t>i</w:t>
      </w:r>
      <w:r>
        <w:t>gas rätt till medinflytande och rätt att organisera sig. Birger Hagård upplyste församlingen om hur den svenska föreningsfriheten är ett naturligt inslag i det svenska värnpliktssystemet.</w:t>
      </w:r>
    </w:p>
    <w:p w:rsidR="00AF530A" w:rsidRDefault="00AF530A">
      <w:pPr>
        <w:pStyle w:val="Normaltindrag"/>
      </w:pPr>
      <w:r>
        <w:t>Göran Magnusson var rapportör för det juridiska utskottet beträffande</w:t>
      </w:r>
      <w:r>
        <w:rPr>
          <w:i/>
        </w:rPr>
        <w:t xml:space="preserve"> ba</w:t>
      </w:r>
      <w:r>
        <w:rPr>
          <w:i/>
        </w:rPr>
        <w:t>l</w:t>
      </w:r>
      <w:r>
        <w:rPr>
          <w:i/>
        </w:rPr>
        <w:t xml:space="preserve">tiska staters tidigare ambassader i några av Europarådets medlemsländer </w:t>
      </w:r>
      <w:r>
        <w:t>(dok. 8176, rek. 1392). Utskottet rekommenderade att de fyra ifrågavarande fastigheterna i Paris och Rom överlämnades till de rättmätiga ägarna, näml</w:t>
      </w:r>
      <w:r>
        <w:t>i</w:t>
      </w:r>
      <w:r>
        <w:t>gen Estland, Lettland och Litauen.</w:t>
      </w:r>
    </w:p>
    <w:p w:rsidR="00AF530A" w:rsidRDefault="00AF530A">
      <w:pPr>
        <w:pStyle w:val="Rubrik2"/>
      </w:pPr>
      <w:bookmarkStart w:id="34" w:name="_Toc444396636"/>
      <w:r>
        <w:t>4.4 Ekonomi och utveckling</w:t>
      </w:r>
      <w:bookmarkEnd w:id="34"/>
    </w:p>
    <w:p w:rsidR="00AF530A" w:rsidRDefault="00AF530A">
      <w:r>
        <w:t xml:space="preserve">Vid den första delsessionen uppmärksammades </w:t>
      </w:r>
      <w:r>
        <w:rPr>
          <w:i/>
        </w:rPr>
        <w:t>den ekonomiska brottsligh</w:t>
      </w:r>
      <w:r>
        <w:rPr>
          <w:i/>
        </w:rPr>
        <w:t>e</w:t>
      </w:r>
      <w:r>
        <w:rPr>
          <w:i/>
        </w:rPr>
        <w:t xml:space="preserve">tens hot mot Europa </w:t>
      </w:r>
      <w:r>
        <w:t>(doc. 7971, res. 1147). Den ökade förekomsten av pe</w:t>
      </w:r>
      <w:r>
        <w:t>n</w:t>
      </w:r>
      <w:r>
        <w:t>ningtvätt och korruption kräver gemensamma internationella insatser. Det föreslogs att ett särskilt övervakningsorgan inom Europarådet skulle inrättas. Jan Bergqvist betonade behovet av intensifierat samarbete staterna emellan för att tackla  problemen med ekonomisk brottslighet. Han föreslog att aukt</w:t>
      </w:r>
      <w:r>
        <w:t>o</w:t>
      </w:r>
      <w:r>
        <w:t>riserade revisorer som arbetar i företag bör ha skyldighet att rapportera till pol</w:t>
      </w:r>
      <w:r>
        <w:t>i</w:t>
      </w:r>
      <w:r>
        <w:t>sen om de ekonomiska brott s</w:t>
      </w:r>
      <w:r>
        <w:t>om framkommer vid revision.</w:t>
      </w:r>
    </w:p>
    <w:p w:rsidR="00AF530A" w:rsidRDefault="00AF530A">
      <w:pPr>
        <w:pStyle w:val="Normaltindrag"/>
      </w:pPr>
      <w:r>
        <w:t xml:space="preserve">Vid den andra delsessionen debatterades en rapport om </w:t>
      </w:r>
      <w:r>
        <w:rPr>
          <w:i/>
        </w:rPr>
        <w:t>riskerna med a</w:t>
      </w:r>
      <w:r>
        <w:rPr>
          <w:i/>
        </w:rPr>
        <w:t>s</w:t>
      </w:r>
      <w:r>
        <w:rPr>
          <w:i/>
        </w:rPr>
        <w:t>best  för arbetare och miljön</w:t>
      </w:r>
      <w:r>
        <w:t xml:space="preserve"> (dok. 8015, rek. 1369). Lisbet Calner konstat</w:t>
      </w:r>
      <w:r>
        <w:t>e</w:t>
      </w:r>
      <w:r>
        <w:t>rade att användningen av asbest har minskat betydligt i Sverige sedan 1970-talet tack vare information om dess hälsorisker. Det har varit en mödosam process att genom lagstiftning, kontrollmekanismer och informationska</w:t>
      </w:r>
      <w:r>
        <w:t>m</w:t>
      </w:r>
      <w:r>
        <w:t>panjer komma så långt.</w:t>
      </w:r>
    </w:p>
    <w:p w:rsidR="00AF530A" w:rsidRDefault="00AF530A">
      <w:pPr>
        <w:pStyle w:val="Normaltindrag"/>
      </w:pPr>
      <w:r>
        <w:t xml:space="preserve">Vid den tredje delsessionen debatterades </w:t>
      </w:r>
      <w:r>
        <w:rPr>
          <w:i/>
        </w:rPr>
        <w:t>japansk ekonomi i ett sydostasi</w:t>
      </w:r>
      <w:r>
        <w:rPr>
          <w:i/>
        </w:rPr>
        <w:t>a</w:t>
      </w:r>
      <w:r>
        <w:rPr>
          <w:i/>
        </w:rPr>
        <w:t xml:space="preserve">tiskt och i ett globalt sammanhang  </w:t>
      </w:r>
      <w:r>
        <w:t>(doc. 8043, res. 1164).  De reformer Japan hade genomfört  för att lösa den allvarliga ekonomiska krisen, särskilt åtgärder för att underlätta konkurrens, öppenhet och utländska investeringar, välkomnades. Ekonomiska kontakter mellan Japan och Europa är viktiga och måste utvidgas för att främja det fortsatta ekonomiska reformarbetet.</w:t>
      </w:r>
    </w:p>
    <w:p w:rsidR="00AF530A" w:rsidRDefault="00AF530A">
      <w:pPr>
        <w:pStyle w:val="Normaltindrag"/>
      </w:pPr>
      <w:r>
        <w:t>Lisbet Calner var rapportör för ekonomi- och utvecklingsutskottet i deba</w:t>
      </w:r>
      <w:r>
        <w:t>t</w:t>
      </w:r>
      <w:r>
        <w:t xml:space="preserve">ten om </w:t>
      </w:r>
      <w:r>
        <w:rPr>
          <w:i/>
        </w:rPr>
        <w:t>Europarådets sociala utvecklingsfond; verksamhet och framtidsu</w:t>
      </w:r>
      <w:r>
        <w:rPr>
          <w:i/>
        </w:rPr>
        <w:t>t</w:t>
      </w:r>
      <w:r>
        <w:rPr>
          <w:i/>
        </w:rPr>
        <w:t xml:space="preserve">sikter </w:t>
      </w:r>
      <w:r>
        <w:t>(dok. 8128, rek. 1378) vid junisessionen. Hon påpekade att fonden fyller en viktig funktion. Den är inte en bank, utan har en social uppgift. Fondens kapital måste utökas  liksom samarbetet med andra finansieringsi</w:t>
      </w:r>
      <w:r>
        <w:t>n</w:t>
      </w:r>
      <w:r>
        <w:t>stitut. Calner påminde om att  många projekt förhalas på grund av brister i mott</w:t>
      </w:r>
      <w:r>
        <w:t>a</w:t>
      </w:r>
      <w:r>
        <w:t>garlandets administrativa system.</w:t>
      </w:r>
    </w:p>
    <w:p w:rsidR="00AF530A" w:rsidRDefault="00AF530A">
      <w:pPr>
        <w:pStyle w:val="Rubrik2"/>
      </w:pPr>
      <w:bookmarkStart w:id="35" w:name="_Toc444396637"/>
      <w:r>
        <w:t>4.5 Sociala frågor, hälso- och familjefrågor</w:t>
      </w:r>
      <w:bookmarkEnd w:id="35"/>
    </w:p>
    <w:p w:rsidR="00AF530A" w:rsidRDefault="00AF530A">
      <w:r>
        <w:t xml:space="preserve">Vid den första delsessionen diskuterade församlingen </w:t>
      </w:r>
      <w:r>
        <w:rPr>
          <w:i/>
        </w:rPr>
        <w:t xml:space="preserve"> europeiska sociala stadgans framtid</w:t>
      </w:r>
      <w:r>
        <w:t xml:space="preserve"> (dok. 7980, rek. 1354). Parlamentarikerförsamlingen fra</w:t>
      </w:r>
      <w:r>
        <w:t>m</w:t>
      </w:r>
      <w:r>
        <w:t>höll att sociala stadgan på ett effektivt sätt garanterar sociala och</w:t>
      </w:r>
      <w:r>
        <w:rPr>
          <w:i/>
        </w:rPr>
        <w:t xml:space="preserve"> </w:t>
      </w:r>
      <w:r>
        <w:t>medborge</w:t>
      </w:r>
      <w:r>
        <w:t>r</w:t>
      </w:r>
      <w:r>
        <w:t>liga rättigheter i en värld som karaktäriseras av förändring. Rapporten unde</w:t>
      </w:r>
      <w:r>
        <w:t>r</w:t>
      </w:r>
      <w:r>
        <w:t>strök behovet av att flera stater ratificerar stadgan. Endast 21 av Europar</w:t>
      </w:r>
      <w:r>
        <w:t>å</w:t>
      </w:r>
      <w:r>
        <w:t>dets 40 medlemsstater har ratificerat sociala stadgan.</w:t>
      </w:r>
    </w:p>
    <w:p w:rsidR="00AF530A" w:rsidRDefault="00AF530A">
      <w:pPr>
        <w:pStyle w:val="Normaltindrag"/>
      </w:pPr>
      <w:r>
        <w:t xml:space="preserve">I rapporten om </w:t>
      </w:r>
      <w:r>
        <w:rPr>
          <w:i/>
        </w:rPr>
        <w:t xml:space="preserve">kampen mot social utslagning och stärkandet av social samhörighet i Europa </w:t>
      </w:r>
      <w:r>
        <w:t>(dok. 7981, rek. 1355) uppmärksammades allvarliga sociala problem i medlemsländerna. Antalet medborgare som lever i fatti</w:t>
      </w:r>
      <w:r>
        <w:t>g</w:t>
      </w:r>
      <w:r>
        <w:t>dom har ökat dramatiskt i Central- och Östeuropa under 90-talet. Parlament</w:t>
      </w:r>
      <w:r>
        <w:t>a</w:t>
      </w:r>
      <w:r>
        <w:t>rikerförsamlingen uppmanade medlemsländernas regeringar att ge sociala rättigheter samma status som mänskliga rättigheter. Församlingen reko</w:t>
      </w:r>
      <w:r>
        <w:t>m</w:t>
      </w:r>
      <w:r>
        <w:t>menderade regeringarna att vidta aktiva åtgärder inom husbyggande, utbil</w:t>
      </w:r>
      <w:r>
        <w:t>d</w:t>
      </w:r>
      <w:r>
        <w:t>ning och sjukvård.</w:t>
      </w:r>
    </w:p>
    <w:p w:rsidR="00AF530A" w:rsidRDefault="00AF530A">
      <w:pPr>
        <w:pStyle w:val="Normaltindrag"/>
      </w:pPr>
      <w:r>
        <w:t>Vid den</w:t>
      </w:r>
      <w:r>
        <w:t xml:space="preserve"> andra delsessionen debatterades </w:t>
      </w:r>
      <w:r>
        <w:rPr>
          <w:i/>
        </w:rPr>
        <w:t xml:space="preserve">misshandel och försummelse av barn </w:t>
      </w:r>
      <w:r>
        <w:t>(dok. 8041, rek. 1371). Parlamentarikerförsamlingen föreslog att barn bör ges juridiskt och socialt skydd mot pedofili, prostitution och adoption</w:t>
      </w:r>
      <w:r>
        <w:t>s</w:t>
      </w:r>
      <w:r>
        <w:t>missbruk. Församlingen föreslog också att ett internationellt register upprä</w:t>
      </w:r>
      <w:r>
        <w:t>t</w:t>
      </w:r>
      <w:r>
        <w:t>tas över personer som dömts för brott mot barn. Registret, som skulle föras av Europadomstolen, skulle kunna hindra den som dömts för brott mot barn att få ett arbete som utsätter barn för risker. Ministerkommittén uppman</w:t>
      </w:r>
      <w:r>
        <w:t>ades att etablera ett effektivt juridiskt samarbete i denna fråga mellan medlem</w:t>
      </w:r>
      <w:r>
        <w:t>s</w:t>
      </w:r>
      <w:r>
        <w:t>staterna. Göran Magnusson underströk att det är viktigt att kriminalisera tillverkning av pornografiska bilder på barn, liksom distribution av sådana bilder. Han redogjorde för svensk lagstiftning som gör det olagligt att inneha pornografiska bilder på barn. Han krävde åtgärder från Europarådets me</w:t>
      </w:r>
      <w:r>
        <w:t>d</w:t>
      </w:r>
      <w:r>
        <w:t>lemsst</w:t>
      </w:r>
      <w:r>
        <w:t>a</w:t>
      </w:r>
      <w:r>
        <w:t xml:space="preserve">ter för att skydda unga flickor mot könsstympning. </w:t>
      </w:r>
    </w:p>
    <w:p w:rsidR="00AF530A" w:rsidRDefault="00AF530A">
      <w:pPr>
        <w:pStyle w:val="Rubrik2"/>
      </w:pPr>
      <w:bookmarkStart w:id="36" w:name="_Toc444396638"/>
      <w:r>
        <w:t>4.6 Kultur och utbildning</w:t>
      </w:r>
      <w:bookmarkEnd w:id="36"/>
    </w:p>
    <w:p w:rsidR="00AF530A" w:rsidRDefault="00AF530A">
      <w:r>
        <w:t xml:space="preserve">I debatten om </w:t>
      </w:r>
      <w:r>
        <w:rPr>
          <w:i/>
        </w:rPr>
        <w:t>minoriteters tillgång till högre utbildning</w:t>
      </w:r>
      <w:r>
        <w:t xml:space="preserve"> (dok. 7888, rek. 1353) redogjorde Ingegerd Wärnersson för hur arbetet i Sverige fortskrider beträffande ratificering av Europarådets ramkonvention om skydd för nati</w:t>
      </w:r>
      <w:r>
        <w:t>o</w:t>
      </w:r>
      <w:r>
        <w:t xml:space="preserve">nella minoriteter och om historiska minoritetsspråk. Frågan har utretts. En ratificering skulle innebära att Sverige markerar sin mångkulturella historia där nationella minoriteter länge haft en egen roll. </w:t>
      </w:r>
    </w:p>
    <w:p w:rsidR="00AF530A" w:rsidRDefault="00AF530A">
      <w:pPr>
        <w:pStyle w:val="Normaltindrag"/>
      </w:pPr>
      <w:r>
        <w:t>Vid den fjärde delsessionen debatterades</w:t>
      </w:r>
      <w:r>
        <w:rPr>
          <w:i/>
        </w:rPr>
        <w:t xml:space="preserve"> hotade uraliska minoritetskult</w:t>
      </w:r>
      <w:r>
        <w:rPr>
          <w:i/>
        </w:rPr>
        <w:t>u</w:t>
      </w:r>
      <w:r>
        <w:rPr>
          <w:i/>
        </w:rPr>
        <w:t xml:space="preserve">rer </w:t>
      </w:r>
      <w:r>
        <w:t xml:space="preserve">(dok. 8126, res. 1171). Församlingen vädjade till de ryska myndigheterna att skydda minoriteter i Ural. Den ryska lagstiftningen stödjer språkliga och kulturella minoriteter och jämställer dem med rysk kultur och språk. Den ekonomiska krisen i Ryssland hotar dock många mindre befolkningsgruppers språk och kultur i Ural. </w:t>
      </w:r>
    </w:p>
    <w:p w:rsidR="00AF530A" w:rsidRDefault="00AF530A">
      <w:pPr>
        <w:pStyle w:val="Rubrik2"/>
      </w:pPr>
      <w:bookmarkStart w:id="37" w:name="_Toc444396639"/>
      <w:r>
        <w:t>4.7 Naturvetenskap och teknik</w:t>
      </w:r>
      <w:bookmarkEnd w:id="37"/>
    </w:p>
    <w:p w:rsidR="00AF530A" w:rsidRDefault="00AF530A">
      <w:r>
        <w:t xml:space="preserve">Vid den tredje delsessionen debatterade parlamentarikerförsamlingen </w:t>
      </w:r>
      <w:r>
        <w:rPr>
          <w:i/>
        </w:rPr>
        <w:t>grund</w:t>
      </w:r>
      <w:r>
        <w:rPr>
          <w:i/>
        </w:rPr>
        <w:softHyphen/>
        <w:t>utbildning i naturvetenskap och teknik</w:t>
      </w:r>
      <w:r>
        <w:t xml:space="preserve"> (dok. 8122, rek. 1379). Det inform</w:t>
      </w:r>
      <w:r>
        <w:t>a</w:t>
      </w:r>
      <w:r>
        <w:t>tionstekniska genombrottet har grundligt förändrat samhället. Behovet av kunskaper i naturvetenskap och teknik har ökat. Att lära sig hitta i  inform</w:t>
      </w:r>
      <w:r>
        <w:t>a</w:t>
      </w:r>
      <w:r>
        <w:t>tionsflödet är viktigt. Den nya tekniken ställer skolor, lärare och beslutsfatt</w:t>
      </w:r>
      <w:r>
        <w:t>a</w:t>
      </w:r>
      <w:r>
        <w:t>re inför svåra uppgifter när det gäller att finna lämpliga undervisningsmet</w:t>
      </w:r>
      <w:r>
        <w:t>o</w:t>
      </w:r>
      <w:r>
        <w:t xml:space="preserve">der. </w:t>
      </w:r>
    </w:p>
    <w:p w:rsidR="00AF530A" w:rsidRDefault="00AF530A">
      <w:pPr>
        <w:pStyle w:val="Normaltindrag"/>
      </w:pPr>
      <w:r>
        <w:t>FN:s internationella år för världshaven medförde att havsmiljöfrågor b</w:t>
      </w:r>
      <w:r>
        <w:t>e</w:t>
      </w:r>
      <w:r>
        <w:t xml:space="preserve">handlades av flera utskott. En rapport om </w:t>
      </w:r>
      <w:r>
        <w:rPr>
          <w:i/>
        </w:rPr>
        <w:t>framtida utmaningar inom eur</w:t>
      </w:r>
      <w:r>
        <w:rPr>
          <w:i/>
        </w:rPr>
        <w:t>o</w:t>
      </w:r>
      <w:r>
        <w:rPr>
          <w:i/>
        </w:rPr>
        <w:t xml:space="preserve">peisk havsforskning </w:t>
      </w:r>
      <w:r>
        <w:t>(dok. 8164, res. 1168) debatterades vid den fjärde de</w:t>
      </w:r>
      <w:r>
        <w:t>l</w:t>
      </w:r>
      <w:r>
        <w:t>sessionen. Grundandet av ett europeiskt centrum för havsforskning skulle innebära ett viktigt instrument för att främja samarbete mellan olika fors</w:t>
      </w:r>
      <w:r>
        <w:t>k</w:t>
      </w:r>
      <w:r>
        <w:t>ningsinstitut, sjöfartsnäring och politiska b</w:t>
      </w:r>
      <w:r>
        <w:t>e</w:t>
      </w:r>
      <w:r>
        <w:t>slutsfattare.</w:t>
      </w:r>
    </w:p>
    <w:p w:rsidR="00AF530A" w:rsidRDefault="00AF530A">
      <w:r>
        <w:t xml:space="preserve">Sören Lekberg var rapportör för utskottet för naturvetenskap och teknik beträffande </w:t>
      </w:r>
      <w:r>
        <w:rPr>
          <w:i/>
        </w:rPr>
        <w:t>energisamarbete i Östersjöområdet</w:t>
      </w:r>
      <w:r>
        <w:t xml:space="preserve"> (dok. 8168, res. 1175). Ra</w:t>
      </w:r>
      <w:r>
        <w:t>p</w:t>
      </w:r>
      <w:r>
        <w:t>porten underströk att ökade infrastrukturinvesteringar krävs för en effektiv</w:t>
      </w:r>
      <w:r>
        <w:t>a</w:t>
      </w:r>
      <w:r>
        <w:t>re energianvändning i Östersjöländerna. Användningen av naturgas bör prioriteras och ersätta olja och kol vid elproduktion. Rapporten förespråkade fönybara energikällor och energisnål teknik. Det är särskilt viktigt att sama</w:t>
      </w:r>
      <w:r>
        <w:t>r</w:t>
      </w:r>
      <w:r>
        <w:t>beta om säkerhet i kärnkraftverken.</w:t>
      </w:r>
    </w:p>
    <w:p w:rsidR="00AF530A" w:rsidRDefault="00AF530A">
      <w:pPr>
        <w:pStyle w:val="Rubrik2"/>
      </w:pPr>
      <w:bookmarkStart w:id="38" w:name="_Toc444396640"/>
      <w:r>
        <w:t>4.8 Miljö, regionalplanering, lokal förvaltning</w:t>
      </w:r>
      <w:bookmarkEnd w:id="38"/>
    </w:p>
    <w:p w:rsidR="00AF530A" w:rsidRDefault="00AF530A">
      <w:r>
        <w:rPr>
          <w:i/>
        </w:rPr>
        <w:t xml:space="preserve">En straffrättslig konvention till skydd för miljön </w:t>
      </w:r>
      <w:r>
        <w:t>(dok. 8133) behandlades av parlamentarikerförsamlingen vid den tredje delsessionen i juni. Konventi</w:t>
      </w:r>
      <w:r>
        <w:t>o</w:t>
      </w:r>
      <w:r>
        <w:t>nen trädde i kraft senare under hösten 1998.</w:t>
      </w:r>
    </w:p>
    <w:p w:rsidR="00AF530A" w:rsidRDefault="00AF530A">
      <w:pPr>
        <w:pStyle w:val="Normaltindrag"/>
      </w:pPr>
      <w:r>
        <w:t>Havsmiljöfrågor engagerade även utskottet för miljövård, regionalplan</w:t>
      </w:r>
      <w:r>
        <w:t>e</w:t>
      </w:r>
      <w:r>
        <w:t>ring och kommunala frågor. Vid den fjärde delsessionen debatterade parl</w:t>
      </w:r>
      <w:r>
        <w:t>a</w:t>
      </w:r>
      <w:r>
        <w:t xml:space="preserve">mentarikerförsamlingen </w:t>
      </w:r>
      <w:r>
        <w:rPr>
          <w:i/>
        </w:rPr>
        <w:t>oceanerna</w:t>
      </w:r>
      <w:r>
        <w:t>:</w:t>
      </w:r>
      <w:r>
        <w:rPr>
          <w:i/>
        </w:rPr>
        <w:t xml:space="preserve"> tillståndet för den marina miljön och nya trender inom internationell havsrätt </w:t>
      </w:r>
      <w:r>
        <w:t xml:space="preserve">(dok. 8177, rek. 1388). Ökande urbanisering och skogsavverkning var enligt rapporten de största hoten för ekosystemen i kustområdena. För att effektivt skydda havsmiljön krävs att den internationella rättens föreskrifter följs. </w:t>
      </w:r>
    </w:p>
    <w:p w:rsidR="00AF530A" w:rsidRDefault="00AF530A">
      <w:pPr>
        <w:pStyle w:val="Rubrik2"/>
      </w:pPr>
      <w:bookmarkStart w:id="39" w:name="_Toc444396641"/>
      <w:r>
        <w:t>4.9 Befolknings- och flyktingfrågor</w:t>
      </w:r>
      <w:bookmarkEnd w:id="39"/>
    </w:p>
    <w:p w:rsidR="00AF530A" w:rsidRDefault="00AF530A">
      <w:r>
        <w:t xml:space="preserve">Vid den första delsessionen debatterade församlingen </w:t>
      </w:r>
      <w:r>
        <w:rPr>
          <w:i/>
        </w:rPr>
        <w:t xml:space="preserve">Bosnien-Hercegovina: flyktingars och tvångsförflyttade personers återvändande </w:t>
      </w:r>
      <w:r>
        <w:t>(dok. 7972, rek. 1357). Debatten avslutades med  rekommendationer inriktade bl.a. på krav om ökad medverkan från bosnisk sida för att underlätta för flyktingar att återvända. Dialog mellan de politiska grupperna krävs enligt Daytonavtalets föreskrifter. FN:s flyktingkommissarie Sadako Ogata deltog i debatten. Hon sade att 40 multi-etniska städer kommer att finnas vid årets utgång i Bosnien-Hercegovina. Dessa prioriteras i det huma</w:t>
      </w:r>
      <w:r>
        <w:t>nitära biståndet.</w:t>
      </w:r>
    </w:p>
    <w:p w:rsidR="00AF530A" w:rsidRDefault="00AF530A">
      <w:pPr>
        <w:pStyle w:val="Normaltindrag"/>
      </w:pPr>
      <w:r>
        <w:t xml:space="preserve">En rapport om </w:t>
      </w:r>
      <w:r>
        <w:rPr>
          <w:i/>
        </w:rPr>
        <w:t xml:space="preserve">UNHCR:s verksamhet under perioden 1994–1997 </w:t>
      </w:r>
      <w:r>
        <w:t>(dok. 7972, rek. 1356) debatterades vid samma tillfälle. UNHCR:s verksamhet omfattar 23 miljoner flyktingar i hela världen. UNHCR:s insatser prisades. Samtidigt poängterades behovet av politiska åtgärder som förhindrar fly</w:t>
      </w:r>
      <w:r>
        <w:t>k</w:t>
      </w:r>
      <w:r>
        <w:t>tingvågor och tvångsförflyttningar.</w:t>
      </w:r>
    </w:p>
    <w:p w:rsidR="00AF530A" w:rsidRDefault="00AF530A">
      <w:pPr>
        <w:pStyle w:val="Normaltindrag"/>
      </w:pPr>
      <w:r>
        <w:t>Migrationsfrågor var på dagordningen även vid den andra delsessionen. Utgångspunkt för debatten var en rapport om</w:t>
      </w:r>
      <w:r>
        <w:rPr>
          <w:i/>
        </w:rPr>
        <w:t xml:space="preserve"> Internationella Migrationso</w:t>
      </w:r>
      <w:r>
        <w:rPr>
          <w:i/>
        </w:rPr>
        <w:t>r</w:t>
      </w:r>
      <w:r>
        <w:rPr>
          <w:i/>
        </w:rPr>
        <w:t xml:space="preserve">ganisationens (IOM) aktiviteter 1994–1997 </w:t>
      </w:r>
      <w:r>
        <w:t>(dok. 8053, rek. 1370). Genera</w:t>
      </w:r>
      <w:r>
        <w:t>l</w:t>
      </w:r>
      <w:r>
        <w:t>direktör James N. Purcell redogjorde för organisationens arbete för flyktingar och tvångsförflyttade personer, särskilt i länder som drabbats hårt vid ko</w:t>
      </w:r>
      <w:r>
        <w:t>m</w:t>
      </w:r>
      <w:r>
        <w:t xml:space="preserve">munistblockets kollaps åren 1994–1997. </w:t>
      </w:r>
    </w:p>
    <w:p w:rsidR="00AF530A" w:rsidRDefault="00AF530A">
      <w:pPr>
        <w:pStyle w:val="Normaltindrag"/>
      </w:pPr>
      <w:r>
        <w:t xml:space="preserve">I debatten om </w:t>
      </w:r>
      <w:r>
        <w:rPr>
          <w:i/>
        </w:rPr>
        <w:t xml:space="preserve">den humanitära situationen för kurdiska flyktingar och tvångsförflyttade personer i sydöstra Turkiet och norra Irak </w:t>
      </w:r>
      <w:r>
        <w:t>(dok. 8131, rek. 1377) gjorde Ingegerd Wärnersson ett inlägg.  Hon påpekade att Turkiet  måste garantera respekt för de mänskliga rättigheterna och yttrandefriheten innan landet kan bli aktuellt för EU-medlemskap. En fredlig lösning av ko</w:t>
      </w:r>
      <w:r>
        <w:t>n</w:t>
      </w:r>
      <w:r>
        <w:t>flikten i sydöstra Turkiet krävs för ett slut på den kurdiska minoritetens l</w:t>
      </w:r>
      <w:r>
        <w:t>i</w:t>
      </w:r>
      <w:r>
        <w:t xml:space="preserve">danden och för att garantera dess rättigheter. </w:t>
      </w:r>
    </w:p>
    <w:p w:rsidR="00AF530A" w:rsidRDefault="00AF530A">
      <w:pPr>
        <w:pStyle w:val="Normaltindrag"/>
      </w:pPr>
      <w:r>
        <w:t>Vid den fjärde delsessionen deba</w:t>
      </w:r>
      <w:r>
        <w:t>tterades</w:t>
      </w:r>
      <w:r>
        <w:rPr>
          <w:i/>
        </w:rPr>
        <w:t xml:space="preserve"> situationen för flyktingar,</w:t>
      </w:r>
      <w:r>
        <w:t xml:space="preserve"> </w:t>
      </w:r>
      <w:r>
        <w:rPr>
          <w:i/>
        </w:rPr>
        <w:t>asyls</w:t>
      </w:r>
      <w:r>
        <w:rPr>
          <w:i/>
        </w:rPr>
        <w:t>ö</w:t>
      </w:r>
      <w:r>
        <w:rPr>
          <w:i/>
        </w:rPr>
        <w:t>kanden och tvångsförflyttade från Kosovo</w:t>
      </w:r>
      <w:r>
        <w:t xml:space="preserve"> (dok. 8205, rek. 1385). Konflikten hade lett till att mellan 290 000 och 600 000 människor var på flykt. Förstö</w:t>
      </w:r>
      <w:r>
        <w:t>r</w:t>
      </w:r>
      <w:r>
        <w:t>da bostadshus och allmän osäkerhet gjorde återvändandet svårt. Alla våld</w:t>
      </w:r>
      <w:r>
        <w:t>s</w:t>
      </w:r>
      <w:r>
        <w:t xml:space="preserve">handlingar måste upphöra för att flyktingar skall kunna återvända. </w:t>
      </w:r>
    </w:p>
    <w:p w:rsidR="00AF530A" w:rsidRDefault="00AF530A">
      <w:pPr>
        <w:pStyle w:val="Rubrik2"/>
      </w:pPr>
      <w:bookmarkStart w:id="40" w:name="_Toc444396642"/>
      <w:r>
        <w:t>4.10 Jordbruk och landsbygdsutveckling</w:t>
      </w:r>
      <w:bookmarkEnd w:id="40"/>
    </w:p>
    <w:p w:rsidR="00AF530A" w:rsidRDefault="00AF530A">
      <w:r>
        <w:t xml:space="preserve">Vid den fjärde delsessionen debatterades </w:t>
      </w:r>
      <w:r>
        <w:rPr>
          <w:i/>
        </w:rPr>
        <w:t xml:space="preserve"> uthållig exploatering  av levande marina resurser </w:t>
      </w:r>
      <w:r>
        <w:t>(dok. 8165, res. 1170).  I den antagna resolutionen föreslogs åtgärder för att främja fiskeforskning och teknisk utveckling inom denna sektor, förhindra nedsmutsning samt öka allmänhetens kunskaper om oce</w:t>
      </w:r>
      <w:r>
        <w:t>a</w:t>
      </w:r>
      <w:r>
        <w:t>nernas betydelse för miljön.</w:t>
      </w:r>
    </w:p>
    <w:p w:rsidR="00AF530A" w:rsidRDefault="00AF530A">
      <w:pPr>
        <w:pStyle w:val="Rubrik2"/>
      </w:pPr>
      <w:bookmarkStart w:id="41" w:name="_Toc444396643"/>
      <w:r>
        <w:t>4.11 Kontakter med nationella parlament och med allmänheten</w:t>
      </w:r>
      <w:bookmarkEnd w:id="41"/>
    </w:p>
    <w:p w:rsidR="00AF530A" w:rsidRDefault="00AF530A">
      <w:r>
        <w:t>Utskottet för förbindelser med de nationella parlamenten och med allmänh</w:t>
      </w:r>
      <w:r>
        <w:t>e</w:t>
      </w:r>
      <w:r>
        <w:t>ten tillsatte under 1998 ett underutskott för att planera högtidlighållandet av Europarådets 50-årsjubileum. I planerna ingår att anordna en ungdomsrik</w:t>
      </w:r>
      <w:r>
        <w:t>s</w:t>
      </w:r>
      <w:r>
        <w:t>dag i Strasbourg i april 1999. Riksdagens Europarådsdelegation har bestämt att fyra svenska gymnasieelever från olika delar av landet skall ingå i den svenska ungdomsdelegationen. En utställning som beskriver Europarådet och dess verksamhet kommer att visas i riksdagens infocentrum under våren. Ett antal skrifter och broschyrer kommer att uppdateras och ges</w:t>
      </w:r>
      <w:r>
        <w:t xml:space="preserve"> ut under 1999. De nationella parlamenten uppmanas att ordna Europarådsdebatter under året. Den 5 maj 1999 är centrum för högtidligheterna i London, där Eur</w:t>
      </w:r>
      <w:r>
        <w:t>o</w:t>
      </w:r>
      <w:r>
        <w:t>parådets stadgar undertecknades för 50 år sedan. Parlamentarikerförsamlin</w:t>
      </w:r>
      <w:r>
        <w:t>g</w:t>
      </w:r>
      <w:r>
        <w:t xml:space="preserve">ens byrå samt utvidgad ”Joint Committee” sammanträder den 6–7 maj i Budapest. </w:t>
      </w:r>
    </w:p>
    <w:p w:rsidR="00AF530A" w:rsidRDefault="00AF530A">
      <w:pPr>
        <w:pStyle w:val="Rubrik2"/>
      </w:pPr>
      <w:bookmarkStart w:id="42" w:name="_Toc444396644"/>
      <w:r>
        <w:t>4.12 Jämställdhet mellan kvinnor och män</w:t>
      </w:r>
      <w:bookmarkEnd w:id="42"/>
    </w:p>
    <w:p w:rsidR="00AF530A" w:rsidRDefault="00AF530A">
      <w:r>
        <w:t xml:space="preserve">Vid den första delsessionen beslutade parlamentarikerförsamlingen att inrätta ett nytt </w:t>
      </w:r>
      <w:r>
        <w:rPr>
          <w:i/>
        </w:rPr>
        <w:t xml:space="preserve">utskott för att behandla frågor rörande jämställdhet mellan kvinnor och män </w:t>
      </w:r>
      <w:r>
        <w:t>(dok. 7890). Utskottet består av 45 parlamentariker. Utskottet fö</w:t>
      </w:r>
      <w:r>
        <w:t>r</w:t>
      </w:r>
      <w:r>
        <w:t>väntas bli slagkraftigare än den ad hoc-kommitté för jämställdhet mellan könen som sedan 1993 haft ansvaret för jämställdhetsfrågorna. Det nya u</w:t>
      </w:r>
      <w:r>
        <w:t>t</w:t>
      </w:r>
      <w:r>
        <w:t>skottets uppdrag är att föreslå åtgärder och bevaka att medlemsstaterna g</w:t>
      </w:r>
      <w:r>
        <w:t>e</w:t>
      </w:r>
      <w:r>
        <w:t xml:space="preserve">nomför sina åtaganden på detta område. Det skall främja jämställdhet genom att anordna seminarier, konferenser och utfrågningar. Utskottet arrangerade </w:t>
      </w:r>
      <w:r>
        <w:t>under 1998 en utfrågning om kvinnors situation i Afghanistan.</w:t>
      </w:r>
    </w:p>
    <w:p w:rsidR="00AF530A" w:rsidRDefault="00AF530A">
      <w:pPr>
        <w:pStyle w:val="Rubrik1"/>
        <w:sectPr w:rsidR="00000000">
          <w:headerReference w:type="default" r:id="rId14"/>
          <w:footerReference w:type="default" r:id="rId15"/>
          <w:pgSz w:w="11906" w:h="16838" w:code="9"/>
          <w:pgMar w:top="567" w:right="4876" w:bottom="4508" w:left="1134" w:header="227" w:footer="227" w:gutter="0"/>
          <w:cols w:space="720"/>
        </w:sectPr>
      </w:pPr>
    </w:p>
    <w:p w:rsidR="00AF530A" w:rsidRDefault="00AF530A">
      <w:pPr>
        <w:pStyle w:val="Rubrik1"/>
        <w:spacing w:before="0"/>
      </w:pPr>
      <w:bookmarkStart w:id="43" w:name="_Toc444396645"/>
      <w:r>
        <w:t>Förteckning över församlingens beslut</w:t>
      </w:r>
      <w:bookmarkEnd w:id="43"/>
    </w:p>
    <w:p w:rsidR="00AF530A" w:rsidRDefault="00AF530A">
      <w:pPr>
        <w:rPr>
          <w:b/>
        </w:rPr>
      </w:pPr>
      <w:r>
        <w:rPr>
          <w:b/>
        </w:rPr>
        <w:t>Rekommendationer</w:t>
      </w:r>
    </w:p>
    <w:p w:rsidR="00AF530A" w:rsidRDefault="00AF530A">
      <w:r>
        <w:t>Nr</w:t>
      </w:r>
    </w:p>
    <w:p w:rsidR="00AF530A" w:rsidRDefault="00AF530A">
      <w:pPr>
        <w:tabs>
          <w:tab w:val="left" w:pos="426"/>
        </w:tabs>
        <w:ind w:left="425" w:hanging="425"/>
        <w:jc w:val="left"/>
      </w:pPr>
      <w:r>
        <w:t>1352</w:t>
      </w:r>
      <w:r>
        <w:tab/>
        <w:t>Om det andra toppmötet för stats- och regeringschefer i Europarådets medlemsländer (Strasbourg 10–11 oktober 1997)</w:t>
      </w:r>
    </w:p>
    <w:p w:rsidR="00AF530A" w:rsidRDefault="00AF530A">
      <w:pPr>
        <w:tabs>
          <w:tab w:val="left" w:pos="426"/>
        </w:tabs>
        <w:ind w:left="425" w:hanging="425"/>
        <w:jc w:val="left"/>
      </w:pPr>
      <w:r>
        <w:t>1353</w:t>
      </w:r>
      <w:r>
        <w:tab/>
        <w:t>Minoriteters tillgång till högre utbildning</w:t>
      </w:r>
    </w:p>
    <w:p w:rsidR="00AF530A" w:rsidRDefault="00AF530A">
      <w:pPr>
        <w:tabs>
          <w:tab w:val="left" w:pos="426"/>
        </w:tabs>
        <w:ind w:left="425" w:hanging="425"/>
        <w:jc w:val="left"/>
      </w:pPr>
      <w:r>
        <w:t>1354</w:t>
      </w:r>
      <w:r>
        <w:tab/>
        <w:t>Europeiska sociala stadgans framtid</w:t>
      </w:r>
    </w:p>
    <w:p w:rsidR="00AF530A" w:rsidRDefault="00AF530A">
      <w:pPr>
        <w:tabs>
          <w:tab w:val="left" w:pos="426"/>
        </w:tabs>
        <w:ind w:left="425" w:hanging="425"/>
        <w:jc w:val="left"/>
      </w:pPr>
      <w:r>
        <w:t>1355</w:t>
      </w:r>
      <w:r>
        <w:tab/>
        <w:t>Kampen mot social utslagning och stärkandet av social samhörighet i Europa</w:t>
      </w:r>
    </w:p>
    <w:p w:rsidR="00AF530A" w:rsidRDefault="00AF530A">
      <w:pPr>
        <w:tabs>
          <w:tab w:val="left" w:pos="426"/>
        </w:tabs>
        <w:ind w:left="425" w:hanging="425"/>
        <w:jc w:val="left"/>
      </w:pPr>
      <w:r>
        <w:t>1356</w:t>
      </w:r>
      <w:r>
        <w:tab/>
        <w:t>UNHCR:s verksamhet under perioden 1994–1997</w:t>
      </w:r>
    </w:p>
    <w:p w:rsidR="00AF530A" w:rsidRDefault="00AF530A">
      <w:pPr>
        <w:tabs>
          <w:tab w:val="left" w:pos="426"/>
        </w:tabs>
        <w:ind w:left="425" w:hanging="425"/>
        <w:jc w:val="left"/>
      </w:pPr>
      <w:r>
        <w:t>1357</w:t>
      </w:r>
      <w:r>
        <w:tab/>
        <w:t>Bosnien-Hercegovina: flyktingars och tvångsförflyttade personers återvändande</w:t>
      </w:r>
    </w:p>
    <w:p w:rsidR="00AF530A" w:rsidRDefault="00AF530A">
      <w:pPr>
        <w:tabs>
          <w:tab w:val="left" w:pos="426"/>
        </w:tabs>
        <w:ind w:left="425" w:hanging="425"/>
        <w:jc w:val="left"/>
      </w:pPr>
      <w:r>
        <w:t>1358</w:t>
      </w:r>
      <w:r>
        <w:tab/>
        <w:t>Situationen i Algeriet</w:t>
      </w:r>
    </w:p>
    <w:p w:rsidR="00AF530A" w:rsidRDefault="00AF530A">
      <w:pPr>
        <w:tabs>
          <w:tab w:val="left" w:pos="426"/>
        </w:tabs>
        <w:ind w:left="425" w:hanging="425"/>
        <w:jc w:val="left"/>
      </w:pPr>
      <w:r>
        <w:t>1359</w:t>
      </w:r>
      <w:r>
        <w:tab/>
        <w:t>Om hållbar utveckling i Medelhavsbassängen och Svarta havsbassän</w:t>
      </w:r>
      <w:r>
        <w:t>g</w:t>
      </w:r>
      <w:r>
        <w:t>en</w:t>
      </w:r>
    </w:p>
    <w:p w:rsidR="00AF530A" w:rsidRDefault="00AF530A">
      <w:pPr>
        <w:tabs>
          <w:tab w:val="left" w:pos="426"/>
        </w:tabs>
        <w:ind w:left="425" w:hanging="425"/>
      </w:pPr>
      <w:r>
        <w:t>1360</w:t>
      </w:r>
      <w:r>
        <w:tab/>
        <w:t>Krisen i Kosovo</w:t>
      </w:r>
    </w:p>
    <w:p w:rsidR="00AF530A" w:rsidRDefault="00AF530A">
      <w:pPr>
        <w:tabs>
          <w:tab w:val="left" w:pos="426"/>
        </w:tabs>
        <w:ind w:left="425" w:hanging="425"/>
      </w:pPr>
      <w:r>
        <w:t>1361</w:t>
      </w:r>
      <w:r>
        <w:tab/>
        <w:t>Modifiering av proceduren för antagande av Europaråd</w:t>
      </w:r>
      <w:r>
        <w:t>s</w:t>
      </w:r>
      <w:r>
        <w:t>konventioner</w:t>
      </w:r>
    </w:p>
    <w:p w:rsidR="00AF530A" w:rsidRDefault="00AF530A">
      <w:pPr>
        <w:tabs>
          <w:tab w:val="left" w:pos="426"/>
        </w:tabs>
        <w:ind w:left="425" w:hanging="425"/>
      </w:pPr>
      <w:r>
        <w:t>1362</w:t>
      </w:r>
      <w:r>
        <w:tab/>
        <w:t>Diskriminering mellan könen vid val av förälders efternamn för ba</w:t>
      </w:r>
      <w:r>
        <w:t>r</w:t>
      </w:r>
      <w:r>
        <w:t>nen</w:t>
      </w:r>
    </w:p>
    <w:p w:rsidR="00AF530A" w:rsidRDefault="00AF530A">
      <w:pPr>
        <w:tabs>
          <w:tab w:val="left" w:pos="426"/>
        </w:tabs>
        <w:ind w:left="425" w:hanging="425"/>
      </w:pPr>
      <w:r>
        <w:t>1363</w:t>
      </w:r>
      <w:r>
        <w:tab/>
        <w:t>Kongressen för lokala och regionala organ i Europa; senare tids ver</w:t>
      </w:r>
      <w:r>
        <w:t>k</w:t>
      </w:r>
      <w:r>
        <w:t>samhet samt förslag till förändringar</w:t>
      </w:r>
    </w:p>
    <w:p w:rsidR="00AF530A" w:rsidRDefault="00AF530A">
      <w:pPr>
        <w:tabs>
          <w:tab w:val="left" w:pos="426"/>
        </w:tabs>
        <w:ind w:left="425" w:hanging="425"/>
      </w:pPr>
      <w:r>
        <w:t>1364</w:t>
      </w:r>
      <w:r>
        <w:tab/>
        <w:t>Europeiskt ungdomssamarbete och aktuella förslag till strukturella förändringar</w:t>
      </w:r>
    </w:p>
    <w:p w:rsidR="00AF530A" w:rsidRDefault="00AF530A">
      <w:pPr>
        <w:tabs>
          <w:tab w:val="left" w:pos="426"/>
        </w:tabs>
        <w:ind w:left="425" w:hanging="425"/>
      </w:pPr>
      <w:r>
        <w:t>1365</w:t>
      </w:r>
      <w:r>
        <w:tab/>
        <w:t>Relationerna med EU (uppföljning av Amsterdamfördraget)</w:t>
      </w:r>
    </w:p>
    <w:p w:rsidR="00AF530A" w:rsidRDefault="00AF530A">
      <w:pPr>
        <w:tabs>
          <w:tab w:val="left" w:pos="426"/>
        </w:tabs>
        <w:ind w:left="425" w:hanging="425"/>
      </w:pPr>
      <w:r>
        <w:t>1366</w:t>
      </w:r>
      <w:r>
        <w:tab/>
        <w:t>Utvecklingen rörande församlingens granskningsförfarande (april 1997–april 1998)</w:t>
      </w:r>
    </w:p>
    <w:p w:rsidR="00AF530A" w:rsidRDefault="00AF530A">
      <w:pPr>
        <w:tabs>
          <w:tab w:val="left" w:pos="426"/>
          <w:tab w:val="left" w:pos="567"/>
        </w:tabs>
        <w:ind w:left="425" w:hanging="425"/>
      </w:pPr>
      <w:r>
        <w:t>1367</w:t>
      </w:r>
      <w:r>
        <w:tab/>
        <w:t>Omdaning av FN</w:t>
      </w:r>
    </w:p>
    <w:p w:rsidR="00AF530A" w:rsidRDefault="00AF530A">
      <w:pPr>
        <w:tabs>
          <w:tab w:val="left" w:pos="426"/>
          <w:tab w:val="left" w:pos="567"/>
        </w:tabs>
        <w:ind w:left="425" w:hanging="425"/>
      </w:pPr>
      <w:r>
        <w:t>1368</w:t>
      </w:r>
      <w:r>
        <w:tab/>
        <w:t>Den senaste utvecklingen i Förbundsrepubliken Jugoslavien och situ</w:t>
      </w:r>
      <w:r>
        <w:t>a</w:t>
      </w:r>
      <w:r>
        <w:t>tionen i Kosovo</w:t>
      </w:r>
    </w:p>
    <w:p w:rsidR="00AF530A" w:rsidRDefault="00AF530A">
      <w:pPr>
        <w:tabs>
          <w:tab w:val="left" w:pos="426"/>
          <w:tab w:val="left" w:pos="567"/>
        </w:tabs>
        <w:ind w:left="425" w:hanging="425"/>
      </w:pPr>
      <w:r>
        <w:t>1369</w:t>
      </w:r>
      <w:r>
        <w:tab/>
        <w:t>Riskerna med asbest för arbetare och miljön</w:t>
      </w:r>
    </w:p>
    <w:p w:rsidR="00AF530A" w:rsidRDefault="00AF530A">
      <w:pPr>
        <w:tabs>
          <w:tab w:val="left" w:pos="426"/>
          <w:tab w:val="left" w:pos="567"/>
        </w:tabs>
        <w:ind w:left="425" w:hanging="425"/>
      </w:pPr>
      <w:r>
        <w:t>1370</w:t>
      </w:r>
      <w:r>
        <w:tab/>
        <w:t>Internationella Migrationsorganisationens (IOM) aktiviteter 1994–1997</w:t>
      </w:r>
    </w:p>
    <w:p w:rsidR="00AF530A" w:rsidRDefault="00AF530A">
      <w:pPr>
        <w:tabs>
          <w:tab w:val="left" w:pos="426"/>
          <w:tab w:val="left" w:pos="567"/>
        </w:tabs>
        <w:ind w:left="425" w:hanging="425"/>
      </w:pPr>
      <w:r>
        <w:t>1371</w:t>
      </w:r>
      <w:r>
        <w:tab/>
        <w:t>Misshandel och försummelse av barn</w:t>
      </w:r>
    </w:p>
    <w:p w:rsidR="00AF530A" w:rsidRDefault="00AF530A">
      <w:pPr>
        <w:tabs>
          <w:tab w:val="left" w:pos="426"/>
          <w:tab w:val="left" w:pos="567"/>
        </w:tabs>
        <w:ind w:left="425" w:hanging="425"/>
      </w:pPr>
      <w:r>
        <w:t>1372</w:t>
      </w:r>
      <w:r>
        <w:tab/>
        <w:t>Unidroit – konvention om stulen eller illegalt exporterad kulturell egen</w:t>
      </w:r>
      <w:r>
        <w:softHyphen/>
        <w:t>dom</w:t>
      </w:r>
    </w:p>
    <w:p w:rsidR="00AF530A" w:rsidRDefault="00AF530A">
      <w:pPr>
        <w:tabs>
          <w:tab w:val="left" w:pos="426"/>
          <w:tab w:val="left" w:pos="567"/>
        </w:tabs>
        <w:ind w:left="425" w:hanging="425"/>
      </w:pPr>
      <w:r>
        <w:t>1373</w:t>
      </w:r>
      <w:r>
        <w:tab/>
        <w:t>Om rätten för medlemmar av Europarådets parlamentariska församling att erhålla visum och fritt förflytta sig i medlemsländerna</w:t>
      </w:r>
    </w:p>
    <w:p w:rsidR="00AF530A" w:rsidRDefault="00AF530A">
      <w:pPr>
        <w:tabs>
          <w:tab w:val="left" w:pos="426"/>
          <w:tab w:val="left" w:pos="567"/>
        </w:tabs>
        <w:ind w:left="425" w:hanging="425"/>
      </w:pPr>
      <w:r>
        <w:t>1374</w:t>
      </w:r>
      <w:r>
        <w:tab/>
        <w:t>Flyktingkvinnornas situation i Europa</w:t>
      </w:r>
    </w:p>
    <w:p w:rsidR="00AF530A" w:rsidRDefault="00AF530A">
      <w:pPr>
        <w:tabs>
          <w:tab w:val="left" w:pos="426"/>
          <w:tab w:val="left" w:pos="567"/>
        </w:tabs>
        <w:ind w:left="425" w:hanging="425"/>
      </w:pPr>
      <w:r>
        <w:t>1375</w:t>
      </w:r>
      <w:r>
        <w:tab/>
        <w:t>Skydd mot skingrande av ”tillfälliga samlingar”</w:t>
      </w:r>
    </w:p>
    <w:p w:rsidR="00AF530A" w:rsidRDefault="00AF530A">
      <w:pPr>
        <w:tabs>
          <w:tab w:val="left" w:pos="426"/>
          <w:tab w:val="left" w:pos="567"/>
        </w:tabs>
        <w:ind w:left="425" w:hanging="425"/>
      </w:pPr>
      <w:r>
        <w:t>1376</w:t>
      </w:r>
      <w:r>
        <w:tab/>
        <w:t>Krisen i Kosovo och situationen i Förbundsrepubliken Jugoslavien</w:t>
      </w:r>
    </w:p>
    <w:p w:rsidR="00AF530A" w:rsidRDefault="00AF530A">
      <w:pPr>
        <w:tabs>
          <w:tab w:val="left" w:pos="426"/>
          <w:tab w:val="left" w:pos="567"/>
        </w:tabs>
        <w:ind w:left="425" w:hanging="425"/>
      </w:pPr>
      <w:r>
        <w:t>1377</w:t>
      </w:r>
      <w:r>
        <w:tab/>
        <w:t>Den humanitära situationen för kurdiska flyktingar och tvångsförflytt</w:t>
      </w:r>
      <w:r>
        <w:t>a</w:t>
      </w:r>
      <w:r>
        <w:t>de personer i sydöstra Turkiet och norra Irak</w:t>
      </w:r>
    </w:p>
    <w:p w:rsidR="00AF530A" w:rsidRDefault="00AF530A">
      <w:pPr>
        <w:tabs>
          <w:tab w:val="left" w:pos="426"/>
          <w:tab w:val="left" w:pos="567"/>
        </w:tabs>
        <w:ind w:left="425" w:hanging="425"/>
      </w:pPr>
      <w:r>
        <w:t>1378</w:t>
      </w:r>
      <w:r>
        <w:tab/>
        <w:t>Europarådets sociala utvecklingsfond; verksamhet och framtidsu</w:t>
      </w:r>
      <w:r>
        <w:t>t</w:t>
      </w:r>
      <w:r>
        <w:t>sikter</w:t>
      </w:r>
    </w:p>
    <w:p w:rsidR="00AF530A" w:rsidRDefault="00AF530A">
      <w:pPr>
        <w:tabs>
          <w:tab w:val="left" w:pos="426"/>
          <w:tab w:val="left" w:pos="567"/>
        </w:tabs>
        <w:ind w:left="425" w:hanging="425"/>
      </w:pPr>
      <w:r>
        <w:t>1379</w:t>
      </w:r>
      <w:r>
        <w:tab/>
        <w:t>Grundutbildning i naturvetenskap och teknik</w:t>
      </w:r>
    </w:p>
    <w:p w:rsidR="00AF530A" w:rsidRDefault="00AF530A">
      <w:pPr>
        <w:tabs>
          <w:tab w:val="left" w:pos="426"/>
          <w:tab w:val="left" w:pos="567"/>
        </w:tabs>
        <w:ind w:left="425" w:hanging="425"/>
      </w:pPr>
      <w:r>
        <w:t>1380</w:t>
      </w:r>
      <w:r>
        <w:tab/>
        <w:t>Värnpliktigas mänskliga rättigheter</w:t>
      </w:r>
    </w:p>
    <w:p w:rsidR="00AF530A" w:rsidRDefault="00AF530A">
      <w:pPr>
        <w:tabs>
          <w:tab w:val="left" w:pos="426"/>
          <w:tab w:val="left" w:pos="567"/>
        </w:tabs>
        <w:ind w:left="425" w:hanging="425"/>
      </w:pPr>
      <w:r>
        <w:t>1381</w:t>
      </w:r>
      <w:r>
        <w:tab/>
        <w:t>Övergripande politik: Europarådet och OSSE</w:t>
      </w:r>
    </w:p>
    <w:p w:rsidR="00AF530A" w:rsidRDefault="00AF530A">
      <w:pPr>
        <w:tabs>
          <w:tab w:val="left" w:pos="426"/>
          <w:tab w:val="left" w:pos="567"/>
        </w:tabs>
        <w:ind w:left="425" w:hanging="425"/>
      </w:pPr>
      <w:r>
        <w:t>1382</w:t>
      </w:r>
      <w:r>
        <w:tab/>
        <w:t>Inrättande av en europeisk förhållningskod för vapenhandel</w:t>
      </w:r>
    </w:p>
    <w:p w:rsidR="00AF530A" w:rsidRDefault="00AF530A">
      <w:pPr>
        <w:tabs>
          <w:tab w:val="left" w:pos="426"/>
          <w:tab w:val="left" w:pos="567"/>
        </w:tabs>
        <w:ind w:left="425" w:hanging="425"/>
      </w:pPr>
      <w:r>
        <w:t>1383</w:t>
      </w:r>
      <w:r>
        <w:tab/>
        <w:t>Språklig mångfald</w:t>
      </w:r>
    </w:p>
    <w:p w:rsidR="00AF530A" w:rsidRDefault="00AF530A">
      <w:pPr>
        <w:tabs>
          <w:tab w:val="left" w:pos="426"/>
          <w:tab w:val="left" w:pos="567"/>
        </w:tabs>
        <w:ind w:left="425" w:hanging="425"/>
      </w:pPr>
      <w:r>
        <w:t>1384</w:t>
      </w:r>
      <w:r>
        <w:tab/>
        <w:t>Krisen i Kosovo och situationen i Förbundsrepubliken Jugoslavien</w:t>
      </w:r>
    </w:p>
    <w:p w:rsidR="00AF530A" w:rsidRDefault="00AF530A">
      <w:pPr>
        <w:tabs>
          <w:tab w:val="left" w:pos="426"/>
          <w:tab w:val="left" w:pos="567"/>
        </w:tabs>
        <w:ind w:left="425" w:hanging="425"/>
      </w:pPr>
      <w:r>
        <w:t>1385</w:t>
      </w:r>
      <w:r>
        <w:tab/>
        <w:t xml:space="preserve">Situationen för flyktingar, asylsökande och tvångsförflyttade från </w:t>
      </w:r>
      <w:r>
        <w:br/>
        <w:t>K</w:t>
      </w:r>
      <w:r>
        <w:t>o</w:t>
      </w:r>
      <w:r>
        <w:t>sovo</w:t>
      </w:r>
    </w:p>
    <w:p w:rsidR="00AF530A" w:rsidRDefault="00AF530A">
      <w:pPr>
        <w:tabs>
          <w:tab w:val="left" w:pos="426"/>
          <w:tab w:val="left" w:pos="567"/>
        </w:tabs>
        <w:ind w:left="425" w:hanging="425"/>
      </w:pPr>
      <w:r>
        <w:t>1386</w:t>
      </w:r>
      <w:r>
        <w:tab/>
        <w:t>Den senaste utvecklingen i Albanien</w:t>
      </w:r>
    </w:p>
    <w:p w:rsidR="00AF530A" w:rsidRDefault="00AF530A">
      <w:pPr>
        <w:tabs>
          <w:tab w:val="left" w:pos="426"/>
          <w:tab w:val="left" w:pos="567"/>
        </w:tabs>
        <w:ind w:left="425" w:hanging="425"/>
      </w:pPr>
      <w:r>
        <w:t>1387</w:t>
      </w:r>
      <w:r>
        <w:tab/>
        <w:t xml:space="preserve">Framtida utmaningar för europeisk havsforskning </w:t>
      </w:r>
    </w:p>
    <w:p w:rsidR="00AF530A" w:rsidRDefault="00AF530A">
      <w:pPr>
        <w:tabs>
          <w:tab w:val="left" w:pos="426"/>
          <w:tab w:val="left" w:pos="567"/>
        </w:tabs>
        <w:ind w:left="425" w:hanging="425"/>
      </w:pPr>
      <w:r>
        <w:t>1388</w:t>
      </w:r>
      <w:r>
        <w:tab/>
        <w:t>Oceanerna: tillståndet för den marina miljön och nya trender inom internationell havsrätt</w:t>
      </w:r>
    </w:p>
    <w:p w:rsidR="00AF530A" w:rsidRDefault="00AF530A">
      <w:pPr>
        <w:tabs>
          <w:tab w:val="left" w:pos="426"/>
          <w:tab w:val="left" w:pos="567"/>
        </w:tabs>
        <w:ind w:left="425" w:hanging="425"/>
      </w:pPr>
      <w:r>
        <w:t>1389</w:t>
      </w:r>
      <w:r>
        <w:tab/>
        <w:t>Konsumenternas säkerhet och livsmedelskvalitet</w:t>
      </w:r>
    </w:p>
    <w:p w:rsidR="00AF530A" w:rsidRDefault="00AF530A">
      <w:pPr>
        <w:tabs>
          <w:tab w:val="left" w:pos="426"/>
          <w:tab w:val="left" w:pos="567"/>
        </w:tabs>
        <w:ind w:left="425" w:hanging="425"/>
      </w:pPr>
      <w:r>
        <w:t>1390</w:t>
      </w:r>
      <w:r>
        <w:tab/>
        <w:t>Utsläpp av småpartiklar och människors hälsa</w:t>
      </w:r>
    </w:p>
    <w:p w:rsidR="00AF530A" w:rsidRDefault="00AF530A">
      <w:pPr>
        <w:tabs>
          <w:tab w:val="left" w:pos="426"/>
          <w:tab w:val="left" w:pos="567"/>
        </w:tabs>
        <w:ind w:left="425" w:hanging="425"/>
      </w:pPr>
      <w:r>
        <w:t>1391</w:t>
      </w:r>
      <w:r>
        <w:tab/>
        <w:t>Läget beträffande pensionssystemet för Europarådets a</w:t>
      </w:r>
      <w:r>
        <w:t>n</w:t>
      </w:r>
      <w:r>
        <w:t>ställda</w:t>
      </w:r>
    </w:p>
    <w:p w:rsidR="00AF530A" w:rsidRDefault="00AF530A">
      <w:pPr>
        <w:tabs>
          <w:tab w:val="left" w:pos="426"/>
          <w:tab w:val="left" w:pos="567"/>
        </w:tabs>
        <w:ind w:left="425" w:hanging="425"/>
      </w:pPr>
      <w:r>
        <w:t>1392</w:t>
      </w:r>
      <w:r>
        <w:tab/>
        <w:t>Baltiska staters tidigare ambassader i några av Europarådets medlem</w:t>
      </w:r>
      <w:r>
        <w:t>s</w:t>
      </w:r>
      <w:r>
        <w:t>länder</w:t>
      </w:r>
    </w:p>
    <w:p w:rsidR="00AF530A" w:rsidRDefault="00AF530A">
      <w:pPr>
        <w:tabs>
          <w:tab w:val="left" w:pos="426"/>
          <w:tab w:val="left" w:pos="567"/>
        </w:tabs>
        <w:ind w:left="425" w:hanging="425"/>
      </w:pPr>
      <w:r>
        <w:t>1393</w:t>
      </w:r>
      <w:r>
        <w:tab/>
        <w:t>Skötsel och skydd av landskapet: en Europakonvention</w:t>
      </w:r>
    </w:p>
    <w:p w:rsidR="00AF530A" w:rsidRDefault="00AF530A">
      <w:pPr>
        <w:spacing w:before="240"/>
        <w:rPr>
          <w:b/>
        </w:rPr>
      </w:pPr>
      <w:r>
        <w:rPr>
          <w:b/>
        </w:rPr>
        <w:t>Resolutioner</w:t>
      </w:r>
    </w:p>
    <w:p w:rsidR="00AF530A" w:rsidRDefault="00AF530A">
      <w:pPr>
        <w:tabs>
          <w:tab w:val="left" w:pos="426"/>
          <w:tab w:val="left" w:pos="567"/>
        </w:tabs>
        <w:ind w:left="425" w:hanging="425"/>
        <w:jc w:val="left"/>
      </w:pPr>
      <w:r>
        <w:t>Nr</w:t>
      </w:r>
    </w:p>
    <w:p w:rsidR="00AF530A" w:rsidRDefault="00AF530A">
      <w:pPr>
        <w:tabs>
          <w:tab w:val="left" w:pos="426"/>
          <w:tab w:val="left" w:pos="567"/>
        </w:tabs>
        <w:ind w:left="425" w:hanging="425"/>
        <w:jc w:val="left"/>
      </w:pPr>
      <w:r>
        <w:t>1144</w:t>
      </w:r>
      <w:r>
        <w:tab/>
        <w:t>Instiftande av ett utskott för jämställdhet mellan könen</w:t>
      </w:r>
    </w:p>
    <w:p w:rsidR="00AF530A" w:rsidRDefault="00AF530A">
      <w:pPr>
        <w:tabs>
          <w:tab w:val="left" w:pos="426"/>
          <w:tab w:val="left" w:pos="567"/>
        </w:tabs>
        <w:ind w:left="425" w:hanging="425"/>
        <w:jc w:val="left"/>
      </w:pPr>
      <w:r>
        <w:t>1145</w:t>
      </w:r>
      <w:r>
        <w:tab/>
        <w:t>Avrättningar i Ukraina</w:t>
      </w:r>
    </w:p>
    <w:p w:rsidR="00AF530A" w:rsidRDefault="00AF530A">
      <w:pPr>
        <w:tabs>
          <w:tab w:val="left" w:pos="426"/>
          <w:tab w:val="left" w:pos="567"/>
        </w:tabs>
        <w:ind w:left="425" w:hanging="425"/>
        <w:jc w:val="left"/>
      </w:pPr>
      <w:r>
        <w:t>1146</w:t>
      </w:r>
      <w:r>
        <w:tab/>
        <w:t>Utvecklingen i Förbundsrepubliken Jugoslavien och dess implikationer för Balkanregionen</w:t>
      </w:r>
    </w:p>
    <w:p w:rsidR="00AF530A" w:rsidRDefault="00AF530A">
      <w:pPr>
        <w:tabs>
          <w:tab w:val="left" w:pos="426"/>
          <w:tab w:val="left" w:pos="567"/>
        </w:tabs>
        <w:ind w:left="425" w:hanging="425"/>
        <w:jc w:val="left"/>
      </w:pPr>
      <w:r>
        <w:t>1147</w:t>
      </w:r>
      <w:r>
        <w:tab/>
        <w:t>Den ekonomiska brottslighetens hot mot Europa</w:t>
      </w:r>
    </w:p>
    <w:p w:rsidR="00AF530A" w:rsidRDefault="00AF530A">
      <w:pPr>
        <w:tabs>
          <w:tab w:val="left" w:pos="426"/>
          <w:tab w:val="left" w:pos="567"/>
        </w:tabs>
        <w:ind w:left="425" w:hanging="425"/>
        <w:jc w:val="left"/>
      </w:pPr>
      <w:r>
        <w:t>1148</w:t>
      </w:r>
      <w:r>
        <w:tab/>
        <w:t>Behovet av att påskynda utvecklingen av turism i Central- och Öst-</w:t>
      </w:r>
      <w:r>
        <w:softHyphen/>
        <w:t xml:space="preserve"> europa</w:t>
      </w:r>
    </w:p>
    <w:p w:rsidR="00AF530A" w:rsidRDefault="00AF530A">
      <w:pPr>
        <w:tabs>
          <w:tab w:val="left" w:pos="426"/>
          <w:tab w:val="left" w:pos="567"/>
        </w:tabs>
        <w:ind w:left="425" w:hanging="425"/>
        <w:jc w:val="left"/>
      </w:pPr>
      <w:r>
        <w:t>1149</w:t>
      </w:r>
      <w:r>
        <w:tab/>
        <w:t>Hållbar utveckling i Medelhavsbassängen och Svarta hav</w:t>
      </w:r>
      <w:r>
        <w:t>s</w:t>
      </w:r>
      <w:r>
        <w:t>bassängen</w:t>
      </w:r>
    </w:p>
    <w:p w:rsidR="00AF530A" w:rsidRDefault="00AF530A">
      <w:pPr>
        <w:tabs>
          <w:tab w:val="left" w:pos="426"/>
          <w:tab w:val="left" w:pos="567"/>
        </w:tabs>
        <w:ind w:left="425" w:hanging="425"/>
        <w:jc w:val="left"/>
      </w:pPr>
      <w:r>
        <w:t>1150</w:t>
      </w:r>
      <w:r>
        <w:tab/>
        <w:t>Utkast till förslag till konvention för det europeiska lan</w:t>
      </w:r>
      <w:r>
        <w:t>d</w:t>
      </w:r>
      <w:r>
        <w:t>skapet</w:t>
      </w:r>
    </w:p>
    <w:p w:rsidR="00AF530A" w:rsidRDefault="00AF530A">
      <w:pPr>
        <w:tabs>
          <w:tab w:val="left" w:pos="426"/>
          <w:tab w:val="left" w:pos="567"/>
        </w:tabs>
        <w:ind w:left="425" w:hanging="425"/>
        <w:jc w:val="left"/>
      </w:pPr>
      <w:r>
        <w:t>1151</w:t>
      </w:r>
      <w:r>
        <w:tab/>
        <w:t>Kongressen för lokala och regionala organ i Europa: aktuell verksa</w:t>
      </w:r>
      <w:r>
        <w:t>m</w:t>
      </w:r>
      <w:r>
        <w:t>het samt förslag till förändringar</w:t>
      </w:r>
    </w:p>
    <w:p w:rsidR="00AF530A" w:rsidRDefault="00AF530A">
      <w:pPr>
        <w:tabs>
          <w:tab w:val="left" w:pos="426"/>
          <w:tab w:val="left" w:pos="567"/>
        </w:tabs>
        <w:ind w:left="425" w:hanging="425"/>
        <w:jc w:val="left"/>
      </w:pPr>
      <w:r>
        <w:t>1152</w:t>
      </w:r>
      <w:r>
        <w:tab/>
        <w:t>Europeiskt ungdomssamarbete och aktuella förslag till strukturella förändringar</w:t>
      </w:r>
    </w:p>
    <w:p w:rsidR="00AF530A" w:rsidRDefault="00AF530A">
      <w:pPr>
        <w:tabs>
          <w:tab w:val="left" w:pos="426"/>
          <w:tab w:val="left" w:pos="567"/>
        </w:tabs>
        <w:ind w:left="425" w:hanging="425"/>
        <w:jc w:val="left"/>
      </w:pPr>
      <w:r>
        <w:t>1153</w:t>
      </w:r>
      <w:r>
        <w:tab/>
        <w:t>De politiska gruppernas orförandes deltagande i det politiska utskottets möten</w:t>
      </w:r>
    </w:p>
    <w:p w:rsidR="00AF530A" w:rsidRDefault="00AF530A">
      <w:pPr>
        <w:tabs>
          <w:tab w:val="left" w:pos="426"/>
          <w:tab w:val="left" w:pos="567"/>
        </w:tabs>
        <w:ind w:left="425" w:hanging="425"/>
        <w:jc w:val="left"/>
      </w:pPr>
      <w:r>
        <w:t>1154</w:t>
      </w:r>
      <w:r>
        <w:tab/>
        <w:t>De nationella parlamentens demokratiska funktionssätt</w:t>
      </w:r>
    </w:p>
    <w:p w:rsidR="00AF530A" w:rsidRDefault="00AF530A">
      <w:pPr>
        <w:tabs>
          <w:tab w:val="left" w:pos="426"/>
          <w:tab w:val="left" w:pos="567"/>
        </w:tabs>
        <w:ind w:left="425" w:hanging="425"/>
        <w:jc w:val="left"/>
      </w:pPr>
      <w:r>
        <w:t>1155</w:t>
      </w:r>
      <w:r>
        <w:tab/>
        <w:t>Framstegen för församlingens granskningsförfarande (april 1997–april 1998)</w:t>
      </w:r>
    </w:p>
    <w:p w:rsidR="00AF530A" w:rsidRDefault="00AF530A">
      <w:pPr>
        <w:tabs>
          <w:tab w:val="left" w:pos="426"/>
          <w:tab w:val="left" w:pos="567"/>
        </w:tabs>
        <w:ind w:left="425" w:hanging="425"/>
        <w:jc w:val="left"/>
      </w:pPr>
      <w:r>
        <w:t>1156</w:t>
      </w:r>
      <w:r>
        <w:tab/>
        <w:t xml:space="preserve">Flyktingsituationen i Palestina inom ramen för fredsprocessen i </w:t>
      </w:r>
      <w:r>
        <w:br/>
        <w:t>Mell</w:t>
      </w:r>
      <w:r>
        <w:t>a</w:t>
      </w:r>
      <w:r>
        <w:t>nöstern</w:t>
      </w:r>
    </w:p>
    <w:p w:rsidR="00AF530A" w:rsidRDefault="00AF530A">
      <w:pPr>
        <w:tabs>
          <w:tab w:val="left" w:pos="426"/>
          <w:tab w:val="left" w:pos="567"/>
        </w:tabs>
        <w:ind w:left="425" w:hanging="425"/>
        <w:jc w:val="left"/>
      </w:pPr>
      <w:r>
        <w:t>1157</w:t>
      </w:r>
      <w:r>
        <w:tab/>
        <w:t>Hanteringen av radioaktivt avfall</w:t>
      </w:r>
    </w:p>
    <w:p w:rsidR="00AF530A" w:rsidRDefault="00AF530A">
      <w:pPr>
        <w:tabs>
          <w:tab w:val="left" w:pos="426"/>
          <w:tab w:val="left" w:pos="567"/>
        </w:tabs>
        <w:ind w:left="425" w:hanging="425"/>
        <w:jc w:val="left"/>
      </w:pPr>
      <w:r>
        <w:t>1158</w:t>
      </w:r>
      <w:r>
        <w:tab/>
        <w:t>Verksamheten inom FN:s ekonomiska kommission för Europa</w:t>
      </w:r>
    </w:p>
    <w:p w:rsidR="00AF530A" w:rsidRDefault="00AF530A">
      <w:pPr>
        <w:tabs>
          <w:tab w:val="left" w:pos="426"/>
          <w:tab w:val="left" w:pos="567"/>
        </w:tabs>
        <w:ind w:left="425" w:hanging="425"/>
        <w:jc w:val="left"/>
      </w:pPr>
      <w:r>
        <w:t>1159</w:t>
      </w:r>
      <w:r>
        <w:tab/>
        <w:t>Sammansättning av församlingens politiska grupper</w:t>
      </w:r>
    </w:p>
    <w:p w:rsidR="00AF530A" w:rsidRDefault="00AF530A">
      <w:pPr>
        <w:tabs>
          <w:tab w:val="left" w:pos="426"/>
          <w:tab w:val="left" w:pos="567"/>
        </w:tabs>
        <w:ind w:left="425" w:hanging="425"/>
        <w:jc w:val="left"/>
      </w:pPr>
      <w:r>
        <w:t>1160</w:t>
      </w:r>
      <w:r>
        <w:tab/>
        <w:t>Val av församlingens vicepresidenter</w:t>
      </w:r>
    </w:p>
    <w:p w:rsidR="00AF530A" w:rsidRDefault="00AF530A">
      <w:pPr>
        <w:tabs>
          <w:tab w:val="left" w:pos="426"/>
          <w:tab w:val="left" w:pos="567"/>
        </w:tabs>
        <w:ind w:left="425" w:hanging="425"/>
        <w:jc w:val="left"/>
      </w:pPr>
      <w:r>
        <w:t>1161</w:t>
      </w:r>
      <w:r>
        <w:tab/>
        <w:t>Övergångsprocess för jordbruket i Central- och Östeuropa</w:t>
      </w:r>
    </w:p>
    <w:p w:rsidR="00AF530A" w:rsidRDefault="00AF530A">
      <w:pPr>
        <w:tabs>
          <w:tab w:val="left" w:pos="426"/>
          <w:tab w:val="left" w:pos="567"/>
        </w:tabs>
        <w:ind w:left="425" w:hanging="425"/>
        <w:jc w:val="left"/>
      </w:pPr>
      <w:r>
        <w:t>1162</w:t>
      </w:r>
      <w:r>
        <w:tab/>
        <w:t>Europeiska återuppbyggnads- och utvecklingsbankens (EBRD) ver</w:t>
      </w:r>
      <w:r>
        <w:t>k</w:t>
      </w:r>
      <w:r>
        <w:t>samhet under 1997</w:t>
      </w:r>
    </w:p>
    <w:p w:rsidR="00AF530A" w:rsidRDefault="00AF530A">
      <w:pPr>
        <w:tabs>
          <w:tab w:val="left" w:pos="426"/>
          <w:tab w:val="left" w:pos="567"/>
        </w:tabs>
        <w:ind w:left="425" w:hanging="425"/>
        <w:jc w:val="left"/>
      </w:pPr>
      <w:r>
        <w:t>1163</w:t>
      </w:r>
      <w:r>
        <w:tab/>
        <w:t>Överenskommelse beträffande Nordirland</w:t>
      </w:r>
    </w:p>
    <w:p w:rsidR="00AF530A" w:rsidRDefault="00AF530A">
      <w:pPr>
        <w:tabs>
          <w:tab w:val="left" w:pos="426"/>
          <w:tab w:val="left" w:pos="567"/>
        </w:tabs>
        <w:ind w:left="425" w:hanging="425"/>
        <w:jc w:val="left"/>
      </w:pPr>
      <w:r>
        <w:t>1164</w:t>
      </w:r>
      <w:r>
        <w:tab/>
        <w:t>Japansk ekonomi i ett sydostasiatiskt och i ett globalt sa</w:t>
      </w:r>
      <w:r>
        <w:t>m</w:t>
      </w:r>
      <w:r>
        <w:t>manhang</w:t>
      </w:r>
    </w:p>
    <w:p w:rsidR="00AF530A" w:rsidRDefault="00AF530A">
      <w:pPr>
        <w:tabs>
          <w:tab w:val="left" w:pos="426"/>
          <w:tab w:val="left" w:pos="567"/>
        </w:tabs>
        <w:ind w:left="425" w:hanging="425"/>
        <w:jc w:val="left"/>
      </w:pPr>
      <w:r>
        <w:t>1165</w:t>
      </w:r>
      <w:r>
        <w:tab/>
        <w:t>Rätten till privatliv</w:t>
      </w:r>
    </w:p>
    <w:p w:rsidR="00AF530A" w:rsidRDefault="00AF530A">
      <w:pPr>
        <w:tabs>
          <w:tab w:val="left" w:pos="426"/>
          <w:tab w:val="left" w:pos="567"/>
        </w:tabs>
        <w:ind w:left="425" w:hanging="425"/>
        <w:jc w:val="left"/>
      </w:pPr>
      <w:r>
        <w:t>1166</w:t>
      </w:r>
      <w:r>
        <w:tab/>
        <w:t>Värnpliktigas mänskliga rättigheter</w:t>
      </w:r>
    </w:p>
    <w:p w:rsidR="00AF530A" w:rsidRDefault="00AF530A">
      <w:pPr>
        <w:tabs>
          <w:tab w:val="left" w:pos="426"/>
          <w:tab w:val="left" w:pos="567"/>
        </w:tabs>
        <w:ind w:left="425" w:hanging="425"/>
        <w:jc w:val="left"/>
      </w:pPr>
      <w:r>
        <w:t>1167</w:t>
      </w:r>
      <w:r>
        <w:tab/>
        <w:t>OECD och världsekonomin</w:t>
      </w:r>
    </w:p>
    <w:p w:rsidR="00AF530A" w:rsidRDefault="00AF530A">
      <w:pPr>
        <w:tabs>
          <w:tab w:val="left" w:pos="426"/>
          <w:tab w:val="left" w:pos="567"/>
        </w:tabs>
        <w:ind w:left="425" w:hanging="425"/>
        <w:jc w:val="left"/>
      </w:pPr>
      <w:r>
        <w:t>1168</w:t>
      </w:r>
      <w:r>
        <w:tab/>
        <w:t>Framtida utmaningar inom europeisk havsforskning</w:t>
      </w:r>
    </w:p>
    <w:p w:rsidR="00AF530A" w:rsidRDefault="00AF530A">
      <w:pPr>
        <w:tabs>
          <w:tab w:val="left" w:pos="426"/>
          <w:tab w:val="left" w:pos="567"/>
        </w:tabs>
        <w:ind w:left="425" w:hanging="425"/>
        <w:jc w:val="left"/>
      </w:pPr>
      <w:r>
        <w:t>1169</w:t>
      </w:r>
      <w:r>
        <w:tab/>
        <w:t>Oceanerna: tillståndet för den marina miljön och nya trender inom internationell havsrätt</w:t>
      </w:r>
    </w:p>
    <w:p w:rsidR="00AF530A" w:rsidRDefault="00AF530A">
      <w:pPr>
        <w:tabs>
          <w:tab w:val="left" w:pos="426"/>
          <w:tab w:val="left" w:pos="567"/>
        </w:tabs>
        <w:ind w:left="425" w:hanging="425"/>
        <w:jc w:val="left"/>
      </w:pPr>
      <w:r>
        <w:t>1170</w:t>
      </w:r>
      <w:r>
        <w:tab/>
        <w:t>Uthållig exploatering av levande havsresurser</w:t>
      </w:r>
    </w:p>
    <w:p w:rsidR="00AF530A" w:rsidRDefault="00AF530A">
      <w:pPr>
        <w:tabs>
          <w:tab w:val="left" w:pos="426"/>
          <w:tab w:val="left" w:pos="567"/>
        </w:tabs>
        <w:ind w:left="425" w:hanging="425"/>
        <w:jc w:val="left"/>
      </w:pPr>
      <w:r>
        <w:t>1171</w:t>
      </w:r>
      <w:r>
        <w:tab/>
        <w:t>Hotade uraliska minoritetskulturer</w:t>
      </w:r>
    </w:p>
    <w:p w:rsidR="00AF530A" w:rsidRDefault="00AF530A">
      <w:pPr>
        <w:tabs>
          <w:tab w:val="left" w:pos="426"/>
          <w:tab w:val="left" w:pos="567"/>
        </w:tabs>
        <w:ind w:left="425" w:hanging="425"/>
        <w:jc w:val="left"/>
      </w:pPr>
      <w:r>
        <w:t>1172</w:t>
      </w:r>
      <w:r>
        <w:tab/>
        <w:t>Situationen för den fransktalande befolkningen i Bryssels utkanter</w:t>
      </w:r>
    </w:p>
    <w:p w:rsidR="00AF530A" w:rsidRDefault="00AF530A">
      <w:pPr>
        <w:tabs>
          <w:tab w:val="left" w:pos="426"/>
          <w:tab w:val="left" w:pos="567"/>
        </w:tabs>
        <w:ind w:left="425" w:hanging="425"/>
        <w:jc w:val="left"/>
      </w:pPr>
      <w:r>
        <w:t>1173</w:t>
      </w:r>
      <w:r>
        <w:tab/>
        <w:t>Centraleuropeiska frihandelsavtalet (CEFTA)</w:t>
      </w:r>
    </w:p>
    <w:p w:rsidR="00AF530A" w:rsidRDefault="00AF530A">
      <w:pPr>
        <w:tabs>
          <w:tab w:val="left" w:pos="426"/>
          <w:tab w:val="left" w:pos="567"/>
        </w:tabs>
        <w:ind w:left="425" w:hanging="425"/>
        <w:jc w:val="left"/>
      </w:pPr>
      <w:r>
        <w:t>1174</w:t>
      </w:r>
      <w:r>
        <w:tab/>
        <w:t>Ekonomisk utveckling i Mellanöstern och Nordafrika</w:t>
      </w:r>
    </w:p>
    <w:p w:rsidR="00AF530A" w:rsidRDefault="00AF530A">
      <w:pPr>
        <w:tabs>
          <w:tab w:val="left" w:pos="426"/>
          <w:tab w:val="left" w:pos="567"/>
        </w:tabs>
        <w:ind w:left="425" w:hanging="425"/>
        <w:jc w:val="left"/>
      </w:pPr>
      <w:r>
        <w:t>1175</w:t>
      </w:r>
      <w:r>
        <w:tab/>
        <w:t>Energisamarbete i Östersjöområdet</w:t>
      </w:r>
    </w:p>
    <w:p w:rsidR="00AF530A" w:rsidRDefault="00AF530A">
      <w:pPr>
        <w:tabs>
          <w:tab w:val="left" w:pos="426"/>
          <w:tab w:val="left" w:pos="567"/>
        </w:tabs>
        <w:ind w:left="425" w:hanging="425"/>
        <w:jc w:val="left"/>
      </w:pPr>
      <w:r>
        <w:t>1176</w:t>
      </w:r>
      <w:r>
        <w:tab/>
        <w:t>Direktiv för församlingens utskott</w:t>
      </w:r>
    </w:p>
    <w:p w:rsidR="00AF530A" w:rsidRDefault="00AF530A">
      <w:pPr>
        <w:rPr>
          <w:b/>
        </w:rPr>
      </w:pPr>
      <w:r>
        <w:rPr>
          <w:b/>
        </w:rPr>
        <w:t>Direktiv (Orders)</w:t>
      </w:r>
    </w:p>
    <w:p w:rsidR="00AF530A" w:rsidRDefault="00AF530A">
      <w:pPr>
        <w:tabs>
          <w:tab w:val="left" w:pos="426"/>
          <w:tab w:val="left" w:pos="567"/>
        </w:tabs>
        <w:ind w:left="425" w:hanging="425"/>
        <w:jc w:val="left"/>
      </w:pPr>
      <w:r>
        <w:t>Nr</w:t>
      </w:r>
    </w:p>
    <w:p w:rsidR="00AF530A" w:rsidRDefault="00AF530A">
      <w:pPr>
        <w:tabs>
          <w:tab w:val="left" w:pos="426"/>
          <w:tab w:val="left" w:pos="567"/>
        </w:tabs>
        <w:ind w:left="425" w:hanging="425"/>
        <w:jc w:val="left"/>
      </w:pPr>
      <w:r>
        <w:t>537</w:t>
      </w:r>
      <w:r>
        <w:tab/>
        <w:t>Instiftande av ett utskott för jämställdhet mellan könen</w:t>
      </w:r>
    </w:p>
    <w:p w:rsidR="00AF530A" w:rsidRDefault="00AF530A">
      <w:pPr>
        <w:tabs>
          <w:tab w:val="left" w:pos="426"/>
          <w:tab w:val="left" w:pos="567"/>
        </w:tabs>
        <w:ind w:left="425" w:hanging="425"/>
        <w:jc w:val="left"/>
      </w:pPr>
      <w:r>
        <w:t>538</w:t>
      </w:r>
      <w:r>
        <w:tab/>
        <w:t>Avrättningar i Ukraina</w:t>
      </w:r>
    </w:p>
    <w:p w:rsidR="00AF530A" w:rsidRDefault="00AF530A">
      <w:pPr>
        <w:tabs>
          <w:tab w:val="left" w:pos="426"/>
          <w:tab w:val="left" w:pos="567"/>
        </w:tabs>
        <w:ind w:left="425" w:hanging="425"/>
        <w:jc w:val="left"/>
      </w:pPr>
      <w:r>
        <w:t>539</w:t>
      </w:r>
      <w:r>
        <w:tab/>
        <w:t>Granskning av åtaganden gällande sociala rättigheter</w:t>
      </w:r>
    </w:p>
    <w:p w:rsidR="00AF530A" w:rsidRDefault="00AF530A">
      <w:pPr>
        <w:tabs>
          <w:tab w:val="left" w:pos="426"/>
          <w:tab w:val="left" w:pos="567"/>
        </w:tabs>
        <w:ind w:left="425" w:hanging="425"/>
        <w:jc w:val="left"/>
      </w:pPr>
      <w:r>
        <w:t>540</w:t>
      </w:r>
      <w:r>
        <w:tab/>
        <w:t>Ekonomisk brottslighet: ett hot mot Europa</w:t>
      </w:r>
    </w:p>
    <w:p w:rsidR="00AF530A" w:rsidRDefault="00AF530A">
      <w:pPr>
        <w:tabs>
          <w:tab w:val="left" w:pos="426"/>
          <w:tab w:val="left" w:pos="567"/>
        </w:tabs>
        <w:ind w:left="425" w:hanging="425"/>
        <w:jc w:val="left"/>
      </w:pPr>
      <w:r>
        <w:t>541</w:t>
      </w:r>
      <w:r>
        <w:tab/>
        <w:t>Behov av att påskynda utvecklingen av turism i Central- och Östeur</w:t>
      </w:r>
      <w:r>
        <w:t>o</w:t>
      </w:r>
      <w:r>
        <w:t>pa</w:t>
      </w:r>
    </w:p>
    <w:p w:rsidR="00AF530A" w:rsidRDefault="00AF530A">
      <w:pPr>
        <w:tabs>
          <w:tab w:val="left" w:pos="426"/>
          <w:tab w:val="left" w:pos="567"/>
        </w:tabs>
        <w:ind w:left="425" w:hanging="425"/>
        <w:jc w:val="left"/>
      </w:pPr>
      <w:r>
        <w:t>542</w:t>
      </w:r>
      <w:r>
        <w:tab/>
        <w:t>De nationella parlamentens demokratiska funktionssätt</w:t>
      </w:r>
    </w:p>
    <w:p w:rsidR="00AF530A" w:rsidRDefault="00AF530A">
      <w:pPr>
        <w:tabs>
          <w:tab w:val="left" w:pos="426"/>
          <w:tab w:val="left" w:pos="567"/>
        </w:tabs>
        <w:ind w:left="425" w:hanging="425"/>
        <w:jc w:val="left"/>
      </w:pPr>
      <w:r>
        <w:t>543</w:t>
      </w:r>
      <w:r>
        <w:tab/>
        <w:t>Internationella adoptioner</w:t>
      </w:r>
    </w:p>
    <w:p w:rsidR="00AF530A" w:rsidRDefault="00AF530A">
      <w:pPr>
        <w:tabs>
          <w:tab w:val="left" w:pos="426"/>
          <w:tab w:val="left" w:pos="567"/>
        </w:tabs>
        <w:ind w:left="425" w:hanging="425"/>
        <w:jc w:val="left"/>
      </w:pPr>
      <w:r>
        <w:t>544</w:t>
      </w:r>
      <w:r>
        <w:tab/>
        <w:t>Krisen i Kosovo och situationen i Förbundsrepubliken Jugoslavien</w:t>
      </w:r>
    </w:p>
    <w:p w:rsidR="00AF530A" w:rsidRDefault="00AF530A">
      <w:pPr>
        <w:tabs>
          <w:tab w:val="left" w:pos="426"/>
          <w:tab w:val="left" w:pos="567"/>
        </w:tabs>
        <w:ind w:left="425" w:hanging="425"/>
        <w:jc w:val="left"/>
      </w:pPr>
      <w:r>
        <w:t>545</w:t>
      </w:r>
      <w:r>
        <w:tab/>
        <w:t>Den humanitära situationen för kurdiska flyktingar och tvångsförflytt</w:t>
      </w:r>
      <w:r>
        <w:t>a</w:t>
      </w:r>
      <w:r>
        <w:t>de personer i sydöstra Turkiet och norra Irak</w:t>
      </w:r>
    </w:p>
    <w:p w:rsidR="00AF530A" w:rsidRDefault="00AF530A">
      <w:pPr>
        <w:tabs>
          <w:tab w:val="left" w:pos="426"/>
          <w:tab w:val="left" w:pos="567"/>
        </w:tabs>
        <w:ind w:left="425" w:hanging="425"/>
        <w:jc w:val="left"/>
      </w:pPr>
      <w:r>
        <w:t>546</w:t>
      </w:r>
      <w:r>
        <w:tab/>
        <w:t>Grundutbildning i naturvetenskap och teknik</w:t>
      </w:r>
    </w:p>
    <w:p w:rsidR="00AF530A" w:rsidRDefault="00AF530A">
      <w:pPr>
        <w:spacing w:before="240"/>
        <w:rPr>
          <w:b/>
        </w:rPr>
      </w:pPr>
      <w:r>
        <w:rPr>
          <w:b/>
        </w:rPr>
        <w:t>Yttranden</w:t>
      </w:r>
    </w:p>
    <w:p w:rsidR="00AF530A" w:rsidRDefault="00AF530A">
      <w:pPr>
        <w:tabs>
          <w:tab w:val="left" w:pos="426"/>
          <w:tab w:val="left" w:pos="567"/>
        </w:tabs>
        <w:ind w:left="425" w:hanging="425"/>
        <w:jc w:val="left"/>
      </w:pPr>
      <w:r>
        <w:t>Nr</w:t>
      </w:r>
    </w:p>
    <w:p w:rsidR="00AF530A" w:rsidRDefault="00AF530A">
      <w:pPr>
        <w:tabs>
          <w:tab w:val="left" w:pos="426"/>
          <w:tab w:val="left" w:pos="567"/>
        </w:tabs>
        <w:ind w:left="425" w:hanging="425"/>
        <w:jc w:val="left"/>
      </w:pPr>
      <w:r>
        <w:t>204</w:t>
      </w:r>
      <w:r>
        <w:tab/>
        <w:t>Europarådets utkast till konvention om skydd av miljön genom straffrätt</w:t>
      </w:r>
    </w:p>
    <w:p w:rsidR="00AF530A" w:rsidRDefault="00AF530A">
      <w:pPr>
        <w:tabs>
          <w:tab w:val="left" w:pos="426"/>
          <w:tab w:val="left" w:pos="567"/>
        </w:tabs>
        <w:ind w:left="425" w:hanging="425"/>
        <w:jc w:val="left"/>
      </w:pPr>
      <w:r>
        <w:t>205</w:t>
      </w:r>
      <w:r>
        <w:tab/>
        <w:t>Europarådets budget för budgetåren 1998 och 1999</w:t>
      </w:r>
    </w:p>
    <w:p w:rsidR="00AF530A" w:rsidRDefault="00AF530A">
      <w:pPr>
        <w:tabs>
          <w:tab w:val="left" w:pos="426"/>
          <w:tab w:val="left" w:pos="567"/>
        </w:tabs>
        <w:ind w:left="425" w:hanging="425"/>
        <w:jc w:val="left"/>
      </w:pPr>
      <w:r>
        <w:t>206</w:t>
      </w:r>
      <w:r>
        <w:tab/>
        <w:t xml:space="preserve">Församlingens utgifter för budgetåret 1999 </w:t>
      </w:r>
    </w:p>
    <w:p w:rsidR="00AF530A" w:rsidRDefault="00AF530A">
      <w:pPr>
        <w:tabs>
          <w:tab w:val="left" w:pos="426"/>
          <w:tab w:val="left" w:pos="567"/>
        </w:tabs>
        <w:ind w:left="425" w:hanging="425"/>
        <w:jc w:val="left"/>
      </w:pPr>
      <w:r>
        <w:t>207</w:t>
      </w:r>
      <w:r>
        <w:tab/>
        <w:t>Utkast till straffrättskonvention om korruption</w:t>
      </w:r>
    </w:p>
    <w:p w:rsidR="00AF530A" w:rsidRDefault="00AF530A"/>
    <w:p w:rsidR="00AF530A" w:rsidRDefault="00AF530A">
      <w:pPr>
        <w:pStyle w:val="Tryckort"/>
        <w:framePr w:wrap="around"/>
      </w:pPr>
      <w:r>
        <w:t>Elanders Gotab, Stockholm  1999</w:t>
      </w:r>
    </w:p>
    <w:p w:rsidR="00AF530A" w:rsidRDefault="00AF530A">
      <w:pPr>
        <w:pStyle w:val="Normaltindrag"/>
      </w:pPr>
    </w:p>
    <w:sectPr w:rsidR="00AF530A">
      <w:head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30A" w:rsidRDefault="00AF530A">
      <w:pPr>
        <w:spacing w:before="0" w:line="240" w:lineRule="auto"/>
      </w:pPr>
      <w:r>
        <w:separator/>
      </w:r>
    </w:p>
  </w:endnote>
  <w:endnote w:type="continuationSeparator" w:id="0">
    <w:p w:rsidR="00AF530A" w:rsidRDefault="00AF530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30A" w:rsidRDefault="00AF530A">
    <w:pPr>
      <w:pStyle w:val="SidfotH"/>
      <w:framePr w:wrap="around"/>
    </w:pPr>
    <w:r>
      <w:fldChar w:fldCharType="begin" w:fldLock="1"/>
    </w:r>
    <w:r>
      <w:instrText xml:space="preserve"> PAGE </w:instrText>
    </w:r>
    <w:r>
      <w:fldChar w:fldCharType="separate"/>
    </w:r>
    <w:r>
      <w:rPr>
        <w:noProof/>
      </w:rPr>
      <w:t>1</w:t>
    </w:r>
    <w:r>
      <w:fldChar w:fldCharType="end"/>
    </w:r>
  </w:p>
  <w:p w:rsidR="00AF530A" w:rsidRDefault="00AF53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30A" w:rsidRDefault="00AF530A">
    <w:pPr>
      <w:pStyle w:val="SidfotH"/>
      <w:framePr w:wrap="around"/>
    </w:pPr>
    <w:r>
      <w:fldChar w:fldCharType="begin" w:fldLock="1"/>
    </w:r>
    <w:r>
      <w:instrText xml:space="preserve"> PAGE </w:instrText>
    </w:r>
    <w:r>
      <w:fldChar w:fldCharType="separate"/>
    </w:r>
    <w:r>
      <w:rPr>
        <w:noProof/>
      </w:rPr>
      <w:t>2</w:t>
    </w:r>
    <w:r>
      <w:fldChar w:fldCharType="end"/>
    </w:r>
  </w:p>
  <w:p w:rsidR="00AF530A" w:rsidRDefault="00AF53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30A" w:rsidRDefault="00AF530A">
      <w:pPr>
        <w:spacing w:before="0" w:line="240" w:lineRule="auto"/>
      </w:pPr>
      <w:r>
        <w:separator/>
      </w:r>
    </w:p>
  </w:footnote>
  <w:footnote w:type="continuationSeparator" w:id="0">
    <w:p w:rsidR="00AF530A" w:rsidRDefault="00AF530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30A" w:rsidRDefault="00AF530A">
    <w:pPr>
      <w:pStyle w:val="SidhuvudKant"/>
      <w:framePr w:w="1985" w:h="2743" w:hRule="exact" w:wrap="around" w:vAnchor="page" w:hAnchor="page" w:x="7372" w:y="568" w:anchorLock="0"/>
    </w:pPr>
    <w:r>
      <w:t>1998/99:ER1</w:t>
    </w:r>
  </w:p>
  <w:p w:rsidR="00AF530A" w:rsidRDefault="00AF530A">
    <w:pPr>
      <w:pStyle w:val="Sidhuvud"/>
    </w:pPr>
  </w:p>
  <w:p w:rsidR="00AF530A" w:rsidRDefault="00AF530A"/>
  <w:p w:rsidR="00AF530A" w:rsidRDefault="00AF53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30A" w:rsidRDefault="00AF530A">
    <w:pPr>
      <w:pStyle w:val="SidhuvudKant"/>
      <w:framePr w:w="1985" w:h="2743" w:hRule="exact" w:wrap="around" w:vAnchor="page" w:hAnchor="page" w:x="7372" w:y="568" w:anchorLock="0"/>
    </w:pPr>
  </w:p>
  <w:p w:rsidR="00AF530A" w:rsidRDefault="00AF530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30A" w:rsidRDefault="00AF530A">
    <w:pPr>
      <w:pStyle w:val="SidhuvudKant"/>
      <w:framePr w:w="1985" w:h="2743" w:hRule="exact" w:wrap="around" w:vAnchor="page" w:hAnchor="page" w:x="7372" w:y="568" w:anchorLock="0"/>
    </w:pPr>
    <w:r>
      <w:t>1998/99:ER1</w:t>
    </w:r>
  </w:p>
  <w:p w:rsidR="00AF530A" w:rsidRDefault="00AF530A">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30A" w:rsidRDefault="00AF530A">
    <w:pPr>
      <w:pStyle w:val="SidhuvudKant"/>
      <w:framePr w:w="1985" w:h="2743" w:hRule="exact" w:wrap="around" w:vAnchor="page" w:hAnchor="page" w:x="7372" w:y="568" w:anchorLock="0"/>
    </w:pPr>
    <w:r>
      <w:t>1998/99:ER1</w:t>
    </w:r>
  </w:p>
  <w:p w:rsidR="00AF530A" w:rsidRDefault="00AF530A">
    <w:pPr>
      <w:pStyle w:val="SidhuvudKant"/>
      <w:framePr w:w="1985" w:h="2743" w:hRule="exact" w:wrap="around" w:vAnchor="page" w:hAnchor="page" w:x="7372" w:y="568" w:anchorLock="0"/>
    </w:pPr>
    <w:r>
      <w:t>Bilaga</w:t>
    </w:r>
  </w:p>
  <w:p w:rsidR="00AF530A" w:rsidRDefault="00AF53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16cid:durableId="179975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linkStyle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förvaltningskontors"/>
    <w:docVar w:name="Skapår" w:val="9899"/>
  </w:docVars>
  <w:rsids>
    <w:rsidRoot w:val="007D1A16"/>
    <w:rsid w:val="002F680D"/>
    <w:rsid w:val="007D1A16"/>
    <w:rsid w:val="00AF53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3DE7D6-3F0B-4A51-80FD-929751572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Hngandeindrag">
    <w:name w:val="Hängande indrag"/>
    <w:basedOn w:val="Normal"/>
    <w:pPr>
      <w:widowControl w:val="0"/>
      <w:spacing w:before="0" w:line="240" w:lineRule="auto"/>
      <w:ind w:left="567" w:hanging="567"/>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7119</Words>
  <Characters>48340</Characters>
  <Application>Microsoft Office Word</Application>
  <DocSecurity>4</DocSecurity>
  <Lines>929</Lines>
  <Paragraphs>342</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Riksdagens förvaltningskontors skrivel-se</vt:lpstr>
      <vt:lpstr>    </vt:lpstr>
      <vt:lpstr>1 Europarådets roll i det europeiska samarbetet</vt:lpstr>
      <vt:lpstr>2 Den parlamentariska församlingens verksamhet under 1998: möten och viktigare f</vt:lpstr>
      <vt:lpstr>    2.1 Möten</vt:lpstr>
      <vt:lpstr>    2.2 Riksdagens delegation</vt:lpstr>
      <vt:lpstr>    2.3 Utvidgningen, granskning av efterlevnaden av åtaganden</vt:lpstr>
      <vt:lpstr>    2.4 Politiska frågor</vt:lpstr>
      <vt:lpstr>    2.5 Demokrati och mänskliga rättigheter</vt:lpstr>
      <vt:lpstr>    2.6 Sociala och ekonomiska frågor m.m.</vt:lpstr>
      <vt:lpstr>    2.7 Uppföljningen av toppmötet</vt:lpstr>
      <vt:lpstr>    2.8 Europeiskt talmansmöte i Stockholm</vt:lpstr>
      <vt:lpstr>    2.9 Utskottssammanträde i Stockholm</vt:lpstr>
      <vt:lpstr>    2.10 Gästtalare</vt:lpstr>
      <vt:lpstr>    2.11 Val av generalsekreterare för Europarådet</vt:lpstr>
      <vt:lpstr>3 Den svenska representationen</vt:lpstr>
      <vt:lpstr>4 Huvudområden för församlingens verksamhet</vt:lpstr>
      <vt:lpstr>    4.1 Granskning av hur medlemsländerna uppfyller sina åtaganden</vt:lpstr>
      <vt:lpstr>    4.2 Politiska frågor</vt:lpstr>
      <vt:lpstr>    4.3 Juridiska frågor och mänskliga rättigheter</vt:lpstr>
      <vt:lpstr>    4.4 Ekonomi och utveckling</vt:lpstr>
      <vt:lpstr>    4.5 Sociala frågor, hälso- och familjefrågor</vt:lpstr>
      <vt:lpstr>    4.6 Kultur och utbildning</vt:lpstr>
      <vt:lpstr>    4.7 Naturvetenskap och teknik</vt:lpstr>
      <vt:lpstr>    4.8 Miljö, regionalplanering, lokal förvaltning</vt:lpstr>
      <vt:lpstr>    4.9 Befolknings- och flyktingfrågor</vt:lpstr>
      <vt:lpstr>    4.10 Jordbruk och landsbygdsutveckling</vt:lpstr>
      <vt:lpstr>    4.11 Kontakter med nationella parlament och med allmänheten</vt:lpstr>
      <vt:lpstr>    4.12 Jämställdhet mellan kvinnor och män</vt:lpstr>
      <vt:lpstr/>
      <vt:lpstr>Förteckning över församlingens beslut</vt:lpstr>
    </vt:vector>
  </TitlesOfParts>
  <Company>Riksdagen</Company>
  <LinksUpToDate>false</LinksUpToDate>
  <CharactersWithSpaces>55117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Riksdagens förvaltningskontors skrivel-se</dc:title>
  <dc:subject>Riksdagens förvaltningskontors skrivel-se</dc:subject>
  <dc:creator>Riksdagen</dc:creator>
  <cp:keywords>Riksdagen</cp:keywords>
  <cp:lastModifiedBy>Lars Brink</cp:lastModifiedBy>
  <cp:revision>2</cp:revision>
  <cp:lastPrinted>1999-02-24T15:21:00Z</cp:lastPrinted>
  <dcterms:created xsi:type="dcterms:W3CDTF">2025-12-15T20:47:00Z</dcterms:created>
  <dcterms:modified xsi:type="dcterms:W3CDTF">2025-12-15T20:47:00Z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100</vt:lpwstr>
  </property>
  <property fmtid="{D5CDD505-2E9C-101B-9397-08002B2CF9AE}" pid="3" name="Utskott">
    <vt:lpwstr>RFK</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