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18469-5D6F-4E87-9FBA-BBE5932F0611}"/>
</file>

<file path=customXml/itemProps2.xml><?xml version="1.0" encoding="utf-8"?>
<ds:datastoreItem xmlns:ds="http://schemas.openxmlformats.org/officeDocument/2006/customXml" ds:itemID="{39FEDF07-7871-4A53-B6AF-91FB00B33226}"/>
</file>

<file path=customXml/itemProps3.xml><?xml version="1.0" encoding="utf-8"?>
<ds:datastoreItem xmlns:ds="http://schemas.openxmlformats.org/officeDocument/2006/customXml" ds:itemID="{1765A1C0-DC69-4064-84F0-E756A088C33E}"/>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