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AC4" w:rsidRPr="00174E7F" w:rsidRDefault="001F7AC4">
      <w:pPr>
        <w:pStyle w:val="Hemstlrubrik"/>
        <w:shd w:val="clear" w:color="000000" w:fill="auto"/>
      </w:pPr>
      <w:r w:rsidRPr="00174E7F">
        <w:t>Förslag till riksdagsbeslut</w:t>
      </w:r>
    </w:p>
    <w:p w:rsidR="0034265E" w:rsidRPr="00174E7F" w:rsidRDefault="0034265E">
      <w:pPr>
        <w:pStyle w:val="Hemstlatt"/>
        <w:numPr>
          <w:ilvl w:val="0"/>
          <w:numId w:val="1"/>
        </w:numPr>
        <w:shd w:val="clear" w:color="000000" w:fill="auto"/>
      </w:pPr>
      <w:r w:rsidRPr="00174E7F">
        <w:t>Riksdagen beslutar att ändra ramar för utgiftso</w:t>
      </w:r>
      <w:r w:rsidRPr="00174E7F">
        <w:t>m</w:t>
      </w:r>
      <w:r w:rsidRPr="00174E7F">
        <w:t>råden samt att anvisa ändrade och nya anslag enligt specifikation i tabell 1 i motionen.</w:t>
      </w:r>
    </w:p>
    <w:p w:rsidR="0034265E" w:rsidRPr="00174E7F" w:rsidRDefault="0034265E">
      <w:pPr>
        <w:pStyle w:val="Hemstlatt"/>
        <w:numPr>
          <w:ilvl w:val="0"/>
          <w:numId w:val="1"/>
        </w:numPr>
        <w:shd w:val="clear" w:color="000000" w:fill="auto"/>
      </w:pPr>
      <w:r w:rsidRPr="00174E7F">
        <w:t>Riksdagen tillkännager för regeringen som sin mening vad som i motionen anförs om arbetsmarknadspolitikens inriktning för 2007.</w:t>
      </w:r>
    </w:p>
    <w:p w:rsidR="0034265E" w:rsidRPr="00174E7F" w:rsidRDefault="0034265E">
      <w:pPr>
        <w:pStyle w:val="Hemstlatt"/>
        <w:numPr>
          <w:ilvl w:val="0"/>
          <w:numId w:val="1"/>
        </w:numPr>
        <w:shd w:val="clear" w:color="000000" w:fill="auto"/>
      </w:pPr>
      <w:r w:rsidRPr="00174E7F">
        <w:t xml:space="preserve">Riksdagen tillkännager för regeringen som sin mening vad som i motionen anförs om aktivitetsstödet för 2007. </w:t>
      </w:r>
    </w:p>
    <w:p w:rsidR="0034265E" w:rsidRPr="00174E7F" w:rsidRDefault="0034265E">
      <w:pPr>
        <w:pStyle w:val="Hemstlatt"/>
        <w:numPr>
          <w:ilvl w:val="0"/>
          <w:numId w:val="1"/>
        </w:numPr>
        <w:shd w:val="clear" w:color="000000" w:fill="auto"/>
      </w:pPr>
      <w:r w:rsidRPr="00174E7F">
        <w:t>Riksdagen avslår förslag i den del av punkt 53, avsnitt 7.2.20, som avser bemyndigande till regeringen att vidta de åtgärder som b</w:t>
      </w:r>
      <w:r w:rsidRPr="00174E7F">
        <w:t>e</w:t>
      </w:r>
      <w:r w:rsidRPr="00174E7F">
        <w:t>döms lämpliga för att avyttra hela eller delar av statens aktieinnehav i Arbetslivsresurs AR AB.</w:t>
      </w:r>
    </w:p>
    <w:p w:rsidR="0034265E" w:rsidRPr="00174E7F" w:rsidRDefault="0034265E">
      <w:pPr>
        <w:pStyle w:val="Hemstlatt"/>
        <w:numPr>
          <w:ilvl w:val="0"/>
          <w:numId w:val="1"/>
        </w:numPr>
        <w:shd w:val="clear" w:color="000000" w:fill="auto"/>
      </w:pPr>
      <w:r w:rsidRPr="00174E7F">
        <w:t>Riksdagen tillkännager för regeringen som sin mening vad som i motionen anförs om Forska &amp; Väx.</w:t>
      </w:r>
    </w:p>
    <w:p w:rsidR="0034265E" w:rsidRPr="00174E7F" w:rsidRDefault="0034265E">
      <w:pPr>
        <w:pStyle w:val="Hemstlatt"/>
        <w:numPr>
          <w:ilvl w:val="0"/>
          <w:numId w:val="1"/>
        </w:numPr>
        <w:shd w:val="clear" w:color="000000" w:fill="auto"/>
      </w:pPr>
      <w:r w:rsidRPr="00174E7F">
        <w:t>Riksdagen avslår förslag om bemyndigande till regeringen gällande punkt 29 avsnitt 7.2.5.</w:t>
      </w:r>
    </w:p>
    <w:p w:rsidR="0034265E" w:rsidRPr="00174E7F" w:rsidRDefault="0034265E">
      <w:pPr>
        <w:pStyle w:val="Hemstlatt"/>
        <w:numPr>
          <w:ilvl w:val="0"/>
          <w:numId w:val="1"/>
        </w:numPr>
        <w:shd w:val="clear" w:color="000000" w:fill="auto"/>
      </w:pPr>
      <w:r w:rsidRPr="00174E7F">
        <w:t>Riksdagen avslår förslag om bemyndigande till regeringen gällande punkt 30 avsnitt 7.2.5.</w:t>
      </w:r>
    </w:p>
    <w:p w:rsidR="001F7AC4" w:rsidRPr="00174E7F" w:rsidRDefault="005A377B">
      <w:pPr>
        <w:pStyle w:val="Rubrik1"/>
        <w:shd w:val="clear" w:color="000000" w:fill="auto"/>
      </w:pPr>
      <w:r w:rsidRPr="00174E7F">
        <w:br w:type="page"/>
      </w:r>
      <w:r w:rsidR="001F7AC4" w:rsidRPr="00174E7F">
        <w:lastRenderedPageBreak/>
        <w:t>Anslagsförändringar</w:t>
      </w:r>
    </w:p>
    <w:p w:rsidR="001F7AC4" w:rsidRPr="00174E7F" w:rsidRDefault="001F7AC4">
      <w:pPr>
        <w:shd w:val="clear" w:color="000000" w:fill="auto"/>
        <w:rPr>
          <w:b/>
        </w:rPr>
      </w:pPr>
      <w:r w:rsidRPr="00174E7F">
        <w:rPr>
          <w:b/>
        </w:rPr>
        <w:t>Tabell 1: Förändringar av anslag på tilläggsbudget i förhållande til</w:t>
      </w:r>
      <w:r w:rsidR="003645F7" w:rsidRPr="00174E7F">
        <w:rPr>
          <w:b/>
        </w:rPr>
        <w:t>l r</w:t>
      </w:r>
      <w:r w:rsidR="003645F7" w:rsidRPr="00174E7F">
        <w:rPr>
          <w:b/>
        </w:rPr>
        <w:t>e</w:t>
      </w:r>
      <w:r w:rsidR="003645F7" w:rsidRPr="00174E7F">
        <w:rPr>
          <w:b/>
        </w:rPr>
        <w:t>geringens förslag, tusental</w:t>
      </w:r>
      <w:r w:rsidRPr="00174E7F">
        <w:rPr>
          <w:b/>
        </w:rPr>
        <w:t xml:space="preserve"> kronor </w:t>
      </w:r>
      <w:r w:rsidR="003645F7" w:rsidRPr="00174E7F">
        <w:rPr>
          <w:b/>
        </w:rPr>
        <w:t>(tabell 2.1 s.</w:t>
      </w:r>
      <w:r w:rsidRPr="00174E7F">
        <w:rPr>
          <w:b/>
        </w:rPr>
        <w:t xml:space="preserve"> 65)</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2"/>
        <w:gridCol w:w="3241"/>
      </w:tblGrid>
      <w:tr w:rsidR="004A21EF" w:rsidRPr="00174E7F" w:rsidTr="004A21EF">
        <w:tc>
          <w:tcPr>
            <w:tcW w:w="4322" w:type="dxa"/>
            <w:tcBorders>
              <w:top w:val="single" w:sz="4" w:space="0" w:color="auto"/>
              <w:bottom w:val="single" w:sz="4" w:space="0" w:color="auto"/>
            </w:tcBorders>
          </w:tcPr>
          <w:p w:rsidR="004A21EF" w:rsidRPr="00174E7F" w:rsidRDefault="004A21EF">
            <w:pPr>
              <w:shd w:val="clear" w:color="000000" w:fill="auto"/>
              <w:spacing w:before="60" w:line="200" w:lineRule="exact"/>
              <w:rPr>
                <w:sz w:val="16"/>
                <w:szCs w:val="16"/>
              </w:rPr>
            </w:pPr>
            <w:r w:rsidRPr="00174E7F">
              <w:rPr>
                <w:sz w:val="16"/>
                <w:szCs w:val="16"/>
              </w:rPr>
              <w:t>Anslag</w:t>
            </w:r>
          </w:p>
        </w:tc>
        <w:tc>
          <w:tcPr>
            <w:tcW w:w="4322" w:type="dxa"/>
            <w:tcBorders>
              <w:top w:val="single" w:sz="4" w:space="0" w:color="auto"/>
              <w:bottom w:val="single" w:sz="4" w:space="0" w:color="auto"/>
            </w:tcBorders>
          </w:tcPr>
          <w:p w:rsidR="004A21EF" w:rsidRPr="00174E7F" w:rsidRDefault="004A21EF">
            <w:pPr>
              <w:shd w:val="clear" w:color="000000" w:fill="auto"/>
              <w:spacing w:before="60" w:line="200" w:lineRule="exact"/>
              <w:jc w:val="center"/>
              <w:rPr>
                <w:sz w:val="16"/>
                <w:szCs w:val="16"/>
              </w:rPr>
            </w:pPr>
            <w:r w:rsidRPr="00174E7F">
              <w:rPr>
                <w:sz w:val="16"/>
                <w:szCs w:val="16"/>
              </w:rPr>
              <w:t>Ändringsförslag</w:t>
            </w:r>
          </w:p>
        </w:tc>
      </w:tr>
      <w:tr w:rsidR="004A21EF" w:rsidRPr="00174E7F" w:rsidTr="004A21EF">
        <w:tc>
          <w:tcPr>
            <w:tcW w:w="4322" w:type="dxa"/>
            <w:tcBorders>
              <w:top w:val="single" w:sz="4" w:space="0" w:color="auto"/>
            </w:tcBorders>
          </w:tcPr>
          <w:p w:rsidR="004A21EF" w:rsidRPr="00174E7F" w:rsidRDefault="004A21EF">
            <w:pPr>
              <w:shd w:val="clear" w:color="000000" w:fill="auto"/>
              <w:spacing w:before="60" w:line="200" w:lineRule="exact"/>
              <w:rPr>
                <w:sz w:val="16"/>
                <w:szCs w:val="16"/>
              </w:rPr>
            </w:pPr>
            <w:r w:rsidRPr="00174E7F">
              <w:rPr>
                <w:sz w:val="16"/>
                <w:szCs w:val="16"/>
              </w:rPr>
              <w:t>UO 1</w:t>
            </w:r>
          </w:p>
          <w:p w:rsidR="004A21EF" w:rsidRPr="00174E7F" w:rsidRDefault="004A21EF">
            <w:pPr>
              <w:shd w:val="clear" w:color="000000" w:fill="auto"/>
              <w:spacing w:before="60" w:line="200" w:lineRule="exact"/>
              <w:rPr>
                <w:sz w:val="16"/>
                <w:szCs w:val="16"/>
              </w:rPr>
            </w:pPr>
            <w:r w:rsidRPr="00174E7F">
              <w:rPr>
                <w:sz w:val="16"/>
                <w:szCs w:val="16"/>
              </w:rPr>
              <w:t>90:5 Regeringskansliet m.m</w:t>
            </w:r>
          </w:p>
        </w:tc>
        <w:tc>
          <w:tcPr>
            <w:tcW w:w="4322" w:type="dxa"/>
            <w:tcBorders>
              <w:top w:val="single" w:sz="4" w:space="0" w:color="auto"/>
            </w:tcBorders>
            <w:vAlign w:val="bottom"/>
          </w:tcPr>
          <w:p w:rsidR="004A21EF" w:rsidRPr="00174E7F" w:rsidRDefault="004A21EF">
            <w:pPr>
              <w:shd w:val="clear" w:color="000000" w:fill="auto"/>
              <w:spacing w:before="60" w:line="200" w:lineRule="exact"/>
              <w:ind w:right="1153"/>
              <w:jc w:val="right"/>
              <w:rPr>
                <w:sz w:val="16"/>
                <w:szCs w:val="16"/>
              </w:rPr>
            </w:pPr>
            <w:r w:rsidRPr="00174E7F">
              <w:rPr>
                <w:sz w:val="16"/>
                <w:szCs w:val="16"/>
              </w:rPr>
              <w:t>–48 600</w:t>
            </w:r>
          </w:p>
        </w:tc>
      </w:tr>
      <w:tr w:rsidR="004A21EF" w:rsidRPr="00174E7F" w:rsidTr="004A21EF">
        <w:tc>
          <w:tcPr>
            <w:tcW w:w="4322" w:type="dxa"/>
          </w:tcPr>
          <w:p w:rsidR="004A21EF" w:rsidRPr="00174E7F" w:rsidRDefault="004A21EF">
            <w:pPr>
              <w:shd w:val="clear" w:color="000000" w:fill="auto"/>
              <w:spacing w:before="60" w:line="200" w:lineRule="exact"/>
              <w:rPr>
                <w:sz w:val="16"/>
                <w:szCs w:val="16"/>
              </w:rPr>
            </w:pPr>
            <w:r w:rsidRPr="00174E7F">
              <w:rPr>
                <w:sz w:val="16"/>
                <w:szCs w:val="16"/>
              </w:rPr>
              <w:t>UO 2</w:t>
            </w:r>
          </w:p>
          <w:p w:rsidR="004A21EF" w:rsidRPr="00174E7F" w:rsidRDefault="004A21EF">
            <w:pPr>
              <w:shd w:val="clear" w:color="000000" w:fill="auto"/>
              <w:spacing w:before="60" w:line="200" w:lineRule="exact"/>
              <w:rPr>
                <w:sz w:val="16"/>
                <w:szCs w:val="16"/>
              </w:rPr>
            </w:pPr>
            <w:r w:rsidRPr="00174E7F">
              <w:rPr>
                <w:sz w:val="16"/>
                <w:szCs w:val="16"/>
              </w:rPr>
              <w:t>1:15 Finanspolitiska rådet</w:t>
            </w:r>
          </w:p>
        </w:tc>
        <w:tc>
          <w:tcPr>
            <w:tcW w:w="4322" w:type="dxa"/>
            <w:vAlign w:val="bottom"/>
          </w:tcPr>
          <w:p w:rsidR="004A21EF" w:rsidRPr="00174E7F" w:rsidRDefault="004A21EF">
            <w:pPr>
              <w:shd w:val="clear" w:color="000000" w:fill="auto"/>
              <w:spacing w:before="60" w:line="200" w:lineRule="exact"/>
              <w:ind w:right="1153"/>
              <w:jc w:val="right"/>
              <w:rPr>
                <w:sz w:val="16"/>
                <w:szCs w:val="16"/>
              </w:rPr>
            </w:pPr>
            <w:r w:rsidRPr="00174E7F">
              <w:rPr>
                <w:sz w:val="16"/>
                <w:szCs w:val="16"/>
              </w:rPr>
              <w:t>–1 500</w:t>
            </w:r>
          </w:p>
        </w:tc>
      </w:tr>
      <w:tr w:rsidR="004A21EF" w:rsidRPr="00174E7F" w:rsidTr="004A21EF">
        <w:tc>
          <w:tcPr>
            <w:tcW w:w="4322" w:type="dxa"/>
          </w:tcPr>
          <w:p w:rsidR="004A21EF" w:rsidRPr="00174E7F" w:rsidRDefault="004A21EF">
            <w:pPr>
              <w:shd w:val="clear" w:color="000000" w:fill="auto"/>
              <w:spacing w:before="60" w:line="200" w:lineRule="exact"/>
              <w:rPr>
                <w:sz w:val="16"/>
                <w:szCs w:val="16"/>
              </w:rPr>
            </w:pPr>
            <w:r w:rsidRPr="00174E7F">
              <w:rPr>
                <w:sz w:val="16"/>
                <w:szCs w:val="16"/>
              </w:rPr>
              <w:t>UO 20</w:t>
            </w:r>
          </w:p>
          <w:p w:rsidR="004A21EF" w:rsidRPr="00174E7F" w:rsidRDefault="004A21EF">
            <w:pPr>
              <w:shd w:val="clear" w:color="000000" w:fill="auto"/>
              <w:spacing w:before="60" w:line="200" w:lineRule="exact"/>
              <w:rPr>
                <w:sz w:val="16"/>
                <w:szCs w:val="16"/>
              </w:rPr>
            </w:pPr>
            <w:r w:rsidRPr="00174E7F">
              <w:rPr>
                <w:sz w:val="16"/>
                <w:szCs w:val="16"/>
              </w:rPr>
              <w:t>34:3 Åtgärder för biologisk mångfald</w:t>
            </w:r>
          </w:p>
        </w:tc>
        <w:tc>
          <w:tcPr>
            <w:tcW w:w="4322" w:type="dxa"/>
            <w:vAlign w:val="bottom"/>
          </w:tcPr>
          <w:p w:rsidR="004A21EF" w:rsidRPr="00174E7F" w:rsidRDefault="004A21EF">
            <w:pPr>
              <w:shd w:val="clear" w:color="000000" w:fill="auto"/>
              <w:spacing w:before="60" w:line="200" w:lineRule="exact"/>
              <w:ind w:right="1153"/>
              <w:jc w:val="right"/>
              <w:rPr>
                <w:sz w:val="16"/>
                <w:szCs w:val="16"/>
              </w:rPr>
            </w:pPr>
            <w:r w:rsidRPr="00174E7F">
              <w:rPr>
                <w:sz w:val="16"/>
                <w:szCs w:val="16"/>
              </w:rPr>
              <w:t>+89 500</w:t>
            </w:r>
          </w:p>
        </w:tc>
      </w:tr>
      <w:tr w:rsidR="004A21EF" w:rsidRPr="00174E7F" w:rsidTr="004A21EF">
        <w:tc>
          <w:tcPr>
            <w:tcW w:w="4322" w:type="dxa"/>
            <w:tcBorders>
              <w:bottom w:val="single" w:sz="4" w:space="0" w:color="auto"/>
            </w:tcBorders>
          </w:tcPr>
          <w:p w:rsidR="004A21EF" w:rsidRPr="00174E7F" w:rsidRDefault="004A21EF">
            <w:pPr>
              <w:shd w:val="clear" w:color="000000" w:fill="auto"/>
              <w:spacing w:before="60" w:line="200" w:lineRule="exact"/>
              <w:rPr>
                <w:sz w:val="16"/>
                <w:szCs w:val="16"/>
              </w:rPr>
            </w:pPr>
            <w:r w:rsidRPr="00174E7F">
              <w:rPr>
                <w:sz w:val="16"/>
                <w:szCs w:val="16"/>
              </w:rPr>
              <w:t>UO 24</w:t>
            </w:r>
          </w:p>
          <w:p w:rsidR="004A21EF" w:rsidRPr="00174E7F" w:rsidRDefault="004A21EF">
            <w:pPr>
              <w:shd w:val="clear" w:color="000000" w:fill="auto"/>
              <w:spacing w:before="60" w:line="200" w:lineRule="exact"/>
              <w:rPr>
                <w:sz w:val="16"/>
                <w:szCs w:val="16"/>
              </w:rPr>
            </w:pPr>
            <w:r w:rsidRPr="00174E7F">
              <w:rPr>
                <w:sz w:val="16"/>
                <w:szCs w:val="16"/>
              </w:rPr>
              <w:t>38:18 Kostnader för omstrukturering och genomlysning av statligt ägda företag</w:t>
            </w:r>
          </w:p>
        </w:tc>
        <w:tc>
          <w:tcPr>
            <w:tcW w:w="4322" w:type="dxa"/>
            <w:tcBorders>
              <w:bottom w:val="single" w:sz="4" w:space="0" w:color="auto"/>
            </w:tcBorders>
            <w:vAlign w:val="bottom"/>
          </w:tcPr>
          <w:p w:rsidR="004A21EF" w:rsidRPr="00174E7F" w:rsidRDefault="004A21EF">
            <w:pPr>
              <w:shd w:val="clear" w:color="000000" w:fill="auto"/>
              <w:spacing w:before="60" w:line="200" w:lineRule="exact"/>
              <w:ind w:right="1153"/>
              <w:jc w:val="right"/>
              <w:rPr>
                <w:sz w:val="16"/>
                <w:szCs w:val="16"/>
              </w:rPr>
            </w:pPr>
            <w:r w:rsidRPr="00174E7F">
              <w:rPr>
                <w:sz w:val="16"/>
                <w:szCs w:val="16"/>
              </w:rPr>
              <w:t>–100 000</w:t>
            </w:r>
          </w:p>
        </w:tc>
      </w:tr>
    </w:tbl>
    <w:p w:rsidR="001F7AC4" w:rsidRPr="00174E7F" w:rsidRDefault="001F7AC4">
      <w:pPr>
        <w:shd w:val="clear" w:color="000000" w:fill="auto"/>
      </w:pPr>
      <w:r w:rsidRPr="00174E7F">
        <w:rPr>
          <w:i/>
        </w:rPr>
        <w:t>Kommentar till anslag 90:5: Regeringskansliet m.m.</w:t>
      </w:r>
      <w:r w:rsidRPr="00174E7F">
        <w:t xml:space="preserve"> Anslaget för </w:t>
      </w:r>
      <w:r w:rsidR="004A21EF" w:rsidRPr="00174E7F">
        <w:t>Regering</w:t>
      </w:r>
      <w:r w:rsidR="004A21EF" w:rsidRPr="00174E7F">
        <w:t>s</w:t>
      </w:r>
      <w:r w:rsidR="004A21EF" w:rsidRPr="00174E7F">
        <w:t xml:space="preserve">kansliet </w:t>
      </w:r>
      <w:r w:rsidRPr="00174E7F">
        <w:t>har ett extremt stort anslagssparande. Att i det läget öka den ekon</w:t>
      </w:r>
      <w:r w:rsidRPr="00174E7F">
        <w:t>o</w:t>
      </w:r>
      <w:r w:rsidRPr="00174E7F">
        <w:t>miska ramen innebär att regeringen i stället för att vidta nödvändiga effektiv</w:t>
      </w:r>
      <w:r w:rsidRPr="00174E7F">
        <w:t>i</w:t>
      </w:r>
      <w:r w:rsidRPr="00174E7F">
        <w:t xml:space="preserve">seringsåtgärder väljer att passivt låta kostnaderna för </w:t>
      </w:r>
      <w:r w:rsidR="004A21EF" w:rsidRPr="00174E7F">
        <w:t xml:space="preserve">Regeringskansliets </w:t>
      </w:r>
      <w:r w:rsidRPr="00174E7F">
        <w:t>a</w:t>
      </w:r>
      <w:r w:rsidRPr="00174E7F">
        <w:t>d</w:t>
      </w:r>
      <w:r w:rsidRPr="00174E7F">
        <w:t>ministration öka.</w:t>
      </w:r>
    </w:p>
    <w:p w:rsidR="001F7AC4" w:rsidRPr="00174E7F" w:rsidRDefault="001F7AC4">
      <w:pPr>
        <w:shd w:val="clear" w:color="000000" w:fill="auto"/>
      </w:pPr>
      <w:r w:rsidRPr="00174E7F">
        <w:rPr>
          <w:i/>
        </w:rPr>
        <w:t>Kommentar till anslag</w:t>
      </w:r>
      <w:r w:rsidRPr="00174E7F">
        <w:t xml:space="preserve"> 1:15: </w:t>
      </w:r>
      <w:r w:rsidRPr="00174E7F">
        <w:rPr>
          <w:i/>
        </w:rPr>
        <w:t>Finanspolitiskt råd</w:t>
      </w:r>
      <w:r w:rsidR="004A21EF" w:rsidRPr="00174E7F">
        <w:t xml:space="preserve">. </w:t>
      </w:r>
      <w:r w:rsidRPr="00174E7F">
        <w:t>Det nuvarande finanspoliti</w:t>
      </w:r>
      <w:r w:rsidRPr="00174E7F">
        <w:t>s</w:t>
      </w:r>
      <w:r w:rsidRPr="00174E7F">
        <w:t>ka ramverket har tjänat Sverige väl. Det är dock bra om det kontinuerligt utvärderas. Vi vänder oss dock emot regeringens planer på att inrätta ett f</w:t>
      </w:r>
      <w:r w:rsidRPr="00174E7F">
        <w:t>i</w:t>
      </w:r>
      <w:r w:rsidRPr="00174E7F">
        <w:t xml:space="preserve">nanspolitiskt råd. </w:t>
      </w:r>
    </w:p>
    <w:p w:rsidR="001F7AC4" w:rsidRPr="00174E7F" w:rsidRDefault="001F7AC4">
      <w:pPr>
        <w:shd w:val="clear" w:color="000000" w:fill="auto"/>
      </w:pPr>
      <w:r w:rsidRPr="00174E7F">
        <w:t>Redan i</w:t>
      </w:r>
      <w:r w:rsidR="005F0294" w:rsidRPr="00174E7F">
        <w:t xml:space="preserve"> </w:t>
      </w:r>
      <w:r w:rsidRPr="00174E7F">
        <w:t>dag finns det aktörer som har till uppgift att ta fram kvalificerade underlag till regeringens prognoser och följa, utvärdera och kontrollera rege</w:t>
      </w:r>
      <w:r w:rsidRPr="00174E7F">
        <w:t>r</w:t>
      </w:r>
      <w:r w:rsidRPr="00174E7F">
        <w:t>ingens finanspolitik. Dit hör exempelvis Konjunkturinstitutet, Ekonomisty</w:t>
      </w:r>
      <w:r w:rsidRPr="00174E7F">
        <w:t>r</w:t>
      </w:r>
      <w:r w:rsidRPr="00174E7F">
        <w:t xml:space="preserve">ningsverket och Riksrevisionen. Därtill menar vi socialdemokrater att det ytterst ska vara svenska folkets valda företrädare i </w:t>
      </w:r>
      <w:r w:rsidR="005F0294" w:rsidRPr="00174E7F">
        <w:t xml:space="preserve">riksdagens </w:t>
      </w:r>
      <w:r w:rsidRPr="00174E7F">
        <w:t xml:space="preserve">finansutskott och </w:t>
      </w:r>
      <w:r w:rsidR="005F0294" w:rsidRPr="00174E7F">
        <w:t xml:space="preserve">riksdagen </w:t>
      </w:r>
      <w:r w:rsidRPr="00174E7F">
        <w:t>som ska utvärdera den förda politiken. Därför avvisar vi även regeringens förslag om att låta ett finanspolitiskt råd få i uppgift att utvärdera politikens innehåll.</w:t>
      </w:r>
    </w:p>
    <w:p w:rsidR="001F7AC4" w:rsidRPr="00174E7F" w:rsidRDefault="003124C6">
      <w:pPr>
        <w:pStyle w:val="Normaltindrag"/>
        <w:shd w:val="clear" w:color="000000" w:fill="auto"/>
        <w:spacing w:before="125"/>
        <w:ind w:firstLine="0"/>
      </w:pPr>
      <w:r w:rsidRPr="00174E7F">
        <w:rPr>
          <w:i/>
        </w:rPr>
        <w:t>Kommentar till anslag 34:3</w:t>
      </w:r>
      <w:r w:rsidRPr="00174E7F">
        <w:t>:</w:t>
      </w:r>
      <w:r w:rsidR="001F7AC4" w:rsidRPr="00174E7F">
        <w:rPr>
          <w:i/>
        </w:rPr>
        <w:t xml:space="preserve"> Åtgärder för biologisk mångfald</w:t>
      </w:r>
      <w:r w:rsidR="005F0294" w:rsidRPr="00174E7F">
        <w:rPr>
          <w:i/>
        </w:rPr>
        <w:t>.</w:t>
      </w:r>
      <w:r w:rsidR="001F7AC4" w:rsidRPr="00174E7F">
        <w:rPr>
          <w:i/>
        </w:rPr>
        <w:t xml:space="preserve"> </w:t>
      </w:r>
      <w:r w:rsidR="001F7AC4" w:rsidRPr="00174E7F">
        <w:t>Regeringen väljer att dra ner på anslagen till biologisk mångfald för att finansiera andra miljöutgifter. Det är en felaktig prioritering</w:t>
      </w:r>
      <w:r w:rsidR="005F0294" w:rsidRPr="00174E7F">
        <w:t>.</w:t>
      </w:r>
      <w:r w:rsidR="001F7AC4" w:rsidRPr="00174E7F">
        <w:t xml:space="preserve"> Vi anser att anslaget till biologisk mångfald är viktigt och att det därför inte ska sänkas. </w:t>
      </w:r>
    </w:p>
    <w:p w:rsidR="001F7AC4" w:rsidRPr="00174E7F" w:rsidRDefault="001F7AC4">
      <w:pPr>
        <w:shd w:val="clear" w:color="000000" w:fill="auto"/>
      </w:pPr>
      <w:r w:rsidRPr="00174E7F">
        <w:rPr>
          <w:i/>
        </w:rPr>
        <w:t>Kommentar till anslag 38:18</w:t>
      </w:r>
      <w:r w:rsidR="003124C6" w:rsidRPr="00174E7F">
        <w:t>:</w:t>
      </w:r>
      <w:r w:rsidRPr="00174E7F">
        <w:rPr>
          <w:i/>
        </w:rPr>
        <w:t xml:space="preserve"> Kostnader för omstrukturering och genom</w:t>
      </w:r>
      <w:r w:rsidR="005F0294" w:rsidRPr="00174E7F">
        <w:rPr>
          <w:i/>
        </w:rPr>
        <w:t>ly</w:t>
      </w:r>
      <w:r w:rsidR="005F0294" w:rsidRPr="00174E7F">
        <w:rPr>
          <w:i/>
        </w:rPr>
        <w:t>s</w:t>
      </w:r>
      <w:r w:rsidR="005F0294" w:rsidRPr="00174E7F">
        <w:rPr>
          <w:i/>
        </w:rPr>
        <w:t>ning av statligt ägda företa</w:t>
      </w:r>
      <w:r w:rsidR="003124C6" w:rsidRPr="00174E7F">
        <w:rPr>
          <w:i/>
        </w:rPr>
        <w:t>g</w:t>
      </w:r>
      <w:r w:rsidR="005F0294" w:rsidRPr="00174E7F">
        <w:t>.</w:t>
      </w:r>
      <w:r w:rsidRPr="00174E7F">
        <w:t xml:space="preserve"> Regeringen anslår 300 miljoner kronor varav 100 miljoner kronor på tilläggsbudgeten för att sälja statliga företag. Det är en märklig prioritering</w:t>
      </w:r>
      <w:r w:rsidR="005F0294" w:rsidRPr="00174E7F">
        <w:t>.</w:t>
      </w:r>
      <w:r w:rsidRPr="00174E7F">
        <w:t xml:space="preserve"> Försäljningskostnaderna för de statliga bolagen uppgår till mer än vad regeringen satsar på exportfrämjande.</w:t>
      </w:r>
      <w:r w:rsidR="005F0294" w:rsidRPr="00174E7F">
        <w:t xml:space="preserve"> </w:t>
      </w:r>
      <w:r w:rsidRPr="00174E7F">
        <w:t>Vidare anser vi socia</w:t>
      </w:r>
      <w:r w:rsidRPr="00174E7F">
        <w:t>l</w:t>
      </w:r>
      <w:r w:rsidRPr="00174E7F">
        <w:t xml:space="preserve">demokrater att den utförsäljningspolitik som regeringen bedriver </w:t>
      </w:r>
      <w:r w:rsidR="005F0294" w:rsidRPr="00174E7F">
        <w:t xml:space="preserve">är </w:t>
      </w:r>
      <w:r w:rsidRPr="00174E7F">
        <w:t xml:space="preserve">felaktig. Vi anser därför att det inte bör anslås medel för utförsäljning av statliga bolag såsom regeringen föreslår.  </w:t>
      </w:r>
    </w:p>
    <w:p w:rsidR="00253E09" w:rsidRPr="00174E7F" w:rsidRDefault="00253E09">
      <w:pPr>
        <w:pStyle w:val="Rubrik1"/>
        <w:shd w:val="clear" w:color="000000" w:fill="auto"/>
      </w:pPr>
      <w:r w:rsidRPr="00174E7F">
        <w:t>Arbet</w:t>
      </w:r>
      <w:r w:rsidRPr="00174E7F">
        <w:rPr>
          <w:rStyle w:val="Rubrik1Char"/>
        </w:rPr>
        <w:t>s</w:t>
      </w:r>
      <w:r w:rsidRPr="00174E7F">
        <w:t>marknadspolitikens inriktning</w:t>
      </w:r>
    </w:p>
    <w:p w:rsidR="008A4D1A" w:rsidRPr="00174E7F" w:rsidRDefault="008A4D1A">
      <w:pPr>
        <w:pStyle w:val="Rubrik2"/>
        <w:shd w:val="clear" w:color="000000" w:fill="auto"/>
        <w:spacing w:before="120"/>
      </w:pPr>
      <w:r w:rsidRPr="00174E7F">
        <w:t>Fördubblad satsning på kvalificerad arbetsmarknadsutbildning</w:t>
      </w:r>
    </w:p>
    <w:p w:rsidR="008A4D1A" w:rsidRPr="00174E7F" w:rsidRDefault="00C276CF">
      <w:pPr>
        <w:shd w:val="clear" w:color="000000" w:fill="auto"/>
      </w:pPr>
      <w:r w:rsidRPr="00174E7F">
        <w:t xml:space="preserve">I </w:t>
      </w:r>
      <w:r w:rsidR="005F0294" w:rsidRPr="00174E7F">
        <w:t xml:space="preserve">Socialdemokraternas </w:t>
      </w:r>
      <w:r w:rsidRPr="00174E7F">
        <w:t xml:space="preserve">vårbudgetmotion presenterar vi vår syn </w:t>
      </w:r>
      <w:r w:rsidR="005F0294" w:rsidRPr="00174E7F">
        <w:t>på</w:t>
      </w:r>
      <w:r w:rsidRPr="00174E7F">
        <w:t xml:space="preserve"> utvecklin</w:t>
      </w:r>
      <w:r w:rsidRPr="00174E7F">
        <w:t>g</w:t>
      </w:r>
      <w:r w:rsidRPr="00174E7F">
        <w:t xml:space="preserve">en </w:t>
      </w:r>
      <w:r w:rsidR="005F0294" w:rsidRPr="00174E7F">
        <w:t>av</w:t>
      </w:r>
      <w:r w:rsidRPr="00174E7F">
        <w:t xml:space="preserve"> arbetsmarknaden</w:t>
      </w:r>
      <w:r w:rsidR="00CD7681" w:rsidRPr="00174E7F">
        <w:t xml:space="preserve"> och vilka konsekvenser regeringens politik får. Vi presenterar också förslag på hur långtidsarbetslösheten bland ungdomar ska brytas. </w:t>
      </w:r>
    </w:p>
    <w:p w:rsidR="008A4D1A" w:rsidRPr="00174E7F" w:rsidRDefault="00F867FF">
      <w:pPr>
        <w:pStyle w:val="Normaltindrag"/>
        <w:shd w:val="clear" w:color="000000" w:fill="auto"/>
      </w:pPr>
      <w:r w:rsidRPr="00174E7F">
        <w:t>V</w:t>
      </w:r>
      <w:r w:rsidR="008A4D1A" w:rsidRPr="00174E7F">
        <w:t>i socialdemokrater menar att det i det rådande konjunkturläget behövs betydligt mer av kvalificerad arbetsmarknadsutbildning för att undvika a</w:t>
      </w:r>
      <w:r w:rsidR="008A4D1A" w:rsidRPr="00174E7F">
        <w:t>r</w:t>
      </w:r>
      <w:r w:rsidR="008A4D1A" w:rsidRPr="00174E7F">
        <w:t>betskraftsbrist på arbetsmarknaden. Därför föreslås en fördubbling av de</w:t>
      </w:r>
      <w:r w:rsidR="005F0294" w:rsidRPr="00174E7F">
        <w:t>t</w:t>
      </w:r>
      <w:r w:rsidR="008A4D1A" w:rsidRPr="00174E7F">
        <w:t xml:space="preserve"> sedan tidigare planerade antalet platser i den kvalificerade arbetsmarknadsu</w:t>
      </w:r>
      <w:r w:rsidR="008A4D1A" w:rsidRPr="00174E7F">
        <w:t>t</w:t>
      </w:r>
      <w:r w:rsidR="008A4D1A" w:rsidRPr="00174E7F">
        <w:t>bildningen</w:t>
      </w:r>
      <w:r w:rsidR="00B95F30" w:rsidRPr="00174E7F">
        <w:t xml:space="preserve">, </w:t>
      </w:r>
      <w:r w:rsidR="008A4D1A" w:rsidRPr="00174E7F">
        <w:t>så att antalet platser i den kvalificerade arbetsmarknadsutbil</w:t>
      </w:r>
      <w:r w:rsidR="008A4D1A" w:rsidRPr="00174E7F">
        <w:t>d</w:t>
      </w:r>
      <w:r w:rsidR="008A4D1A" w:rsidRPr="00174E7F">
        <w:t xml:space="preserve">ningen kan </w:t>
      </w:r>
      <w:r w:rsidR="00B95F30" w:rsidRPr="00174E7F">
        <w:t>nå upp</w:t>
      </w:r>
      <w:r w:rsidR="008A4D1A" w:rsidRPr="00174E7F">
        <w:t xml:space="preserve"> till 15</w:t>
      </w:r>
      <w:r w:rsidR="00B95F30" w:rsidRPr="00174E7F">
        <w:t> </w:t>
      </w:r>
      <w:r w:rsidR="008A4D1A" w:rsidRPr="00174E7F">
        <w:t>000</w:t>
      </w:r>
      <w:r w:rsidR="005F0294" w:rsidRPr="00174E7F">
        <w:t xml:space="preserve"> stycken</w:t>
      </w:r>
      <w:r w:rsidR="00B95F30" w:rsidRPr="00174E7F">
        <w:t xml:space="preserve"> i slutet av 2007 för att sedan kunna permanentas på denna nivå under de kommande åren. Detta motsvarar </w:t>
      </w:r>
      <w:r w:rsidR="005F0294" w:rsidRPr="00174E7F">
        <w:t>1 </w:t>
      </w:r>
      <w:r w:rsidR="002C74C8" w:rsidRPr="00174E7F">
        <w:t xml:space="preserve">miljard kronor i högre anslag än </w:t>
      </w:r>
      <w:r w:rsidR="003004D0" w:rsidRPr="00174E7F">
        <w:t xml:space="preserve">vad </w:t>
      </w:r>
      <w:r w:rsidR="002C74C8" w:rsidRPr="00174E7F">
        <w:t>regeringen</w:t>
      </w:r>
      <w:r w:rsidR="003004D0" w:rsidRPr="00174E7F">
        <w:t xml:space="preserve"> har redovisat</w:t>
      </w:r>
      <w:r w:rsidR="002C74C8" w:rsidRPr="00174E7F">
        <w:t xml:space="preserve">. </w:t>
      </w:r>
      <w:r w:rsidR="00B95F30" w:rsidRPr="00174E7F">
        <w:t>Denna ö</w:t>
      </w:r>
      <w:r w:rsidR="00B95F30" w:rsidRPr="00174E7F">
        <w:t>k</w:t>
      </w:r>
      <w:r w:rsidR="00B95F30" w:rsidRPr="00174E7F">
        <w:t xml:space="preserve">ning ryms inom </w:t>
      </w:r>
      <w:r w:rsidR="005F0294" w:rsidRPr="00174E7F">
        <w:t xml:space="preserve">Socialdemokraternas </w:t>
      </w:r>
      <w:r w:rsidR="00B95F30" w:rsidRPr="00174E7F">
        <w:t xml:space="preserve">budgetmotion för 2007. </w:t>
      </w:r>
    </w:p>
    <w:p w:rsidR="003004D0" w:rsidRPr="00174E7F" w:rsidRDefault="003004D0">
      <w:pPr>
        <w:pStyle w:val="Normaltindrag"/>
        <w:shd w:val="clear" w:color="000000" w:fill="auto"/>
      </w:pPr>
      <w:r w:rsidRPr="00174E7F">
        <w:t>Regeringen bör omgående återkomma till hur anslaget för arbetsmar</w:t>
      </w:r>
      <w:r w:rsidRPr="00174E7F">
        <w:t>k</w:t>
      </w:r>
      <w:r w:rsidRPr="00174E7F">
        <w:t xml:space="preserve">nadspolitik för 2007 ska höjas så att ovanstående </w:t>
      </w:r>
      <w:r w:rsidR="00B13B6F" w:rsidRPr="00174E7F">
        <w:t>förslag</w:t>
      </w:r>
      <w:r w:rsidRPr="00174E7F">
        <w:t xml:space="preserve"> kan genomföras. </w:t>
      </w:r>
    </w:p>
    <w:p w:rsidR="00C276CF" w:rsidRPr="00174E7F" w:rsidRDefault="00C276CF">
      <w:pPr>
        <w:pStyle w:val="Rubrik1"/>
        <w:shd w:val="clear" w:color="000000" w:fill="auto"/>
      </w:pPr>
      <w:r w:rsidRPr="00174E7F">
        <w:t>Aktivitetsstöd</w:t>
      </w:r>
    </w:p>
    <w:p w:rsidR="006B1C86" w:rsidRPr="00174E7F" w:rsidRDefault="00F867FF">
      <w:pPr>
        <w:shd w:val="clear" w:color="000000" w:fill="auto"/>
      </w:pPr>
      <w:r w:rsidRPr="00174E7F">
        <w:t>I vårpropositionen klargörs de ekonomiska förutsättningarna för arbetsfö</w:t>
      </w:r>
      <w:r w:rsidRPr="00174E7F">
        <w:t>r</w:t>
      </w:r>
      <w:r w:rsidRPr="00174E7F">
        <w:t xml:space="preserve">medlingarnas verksamhet för resten av 2007. Jobb- och utvecklingsgarantin ska ersätta dagens </w:t>
      </w:r>
      <w:r w:rsidR="003645F7" w:rsidRPr="00174E7F">
        <w:t>aktivitetsgaranti</w:t>
      </w:r>
      <w:r w:rsidRPr="00174E7F">
        <w:t xml:space="preserve"> och ska starta den 2 juli 2007. Inga nya resurser till aktivitetsstöd tillförs för de arbetslösa som ska delta i garantin under 2007. </w:t>
      </w:r>
    </w:p>
    <w:p w:rsidR="00F867FF" w:rsidRPr="00174E7F" w:rsidRDefault="006B1C86">
      <w:pPr>
        <w:pStyle w:val="Normaltindrag"/>
        <w:shd w:val="clear" w:color="000000" w:fill="auto"/>
      </w:pPr>
      <w:r w:rsidRPr="00174E7F">
        <w:t>Detta innebär, som AMS skriver i ett pressmeddelande, att ”inga nya b</w:t>
      </w:r>
      <w:r w:rsidRPr="00174E7F">
        <w:t>e</w:t>
      </w:r>
      <w:r w:rsidRPr="00174E7F">
        <w:t>s</w:t>
      </w:r>
      <w:r w:rsidR="003645F7" w:rsidRPr="00174E7F">
        <w:t xml:space="preserve">lut om aktivitetsstöd fattas”. </w:t>
      </w:r>
      <w:r w:rsidRPr="00174E7F">
        <w:t xml:space="preserve">Det är ett stopp för nya aktivitetsstöd. Därutöver kan AMS endast </w:t>
      </w:r>
      <w:r w:rsidR="00CD7681" w:rsidRPr="00174E7F">
        <w:t>fullfölja begränsade delar av sina planerade arbetsmar</w:t>
      </w:r>
      <w:r w:rsidR="00CD7681" w:rsidRPr="00174E7F">
        <w:t>k</w:t>
      </w:r>
      <w:r w:rsidR="00CD7681" w:rsidRPr="00174E7F">
        <w:t xml:space="preserve">nadsutbildningar och stöd till start av näringsverksamhet. </w:t>
      </w:r>
    </w:p>
    <w:p w:rsidR="00CD7681" w:rsidRPr="00174E7F" w:rsidRDefault="00CD7681">
      <w:pPr>
        <w:pStyle w:val="Normaltindrag"/>
        <w:shd w:val="clear" w:color="000000" w:fill="auto"/>
      </w:pPr>
      <w:r w:rsidRPr="00174E7F">
        <w:t xml:space="preserve">Vår bedömning är att det saknas 1,5 miljarder kronor till aktivitetsstödet. Vi socialdemokrater hade i vår budgetmotion för i höstas ett högre anslag till arbetsmarknadspolitiken än regeringen. AMS planerade åtgärder hade därmed kunnat genomföras med vår politik.  </w:t>
      </w:r>
    </w:p>
    <w:p w:rsidR="006518C0" w:rsidRPr="00174E7F" w:rsidRDefault="006518C0">
      <w:pPr>
        <w:pStyle w:val="Normaltindrag"/>
        <w:shd w:val="clear" w:color="000000" w:fill="auto"/>
      </w:pPr>
      <w:r w:rsidRPr="00174E7F">
        <w:t>Regeringens aktuella politik leder däremot till att färre får del av relevanta arbetsmarknadsåtgärder. Därmed minskar, inte ökar</w:t>
      </w:r>
      <w:r w:rsidR="003645F7" w:rsidRPr="00174E7F">
        <w:t>,</w:t>
      </w:r>
      <w:r w:rsidRPr="00174E7F">
        <w:t xml:space="preserve"> som regeringen hävdar, stödet till de arbetslösa. </w:t>
      </w:r>
    </w:p>
    <w:p w:rsidR="00F867FF" w:rsidRPr="00174E7F" w:rsidRDefault="00B95F30">
      <w:pPr>
        <w:pStyle w:val="Normaltindrag"/>
        <w:shd w:val="clear" w:color="000000" w:fill="auto"/>
      </w:pPr>
      <w:r w:rsidRPr="00174E7F">
        <w:t xml:space="preserve">Regeringen bör omgående återkomma till hur </w:t>
      </w:r>
      <w:r w:rsidR="006B1C86" w:rsidRPr="00174E7F">
        <w:t>anslaget för</w:t>
      </w:r>
      <w:r w:rsidR="006518C0" w:rsidRPr="00174E7F">
        <w:t xml:space="preserve"> aktivitetsstödet </w:t>
      </w:r>
      <w:r w:rsidRPr="00174E7F">
        <w:t xml:space="preserve">för 2007 </w:t>
      </w:r>
      <w:r w:rsidR="006518C0" w:rsidRPr="00174E7F">
        <w:t xml:space="preserve">ska </w:t>
      </w:r>
      <w:r w:rsidR="006B1C86" w:rsidRPr="00174E7F">
        <w:t>höjas så att planerad verksamhet kan genomföras</w:t>
      </w:r>
      <w:r w:rsidR="006518C0" w:rsidRPr="00174E7F">
        <w:t xml:space="preserve">. </w:t>
      </w:r>
    </w:p>
    <w:p w:rsidR="001F7AC4" w:rsidRPr="00174E7F" w:rsidRDefault="001F7AC4">
      <w:pPr>
        <w:pStyle w:val="Rubrik1"/>
        <w:shd w:val="clear" w:color="000000" w:fill="auto"/>
      </w:pPr>
      <w:r w:rsidRPr="00174E7F">
        <w:t>Arbetslivsresurs AR AB</w:t>
      </w:r>
    </w:p>
    <w:p w:rsidR="001F7AC4" w:rsidRPr="00174E7F" w:rsidRDefault="001F7AC4">
      <w:pPr>
        <w:shd w:val="clear" w:color="000000" w:fill="auto"/>
      </w:pPr>
      <w:r w:rsidRPr="00174E7F">
        <w:t>Just nu pågår en omfattande utförsäljning av statliga företag utan att vare sig konsekvensanalyser eller ekonomiska beräkningar redovisats för riksdagen. Även vad gäller det statliga bolaget Arbetslivsresurs AR AB</w:t>
      </w:r>
      <w:r w:rsidRPr="00174E7F">
        <w:rPr>
          <w:b/>
        </w:rPr>
        <w:t xml:space="preserve"> </w:t>
      </w:r>
      <w:r w:rsidRPr="00174E7F">
        <w:t>praktiserar r</w:t>
      </w:r>
      <w:r w:rsidRPr="00174E7F">
        <w:t>e</w:t>
      </w:r>
      <w:r w:rsidRPr="00174E7F">
        <w:t>geringen den märkliga ordningen att först bestämma sig för att företaget ska säljas och först därefter undersöka bolagets förutsättningar för detta samt konsekvenserna för marknaden. Det är en mycket märklig ordning. Riksdagen bör inför beslut om utförsäljningar ges tillgång till ett fullgott beslutsunderlag. Det är därför inte aktuellt att sälja ut Arbetslivsresurs AR AB. Vi motsätter oss dock inte att regeringen får bemyndigande att förstärka bolagets ekon</w:t>
      </w:r>
      <w:r w:rsidRPr="00174E7F">
        <w:t>o</w:t>
      </w:r>
      <w:r w:rsidRPr="00174E7F">
        <w:t xml:space="preserve">miska situation.  </w:t>
      </w:r>
    </w:p>
    <w:p w:rsidR="000202C9" w:rsidRPr="00174E7F" w:rsidRDefault="000202C9">
      <w:pPr>
        <w:pStyle w:val="Rubrik1"/>
        <w:shd w:val="clear" w:color="000000" w:fill="auto"/>
      </w:pPr>
      <w:r w:rsidRPr="00174E7F">
        <w:t>Forska &amp; Väx</w:t>
      </w:r>
    </w:p>
    <w:p w:rsidR="000202C9" w:rsidRPr="00174E7F" w:rsidRDefault="009211CA">
      <w:pPr>
        <w:pStyle w:val="Normaltindrag"/>
        <w:shd w:val="clear" w:color="000000" w:fill="auto"/>
        <w:ind w:firstLine="0"/>
      </w:pPr>
      <w:r w:rsidRPr="00174E7F">
        <w:t xml:space="preserve">Vi socialdemokrater hade en satsning på </w:t>
      </w:r>
      <w:r w:rsidR="005A4355" w:rsidRPr="00174E7F">
        <w:t xml:space="preserve">Vinnovas </w:t>
      </w:r>
      <w:r w:rsidRPr="00174E7F">
        <w:t>”Forska &amp; Väx” i vår budgetmotion för 2007</w:t>
      </w:r>
      <w:r w:rsidR="005A4355" w:rsidRPr="00174E7F">
        <w:t>. Regeringen saknade motsvarande satsning i sin bu</w:t>
      </w:r>
      <w:r w:rsidR="005A4355" w:rsidRPr="00174E7F">
        <w:t>d</w:t>
      </w:r>
      <w:r w:rsidR="005A4355" w:rsidRPr="00174E7F">
        <w:t>getproposition för 2007. Att inte satsa på ”Forska &amp; Väx”</w:t>
      </w:r>
      <w:r w:rsidRPr="00174E7F">
        <w:t xml:space="preserve"> drabbar viktig företagsnära forskning inom till exempel bio- och miljöteknik. Chefen för Näringsdepartementet lovade i en interpellationsdebatt som hölls i november 2006 att regeringen skulle återkomma med finansiering för 2007</w:t>
      </w:r>
      <w:r w:rsidR="005A4355" w:rsidRPr="00174E7F">
        <w:t xml:space="preserve">. Detta </w:t>
      </w:r>
      <w:r w:rsidR="009B21E7" w:rsidRPr="00174E7F">
        <w:t>borde</w:t>
      </w:r>
      <w:r w:rsidR="005A4355" w:rsidRPr="00174E7F">
        <w:t xml:space="preserve"> ske</w:t>
      </w:r>
      <w:r w:rsidRPr="00174E7F">
        <w:t xml:space="preserve"> i tilläggsbudget i samband med 2007 års ekonomiska vårproposition. De</w:t>
      </w:r>
      <w:r w:rsidR="005A4355" w:rsidRPr="00174E7F">
        <w:t>t</w:t>
      </w:r>
      <w:r w:rsidRPr="00174E7F">
        <w:t>t</w:t>
      </w:r>
      <w:r w:rsidR="005A4355" w:rsidRPr="00174E7F">
        <w:t>a</w:t>
      </w:r>
      <w:r w:rsidRPr="00174E7F">
        <w:t xml:space="preserve"> har inte skett. Regeringen bör </w:t>
      </w:r>
      <w:r w:rsidR="00BE7C77" w:rsidRPr="00174E7F">
        <w:t xml:space="preserve">på tilläggsbudget </w:t>
      </w:r>
      <w:r w:rsidR="005A4355" w:rsidRPr="00174E7F">
        <w:t xml:space="preserve">under </w:t>
      </w:r>
      <w:r w:rsidRPr="00174E7F">
        <w:t xml:space="preserve">2007 återkomma med förslag på finansiering av Vinnovas satsning ”Forska &amp; Väx” </w:t>
      </w:r>
      <w:r w:rsidR="005A4355" w:rsidRPr="00174E7F">
        <w:t>för</w:t>
      </w:r>
      <w:r w:rsidRPr="00174E7F">
        <w:t xml:space="preserve"> 2007. </w:t>
      </w:r>
    </w:p>
    <w:p w:rsidR="001F7AC4" w:rsidRPr="00174E7F" w:rsidRDefault="001F7AC4">
      <w:pPr>
        <w:pStyle w:val="Rubrik1"/>
        <w:shd w:val="clear" w:color="000000" w:fill="auto"/>
      </w:pPr>
      <w:r w:rsidRPr="00174E7F">
        <w:t>Försvarsmateriel</w:t>
      </w:r>
    </w:p>
    <w:p w:rsidR="001F7AC4" w:rsidRPr="00174E7F" w:rsidRDefault="001F7AC4">
      <w:pPr>
        <w:shd w:val="clear" w:color="000000" w:fill="auto"/>
      </w:pPr>
      <w:r w:rsidRPr="00174E7F">
        <w:t>Regeringen föreslår att bemyndiganderamen för materiel och anläggningar ökar med 4,35 miljarder kronor samt att regeringen under 2007 får besluta om ombyggnad av 31 JAS-plan och luftvärnsrobotsystem till korvett av Vi</w:t>
      </w:r>
      <w:r w:rsidRPr="00174E7F">
        <w:t>s</w:t>
      </w:r>
      <w:r w:rsidRPr="00174E7F">
        <w:t>byklass. I de årliga budgetpropositionerna ska regeringen redovisa ett samlat ställningstagande till investeringsplan. I budgetpropositionen för 2007 fanns inte de nu föreslagna objekten redovisade. Vi socialdemokrater vill göra en samlad bedömning när regeringen i kommande budgetproposition redovisar de ekonomiska konsekvenserna av samtliga planerade beställningar de ko</w:t>
      </w:r>
      <w:r w:rsidRPr="00174E7F">
        <w:t>m</w:t>
      </w:r>
      <w:r w:rsidRPr="00174E7F">
        <w:t xml:space="preserve">mande åren.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E7F">
        <w:trPr>
          <w:cantSplit/>
        </w:trPr>
        <w:tc>
          <w:tcPr>
            <w:tcW w:w="3046" w:type="dxa"/>
          </w:tcPr>
          <w:p w:rsidR="0034265E" w:rsidRPr="00174E7F" w:rsidRDefault="0034265E">
            <w:pPr>
              <w:pStyle w:val="UnderskriftDatum"/>
              <w:shd w:val="clear" w:color="000000" w:fill="auto"/>
              <w:spacing w:before="240"/>
            </w:pPr>
            <w:r w:rsidRPr="00174E7F">
              <w:t>Stockholm den 2 maj 2007</w:t>
            </w:r>
          </w:p>
        </w:tc>
        <w:tc>
          <w:tcPr>
            <w:tcW w:w="3047" w:type="dxa"/>
          </w:tcPr>
          <w:p w:rsidR="0034265E" w:rsidRPr="00174E7F" w:rsidRDefault="0034265E">
            <w:pPr>
              <w:pStyle w:val="Underskrifter"/>
              <w:shd w:val="clear" w:color="000000" w:fill="auto"/>
              <w:spacing w:before="240"/>
            </w:pPr>
          </w:p>
        </w:tc>
      </w:tr>
      <w:tr w:rsidR="00000000" w:rsidRPr="00174E7F">
        <w:trPr>
          <w:cantSplit/>
        </w:trPr>
        <w:tc>
          <w:tcPr>
            <w:tcW w:w="3046" w:type="dxa"/>
          </w:tcPr>
          <w:p w:rsidR="0034265E" w:rsidRPr="00174E7F" w:rsidRDefault="0034265E">
            <w:pPr>
              <w:pStyle w:val="Underskrifter"/>
              <w:shd w:val="clear" w:color="000000" w:fill="auto"/>
            </w:pPr>
            <w:r w:rsidRPr="00174E7F">
              <w:t>Mona Sahlin (s)</w:t>
            </w:r>
          </w:p>
        </w:tc>
        <w:tc>
          <w:tcPr>
            <w:tcW w:w="3046" w:type="dxa"/>
          </w:tcPr>
          <w:p w:rsidR="0034265E" w:rsidRPr="00174E7F" w:rsidRDefault="0034265E">
            <w:pPr>
              <w:pStyle w:val="Underskrifter"/>
              <w:shd w:val="clear" w:color="000000" w:fill="auto"/>
            </w:pPr>
          </w:p>
        </w:tc>
      </w:tr>
      <w:tr w:rsidR="00000000" w:rsidRPr="00174E7F">
        <w:trPr>
          <w:cantSplit/>
        </w:trPr>
        <w:tc>
          <w:tcPr>
            <w:tcW w:w="3046" w:type="dxa"/>
          </w:tcPr>
          <w:p w:rsidR="0034265E" w:rsidRPr="00174E7F" w:rsidRDefault="0034265E">
            <w:pPr>
              <w:pStyle w:val="Underskrifter"/>
              <w:shd w:val="clear" w:color="000000" w:fill="auto"/>
            </w:pPr>
            <w:r w:rsidRPr="00174E7F">
              <w:t>Britt Bohlin Olsson (s)</w:t>
            </w:r>
          </w:p>
        </w:tc>
        <w:tc>
          <w:tcPr>
            <w:tcW w:w="3046" w:type="dxa"/>
          </w:tcPr>
          <w:p w:rsidR="0034265E" w:rsidRPr="00174E7F" w:rsidRDefault="0034265E">
            <w:pPr>
              <w:pStyle w:val="Underskrifter"/>
              <w:shd w:val="clear" w:color="000000" w:fill="auto"/>
            </w:pPr>
            <w:r w:rsidRPr="00174E7F">
              <w:t>Leif Jakobsson (s)</w:t>
            </w:r>
          </w:p>
        </w:tc>
      </w:tr>
      <w:tr w:rsidR="00000000" w:rsidRPr="00174E7F">
        <w:trPr>
          <w:cantSplit/>
        </w:trPr>
        <w:tc>
          <w:tcPr>
            <w:tcW w:w="3046" w:type="dxa"/>
          </w:tcPr>
          <w:p w:rsidR="0034265E" w:rsidRPr="00174E7F" w:rsidRDefault="0034265E">
            <w:pPr>
              <w:pStyle w:val="Underskrifter"/>
              <w:shd w:val="clear" w:color="000000" w:fill="auto"/>
            </w:pPr>
            <w:r w:rsidRPr="00174E7F">
              <w:t>Kristina Zakrisson (s)</w:t>
            </w:r>
          </w:p>
        </w:tc>
        <w:tc>
          <w:tcPr>
            <w:tcW w:w="3046" w:type="dxa"/>
          </w:tcPr>
          <w:p w:rsidR="0034265E" w:rsidRPr="00174E7F" w:rsidRDefault="0034265E">
            <w:pPr>
              <w:pStyle w:val="Underskrifter"/>
              <w:shd w:val="clear" w:color="000000" w:fill="auto"/>
            </w:pPr>
            <w:r w:rsidRPr="00174E7F">
              <w:t>Tone Tingsgård (s)</w:t>
            </w:r>
          </w:p>
        </w:tc>
      </w:tr>
      <w:tr w:rsidR="00000000" w:rsidRPr="00174E7F">
        <w:trPr>
          <w:cantSplit/>
        </w:trPr>
        <w:tc>
          <w:tcPr>
            <w:tcW w:w="3046" w:type="dxa"/>
          </w:tcPr>
          <w:p w:rsidR="0034265E" w:rsidRPr="00174E7F" w:rsidRDefault="0034265E">
            <w:pPr>
              <w:pStyle w:val="Underskrifter"/>
              <w:shd w:val="clear" w:color="000000" w:fill="auto"/>
            </w:pPr>
            <w:r w:rsidRPr="00174E7F">
              <w:t>Berit Andnor (s)</w:t>
            </w:r>
          </w:p>
        </w:tc>
        <w:tc>
          <w:tcPr>
            <w:tcW w:w="3046" w:type="dxa"/>
          </w:tcPr>
          <w:p w:rsidR="0034265E" w:rsidRPr="00174E7F" w:rsidRDefault="0034265E">
            <w:pPr>
              <w:pStyle w:val="Underskrifter"/>
              <w:shd w:val="clear" w:color="000000" w:fill="auto"/>
            </w:pPr>
            <w:r w:rsidRPr="00174E7F">
              <w:t>Pär Nuder (s)</w:t>
            </w:r>
          </w:p>
        </w:tc>
      </w:tr>
      <w:tr w:rsidR="00000000" w:rsidRPr="00174E7F">
        <w:trPr>
          <w:cantSplit/>
        </w:trPr>
        <w:tc>
          <w:tcPr>
            <w:tcW w:w="3046" w:type="dxa"/>
          </w:tcPr>
          <w:p w:rsidR="0034265E" w:rsidRPr="00174E7F" w:rsidRDefault="0034265E">
            <w:pPr>
              <w:pStyle w:val="Underskrifter"/>
              <w:shd w:val="clear" w:color="000000" w:fill="auto"/>
            </w:pPr>
            <w:r w:rsidRPr="00174E7F">
              <w:t>Lars Johansson (s)</w:t>
            </w:r>
          </w:p>
        </w:tc>
        <w:tc>
          <w:tcPr>
            <w:tcW w:w="3046" w:type="dxa"/>
          </w:tcPr>
          <w:p w:rsidR="0034265E" w:rsidRPr="00174E7F" w:rsidRDefault="0034265E">
            <w:pPr>
              <w:pStyle w:val="Underskrifter"/>
              <w:shd w:val="clear" w:color="000000" w:fill="auto"/>
            </w:pPr>
            <w:r w:rsidRPr="00174E7F">
              <w:t>Thomas Bodström (s)</w:t>
            </w:r>
          </w:p>
        </w:tc>
      </w:tr>
      <w:tr w:rsidR="00000000" w:rsidRPr="00174E7F">
        <w:trPr>
          <w:cantSplit/>
        </w:trPr>
        <w:tc>
          <w:tcPr>
            <w:tcW w:w="3046" w:type="dxa"/>
          </w:tcPr>
          <w:p w:rsidR="0034265E" w:rsidRPr="00174E7F" w:rsidRDefault="0034265E">
            <w:pPr>
              <w:pStyle w:val="Underskrifter"/>
              <w:shd w:val="clear" w:color="000000" w:fill="auto"/>
            </w:pPr>
            <w:r w:rsidRPr="00174E7F">
              <w:t>Carina Moberg (s)</w:t>
            </w:r>
          </w:p>
        </w:tc>
        <w:tc>
          <w:tcPr>
            <w:tcW w:w="3046" w:type="dxa"/>
          </w:tcPr>
          <w:p w:rsidR="0034265E" w:rsidRPr="00174E7F" w:rsidRDefault="0034265E">
            <w:pPr>
              <w:pStyle w:val="Underskrifter"/>
              <w:shd w:val="clear" w:color="000000" w:fill="auto"/>
            </w:pPr>
            <w:r w:rsidRPr="00174E7F">
              <w:t>Urban Ahlin (s)</w:t>
            </w:r>
          </w:p>
        </w:tc>
      </w:tr>
      <w:tr w:rsidR="00000000" w:rsidRPr="00174E7F">
        <w:trPr>
          <w:cantSplit/>
        </w:trPr>
        <w:tc>
          <w:tcPr>
            <w:tcW w:w="3046" w:type="dxa"/>
          </w:tcPr>
          <w:p w:rsidR="0034265E" w:rsidRPr="00174E7F" w:rsidRDefault="0034265E">
            <w:pPr>
              <w:pStyle w:val="Underskrifter"/>
              <w:shd w:val="clear" w:color="000000" w:fill="auto"/>
            </w:pPr>
            <w:r w:rsidRPr="00174E7F">
              <w:t>Ulrica Messing (s)</w:t>
            </w:r>
          </w:p>
        </w:tc>
        <w:tc>
          <w:tcPr>
            <w:tcW w:w="3046" w:type="dxa"/>
          </w:tcPr>
          <w:p w:rsidR="0034265E" w:rsidRPr="00174E7F" w:rsidRDefault="0034265E">
            <w:pPr>
              <w:pStyle w:val="Underskrifter"/>
              <w:shd w:val="clear" w:color="000000" w:fill="auto"/>
            </w:pPr>
            <w:r w:rsidRPr="00174E7F">
              <w:t>Tomas Eneroth (s)</w:t>
            </w:r>
          </w:p>
        </w:tc>
      </w:tr>
      <w:tr w:rsidR="00000000" w:rsidRPr="00174E7F">
        <w:trPr>
          <w:cantSplit/>
        </w:trPr>
        <w:tc>
          <w:tcPr>
            <w:tcW w:w="3046" w:type="dxa"/>
          </w:tcPr>
          <w:p w:rsidR="0034265E" w:rsidRPr="00174E7F" w:rsidRDefault="0034265E">
            <w:pPr>
              <w:pStyle w:val="Underskrifter"/>
              <w:shd w:val="clear" w:color="000000" w:fill="auto"/>
            </w:pPr>
            <w:r w:rsidRPr="00174E7F">
              <w:t>Ylva Johansson (s)</w:t>
            </w:r>
          </w:p>
        </w:tc>
        <w:tc>
          <w:tcPr>
            <w:tcW w:w="3046" w:type="dxa"/>
          </w:tcPr>
          <w:p w:rsidR="0034265E" w:rsidRPr="00174E7F" w:rsidRDefault="0034265E">
            <w:pPr>
              <w:pStyle w:val="Underskrifter"/>
              <w:shd w:val="clear" w:color="000000" w:fill="auto"/>
            </w:pPr>
            <w:r w:rsidRPr="00174E7F">
              <w:t>Margareta Israelsson (s)</w:t>
            </w:r>
          </w:p>
        </w:tc>
      </w:tr>
      <w:tr w:rsidR="00000000" w:rsidRPr="00174E7F">
        <w:trPr>
          <w:cantSplit/>
        </w:trPr>
        <w:tc>
          <w:tcPr>
            <w:tcW w:w="3046" w:type="dxa"/>
          </w:tcPr>
          <w:p w:rsidR="0034265E" w:rsidRPr="00174E7F" w:rsidRDefault="0034265E">
            <w:pPr>
              <w:pStyle w:val="Underskrifter"/>
              <w:shd w:val="clear" w:color="000000" w:fill="auto"/>
            </w:pPr>
            <w:r w:rsidRPr="00174E7F">
              <w:t>Marie Granlund (s)</w:t>
            </w:r>
          </w:p>
        </w:tc>
        <w:tc>
          <w:tcPr>
            <w:tcW w:w="3046" w:type="dxa"/>
          </w:tcPr>
          <w:p w:rsidR="0034265E" w:rsidRPr="00174E7F" w:rsidRDefault="0034265E">
            <w:pPr>
              <w:pStyle w:val="Underskrifter"/>
              <w:shd w:val="clear" w:color="000000" w:fill="auto"/>
            </w:pPr>
            <w:r w:rsidRPr="00174E7F">
              <w:t>Anders Karlsson (s)</w:t>
            </w:r>
          </w:p>
        </w:tc>
      </w:tr>
      <w:tr w:rsidR="00000000" w:rsidRPr="00174E7F">
        <w:trPr>
          <w:cantSplit/>
        </w:trPr>
        <w:tc>
          <w:tcPr>
            <w:tcW w:w="3046" w:type="dxa"/>
          </w:tcPr>
          <w:p w:rsidR="0034265E" w:rsidRPr="00174E7F" w:rsidRDefault="0034265E">
            <w:pPr>
              <w:pStyle w:val="Underskrifter"/>
              <w:shd w:val="clear" w:color="000000" w:fill="auto"/>
            </w:pPr>
            <w:r w:rsidRPr="00174E7F">
              <w:t>Carina Ohlsson (s)</w:t>
            </w:r>
          </w:p>
        </w:tc>
        <w:tc>
          <w:tcPr>
            <w:tcW w:w="3046" w:type="dxa"/>
          </w:tcPr>
          <w:p w:rsidR="0034265E" w:rsidRPr="00174E7F" w:rsidRDefault="0034265E">
            <w:pPr>
              <w:pStyle w:val="Underskrifter"/>
              <w:shd w:val="clear" w:color="000000" w:fill="auto"/>
            </w:pPr>
            <w:r w:rsidRPr="00174E7F">
              <w:t>Thomas Östros (s)</w:t>
            </w:r>
          </w:p>
        </w:tc>
      </w:tr>
      <w:tr w:rsidR="00000000" w:rsidRPr="00174E7F">
        <w:trPr>
          <w:cantSplit/>
        </w:trPr>
        <w:tc>
          <w:tcPr>
            <w:tcW w:w="3046" w:type="dxa"/>
          </w:tcPr>
          <w:p w:rsidR="0034265E" w:rsidRPr="00174E7F" w:rsidRDefault="0034265E">
            <w:pPr>
              <w:pStyle w:val="Underskrifter"/>
              <w:shd w:val="clear" w:color="000000" w:fill="auto"/>
            </w:pPr>
            <w:r w:rsidRPr="00174E7F">
              <w:t>Sven-Erik Österberg (s)</w:t>
            </w:r>
          </w:p>
        </w:tc>
        <w:tc>
          <w:tcPr>
            <w:tcW w:w="3046" w:type="dxa"/>
          </w:tcPr>
          <w:p w:rsidR="0034265E" w:rsidRPr="00174E7F" w:rsidRDefault="0034265E">
            <w:pPr>
              <w:pStyle w:val="Underskrifter"/>
              <w:shd w:val="clear" w:color="000000" w:fill="auto"/>
            </w:pPr>
            <w:r w:rsidRPr="00174E7F">
              <w:t>Susanne Eberstein (s)</w:t>
            </w:r>
          </w:p>
        </w:tc>
      </w:tr>
    </w:tbl>
    <w:p w:rsidR="00EB14B8" w:rsidRPr="00174E7F" w:rsidRDefault="00EB14B8">
      <w:pPr>
        <w:pStyle w:val="Normaltindrag"/>
        <w:shd w:val="clear" w:color="000000" w:fill="auto"/>
      </w:pPr>
    </w:p>
    <w:sectPr w:rsidR="00EB14B8" w:rsidRPr="00174E7F" w:rsidSect="00364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65E" w:rsidRPr="00174E7F" w:rsidRDefault="0034265E">
      <w:r w:rsidRPr="00174E7F">
        <w:separator/>
      </w:r>
    </w:p>
  </w:endnote>
  <w:endnote w:type="continuationSeparator" w:id="0">
    <w:p w:rsidR="0034265E" w:rsidRPr="00174E7F" w:rsidRDefault="0034265E">
      <w:r w:rsidRPr="00174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B5" w:rsidRPr="00174E7F" w:rsidRDefault="00174E7F" w:rsidP="003645F7">
    <w:pPr>
      <w:pStyle w:val="Sidfot"/>
    </w:pPr>
    <w:r w:rsidRPr="00174E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592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F7" w:rsidRDefault="0034265E">
                          <w:pPr>
                            <w:pStyle w:val="NormalS5sidnrV"/>
                          </w:pPr>
                          <w:r>
                            <w:fldChar w:fldCharType="begin"/>
                          </w:r>
                          <w:r w:rsidR="003645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5F7" w:rsidRDefault="0034265E">
                    <w:pPr>
                      <w:pStyle w:val="NormalS5sidnrV"/>
                    </w:pPr>
                    <w:r>
                      <w:fldChar w:fldCharType="begin"/>
                    </w:r>
                    <w:r w:rsidR="003645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B5" w:rsidRPr="00174E7F" w:rsidRDefault="00174E7F" w:rsidP="003645F7">
    <w:pPr>
      <w:pStyle w:val="Sidfot"/>
    </w:pPr>
    <w:r w:rsidRPr="00174E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34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F7" w:rsidRDefault="0034265E">
                          <w:pPr>
                            <w:pStyle w:val="NormalS5sidnrH"/>
                            <w:ind w:right="0"/>
                          </w:pPr>
                          <w:r>
                            <w:fldChar w:fldCharType="begin"/>
                          </w:r>
                          <w:r w:rsidR="003645F7">
                            <w:instrText xml:space="preserve"> PAGE *\charformat</w:instrText>
                          </w:r>
                          <w:r>
                            <w:fldChar w:fldCharType="separate"/>
                          </w:r>
                          <w:r w:rsidR="009A4F2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5F7" w:rsidRDefault="0034265E">
                    <w:pPr>
                      <w:pStyle w:val="NormalS5sidnrH"/>
                      <w:ind w:right="0"/>
                    </w:pPr>
                    <w:r>
                      <w:fldChar w:fldCharType="begin"/>
                    </w:r>
                    <w:r w:rsidR="003645F7">
                      <w:instrText xml:space="preserve"> PAGE *\charformat</w:instrText>
                    </w:r>
                    <w:r>
                      <w:fldChar w:fldCharType="separate"/>
                    </w:r>
                    <w:r w:rsidR="009A4F2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B5" w:rsidRPr="00174E7F" w:rsidRDefault="00174E7F" w:rsidP="003645F7">
    <w:pPr>
      <w:pStyle w:val="Sidfot"/>
    </w:pPr>
    <w:r w:rsidRPr="00174E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860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F7" w:rsidRDefault="0034265E">
                          <w:pPr>
                            <w:pStyle w:val="NormalS5sidnrH"/>
                            <w:ind w:right="0"/>
                          </w:pPr>
                          <w:r>
                            <w:fldChar w:fldCharType="begin"/>
                          </w:r>
                          <w:r w:rsidR="003645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5F7" w:rsidRDefault="0034265E">
                    <w:pPr>
                      <w:pStyle w:val="NormalS5sidnrH"/>
                      <w:ind w:right="0"/>
                    </w:pPr>
                    <w:r>
                      <w:fldChar w:fldCharType="begin"/>
                    </w:r>
                    <w:r w:rsidR="003645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65E" w:rsidRPr="00174E7F" w:rsidRDefault="0034265E">
      <w:r w:rsidRPr="00174E7F">
        <w:separator/>
      </w:r>
    </w:p>
  </w:footnote>
  <w:footnote w:type="continuationSeparator" w:id="0">
    <w:p w:rsidR="0034265E" w:rsidRPr="00174E7F" w:rsidRDefault="0034265E">
      <w:r w:rsidRPr="00174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B5" w:rsidRPr="00174E7F" w:rsidRDefault="00174E7F" w:rsidP="003645F7">
    <w:pPr>
      <w:pStyle w:val="Sidhuvud"/>
    </w:pPr>
    <w:r w:rsidRPr="00174E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854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F7" w:rsidRDefault="0034265E">
                          <w:pPr>
                            <w:pStyle w:val="KantRubrikS5V"/>
                          </w:pPr>
                          <w:r>
                            <w:fldChar w:fldCharType="begin"/>
                          </w:r>
                          <w:r w:rsidR="003645F7">
                            <w:instrText xml:space="preserve"> DOCPROPERTY "YearUser" *\charformat </w:instrText>
                          </w:r>
                          <w:r>
                            <w:fldChar w:fldCharType="separate"/>
                          </w:r>
                          <w:r w:rsidR="009A4F24">
                            <w:t>2006/07</w:t>
                          </w:r>
                          <w:r>
                            <w:fldChar w:fldCharType="end"/>
                          </w:r>
                          <w:r w:rsidR="003645F7">
                            <w:t>:</w:t>
                          </w:r>
                          <w:r>
                            <w:fldChar w:fldCharType="begin"/>
                          </w:r>
                          <w:r w:rsidR="003645F7">
                            <w:instrText xml:space="preserve"> DOCPROPERTY "Motionsnummer" *\charformat </w:instrText>
                          </w:r>
                          <w:r>
                            <w:fldChar w:fldCharType="separate"/>
                          </w:r>
                          <w:r w:rsidR="009A4F24">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5F7" w:rsidRDefault="0034265E">
                    <w:pPr>
                      <w:pStyle w:val="KantRubrikS5V"/>
                    </w:pPr>
                    <w:r>
                      <w:fldChar w:fldCharType="begin"/>
                    </w:r>
                    <w:r w:rsidR="003645F7">
                      <w:instrText xml:space="preserve"> DOCPROPERTY "YearUser" *\charformat </w:instrText>
                    </w:r>
                    <w:r>
                      <w:fldChar w:fldCharType="separate"/>
                    </w:r>
                    <w:r w:rsidR="009A4F24">
                      <w:t>2006/07</w:t>
                    </w:r>
                    <w:r>
                      <w:fldChar w:fldCharType="end"/>
                    </w:r>
                    <w:r w:rsidR="003645F7">
                      <w:t>:</w:t>
                    </w:r>
                    <w:r>
                      <w:fldChar w:fldCharType="begin"/>
                    </w:r>
                    <w:r w:rsidR="003645F7">
                      <w:instrText xml:space="preserve"> DOCPROPERTY "Motionsnummer" *\charformat </w:instrText>
                    </w:r>
                    <w:r>
                      <w:fldChar w:fldCharType="separate"/>
                    </w:r>
                    <w:r w:rsidR="009A4F24">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B5" w:rsidRPr="00174E7F" w:rsidRDefault="00174E7F" w:rsidP="003645F7">
    <w:pPr>
      <w:pStyle w:val="Sidhuvud"/>
    </w:pPr>
    <w:r w:rsidRPr="00174E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070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F7" w:rsidRDefault="0034265E">
                          <w:pPr>
                            <w:pStyle w:val="KantRubrikS5H"/>
                            <w:ind w:right="0"/>
                          </w:pPr>
                          <w:r>
                            <w:fldChar w:fldCharType="begin"/>
                          </w:r>
                          <w:r w:rsidR="003645F7">
                            <w:instrText xml:space="preserve"> DOCPROPERTY "YearUser" *\charformat </w:instrText>
                          </w:r>
                          <w:r>
                            <w:fldChar w:fldCharType="separate"/>
                          </w:r>
                          <w:r w:rsidR="009A4F24">
                            <w:t>2006/07</w:t>
                          </w:r>
                          <w:r>
                            <w:fldChar w:fldCharType="end"/>
                          </w:r>
                          <w:r w:rsidR="003645F7">
                            <w:t>:</w:t>
                          </w:r>
                          <w:r>
                            <w:fldChar w:fldCharType="begin"/>
                          </w:r>
                          <w:r w:rsidR="003645F7">
                            <w:instrText xml:space="preserve"> DOCPROPERTY "Motionsnummer" *\charformat </w:instrText>
                          </w:r>
                          <w:r>
                            <w:fldChar w:fldCharType="separate"/>
                          </w:r>
                          <w:r w:rsidR="009A4F24">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5F7" w:rsidRDefault="0034265E">
                    <w:pPr>
                      <w:pStyle w:val="KantRubrikS5H"/>
                      <w:ind w:right="0"/>
                    </w:pPr>
                    <w:r>
                      <w:fldChar w:fldCharType="begin"/>
                    </w:r>
                    <w:r w:rsidR="003645F7">
                      <w:instrText xml:space="preserve"> DOCPROPERTY "YearUser" *\charformat </w:instrText>
                    </w:r>
                    <w:r>
                      <w:fldChar w:fldCharType="separate"/>
                    </w:r>
                    <w:r w:rsidR="009A4F24">
                      <w:t>2006/07</w:t>
                    </w:r>
                    <w:r>
                      <w:fldChar w:fldCharType="end"/>
                    </w:r>
                    <w:r w:rsidR="003645F7">
                      <w:t>:</w:t>
                    </w:r>
                    <w:r>
                      <w:fldChar w:fldCharType="begin"/>
                    </w:r>
                    <w:r w:rsidR="003645F7">
                      <w:instrText xml:space="preserve"> DOCPROPERTY "Motionsnummer" *\charformat </w:instrText>
                    </w:r>
                    <w:r>
                      <w:fldChar w:fldCharType="separate"/>
                    </w:r>
                    <w:r w:rsidR="009A4F24">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65E" w:rsidRPr="00174E7F" w:rsidRDefault="0034265E">
    <w:pPr>
      <w:pStyle w:val="FSHNormal"/>
      <w:tabs>
        <w:tab w:val="right" w:pos="5840"/>
      </w:tabs>
    </w:pPr>
    <w:r w:rsidRPr="00174E7F">
      <w:br/>
    </w:r>
    <w:r w:rsidRPr="00174E7F">
      <w:fldChar w:fldCharType="begin" w:fldLock="1"/>
    </w:r>
    <w:r w:rsidRPr="00174E7F">
      <w:instrText xml:space="preserve"> DOCPROPERTY</w:instrText>
    </w:r>
    <w:r w:rsidRPr="00174E7F">
      <w:rPr>
        <w:sz w:val="18"/>
      </w:rPr>
      <w:instrText xml:space="preserve"> "YearUser" *\charformat </w:instrText>
    </w:r>
    <w:r w:rsidRPr="00174E7F">
      <w:fldChar w:fldCharType="separate"/>
    </w:r>
    <w:r w:rsidRPr="00174E7F">
      <w:t>2006/07</w:t>
    </w:r>
    <w:r w:rsidRPr="00174E7F">
      <w:fldChar w:fldCharType="end"/>
    </w:r>
    <w:r w:rsidRPr="00174E7F">
      <w:t xml:space="preserve"> </w:t>
    </w:r>
    <w:r w:rsidRPr="00174E7F">
      <w:tab/>
      <w:t xml:space="preserve">mnr: </w:t>
    </w:r>
    <w:r w:rsidRPr="00174E7F">
      <w:fldChar w:fldCharType="begin" w:fldLock="1"/>
    </w:r>
    <w:r w:rsidRPr="00174E7F">
      <w:instrText xml:space="preserve"> DOCPROPERTY</w:instrText>
    </w:r>
    <w:r w:rsidRPr="00174E7F">
      <w:rPr>
        <w:sz w:val="18"/>
      </w:rPr>
      <w:instrText xml:space="preserve"> "Motionsnummer" *\charformat </w:instrText>
    </w:r>
    <w:r w:rsidRPr="00174E7F">
      <w:fldChar w:fldCharType="separate"/>
    </w:r>
    <w:r w:rsidRPr="00174E7F">
      <w:t>Fi10</w:t>
    </w:r>
    <w:r w:rsidRPr="00174E7F">
      <w:fldChar w:fldCharType="end"/>
    </w:r>
    <w:r w:rsidRPr="00174E7F">
      <w:br/>
    </w:r>
    <w:r w:rsidRPr="00174E7F">
      <w:fldChar w:fldCharType="begin" w:fldLock="1"/>
    </w:r>
    <w:r w:rsidRPr="00174E7F">
      <w:instrText xml:space="preserve"> DOCPROPERTY</w:instrText>
    </w:r>
    <w:r w:rsidRPr="00174E7F">
      <w:rPr>
        <w:sz w:val="18"/>
      </w:rPr>
      <w:instrText xml:space="preserve"> "Samling" *\charformat </w:instrText>
    </w:r>
    <w:r w:rsidRPr="00174E7F">
      <w:fldChar w:fldCharType="end"/>
    </w:r>
    <w:r w:rsidRPr="00174E7F">
      <w:tab/>
      <w:t xml:space="preserve">pnr: </w:t>
    </w:r>
    <w:r w:rsidRPr="00174E7F">
      <w:fldChar w:fldCharType="begin" w:fldLock="1"/>
    </w:r>
    <w:r w:rsidRPr="00174E7F">
      <w:instrText xml:space="preserve"> DOCPROPERTY</w:instrText>
    </w:r>
    <w:r w:rsidRPr="00174E7F">
      <w:rPr>
        <w:sz w:val="18"/>
      </w:rPr>
      <w:instrText xml:space="preserve"> "Partinummer" *\charformat </w:instrText>
    </w:r>
    <w:r w:rsidRPr="00174E7F">
      <w:fldChar w:fldCharType="separate"/>
    </w:r>
    <w:r w:rsidRPr="00174E7F">
      <w:t>s10401</w:t>
    </w:r>
    <w:r w:rsidRPr="00174E7F">
      <w:fldChar w:fldCharType="end"/>
    </w:r>
  </w:p>
  <w:p w:rsidR="0034265E" w:rsidRPr="00174E7F" w:rsidRDefault="0034265E">
    <w:pPr>
      <w:pStyle w:val="FSHRub1"/>
    </w:pPr>
    <w:r w:rsidRPr="00174E7F">
      <w:t>Motion till riksdagen</w:t>
    </w:r>
    <w:r w:rsidRPr="00174E7F">
      <w:br/>
    </w:r>
    <w:r w:rsidRPr="00174E7F">
      <w:fldChar w:fldCharType="begin" w:fldLock="1"/>
    </w:r>
    <w:r w:rsidRPr="00174E7F">
      <w:instrText xml:space="preserve"> DOCPROPERTY "YearUser" *\charformat </w:instrText>
    </w:r>
    <w:r w:rsidRPr="00174E7F">
      <w:fldChar w:fldCharType="separate"/>
    </w:r>
    <w:r w:rsidRPr="00174E7F">
      <w:t>2006/07</w:t>
    </w:r>
    <w:r w:rsidRPr="00174E7F">
      <w:fldChar w:fldCharType="end"/>
    </w:r>
    <w:r w:rsidRPr="00174E7F">
      <w:t>:</w:t>
    </w:r>
    <w:r w:rsidRPr="00174E7F">
      <w:fldChar w:fldCharType="begin" w:fldLock="1"/>
    </w:r>
    <w:r w:rsidRPr="00174E7F">
      <w:instrText xml:space="preserve"> DOCPROPERTY "Motionsnummer" *\charformat </w:instrText>
    </w:r>
    <w:r w:rsidRPr="00174E7F">
      <w:fldChar w:fldCharType="separate"/>
    </w:r>
    <w:r w:rsidRPr="00174E7F">
      <w:t>Fi10</w:t>
    </w:r>
    <w:r w:rsidRPr="00174E7F">
      <w:fldChar w:fldCharType="end"/>
    </w:r>
  </w:p>
  <w:p w:rsidR="0034265E" w:rsidRPr="00174E7F" w:rsidRDefault="0034265E">
    <w:pPr>
      <w:pStyle w:val="FSHNormalS5"/>
    </w:pPr>
    <w:r w:rsidRPr="00174E7F">
      <w:fldChar w:fldCharType="begin" w:fldLock="1"/>
    </w:r>
    <w:r w:rsidRPr="00174E7F">
      <w:instrText xml:space="preserve"> DOCPROPERTY "MotionarText" *\charformat </w:instrText>
    </w:r>
    <w:r w:rsidRPr="00174E7F">
      <w:fldChar w:fldCharType="separate"/>
    </w:r>
    <w:r w:rsidRPr="00174E7F">
      <w:t>av Mona Sahlin m.fl. (s)</w:t>
    </w:r>
    <w:r w:rsidRPr="00174E7F">
      <w:fldChar w:fldCharType="end"/>
    </w:r>
    <w:r w:rsidRPr="00174E7F">
      <w:br/>
    </w:r>
    <w:r w:rsidRPr="00174E7F">
      <w:fldChar w:fldCharType="begin" w:fldLock="1"/>
    </w:r>
    <w:r w:rsidRPr="00174E7F">
      <w:instrText xml:space="preserve"> DOCPROPERTY "SvarFrasKort" *\charformat </w:instrText>
    </w:r>
    <w:r w:rsidRPr="00174E7F">
      <w:fldChar w:fldCharType="separate"/>
    </w:r>
    <w:r w:rsidRPr="00174E7F">
      <w:t>med anledning av prop. 2006/07:100</w:t>
    </w:r>
    <w:r w:rsidRPr="00174E7F">
      <w:fldChar w:fldCharType="end"/>
    </w:r>
  </w:p>
  <w:p w:rsidR="0034265E" w:rsidRPr="00174E7F" w:rsidRDefault="0034265E">
    <w:pPr>
      <w:pStyle w:val="FSHTitel"/>
    </w:pPr>
    <w:r w:rsidRPr="00174E7F">
      <w:fldChar w:fldCharType="begin" w:fldLock="1"/>
    </w:r>
    <w:r w:rsidRPr="00174E7F">
      <w:instrText xml:space="preserve"> DOCPROPERTY</w:instrText>
    </w:r>
    <w:r w:rsidRPr="00174E7F">
      <w:rPr>
        <w:sz w:val="18"/>
      </w:rPr>
      <w:instrText xml:space="preserve"> "RubrikSvar" *\charformat </w:instrText>
    </w:r>
    <w:r w:rsidRPr="00174E7F">
      <w:fldChar w:fldCharType="separate"/>
    </w:r>
    <w:r w:rsidRPr="00174E7F">
      <w:t>2007 års ekonomiska vårproposition</w:t>
    </w:r>
    <w:r w:rsidRPr="00174E7F">
      <w:fldChar w:fldCharType="end"/>
    </w:r>
  </w:p>
  <w:p w:rsidR="0034265E" w:rsidRPr="00174E7F" w:rsidRDefault="0034265E">
    <w:pPr>
      <w:pStyle w:val="Normal00"/>
    </w:pPr>
  </w:p>
  <w:p w:rsidR="003645F7" w:rsidRPr="00174E7F" w:rsidRDefault="00364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3B68A9"/>
    <w:multiLevelType w:val="hybridMultilevel"/>
    <w:tmpl w:val="DAA447C2"/>
    <w:lvl w:ilvl="0" w:tplc="E06C435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2D2C82"/>
    <w:multiLevelType w:val="hybridMultilevel"/>
    <w:tmpl w:val="597C606C"/>
    <w:lvl w:ilvl="0" w:tplc="E06C435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85C18"/>
    <w:multiLevelType w:val="hybridMultilevel"/>
    <w:tmpl w:val="23BE9C18"/>
    <w:lvl w:ilvl="0" w:tplc="DC46FF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F053F0A"/>
    <w:multiLevelType w:val="multilevel"/>
    <w:tmpl w:val="2A78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788133">
    <w:abstractNumId w:val="8"/>
  </w:num>
  <w:num w:numId="2" w16cid:durableId="390620185">
    <w:abstractNumId w:val="9"/>
  </w:num>
  <w:num w:numId="3" w16cid:durableId="1398357629">
    <w:abstractNumId w:val="8"/>
  </w:num>
  <w:num w:numId="4" w16cid:durableId="347215167">
    <w:abstractNumId w:val="9"/>
  </w:num>
  <w:num w:numId="5" w16cid:durableId="1159615744">
    <w:abstractNumId w:val="17"/>
  </w:num>
  <w:num w:numId="6" w16cid:durableId="857155939">
    <w:abstractNumId w:val="10"/>
  </w:num>
  <w:num w:numId="7" w16cid:durableId="1938517678">
    <w:abstractNumId w:val="12"/>
  </w:num>
  <w:num w:numId="8" w16cid:durableId="1518152156">
    <w:abstractNumId w:val="13"/>
  </w:num>
  <w:num w:numId="9" w16cid:durableId="247273960">
    <w:abstractNumId w:val="8"/>
  </w:num>
  <w:num w:numId="10" w16cid:durableId="54284275">
    <w:abstractNumId w:val="3"/>
  </w:num>
  <w:num w:numId="11" w16cid:durableId="1666664861">
    <w:abstractNumId w:val="2"/>
  </w:num>
  <w:num w:numId="12" w16cid:durableId="1347907581">
    <w:abstractNumId w:val="1"/>
  </w:num>
  <w:num w:numId="13" w16cid:durableId="2091465578">
    <w:abstractNumId w:val="0"/>
  </w:num>
  <w:num w:numId="14" w16cid:durableId="294260954">
    <w:abstractNumId w:val="9"/>
  </w:num>
  <w:num w:numId="15" w16cid:durableId="640504717">
    <w:abstractNumId w:val="7"/>
  </w:num>
  <w:num w:numId="16" w16cid:durableId="11959676">
    <w:abstractNumId w:val="6"/>
  </w:num>
  <w:num w:numId="17" w16cid:durableId="1539583884">
    <w:abstractNumId w:val="5"/>
  </w:num>
  <w:num w:numId="18" w16cid:durableId="1087461214">
    <w:abstractNumId w:val="4"/>
  </w:num>
  <w:num w:numId="19" w16cid:durableId="1754158153">
    <w:abstractNumId w:val="15"/>
  </w:num>
  <w:num w:numId="20" w16cid:durableId="1299844330">
    <w:abstractNumId w:val="11"/>
  </w:num>
  <w:num w:numId="21" w16cid:durableId="444155305">
    <w:abstractNumId w:val="14"/>
  </w:num>
  <w:num w:numId="22" w16cid:durableId="394014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9"/>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1D8CF4C6-F357-4E82-B239-E880E4172F71},{042520C7-60F5-4483-8053-858F5CC61EA2},{0ECF5971-F319-46F5-8A4E-B593D2E1651F},{53DF2A6D-B285-44EC-AF7B-4787DC9C4E6E},{568AD98A-85D3-490B-AD8D-C0EF77912EFA},{9A5E592E-5AED-4597-A102-9913986F01D0},{9911A249-5F34-4F66-8E06-5194917FEC0D},{8174F5EC-2C19-47A7-8116-E29AECD635DD},{3AE19472-61BC-4D27-950A-CDDC8BE74CDB},{21D981AD-E09E-4AE1-8E77-E42F68C9CCDC}"/>
  </w:docVars>
  <w:rsids>
    <w:rsidRoot w:val="00174E7F"/>
    <w:rsid w:val="00002742"/>
    <w:rsid w:val="000202C9"/>
    <w:rsid w:val="000220F8"/>
    <w:rsid w:val="00034058"/>
    <w:rsid w:val="00040D14"/>
    <w:rsid w:val="0004381F"/>
    <w:rsid w:val="00056986"/>
    <w:rsid w:val="00064BC3"/>
    <w:rsid w:val="00066474"/>
    <w:rsid w:val="000665E6"/>
    <w:rsid w:val="00066775"/>
    <w:rsid w:val="00072FB9"/>
    <w:rsid w:val="0007598F"/>
    <w:rsid w:val="000A0B37"/>
    <w:rsid w:val="000B2040"/>
    <w:rsid w:val="000C4FDB"/>
    <w:rsid w:val="000E135A"/>
    <w:rsid w:val="000E431D"/>
    <w:rsid w:val="000E48DA"/>
    <w:rsid w:val="000E5207"/>
    <w:rsid w:val="000F5ADD"/>
    <w:rsid w:val="00100531"/>
    <w:rsid w:val="0010382E"/>
    <w:rsid w:val="00107AF5"/>
    <w:rsid w:val="001621E7"/>
    <w:rsid w:val="00166D90"/>
    <w:rsid w:val="00170803"/>
    <w:rsid w:val="00174E7F"/>
    <w:rsid w:val="00177CC2"/>
    <w:rsid w:val="0019171D"/>
    <w:rsid w:val="001921C4"/>
    <w:rsid w:val="001923A4"/>
    <w:rsid w:val="001A25D5"/>
    <w:rsid w:val="001A2624"/>
    <w:rsid w:val="001A2A2B"/>
    <w:rsid w:val="001E0043"/>
    <w:rsid w:val="001F4981"/>
    <w:rsid w:val="001F7AC4"/>
    <w:rsid w:val="00201DFB"/>
    <w:rsid w:val="00204A63"/>
    <w:rsid w:val="00212FF1"/>
    <w:rsid w:val="002166B7"/>
    <w:rsid w:val="00217995"/>
    <w:rsid w:val="00230193"/>
    <w:rsid w:val="00244D0B"/>
    <w:rsid w:val="0025068A"/>
    <w:rsid w:val="00253E09"/>
    <w:rsid w:val="0028114E"/>
    <w:rsid w:val="002818D3"/>
    <w:rsid w:val="002911A7"/>
    <w:rsid w:val="002943C8"/>
    <w:rsid w:val="00295E6D"/>
    <w:rsid w:val="002A2A6B"/>
    <w:rsid w:val="002C2373"/>
    <w:rsid w:val="002C74C8"/>
    <w:rsid w:val="002D11A8"/>
    <w:rsid w:val="002F7FA1"/>
    <w:rsid w:val="003004D0"/>
    <w:rsid w:val="00303F68"/>
    <w:rsid w:val="003124C6"/>
    <w:rsid w:val="00314F87"/>
    <w:rsid w:val="0032051D"/>
    <w:rsid w:val="003303B5"/>
    <w:rsid w:val="003366E9"/>
    <w:rsid w:val="00336C9B"/>
    <w:rsid w:val="0034265E"/>
    <w:rsid w:val="00342FB4"/>
    <w:rsid w:val="0036065A"/>
    <w:rsid w:val="003645F7"/>
    <w:rsid w:val="003866EC"/>
    <w:rsid w:val="00391AF5"/>
    <w:rsid w:val="003B418B"/>
    <w:rsid w:val="003F100A"/>
    <w:rsid w:val="00423E95"/>
    <w:rsid w:val="00445271"/>
    <w:rsid w:val="00447A04"/>
    <w:rsid w:val="004527C3"/>
    <w:rsid w:val="00473C12"/>
    <w:rsid w:val="00475DCE"/>
    <w:rsid w:val="00487F7A"/>
    <w:rsid w:val="004971B2"/>
    <w:rsid w:val="004A0504"/>
    <w:rsid w:val="004A21EF"/>
    <w:rsid w:val="004B5278"/>
    <w:rsid w:val="004C7A3F"/>
    <w:rsid w:val="004D7823"/>
    <w:rsid w:val="004E38D9"/>
    <w:rsid w:val="004F094C"/>
    <w:rsid w:val="004F22DC"/>
    <w:rsid w:val="005000F2"/>
    <w:rsid w:val="005057B1"/>
    <w:rsid w:val="00531020"/>
    <w:rsid w:val="005428CC"/>
    <w:rsid w:val="00545150"/>
    <w:rsid w:val="00545421"/>
    <w:rsid w:val="00546A38"/>
    <w:rsid w:val="0055072A"/>
    <w:rsid w:val="005525A5"/>
    <w:rsid w:val="005544CE"/>
    <w:rsid w:val="00567774"/>
    <w:rsid w:val="005A377B"/>
    <w:rsid w:val="005A4355"/>
    <w:rsid w:val="005B145B"/>
    <w:rsid w:val="005C441C"/>
    <w:rsid w:val="005D3F50"/>
    <w:rsid w:val="005D72CF"/>
    <w:rsid w:val="005E5CA3"/>
    <w:rsid w:val="005F0294"/>
    <w:rsid w:val="00601C6D"/>
    <w:rsid w:val="00603CD4"/>
    <w:rsid w:val="006123DA"/>
    <w:rsid w:val="006346C1"/>
    <w:rsid w:val="00643331"/>
    <w:rsid w:val="006443A4"/>
    <w:rsid w:val="0064771D"/>
    <w:rsid w:val="006518C0"/>
    <w:rsid w:val="00653DD0"/>
    <w:rsid w:val="00677B63"/>
    <w:rsid w:val="00692511"/>
    <w:rsid w:val="006A1005"/>
    <w:rsid w:val="006B1C86"/>
    <w:rsid w:val="006B6262"/>
    <w:rsid w:val="006D3712"/>
    <w:rsid w:val="00727C6F"/>
    <w:rsid w:val="007350E9"/>
    <w:rsid w:val="0074086B"/>
    <w:rsid w:val="00740D6D"/>
    <w:rsid w:val="00743F76"/>
    <w:rsid w:val="00751A65"/>
    <w:rsid w:val="00770030"/>
    <w:rsid w:val="00774959"/>
    <w:rsid w:val="007852B2"/>
    <w:rsid w:val="00794149"/>
    <w:rsid w:val="007B67A7"/>
    <w:rsid w:val="007C6092"/>
    <w:rsid w:val="007E119E"/>
    <w:rsid w:val="00846903"/>
    <w:rsid w:val="00857EC2"/>
    <w:rsid w:val="00892562"/>
    <w:rsid w:val="008A4D1A"/>
    <w:rsid w:val="008B7E89"/>
    <w:rsid w:val="008C1E08"/>
    <w:rsid w:val="008F0A96"/>
    <w:rsid w:val="009062A0"/>
    <w:rsid w:val="009211CA"/>
    <w:rsid w:val="009451E7"/>
    <w:rsid w:val="00956E7F"/>
    <w:rsid w:val="00963118"/>
    <w:rsid w:val="00970D4F"/>
    <w:rsid w:val="00971D70"/>
    <w:rsid w:val="009A4377"/>
    <w:rsid w:val="009A4F24"/>
    <w:rsid w:val="009A6043"/>
    <w:rsid w:val="009B21E7"/>
    <w:rsid w:val="009D0673"/>
    <w:rsid w:val="00A053C6"/>
    <w:rsid w:val="00A055B3"/>
    <w:rsid w:val="00A15D71"/>
    <w:rsid w:val="00A21BC5"/>
    <w:rsid w:val="00A47FAF"/>
    <w:rsid w:val="00A736FF"/>
    <w:rsid w:val="00AA1434"/>
    <w:rsid w:val="00AB5000"/>
    <w:rsid w:val="00AC4310"/>
    <w:rsid w:val="00AC63D9"/>
    <w:rsid w:val="00AE2EF8"/>
    <w:rsid w:val="00AF5881"/>
    <w:rsid w:val="00B13B6F"/>
    <w:rsid w:val="00B13BF0"/>
    <w:rsid w:val="00B25BC7"/>
    <w:rsid w:val="00B33C81"/>
    <w:rsid w:val="00B34666"/>
    <w:rsid w:val="00B35CB5"/>
    <w:rsid w:val="00B421B1"/>
    <w:rsid w:val="00B67E5B"/>
    <w:rsid w:val="00B73A0E"/>
    <w:rsid w:val="00B84A97"/>
    <w:rsid w:val="00B95F30"/>
    <w:rsid w:val="00BA4894"/>
    <w:rsid w:val="00BA6BE0"/>
    <w:rsid w:val="00BB6D75"/>
    <w:rsid w:val="00BD43A8"/>
    <w:rsid w:val="00BE7C77"/>
    <w:rsid w:val="00BF7E00"/>
    <w:rsid w:val="00C1285C"/>
    <w:rsid w:val="00C24040"/>
    <w:rsid w:val="00C276CF"/>
    <w:rsid w:val="00C27B7D"/>
    <w:rsid w:val="00C32A06"/>
    <w:rsid w:val="00C44394"/>
    <w:rsid w:val="00C533BA"/>
    <w:rsid w:val="00C822A8"/>
    <w:rsid w:val="00C902E9"/>
    <w:rsid w:val="00C92208"/>
    <w:rsid w:val="00C971A3"/>
    <w:rsid w:val="00CA7EE1"/>
    <w:rsid w:val="00CB5B24"/>
    <w:rsid w:val="00CC3AB6"/>
    <w:rsid w:val="00CD4B2B"/>
    <w:rsid w:val="00CD7681"/>
    <w:rsid w:val="00CE3037"/>
    <w:rsid w:val="00CF7A43"/>
    <w:rsid w:val="00D01775"/>
    <w:rsid w:val="00D1174F"/>
    <w:rsid w:val="00D1289C"/>
    <w:rsid w:val="00D372C4"/>
    <w:rsid w:val="00D44527"/>
    <w:rsid w:val="00D52681"/>
    <w:rsid w:val="00D53D04"/>
    <w:rsid w:val="00D55EF7"/>
    <w:rsid w:val="00D97778"/>
    <w:rsid w:val="00DB1E23"/>
    <w:rsid w:val="00DC0DF0"/>
    <w:rsid w:val="00DC6C70"/>
    <w:rsid w:val="00DE1074"/>
    <w:rsid w:val="00DF5ACD"/>
    <w:rsid w:val="00DF6D31"/>
    <w:rsid w:val="00E22893"/>
    <w:rsid w:val="00E3019F"/>
    <w:rsid w:val="00E307DD"/>
    <w:rsid w:val="00E349C2"/>
    <w:rsid w:val="00E34C25"/>
    <w:rsid w:val="00E360DE"/>
    <w:rsid w:val="00E5074A"/>
    <w:rsid w:val="00E521CB"/>
    <w:rsid w:val="00E728F6"/>
    <w:rsid w:val="00E74669"/>
    <w:rsid w:val="00E75D28"/>
    <w:rsid w:val="00E84F25"/>
    <w:rsid w:val="00EB14B8"/>
    <w:rsid w:val="00EC007B"/>
    <w:rsid w:val="00ED0EE7"/>
    <w:rsid w:val="00ED2E5E"/>
    <w:rsid w:val="00EE7A8E"/>
    <w:rsid w:val="00F21B30"/>
    <w:rsid w:val="00F273EA"/>
    <w:rsid w:val="00F42CB9"/>
    <w:rsid w:val="00F42FFE"/>
    <w:rsid w:val="00F5597B"/>
    <w:rsid w:val="00F73E9E"/>
    <w:rsid w:val="00F82896"/>
    <w:rsid w:val="00F867FF"/>
    <w:rsid w:val="00F87D14"/>
    <w:rsid w:val="00F95725"/>
    <w:rsid w:val="00FA3374"/>
    <w:rsid w:val="00FA605A"/>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32515-6D7A-4FD6-9677-B59082A1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5597B"/>
    <w:rPr>
      <w:sz w:val="32"/>
      <w:lang w:val="sv-SE" w:eastAsia="sv-SE" w:bidi="ar-SA"/>
    </w:rPr>
  </w:style>
  <w:style w:type="character" w:customStyle="1" w:styleId="Rubrik2Char">
    <w:name w:val="Rubrik 2 Char"/>
    <w:aliases w:val="Beslutrubrik Char"/>
    <w:basedOn w:val="Standardstycketeckensnitt"/>
    <w:link w:val="Rubrik2"/>
    <w:semiHidden/>
    <w:locked/>
    <w:rsid w:val="00F5597B"/>
    <w:rPr>
      <w:sz w:val="27"/>
      <w:lang w:val="sv-SE" w:eastAsia="sv-SE" w:bidi="ar-SA"/>
    </w:rPr>
  </w:style>
  <w:style w:type="character" w:customStyle="1" w:styleId="Rubrik3Char">
    <w:name w:val="Rubrik 3 Char"/>
    <w:aliases w:val="Mellanrubrik Char"/>
    <w:basedOn w:val="Standardstycketeckensnitt"/>
    <w:link w:val="Rubrik3"/>
    <w:semiHidden/>
    <w:locked/>
    <w:rsid w:val="00F5597B"/>
    <w:rPr>
      <w:b/>
      <w:sz w:val="21"/>
      <w:lang w:val="sv-SE" w:eastAsia="sv-SE" w:bidi="ar-SA"/>
    </w:rPr>
  </w:style>
  <w:style w:type="character" w:customStyle="1" w:styleId="Rubrik4Char">
    <w:name w:val="Rubrik 4 Char"/>
    <w:aliases w:val="KursivRubrik Char"/>
    <w:basedOn w:val="Standardstycketeckensnitt"/>
    <w:link w:val="Rubrik4"/>
    <w:semiHidden/>
    <w:locked/>
    <w:rsid w:val="00F5597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5597B"/>
    <w:rPr>
      <w:sz w:val="19"/>
      <w:lang w:val="sv-SE" w:eastAsia="sv-SE" w:bidi="ar-SA"/>
    </w:rPr>
  </w:style>
  <w:style w:type="character" w:customStyle="1" w:styleId="Rubrik6Char">
    <w:name w:val="Rubrik 6 Char"/>
    <w:basedOn w:val="Standardstycketeckensnitt"/>
    <w:link w:val="Rubrik6"/>
    <w:semiHidden/>
    <w:locked/>
    <w:rsid w:val="00F5597B"/>
    <w:rPr>
      <w:caps/>
      <w:sz w:val="14"/>
      <w:lang w:val="sv-SE" w:eastAsia="sv-SE" w:bidi="ar-SA"/>
    </w:rPr>
  </w:style>
  <w:style w:type="character" w:customStyle="1" w:styleId="Rubrik7Char">
    <w:name w:val="Rubrik 7 Char"/>
    <w:basedOn w:val="Standardstycketeckensnitt"/>
    <w:link w:val="Rubrik7"/>
    <w:semiHidden/>
    <w:locked/>
    <w:rsid w:val="00F5597B"/>
    <w:rPr>
      <w:caps/>
      <w:sz w:val="14"/>
      <w:lang w:val="sv-SE" w:eastAsia="sv-SE" w:bidi="ar-SA"/>
    </w:rPr>
  </w:style>
  <w:style w:type="character" w:customStyle="1" w:styleId="Rubrik8Char">
    <w:name w:val="Rubrik 8 Char"/>
    <w:basedOn w:val="Standardstycketeckensnitt"/>
    <w:link w:val="Rubrik8"/>
    <w:semiHidden/>
    <w:locked/>
    <w:rsid w:val="00F5597B"/>
    <w:rPr>
      <w:caps/>
      <w:sz w:val="14"/>
      <w:lang w:val="sv-SE" w:eastAsia="sv-SE" w:bidi="ar-SA"/>
    </w:rPr>
  </w:style>
  <w:style w:type="character" w:customStyle="1" w:styleId="Rubrik9Char">
    <w:name w:val="Rubrik 9 Char"/>
    <w:basedOn w:val="Standardstycketeckensnitt"/>
    <w:link w:val="Rubrik9"/>
    <w:semiHidden/>
    <w:locked/>
    <w:rsid w:val="00F5597B"/>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5597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5597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45F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5597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5597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5597B"/>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1F7AC4"/>
    <w:rPr>
      <w:sz w:val="19"/>
      <w:lang w:val="sv-SE" w:eastAsia="sv-SE" w:bidi="ar-SA"/>
    </w:rPr>
  </w:style>
  <w:style w:type="character" w:customStyle="1" w:styleId="CharChar9">
    <w:name w:val="Char Char9"/>
    <w:basedOn w:val="Standardstycketeckensnitt"/>
    <w:locked/>
    <w:rsid w:val="00253E09"/>
    <w:rPr>
      <w:rFonts w:ascii="Cambria" w:hAnsi="Cambria" w:cs="Times New Roman"/>
      <w:b/>
      <w:bCs/>
      <w:kern w:val="32"/>
      <w:sz w:val="32"/>
      <w:szCs w:val="32"/>
    </w:rPr>
  </w:style>
  <w:style w:type="character" w:customStyle="1" w:styleId="BeslutrubrikCharChar">
    <w:name w:val="Beslutrubrik Char Char"/>
    <w:basedOn w:val="Standardstycketeckensnitt"/>
    <w:semiHidden/>
    <w:locked/>
    <w:rsid w:val="00253E09"/>
    <w:rPr>
      <w:rFonts w:ascii="Cambria" w:hAnsi="Cambria" w:cs="Times New Roman"/>
      <w:b/>
      <w:bCs/>
      <w:i/>
      <w:iCs/>
      <w:sz w:val="28"/>
      <w:szCs w:val="28"/>
    </w:rPr>
  </w:style>
  <w:style w:type="character" w:styleId="Fotnotsreferens">
    <w:name w:val="footnote reference"/>
    <w:basedOn w:val="Standardstycketeckensnitt"/>
    <w:semiHidden/>
    <w:rsid w:val="00253E09"/>
    <w:rPr>
      <w:vertAlign w:val="superscript"/>
    </w:rPr>
  </w:style>
  <w:style w:type="paragraph" w:styleId="Fotnotstext">
    <w:name w:val="footnote text"/>
    <w:basedOn w:val="Normal"/>
    <w:semiHidden/>
    <w:rsid w:val="00253E09"/>
    <w:pPr>
      <w:overflowPunct w:val="0"/>
      <w:autoSpaceDE w:val="0"/>
      <w:autoSpaceDN w:val="0"/>
      <w:adjustRightInd w:val="0"/>
      <w:spacing w:line="320" w:lineRule="atLeast"/>
      <w:textAlignment w:val="baseline"/>
    </w:pPr>
    <w:rPr>
      <w:rFonts w:ascii="OrigGarmnd BT" w:hAnsi="OrigGarmnd BT"/>
      <w:sz w:val="20"/>
      <w:lang w:eastAsia="en-US"/>
    </w:rPr>
  </w:style>
  <w:style w:type="paragraph" w:customStyle="1" w:styleId="pre">
    <w:name w:val="pre"/>
    <w:basedOn w:val="Normal"/>
    <w:rsid w:val="00F867FF"/>
    <w:pPr>
      <w:spacing w:after="105" w:line="348" w:lineRule="auto"/>
    </w:pPr>
    <w:rPr>
      <w:rFonts w:ascii="Verdana" w:hAnsi="Verdana"/>
      <w:b/>
      <w:bCs/>
      <w:szCs w:val="24"/>
    </w:rPr>
  </w:style>
  <w:style w:type="table" w:styleId="Tabellrutnt">
    <w:name w:val="Table Grid"/>
    <w:basedOn w:val="Normaltabell"/>
    <w:locked/>
    <w:rsid w:val="004A21E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54270">
      <w:bodyDiv w:val="1"/>
      <w:marLeft w:val="0"/>
      <w:marRight w:val="0"/>
      <w:marTop w:val="0"/>
      <w:marBottom w:val="0"/>
      <w:divBdr>
        <w:top w:val="none" w:sz="0" w:space="0" w:color="auto"/>
        <w:left w:val="none" w:sz="0" w:space="0" w:color="auto"/>
        <w:bottom w:val="none" w:sz="0" w:space="0" w:color="auto"/>
        <w:right w:val="none" w:sz="0" w:space="0" w:color="auto"/>
      </w:divBdr>
      <w:divsChild>
        <w:div w:id="1635675546">
          <w:marLeft w:val="0"/>
          <w:marRight w:val="0"/>
          <w:marTop w:val="0"/>
          <w:marBottom w:val="0"/>
          <w:divBdr>
            <w:top w:val="none" w:sz="0" w:space="0" w:color="auto"/>
            <w:left w:val="none" w:sz="0" w:space="0" w:color="auto"/>
            <w:bottom w:val="none" w:sz="0" w:space="0" w:color="auto"/>
            <w:right w:val="none" w:sz="0" w:space="0" w:color="auto"/>
          </w:divBdr>
          <w:divsChild>
            <w:div w:id="1531990328">
              <w:marLeft w:val="0"/>
              <w:marRight w:val="0"/>
              <w:marTop w:val="0"/>
              <w:marBottom w:val="0"/>
              <w:divBdr>
                <w:top w:val="none" w:sz="0" w:space="0" w:color="auto"/>
                <w:left w:val="none" w:sz="0" w:space="0" w:color="auto"/>
                <w:bottom w:val="none" w:sz="0" w:space="0" w:color="auto"/>
                <w:right w:val="none" w:sz="0" w:space="0" w:color="auto"/>
              </w:divBdr>
              <w:divsChild>
                <w:div w:id="255552602">
                  <w:marLeft w:val="0"/>
                  <w:marRight w:val="0"/>
                  <w:marTop w:val="0"/>
                  <w:marBottom w:val="45"/>
                  <w:divBdr>
                    <w:top w:val="none" w:sz="0" w:space="0" w:color="auto"/>
                    <w:left w:val="none" w:sz="0" w:space="0" w:color="auto"/>
                    <w:bottom w:val="none" w:sz="0" w:space="0" w:color="auto"/>
                    <w:right w:val="none" w:sz="0" w:space="0" w:color="auto"/>
                  </w:divBdr>
                  <w:divsChild>
                    <w:div w:id="2084834649">
                      <w:marLeft w:val="0"/>
                      <w:marRight w:val="0"/>
                      <w:marTop w:val="0"/>
                      <w:marBottom w:val="0"/>
                      <w:divBdr>
                        <w:top w:val="none" w:sz="0" w:space="0" w:color="auto"/>
                        <w:left w:val="none" w:sz="0" w:space="0" w:color="auto"/>
                        <w:bottom w:val="none" w:sz="0" w:space="0" w:color="auto"/>
                        <w:right w:val="none" w:sz="0" w:space="0" w:color="auto"/>
                      </w:divBdr>
                      <w:divsChild>
                        <w:div w:id="476151256">
                          <w:marLeft w:val="0"/>
                          <w:marRight w:val="0"/>
                          <w:marTop w:val="0"/>
                          <w:marBottom w:val="0"/>
                          <w:divBdr>
                            <w:top w:val="none" w:sz="0" w:space="0" w:color="auto"/>
                            <w:left w:val="none" w:sz="0" w:space="0" w:color="auto"/>
                            <w:bottom w:val="none" w:sz="0" w:space="0" w:color="auto"/>
                            <w:right w:val="none" w:sz="0" w:space="0" w:color="auto"/>
                          </w:divBdr>
                          <w:divsChild>
                            <w:div w:id="1031805501">
                              <w:marLeft w:val="0"/>
                              <w:marRight w:val="0"/>
                              <w:marTop w:val="0"/>
                              <w:marBottom w:val="0"/>
                              <w:divBdr>
                                <w:top w:val="none" w:sz="0" w:space="0" w:color="auto"/>
                                <w:left w:val="none" w:sz="0" w:space="0" w:color="auto"/>
                                <w:bottom w:val="none" w:sz="0" w:space="0" w:color="auto"/>
                                <w:right w:val="none" w:sz="0" w:space="0" w:color="auto"/>
                              </w:divBdr>
                              <w:divsChild>
                                <w:div w:id="15652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6966</Characters>
  <Application>Microsoft Office Word</Application>
  <DocSecurity>4</DocSecurity>
  <Lines>158</Lines>
  <Paragraphs>78</Paragraphs>
  <ScaleCrop>false</ScaleCrop>
  <HeadingPairs>
    <vt:vector size="2" baseType="variant">
      <vt:variant>
        <vt:lpstr>Rubrik</vt:lpstr>
      </vt:variant>
      <vt:variant>
        <vt:i4>1</vt:i4>
      </vt:variant>
    </vt:vector>
  </HeadingPairs>
  <TitlesOfParts>
    <vt:vector size="1" baseType="lpstr">
      <vt:lpstr>s10401</vt:lpstr>
    </vt:vector>
  </TitlesOfParts>
  <Company>Riksdagen</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s10401</dc:title>
  <dc:subject>s10401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2007-05-04T08:32:00Z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mot2000_478_2007-04-19</vt:lpwstr>
  </property>
  <property fmtid="{D5CDD505-2E9C-101B-9397-08002B2CF9AE}" pid="3" name="version">
    <vt:lpwstr>mot2000_478_2007-04-19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s10401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(s)\Messing, Ulrica (s)\</vt:lpwstr>
  </property>
  <property fmtid="{D5CDD505-2E9C-101B-9397-08002B2CF9AE}" pid="27" name="MotionarLista1">
    <vt:lpwstr>Eneroth, Tomas (s)\Johansson, Ylva (s)\Israelsson, Margareta (s)\Granlund, Marie (s)\Karlsson, Anders (s)\Ohlsson, Carina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Ulrica Messing (s), Tomas Eneroth (s), </vt:lpwstr>
  </property>
  <property fmtid="{D5CDD505-2E9C-101B-9397-08002B2CF9AE}" pid="31" name="MotionarLotus1">
    <vt:lpwstr>Ylva Johansson (s), Margareta Israelsson (s), Marie Granlund (s), Anders Karlsson (s), Carina Ohlsson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20062007000000000115000104010080</vt:lpwstr>
  </property>
  <property fmtid="{D5CDD505-2E9C-101B-9397-08002B2CF9AE}" pid="47" name="datum">
    <vt:lpwstr>070502</vt:lpwstr>
  </property>
  <property fmtid="{D5CDD505-2E9C-101B-9397-08002B2CF9AE}" pid="48" name="avsändar-e-post">
    <vt:lpwstr/>
  </property>
  <property fmtid="{D5CDD505-2E9C-101B-9397-08002B2CF9AE}" pid="49" name="id">
    <vt:lpwstr>20062007000000000115000104010080</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{43E5C454-02E3-4139-8244-BE9FD2DDCDB8}</vt:lpwstr>
  </property>
  <property fmtid="{D5CDD505-2E9C-101B-9397-08002B2CF9AE}" pid="53" name="Överföringar">
    <vt:i4>0</vt:i4>
  </property>
  <property fmtid="{D5CDD505-2E9C-101B-9397-08002B2CF9AE}" pid="54" name="Checksum">
    <vt:lpwstr>*1002789675096*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070504 10:32:40.037</vt:lpwstr>
  </property>
  <property fmtid="{D5CDD505-2E9C-101B-9397-08002B2CF9AE}" pid="58" name="urixGuid">
    <vt:lpwstr>{346A4891-6F0D-4EB2-A295-1BFCD190051B}</vt:lpwstr>
  </property>
</Properties>
</file>