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Emilia Töyrä (S)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Staffan Eklöf (SD)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Andreas Carlson (KD) som ledamot i justitieutskottet och suppleant i skatteutskottet, utrikesutskottet, socialförsäkringsutskottet, kulturutskottet, utbildningsutskottet och näringsutskottet fr.o.m. den 19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Emilia Töyrä (S)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Nooshi Dadgostar (V) 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Ulla Andersson (V) som suppleant i skatteutskottet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Adnan Dibrani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Alireza Akhondi (C)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Amir Adan (M) som suppleant i civilutskottet, näringsutskottet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Jasenko Omanovic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Björn Petersson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Staffan Eklöf (SD)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Ann-Christine From Utterstedt (SD)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 29 till 321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 till 266 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321 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321 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 till 269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31 till 321 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267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31 till 320 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 till 321 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323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 30 till 321 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320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322 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 30 till 321 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267 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95 till 324 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 292 suppleanter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237 suppleanter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293 suppleanter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292 suppleanter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242 suppleanter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290 suppleanter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238 suppleanter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289 suppleanter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292 suppleanter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294 suppleanter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291 suppleanter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292 suppleanter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293 suppleanter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291 suppleanter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240 suppleanter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229 suppleanter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2019/20:363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Konsumentverkets agerande gällande regler vid tobaksförsäljning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2020:6 Innovation genom samverkan – statens satsningar på strategiska samverkans- och innovationsprogram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2019/20:86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2019/20:89 En effektivare hantering av ärenden om överförande av straffverkställighet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2019/20:94 Höjt tak för uppskov med kapitalvinst vid avyttring av privatbostad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2019/20:96 Ändring i skatteavtalet mellan Sverige och Schweiz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2019/20:97 Ny associationsrätt för medlemsbanker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2019/20:102 Sekretess till skydd för enskilda som lämnat stödförklaringar enligt EU:s nya förordning om det europeiska medborgarinitiativet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2019/20:105 Komvux för stärkt kompetensförsörjning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2019/20:107 Förbättrade möjligheter till bilstöd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2019/20:111 Bilateralt avtal mellan Europeiska unionen och Amerikas förenta stater om tillsynsregler för försäkring och återförsäkring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2019/20:113 En mer ändamålsenlig dataskyddsreglering för studiestödsverksamheten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2019/20:116 Kompletteringar till nya EU-regler om aktieägares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2019/20:117 Förutsättningar för etableringsjobb och vissa frågor om kontroll inom den arbetsmarknadspolitiska 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2019/20:118 Ungdomsövervakning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2019/20:119 Internationellt samarbete om verkställighet av straff anpassas till nya regler i brottsbalken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2019/20:136 Extra ändringsbudget för 2020 – Kreditgarantier till flygföretag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2019/20:NR1 Nordiska rådets svenska delegations berättelse om verksamheten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2019/20:UU5 Kommissionens arbetsprogram 2020 och kommissionens meddelande om konferensen om Europas framtid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2019/20:UbU11 Grundläggande frågor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2019/20:UbU15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2019/20:MJU11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2019/20:CU14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2019/20:CU15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2019/20:FöU9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2019/20:TU7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2019/20:MJU9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2019/20:MJU10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2020-03-18</SAFIR_Sammantradesdatum_Doc>
    <SAFIR_SammantradeID xmlns="C07A1A6C-0B19-41D9-BDF8-F523BA3921EB">6a84cf3d-2752-4673-9a85-106ea748babd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EB0E9-5DA4-4EF8-ACC7-9C5E0E10F46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