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57E69">
        <w:tblPrEx>
          <w:tblCellMar>
            <w:top w:w="0" w:type="dxa"/>
            <w:bottom w:w="0" w:type="dxa"/>
          </w:tblCellMar>
        </w:tblPrEx>
        <w:trPr>
          <w:cantSplit/>
          <w:trHeight w:val="1720"/>
        </w:trPr>
        <w:tc>
          <w:tcPr>
            <w:tcW w:w="6024" w:type="dxa"/>
            <w:gridSpan w:val="2"/>
          </w:tcPr>
          <w:p w:rsidR="00F53A97" w:rsidRPr="00A57E69" w:rsidRDefault="00B70682">
            <w:pPr>
              <w:pStyle w:val="HuvudRubrik"/>
            </w:pPr>
            <w:r w:rsidRPr="00A57E69">
              <w:t>Fr</w:t>
            </w:r>
            <w:r w:rsidR="00C62D5E" w:rsidRPr="00A57E69">
              <w:t>amställning till riksdagen</w:t>
            </w:r>
          </w:p>
          <w:p w:rsidR="00F53A97" w:rsidRPr="00A57E69" w:rsidRDefault="00EB176A">
            <w:pPr>
              <w:pStyle w:val="HuvudRubrikRad2"/>
            </w:pPr>
            <w:bookmarkStart w:id="0" w:name="BetänkandeNr"/>
            <w:bookmarkEnd w:id="0"/>
            <w:r w:rsidRPr="00A57E69">
              <w:t>2007/08</w:t>
            </w:r>
            <w:r w:rsidR="00F53A97" w:rsidRPr="00A57E69">
              <w:t>:</w:t>
            </w:r>
            <w:r w:rsidRPr="00A57E69">
              <w:t>RS1</w:t>
            </w:r>
          </w:p>
        </w:tc>
        <w:tc>
          <w:tcPr>
            <w:tcW w:w="1418" w:type="dxa"/>
            <w:tcBorders>
              <w:bottom w:val="nil"/>
            </w:tcBorders>
          </w:tcPr>
          <w:p w:rsidR="00F53A97" w:rsidRPr="00A57E69" w:rsidRDefault="00A57E69">
            <w:pPr>
              <w:spacing w:line="230" w:lineRule="auto"/>
              <w:jc w:val="center"/>
            </w:pPr>
            <w:r w:rsidRPr="00A57E6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57E69" w:rsidRDefault="00F53A97">
            <w:pPr>
              <w:pStyle w:val="Normaltindrag"/>
              <w:jc w:val="center"/>
            </w:pPr>
          </w:p>
          <w:p w:rsidR="00F53A97" w:rsidRPr="00A57E69" w:rsidRDefault="00F53A97">
            <w:pPr>
              <w:pStyle w:val="StatusSida1"/>
            </w:pPr>
          </w:p>
          <w:p w:rsidR="00F53A97" w:rsidRPr="00A57E69" w:rsidRDefault="00F53A97">
            <w:pPr>
              <w:pStyle w:val="UtskriftsdatumSida1"/>
              <w:framePr w:wrap="around"/>
            </w:pPr>
          </w:p>
        </w:tc>
      </w:tr>
      <w:tr w:rsidR="00F53A97" w:rsidRPr="00A57E69">
        <w:tblPrEx>
          <w:tblCellMar>
            <w:top w:w="0" w:type="dxa"/>
            <w:bottom w:w="0" w:type="dxa"/>
          </w:tblCellMar>
        </w:tblPrEx>
        <w:trPr>
          <w:cantSplit/>
        </w:trPr>
        <w:tc>
          <w:tcPr>
            <w:tcW w:w="6024" w:type="dxa"/>
            <w:gridSpan w:val="2"/>
            <w:tcBorders>
              <w:bottom w:val="single" w:sz="4" w:space="0" w:color="auto"/>
            </w:tcBorders>
          </w:tcPr>
          <w:p w:rsidR="00F53A97" w:rsidRPr="00A57E69" w:rsidRDefault="00C62D5E">
            <w:pPr>
              <w:pStyle w:val="DokumentRubrik"/>
              <w:rPr>
                <w:noProof w:val="0"/>
              </w:rPr>
            </w:pPr>
            <w:bookmarkStart w:id="1" w:name="Huvudrubrik"/>
            <w:bookmarkEnd w:id="1"/>
            <w:r w:rsidRPr="00A57E69">
              <w:rPr>
                <w:noProof w:val="0"/>
              </w:rPr>
              <w:t xml:space="preserve">Sekretess för statistiska uppgifter </w:t>
            </w:r>
            <w:r w:rsidR="006F7BB6" w:rsidRPr="00A57E69">
              <w:rPr>
                <w:noProof w:val="0"/>
              </w:rPr>
              <w:t>inom riksdagsförvaltningen (utredningstjänsten)</w:t>
            </w:r>
          </w:p>
        </w:tc>
        <w:tc>
          <w:tcPr>
            <w:tcW w:w="1418" w:type="dxa"/>
            <w:tcBorders>
              <w:bottom w:val="nil"/>
            </w:tcBorders>
          </w:tcPr>
          <w:p w:rsidR="00F53A97" w:rsidRPr="00A57E69" w:rsidRDefault="00F53A97"/>
        </w:tc>
      </w:tr>
      <w:tr w:rsidR="00F53A97" w:rsidRPr="00A57E69">
        <w:tblPrEx>
          <w:tblCellMar>
            <w:top w:w="0" w:type="dxa"/>
            <w:bottom w:w="0" w:type="dxa"/>
          </w:tblCellMar>
        </w:tblPrEx>
        <w:trPr>
          <w:cantSplit/>
          <w:trHeight w:hRule="exact" w:val="360"/>
        </w:trPr>
        <w:tc>
          <w:tcPr>
            <w:tcW w:w="3012" w:type="dxa"/>
          </w:tcPr>
          <w:p w:rsidR="00F53A97" w:rsidRPr="00A57E69" w:rsidRDefault="00F53A97"/>
        </w:tc>
        <w:tc>
          <w:tcPr>
            <w:tcW w:w="3012" w:type="dxa"/>
          </w:tcPr>
          <w:p w:rsidR="00F53A97" w:rsidRPr="00A57E69" w:rsidRDefault="00F53A97"/>
        </w:tc>
        <w:tc>
          <w:tcPr>
            <w:tcW w:w="1418" w:type="dxa"/>
          </w:tcPr>
          <w:p w:rsidR="00F53A97" w:rsidRPr="00A57E69" w:rsidRDefault="00F53A97"/>
        </w:tc>
      </w:tr>
    </w:tbl>
    <w:p w:rsidR="00F53A97" w:rsidRPr="00A57E69" w:rsidRDefault="00F53A97"/>
    <w:p w:rsidR="00C62D5E" w:rsidRPr="00A57E69" w:rsidRDefault="00C62D5E" w:rsidP="00C62D5E">
      <w:pPr>
        <w:pStyle w:val="Rubrik1"/>
        <w:spacing w:after="180"/>
        <w:rPr>
          <w:noProof w:val="0"/>
        </w:rPr>
      </w:pPr>
      <w:bookmarkStart w:id="2" w:name="_Toc178412606"/>
      <w:r w:rsidRPr="00A57E69">
        <w:rPr>
          <w:noProof w:val="0"/>
        </w:rPr>
        <w:t>Sammanfattning</w:t>
      </w:r>
      <w:bookmarkEnd w:id="2"/>
    </w:p>
    <w:p w:rsidR="00C329E5" w:rsidRPr="00A57E69" w:rsidRDefault="00820653" w:rsidP="00C329E5">
      <w:r w:rsidRPr="00A57E69">
        <w:t xml:space="preserve">Riksdagsstyrelsen föreslår i denna framställning att en ändring görs i 9 kap. </w:t>
      </w:r>
      <w:r w:rsidR="00B20BB7" w:rsidRPr="00A57E69">
        <w:br/>
      </w:r>
      <w:r w:rsidRPr="00A57E69">
        <w:t>4 § sekretesslagen (1980:100) f</w:t>
      </w:r>
      <w:r w:rsidR="00C329E5" w:rsidRPr="00A57E69">
        <w:t xml:space="preserve">ör att </w:t>
      </w:r>
      <w:r w:rsidR="00CA7A4E" w:rsidRPr="00A57E69">
        <w:t>st</w:t>
      </w:r>
      <w:r w:rsidR="00C329E5" w:rsidRPr="00A57E69">
        <w:t xml:space="preserve">atistiska uppgifter </w:t>
      </w:r>
      <w:r w:rsidR="00CA7A4E" w:rsidRPr="00A57E69">
        <w:t xml:space="preserve">som behandlas </w:t>
      </w:r>
      <w:r w:rsidR="003C1F13" w:rsidRPr="00A57E69">
        <w:t xml:space="preserve">inom riksdagsförvaltningen </w:t>
      </w:r>
      <w:r w:rsidR="00C329E5" w:rsidRPr="00A57E69">
        <w:t xml:space="preserve">ska </w:t>
      </w:r>
      <w:r w:rsidRPr="00A57E69">
        <w:t xml:space="preserve">komma att </w:t>
      </w:r>
      <w:r w:rsidR="00C329E5" w:rsidRPr="00A57E69">
        <w:t>omfattas av reglerna om statistiksekr</w:t>
      </w:r>
      <w:r w:rsidR="00C329E5" w:rsidRPr="00A57E69">
        <w:t>e</w:t>
      </w:r>
      <w:r w:rsidR="00C329E5" w:rsidRPr="00A57E69">
        <w:t>tess</w:t>
      </w:r>
      <w:r w:rsidRPr="00A57E69">
        <w:t>.</w:t>
      </w:r>
      <w:r w:rsidR="00C329E5" w:rsidRPr="00A57E69">
        <w:t xml:space="preserve"> </w:t>
      </w:r>
    </w:p>
    <w:p w:rsidR="00227786" w:rsidRPr="00A57E69" w:rsidRDefault="00C329E5" w:rsidP="00C329E5">
      <w:pPr>
        <w:pStyle w:val="Normaltindrag"/>
      </w:pPr>
      <w:r w:rsidRPr="00A57E69">
        <w:t xml:space="preserve">Den föreslagna ändringen innebär att statistiska uppgifter </w:t>
      </w:r>
      <w:r w:rsidR="001A05E6" w:rsidRPr="00A57E69">
        <w:t>som ingår i u</w:t>
      </w:r>
      <w:r w:rsidR="001A05E6" w:rsidRPr="00A57E69">
        <w:t>n</w:t>
      </w:r>
      <w:r w:rsidR="001A05E6" w:rsidRPr="00A57E69">
        <w:t>dersö</w:t>
      </w:r>
      <w:r w:rsidR="00E342FE" w:rsidRPr="00A57E69">
        <w:t xml:space="preserve">kningar som utförs av </w:t>
      </w:r>
      <w:r w:rsidR="00820653" w:rsidRPr="00A57E69">
        <w:t>riksdagsförvaltningen</w:t>
      </w:r>
      <w:r w:rsidR="003E2734" w:rsidRPr="00A57E69">
        <w:t>s</w:t>
      </w:r>
      <w:r w:rsidR="00820653" w:rsidRPr="00A57E69">
        <w:t xml:space="preserve"> </w:t>
      </w:r>
      <w:r w:rsidR="00CA7A4E" w:rsidRPr="00A57E69">
        <w:t xml:space="preserve">budgetkontor vid </w:t>
      </w:r>
      <w:r w:rsidR="00E342FE" w:rsidRPr="00A57E69">
        <w:t>riksd</w:t>
      </w:r>
      <w:r w:rsidR="00E342FE" w:rsidRPr="00A57E69">
        <w:t>a</w:t>
      </w:r>
      <w:r w:rsidR="00E342FE" w:rsidRPr="00A57E69">
        <w:t xml:space="preserve">gens utredningstjänst och </w:t>
      </w:r>
      <w:r w:rsidR="001A05E6" w:rsidRPr="00A57E69">
        <w:t>som avser enskilds personliga eller ekon</w:t>
      </w:r>
      <w:r w:rsidR="001A05E6" w:rsidRPr="00A57E69">
        <w:t>o</w:t>
      </w:r>
      <w:r w:rsidR="001A05E6" w:rsidRPr="00A57E69">
        <w:t>miska förhållanden och som kan hänföras till den enskilde</w:t>
      </w:r>
      <w:r w:rsidRPr="00A57E69">
        <w:t xml:space="preserve"> </w:t>
      </w:r>
      <w:r w:rsidR="00F12C8E" w:rsidRPr="00A57E69">
        <w:t xml:space="preserve">kommer att </w:t>
      </w:r>
      <w:r w:rsidRPr="00A57E69">
        <w:t>omfa</w:t>
      </w:r>
      <w:r w:rsidRPr="00A57E69">
        <w:t>t</w:t>
      </w:r>
      <w:r w:rsidRPr="00A57E69">
        <w:t>tas av regle</w:t>
      </w:r>
      <w:r w:rsidRPr="00A57E69">
        <w:t>r</w:t>
      </w:r>
      <w:r w:rsidRPr="00A57E69">
        <w:t xml:space="preserve">na om statistiksekretess. En motsvarande reglering finns </w:t>
      </w:r>
      <w:r w:rsidR="00820653" w:rsidRPr="00A57E69">
        <w:t xml:space="preserve">sedan tidigare </w:t>
      </w:r>
      <w:r w:rsidR="00F12C8E" w:rsidRPr="00A57E69">
        <w:t xml:space="preserve">för </w:t>
      </w:r>
      <w:r w:rsidRPr="00A57E69">
        <w:t xml:space="preserve">bl.a. Riksrevisionen, som </w:t>
      </w:r>
      <w:r w:rsidR="00CA7A4E" w:rsidRPr="00A57E69">
        <w:t xml:space="preserve">liksom riksdagsförvaltningen </w:t>
      </w:r>
      <w:r w:rsidRPr="00A57E69">
        <w:t xml:space="preserve">är en </w:t>
      </w:r>
      <w:r w:rsidR="00F12C8E" w:rsidRPr="00A57E69">
        <w:t>myndighet under r</w:t>
      </w:r>
      <w:r w:rsidRPr="00A57E69">
        <w:t>iksd</w:t>
      </w:r>
      <w:r w:rsidRPr="00A57E69">
        <w:t>a</w:t>
      </w:r>
      <w:r w:rsidRPr="00A57E69">
        <w:t>gen.</w:t>
      </w:r>
    </w:p>
    <w:p w:rsidR="00227786" w:rsidRPr="00A57E69" w:rsidRDefault="00227786" w:rsidP="00C329E5">
      <w:pPr>
        <w:pStyle w:val="Normaltindrag"/>
      </w:pPr>
      <w:r w:rsidRPr="00A57E69">
        <w:t>Lagändringen föreslås träda i kraft den 1 januari 2008.</w:t>
      </w:r>
    </w:p>
    <w:p w:rsidR="00162267" w:rsidRPr="00A57E69" w:rsidRDefault="00C329E5" w:rsidP="00C329E5">
      <w:pPr>
        <w:pStyle w:val="Normaltindrag"/>
      </w:pPr>
      <w:r w:rsidRPr="00A57E69">
        <w:t xml:space="preserve"> </w:t>
      </w:r>
    </w:p>
    <w:p w:rsidR="00C62D5E" w:rsidRPr="00A57E69" w:rsidRDefault="00C62D5E" w:rsidP="00C62D5E">
      <w:pPr>
        <w:pStyle w:val="Normaltindrag"/>
        <w:sectPr w:rsidR="00C62D5E" w:rsidRPr="00A57E6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C62D5E" w:rsidRPr="00A57E69" w:rsidRDefault="00C62D5E" w:rsidP="00C62D5E">
      <w:pPr>
        <w:pStyle w:val="Rubrik1"/>
        <w:rPr>
          <w:noProof w:val="0"/>
        </w:rPr>
      </w:pPr>
      <w:bookmarkStart w:id="4" w:name="_Toc178412607"/>
      <w:r w:rsidRPr="00A57E69">
        <w:rPr>
          <w:noProof w:val="0"/>
        </w:rPr>
        <w:lastRenderedPageBreak/>
        <w:t>Innehållsförteckning</w:t>
      </w:r>
      <w:bookmarkEnd w:id="4"/>
    </w:p>
    <w:p w:rsidR="005C64AA" w:rsidRPr="00A57E69" w:rsidRDefault="005C64AA">
      <w:pPr>
        <w:pStyle w:val="Innehll1"/>
        <w:rPr>
          <w:sz w:val="24"/>
          <w:szCs w:val="24"/>
        </w:rPr>
      </w:pPr>
      <w:r w:rsidRPr="00A57E69">
        <w:t>Sammanfattning</w:t>
      </w:r>
      <w:r w:rsidRPr="00A57E69">
        <w:tab/>
      </w:r>
      <w:r w:rsidR="00AB48A2" w:rsidRPr="00A57E69">
        <w:t>1</w:t>
      </w:r>
    </w:p>
    <w:p w:rsidR="005C64AA" w:rsidRPr="00A57E69" w:rsidRDefault="005C64AA">
      <w:pPr>
        <w:pStyle w:val="Innehll1"/>
        <w:rPr>
          <w:sz w:val="24"/>
          <w:szCs w:val="24"/>
        </w:rPr>
      </w:pPr>
      <w:r w:rsidRPr="00A57E69">
        <w:t>Innehållsförteckning</w:t>
      </w:r>
      <w:r w:rsidRPr="00A57E69">
        <w:tab/>
      </w:r>
      <w:r w:rsidR="00AB48A2" w:rsidRPr="00A57E69">
        <w:t>2</w:t>
      </w:r>
    </w:p>
    <w:p w:rsidR="005C64AA" w:rsidRPr="00A57E69" w:rsidRDefault="005C64AA">
      <w:pPr>
        <w:pStyle w:val="Innehll1"/>
        <w:rPr>
          <w:sz w:val="24"/>
          <w:szCs w:val="24"/>
        </w:rPr>
      </w:pPr>
      <w:r w:rsidRPr="00A57E69">
        <w:t>Riksdagsstyrelsens förslag till riksdagsbeslut</w:t>
      </w:r>
      <w:r w:rsidRPr="00A57E69">
        <w:tab/>
      </w:r>
      <w:r w:rsidR="00AB48A2" w:rsidRPr="00A57E69">
        <w:t>3</w:t>
      </w:r>
    </w:p>
    <w:p w:rsidR="005C64AA" w:rsidRPr="00A57E69" w:rsidRDefault="005C64AA">
      <w:pPr>
        <w:pStyle w:val="Innehll1"/>
        <w:rPr>
          <w:sz w:val="24"/>
          <w:szCs w:val="24"/>
        </w:rPr>
      </w:pPr>
      <w:r w:rsidRPr="00A57E69">
        <w:t>Riksdagsstyrelsens lagförslag</w:t>
      </w:r>
      <w:r w:rsidRPr="00A57E69">
        <w:tab/>
      </w:r>
      <w:r w:rsidR="00AB48A2" w:rsidRPr="00A57E69">
        <w:t>4</w:t>
      </w:r>
    </w:p>
    <w:p w:rsidR="005C64AA" w:rsidRPr="00A57E69" w:rsidRDefault="005C64AA">
      <w:pPr>
        <w:pStyle w:val="Innehll2"/>
        <w:rPr>
          <w:sz w:val="24"/>
          <w:szCs w:val="24"/>
        </w:rPr>
      </w:pPr>
      <w:r w:rsidRPr="00A57E69">
        <w:t>Förslag till lag om ändring i sekretesslagen (1980:100)</w:t>
      </w:r>
      <w:r w:rsidRPr="00A57E69">
        <w:tab/>
      </w:r>
      <w:r w:rsidR="00AB48A2" w:rsidRPr="00A57E69">
        <w:t>4</w:t>
      </w:r>
    </w:p>
    <w:p w:rsidR="005C64AA" w:rsidRPr="00A57E69" w:rsidRDefault="005C64AA">
      <w:pPr>
        <w:pStyle w:val="Innehll2"/>
        <w:rPr>
          <w:sz w:val="24"/>
          <w:szCs w:val="24"/>
        </w:rPr>
      </w:pPr>
      <w:r w:rsidRPr="00A57E69">
        <w:t>Bakgrund</w:t>
      </w:r>
      <w:r w:rsidRPr="00A57E69">
        <w:tab/>
      </w:r>
      <w:r w:rsidR="00AB48A2" w:rsidRPr="00A57E69">
        <w:t>5</w:t>
      </w:r>
    </w:p>
    <w:p w:rsidR="005C64AA" w:rsidRPr="00A57E69" w:rsidRDefault="005C64AA">
      <w:pPr>
        <w:pStyle w:val="Innehll2"/>
        <w:rPr>
          <w:sz w:val="24"/>
          <w:szCs w:val="24"/>
        </w:rPr>
      </w:pPr>
      <w:r w:rsidRPr="00A57E69">
        <w:t>Redogörelse för ärendet</w:t>
      </w:r>
      <w:r w:rsidRPr="00A57E69">
        <w:tab/>
      </w:r>
      <w:r w:rsidR="00AB48A2" w:rsidRPr="00A57E69">
        <w:t>5</w:t>
      </w:r>
    </w:p>
    <w:p w:rsidR="005C64AA" w:rsidRPr="00A57E69" w:rsidRDefault="005C64AA">
      <w:pPr>
        <w:pStyle w:val="Innehll1"/>
        <w:rPr>
          <w:sz w:val="24"/>
          <w:szCs w:val="24"/>
        </w:rPr>
      </w:pPr>
      <w:r w:rsidRPr="00A57E69">
        <w:t>Riksdagsstyrelsens överväganden och förslag</w:t>
      </w:r>
      <w:r w:rsidRPr="00A57E69">
        <w:tab/>
      </w:r>
      <w:r w:rsidR="00AB48A2" w:rsidRPr="00A57E69">
        <w:t>7</w:t>
      </w:r>
    </w:p>
    <w:p w:rsidR="005C64AA" w:rsidRPr="00A57E69" w:rsidRDefault="005C64AA">
      <w:pPr>
        <w:pStyle w:val="Innehll2"/>
        <w:rPr>
          <w:sz w:val="24"/>
          <w:szCs w:val="24"/>
        </w:rPr>
      </w:pPr>
      <w:r w:rsidRPr="00A57E69">
        <w:t>Gällande bestämmelser</w:t>
      </w:r>
      <w:r w:rsidRPr="00A57E69">
        <w:tab/>
      </w:r>
      <w:r w:rsidR="00AB48A2" w:rsidRPr="00A57E69">
        <w:t>7</w:t>
      </w:r>
    </w:p>
    <w:p w:rsidR="005C64AA" w:rsidRPr="00A57E69" w:rsidRDefault="005C64AA">
      <w:pPr>
        <w:pStyle w:val="Innehll3"/>
        <w:rPr>
          <w:sz w:val="24"/>
          <w:szCs w:val="24"/>
        </w:rPr>
      </w:pPr>
      <w:r w:rsidRPr="00A57E69">
        <w:t>Reglerna om statistiksekretess i sekretesslagen (1980:100)</w:t>
      </w:r>
      <w:r w:rsidRPr="00A57E69">
        <w:tab/>
      </w:r>
      <w:r w:rsidR="00AB48A2" w:rsidRPr="00A57E69">
        <w:t>7</w:t>
      </w:r>
    </w:p>
    <w:p w:rsidR="005C64AA" w:rsidRPr="00A57E69" w:rsidRDefault="005C64AA">
      <w:pPr>
        <w:pStyle w:val="Innehll2"/>
        <w:rPr>
          <w:sz w:val="24"/>
          <w:szCs w:val="24"/>
        </w:rPr>
      </w:pPr>
      <w:r w:rsidRPr="00A57E69">
        <w:t>Riksdagsstyrelsens överväganden</w:t>
      </w:r>
      <w:r w:rsidRPr="00A57E69">
        <w:tab/>
      </w:r>
      <w:r w:rsidR="00AB48A2" w:rsidRPr="00A57E69">
        <w:t>8</w:t>
      </w:r>
    </w:p>
    <w:p w:rsidR="005C64AA" w:rsidRPr="00A57E69" w:rsidRDefault="005C64AA">
      <w:pPr>
        <w:pStyle w:val="Innehll3"/>
        <w:rPr>
          <w:sz w:val="24"/>
          <w:szCs w:val="24"/>
        </w:rPr>
      </w:pPr>
      <w:r w:rsidRPr="00A57E69">
        <w:t>Skälen för riksdagsstyrelsens förslag</w:t>
      </w:r>
      <w:r w:rsidRPr="00A57E69">
        <w:tab/>
      </w:r>
      <w:r w:rsidR="00AB48A2" w:rsidRPr="00A57E69">
        <w:t>8</w:t>
      </w:r>
    </w:p>
    <w:p w:rsidR="005C64AA" w:rsidRPr="00A57E69" w:rsidRDefault="005C64AA" w:rsidP="005C64AA">
      <w:pPr>
        <w:pStyle w:val="Innehll1"/>
        <w:spacing w:before="125"/>
        <w:rPr>
          <w:i/>
        </w:rPr>
      </w:pPr>
      <w:r w:rsidRPr="00A57E69">
        <w:rPr>
          <w:i/>
        </w:rPr>
        <w:t>Bilaga</w:t>
      </w:r>
    </w:p>
    <w:p w:rsidR="005C64AA" w:rsidRPr="00A57E69" w:rsidRDefault="005C64AA">
      <w:pPr>
        <w:pStyle w:val="Innehll1"/>
        <w:rPr>
          <w:sz w:val="24"/>
          <w:szCs w:val="24"/>
        </w:rPr>
      </w:pPr>
      <w:r w:rsidRPr="00A57E69">
        <w:t>Riksdagens utredningstjänsts promemoria</w:t>
      </w:r>
      <w:r w:rsidRPr="00A57E69">
        <w:tab/>
      </w:r>
      <w:r w:rsidR="00AB48A2" w:rsidRPr="00A57E69">
        <w:t>10</w:t>
      </w:r>
    </w:p>
    <w:p w:rsidR="005C64AA" w:rsidRPr="00A57E69" w:rsidRDefault="005C64AA">
      <w:pPr>
        <w:pStyle w:val="Innehll1"/>
        <w:rPr>
          <w:sz w:val="24"/>
          <w:szCs w:val="24"/>
        </w:rPr>
      </w:pPr>
      <w:r w:rsidRPr="00A57E69">
        <w:t>1</w:t>
      </w:r>
      <w:r w:rsidR="00B20BB7" w:rsidRPr="00A57E69">
        <w:t xml:space="preserve"> </w:t>
      </w:r>
      <w:r w:rsidRPr="00A57E69">
        <w:t xml:space="preserve"> Inledning</w:t>
      </w:r>
      <w:r w:rsidRPr="00A57E69">
        <w:tab/>
      </w:r>
      <w:r w:rsidR="00AB48A2" w:rsidRPr="00A57E69">
        <w:t>10</w:t>
      </w:r>
    </w:p>
    <w:p w:rsidR="005C64AA" w:rsidRPr="00A57E69" w:rsidRDefault="005C64AA">
      <w:pPr>
        <w:pStyle w:val="Innehll1"/>
        <w:rPr>
          <w:sz w:val="24"/>
          <w:szCs w:val="24"/>
        </w:rPr>
      </w:pPr>
      <w:r w:rsidRPr="00A57E69">
        <w:t>2</w:t>
      </w:r>
      <w:r w:rsidR="00B20BB7" w:rsidRPr="00A57E69">
        <w:t xml:space="preserve"> </w:t>
      </w:r>
      <w:r w:rsidRPr="00A57E69">
        <w:t xml:space="preserve"> Handlingsoffentlighet</w:t>
      </w:r>
      <w:r w:rsidRPr="00A57E69">
        <w:tab/>
      </w:r>
      <w:r w:rsidR="00AB48A2" w:rsidRPr="00A57E69">
        <w:t>10</w:t>
      </w:r>
    </w:p>
    <w:p w:rsidR="005C64AA" w:rsidRPr="00A57E69" w:rsidRDefault="005C64AA">
      <w:pPr>
        <w:pStyle w:val="Innehll2"/>
        <w:rPr>
          <w:sz w:val="24"/>
          <w:szCs w:val="24"/>
        </w:rPr>
      </w:pPr>
      <w:r w:rsidRPr="00A57E69">
        <w:t>2.1 Allmän handling</w:t>
      </w:r>
      <w:r w:rsidRPr="00A57E69">
        <w:tab/>
      </w:r>
      <w:r w:rsidR="00AB48A2" w:rsidRPr="00A57E69">
        <w:t>11</w:t>
      </w:r>
    </w:p>
    <w:p w:rsidR="005C64AA" w:rsidRPr="00A57E69" w:rsidRDefault="005C64AA">
      <w:pPr>
        <w:pStyle w:val="Innehll3"/>
        <w:rPr>
          <w:sz w:val="24"/>
          <w:szCs w:val="24"/>
        </w:rPr>
      </w:pPr>
      <w:r w:rsidRPr="00A57E69">
        <w:t>2.1.1 Handling</w:t>
      </w:r>
      <w:r w:rsidRPr="00A57E69">
        <w:tab/>
      </w:r>
      <w:r w:rsidR="00AB48A2" w:rsidRPr="00A57E69">
        <w:t>11</w:t>
      </w:r>
    </w:p>
    <w:p w:rsidR="005C64AA" w:rsidRPr="00A57E69" w:rsidRDefault="005C64AA">
      <w:pPr>
        <w:pStyle w:val="Innehll3"/>
        <w:rPr>
          <w:sz w:val="24"/>
          <w:szCs w:val="24"/>
        </w:rPr>
      </w:pPr>
      <w:r w:rsidRPr="00A57E69">
        <w:t>2.1.2 Allmän</w:t>
      </w:r>
      <w:r w:rsidRPr="00A57E69">
        <w:tab/>
      </w:r>
      <w:r w:rsidR="00AB48A2" w:rsidRPr="00A57E69">
        <w:t>11</w:t>
      </w:r>
    </w:p>
    <w:p w:rsidR="005C64AA" w:rsidRPr="00A57E69" w:rsidRDefault="005C64AA">
      <w:pPr>
        <w:pStyle w:val="Innehll3"/>
        <w:rPr>
          <w:sz w:val="24"/>
          <w:szCs w:val="24"/>
        </w:rPr>
      </w:pPr>
      <w:r w:rsidRPr="00A57E69">
        <w:t>2.1.3 Begreppet myndighet</w:t>
      </w:r>
      <w:r w:rsidRPr="00A57E69">
        <w:tab/>
      </w:r>
      <w:r w:rsidR="00AB48A2" w:rsidRPr="00A57E69">
        <w:t>11</w:t>
      </w:r>
    </w:p>
    <w:p w:rsidR="005C64AA" w:rsidRPr="00A57E69" w:rsidRDefault="005C64AA">
      <w:pPr>
        <w:pStyle w:val="Innehll3"/>
        <w:rPr>
          <w:sz w:val="24"/>
          <w:szCs w:val="24"/>
        </w:rPr>
      </w:pPr>
      <w:r w:rsidRPr="00A57E69">
        <w:t>2.1.4 Förvaring</w:t>
      </w:r>
      <w:r w:rsidRPr="00A57E69">
        <w:tab/>
      </w:r>
      <w:r w:rsidR="00AB48A2" w:rsidRPr="00A57E69">
        <w:t>11</w:t>
      </w:r>
    </w:p>
    <w:p w:rsidR="005C64AA" w:rsidRPr="00A57E69" w:rsidRDefault="005C64AA">
      <w:pPr>
        <w:pStyle w:val="Innehll3"/>
        <w:rPr>
          <w:sz w:val="24"/>
          <w:szCs w:val="24"/>
        </w:rPr>
      </w:pPr>
      <w:r w:rsidRPr="00A57E69">
        <w:t>2.1.5 Inkommen till myndigheten</w:t>
      </w:r>
      <w:r w:rsidRPr="00A57E69">
        <w:tab/>
      </w:r>
      <w:r w:rsidR="00AB48A2" w:rsidRPr="00A57E69">
        <w:t>12</w:t>
      </w:r>
    </w:p>
    <w:p w:rsidR="005C64AA" w:rsidRPr="00A57E69" w:rsidRDefault="005C64AA">
      <w:pPr>
        <w:pStyle w:val="Innehll2"/>
        <w:rPr>
          <w:sz w:val="24"/>
          <w:szCs w:val="24"/>
        </w:rPr>
      </w:pPr>
      <w:r w:rsidRPr="00A57E69">
        <w:t>2.2 Rätten att ta del av allmän handling</w:t>
      </w:r>
      <w:r w:rsidRPr="00A57E69">
        <w:tab/>
      </w:r>
      <w:r w:rsidR="00AB48A2" w:rsidRPr="00A57E69">
        <w:t>12</w:t>
      </w:r>
    </w:p>
    <w:p w:rsidR="005C64AA" w:rsidRPr="00A57E69" w:rsidRDefault="005C64AA">
      <w:pPr>
        <w:pStyle w:val="Innehll2"/>
        <w:rPr>
          <w:sz w:val="24"/>
          <w:szCs w:val="24"/>
        </w:rPr>
      </w:pPr>
      <w:r w:rsidRPr="00A57E69">
        <w:t>2.3 Statistiska uppgifter hos utredningstjänstens budgetkontor</w:t>
      </w:r>
      <w:r w:rsidRPr="00A57E69">
        <w:tab/>
      </w:r>
      <w:r w:rsidR="00AB48A2" w:rsidRPr="00A57E69">
        <w:t>13</w:t>
      </w:r>
    </w:p>
    <w:p w:rsidR="005C64AA" w:rsidRPr="00A57E69" w:rsidRDefault="005C64AA">
      <w:pPr>
        <w:pStyle w:val="Innehll1"/>
        <w:rPr>
          <w:sz w:val="24"/>
          <w:szCs w:val="24"/>
        </w:rPr>
      </w:pPr>
      <w:r w:rsidRPr="00A57E69">
        <w:t>3</w:t>
      </w:r>
      <w:r w:rsidR="00B20BB7" w:rsidRPr="00A57E69">
        <w:t xml:space="preserve"> </w:t>
      </w:r>
      <w:r w:rsidRPr="00A57E69">
        <w:t xml:space="preserve"> Sekretess</w:t>
      </w:r>
      <w:r w:rsidRPr="00A57E69">
        <w:tab/>
      </w:r>
      <w:r w:rsidR="00AB48A2" w:rsidRPr="00A57E69">
        <w:t>13</w:t>
      </w:r>
    </w:p>
    <w:p w:rsidR="005C64AA" w:rsidRPr="00A57E69" w:rsidRDefault="005C64AA">
      <w:pPr>
        <w:pStyle w:val="Innehll2"/>
        <w:rPr>
          <w:sz w:val="24"/>
          <w:szCs w:val="24"/>
        </w:rPr>
      </w:pPr>
      <w:r w:rsidRPr="00A57E69">
        <w:t>3.1 Generella regler om sekretess</w:t>
      </w:r>
      <w:r w:rsidRPr="00A57E69">
        <w:tab/>
      </w:r>
      <w:r w:rsidR="00AB48A2" w:rsidRPr="00A57E69">
        <w:t>13</w:t>
      </w:r>
    </w:p>
    <w:p w:rsidR="005C64AA" w:rsidRPr="00A57E69" w:rsidRDefault="005C64AA">
      <w:pPr>
        <w:pStyle w:val="Innehll2"/>
        <w:rPr>
          <w:sz w:val="24"/>
          <w:szCs w:val="24"/>
        </w:rPr>
      </w:pPr>
      <w:r w:rsidRPr="00A57E69">
        <w:t>3.2 Statistiksekretess</w:t>
      </w:r>
      <w:r w:rsidRPr="00A57E69">
        <w:tab/>
      </w:r>
      <w:r w:rsidR="00AB48A2" w:rsidRPr="00A57E69">
        <w:t>14</w:t>
      </w:r>
    </w:p>
    <w:p w:rsidR="005C64AA" w:rsidRPr="00A57E69" w:rsidRDefault="005C64AA">
      <w:pPr>
        <w:pStyle w:val="Innehll3"/>
        <w:rPr>
          <w:sz w:val="24"/>
          <w:szCs w:val="24"/>
        </w:rPr>
      </w:pPr>
      <w:r w:rsidRPr="00A57E69">
        <w:t>3.2.1 Begreppet framställning av statistik</w:t>
      </w:r>
      <w:r w:rsidRPr="00A57E69">
        <w:tab/>
      </w:r>
      <w:r w:rsidR="00AB48A2" w:rsidRPr="00A57E69">
        <w:t>15</w:t>
      </w:r>
    </w:p>
    <w:p w:rsidR="005C64AA" w:rsidRPr="00A57E69" w:rsidRDefault="005C64AA">
      <w:pPr>
        <w:pStyle w:val="Innehll3"/>
        <w:rPr>
          <w:sz w:val="24"/>
          <w:szCs w:val="24"/>
        </w:rPr>
      </w:pPr>
      <w:r w:rsidRPr="00A57E69">
        <w:t>3.2.2 Bemyndigande för regeringen</w:t>
      </w:r>
      <w:r w:rsidRPr="00A57E69">
        <w:tab/>
      </w:r>
      <w:r w:rsidR="00AB48A2" w:rsidRPr="00A57E69">
        <w:t>16</w:t>
      </w:r>
    </w:p>
    <w:p w:rsidR="005C64AA" w:rsidRPr="00A57E69" w:rsidRDefault="005C64AA">
      <w:pPr>
        <w:pStyle w:val="Innehll3"/>
        <w:rPr>
          <w:sz w:val="24"/>
          <w:szCs w:val="24"/>
        </w:rPr>
      </w:pPr>
      <w:r w:rsidRPr="00A57E69">
        <w:t>3.2.3 Begreppet annan jämförbar undersökning</w:t>
      </w:r>
      <w:r w:rsidRPr="00A57E69">
        <w:tab/>
      </w:r>
      <w:r w:rsidR="00AB48A2" w:rsidRPr="00A57E69">
        <w:t>16</w:t>
      </w:r>
    </w:p>
    <w:p w:rsidR="005C64AA" w:rsidRPr="00A57E69" w:rsidRDefault="005C64AA">
      <w:pPr>
        <w:pStyle w:val="Innehll1"/>
        <w:rPr>
          <w:sz w:val="24"/>
          <w:szCs w:val="24"/>
        </w:rPr>
      </w:pPr>
      <w:r w:rsidRPr="00A57E69">
        <w:t>4</w:t>
      </w:r>
      <w:r w:rsidR="00B20BB7" w:rsidRPr="00A57E69">
        <w:t xml:space="preserve"> </w:t>
      </w:r>
      <w:r w:rsidRPr="00A57E69">
        <w:t xml:space="preserve"> Utredningstjänstens budgetkontor</w:t>
      </w:r>
      <w:r w:rsidRPr="00A57E69">
        <w:tab/>
      </w:r>
      <w:r w:rsidR="00AB48A2" w:rsidRPr="00A57E69">
        <w:t>17</w:t>
      </w:r>
    </w:p>
    <w:p w:rsidR="005C64AA" w:rsidRPr="00A57E69" w:rsidRDefault="005C64AA">
      <w:pPr>
        <w:pStyle w:val="Innehll2"/>
        <w:rPr>
          <w:sz w:val="24"/>
          <w:szCs w:val="24"/>
        </w:rPr>
      </w:pPr>
      <w:r w:rsidRPr="00A57E69">
        <w:t>4.1 Sekretesskydd inom utredningstjänstens budgetkontor</w:t>
      </w:r>
      <w:r w:rsidRPr="00A57E69">
        <w:tab/>
      </w:r>
      <w:r w:rsidR="00AB48A2" w:rsidRPr="00A57E69">
        <w:t>18</w:t>
      </w:r>
    </w:p>
    <w:p w:rsidR="005C64AA" w:rsidRPr="00A57E69" w:rsidRDefault="005C64AA">
      <w:pPr>
        <w:pStyle w:val="Innehll3"/>
        <w:rPr>
          <w:sz w:val="24"/>
          <w:szCs w:val="24"/>
        </w:rPr>
      </w:pPr>
      <w:r w:rsidRPr="00A57E69">
        <w:t>4.1.1 Uppdragssekretess</w:t>
      </w:r>
      <w:r w:rsidRPr="00A57E69">
        <w:tab/>
      </w:r>
      <w:r w:rsidR="00AB48A2" w:rsidRPr="00A57E69">
        <w:t>18</w:t>
      </w:r>
    </w:p>
    <w:p w:rsidR="005C64AA" w:rsidRPr="00A57E69" w:rsidRDefault="005C64AA">
      <w:pPr>
        <w:pStyle w:val="Innehll2"/>
        <w:rPr>
          <w:sz w:val="24"/>
          <w:szCs w:val="24"/>
        </w:rPr>
      </w:pPr>
      <w:r w:rsidRPr="00A57E69">
        <w:t>4.2 Möjlighet att ta del av uppgifter som omfattas av statistiksekretess</w:t>
      </w:r>
      <w:r w:rsidRPr="00A57E69">
        <w:tab/>
      </w:r>
      <w:r w:rsidR="00AB48A2" w:rsidRPr="00A57E69">
        <w:t>18</w:t>
      </w:r>
    </w:p>
    <w:p w:rsidR="005C64AA" w:rsidRPr="00A57E69" w:rsidRDefault="005C64AA" w:rsidP="005C64AA">
      <w:pPr>
        <w:pStyle w:val="Innehll3"/>
        <w:ind w:left="1021" w:hanging="454"/>
        <w:rPr>
          <w:sz w:val="24"/>
          <w:szCs w:val="24"/>
        </w:rPr>
      </w:pPr>
      <w:r w:rsidRPr="00A57E69">
        <w:t>4.2.1 Riksdagens generella möjlighet att ta del av sekretesskyddat material</w:t>
      </w:r>
      <w:r w:rsidRPr="00A57E69">
        <w:tab/>
      </w:r>
      <w:r w:rsidR="00AB48A2" w:rsidRPr="00A57E69">
        <w:t>18</w:t>
      </w:r>
    </w:p>
    <w:p w:rsidR="005C64AA" w:rsidRPr="00A57E69" w:rsidRDefault="005C64AA" w:rsidP="005C64AA">
      <w:pPr>
        <w:pStyle w:val="Innehll3"/>
        <w:ind w:left="1021" w:hanging="454"/>
        <w:rPr>
          <w:sz w:val="24"/>
          <w:szCs w:val="24"/>
        </w:rPr>
      </w:pPr>
      <w:r w:rsidRPr="00A57E69">
        <w:t>4.2.2 Vilka regelförändringar krävs för att utredningstjänstens budgetkontors undersökningar (simuleringsmodeller) ska omfattas av reglerna om statistiksekretess?</w:t>
      </w:r>
      <w:r w:rsidRPr="00A57E69">
        <w:tab/>
      </w:r>
      <w:r w:rsidR="00AB48A2" w:rsidRPr="00A57E69">
        <w:t>19</w:t>
      </w:r>
    </w:p>
    <w:p w:rsidR="00C62D5E" w:rsidRPr="00A57E69" w:rsidRDefault="005C64AA" w:rsidP="005C64AA">
      <w:pPr>
        <w:pStyle w:val="Innehll2"/>
      </w:pPr>
      <w:r w:rsidRPr="00A57E69">
        <w:t>Källor</w:t>
      </w:r>
      <w:r w:rsidRPr="00A57E69">
        <w:tab/>
      </w:r>
      <w:r w:rsidR="00AB48A2" w:rsidRPr="00A57E69">
        <w:t>20</w:t>
      </w:r>
    </w:p>
    <w:p w:rsidR="00C62D5E" w:rsidRPr="00A57E69" w:rsidRDefault="00C62D5E" w:rsidP="00C62D5E">
      <w:pPr>
        <w:pStyle w:val="Normaltindrag"/>
        <w:sectPr w:rsidR="00C62D5E" w:rsidRPr="00A57E6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62D5E" w:rsidRPr="00A57E69" w:rsidRDefault="00C62D5E" w:rsidP="00C62D5E">
      <w:pPr>
        <w:pStyle w:val="Rubrik1"/>
        <w:rPr>
          <w:noProof w:val="0"/>
        </w:rPr>
      </w:pPr>
      <w:bookmarkStart w:id="5" w:name="_Toc178412608"/>
      <w:r w:rsidRPr="00A57E69">
        <w:rPr>
          <w:noProof w:val="0"/>
        </w:rPr>
        <w:t>Riksdagsstyrelsens förslag till riksdagsbeslut</w:t>
      </w:r>
      <w:bookmarkEnd w:id="5"/>
    </w:p>
    <w:p w:rsidR="00F502EE" w:rsidRPr="00A57E69" w:rsidRDefault="00F502EE" w:rsidP="00F502EE">
      <w:r w:rsidRPr="00A57E69">
        <w:t xml:space="preserve">Riksdagen antar riksdagsstyrelsens förslag till lag om ändring i sekretesslagen (1980:100). </w:t>
      </w:r>
    </w:p>
    <w:p w:rsidR="00C62D5E" w:rsidRPr="00A57E69" w:rsidRDefault="00C62D5E" w:rsidP="00C62D5E">
      <w:pPr>
        <w:pStyle w:val="Normaltindrag"/>
      </w:pPr>
      <w:bookmarkStart w:id="6" w:name="Nästa_Hpunkt"/>
      <w:bookmarkEnd w:id="6"/>
    </w:p>
    <w:p w:rsidR="00C62D5E" w:rsidRPr="00A57E69" w:rsidRDefault="00C62D5E" w:rsidP="00C62D5E">
      <w:pPr>
        <w:pStyle w:val="Utskriftsdatum"/>
      </w:pPr>
      <w:r w:rsidRPr="00A57E69">
        <w:t xml:space="preserve">Stockholm den </w:t>
      </w:r>
      <w:r w:rsidR="00F502EE" w:rsidRPr="00A57E69">
        <w:t>24 oktober 2007</w:t>
      </w:r>
      <w:r w:rsidRPr="00A57E69">
        <w:t xml:space="preserve"> </w:t>
      </w:r>
    </w:p>
    <w:p w:rsidR="00F502EE" w:rsidRPr="00A57E69" w:rsidRDefault="00C62D5E" w:rsidP="00F502EE">
      <w:r w:rsidRPr="00A57E69">
        <w:t>På riksdagsstyrelsens vägnar</w:t>
      </w:r>
      <w:bookmarkStart w:id="7" w:name="Ordförande"/>
      <w:bookmarkStart w:id="8" w:name="Deltagare"/>
      <w:bookmarkEnd w:id="7"/>
      <w:bookmarkEnd w:id="8"/>
    </w:p>
    <w:p w:rsidR="00F502EE" w:rsidRPr="00A57E69" w:rsidRDefault="00F502EE" w:rsidP="00F502EE"/>
    <w:p w:rsidR="00F502EE" w:rsidRPr="00A57E69" w:rsidRDefault="00F502EE" w:rsidP="00F502EE"/>
    <w:p w:rsidR="00F502EE" w:rsidRPr="00A57E69" w:rsidRDefault="00F502EE" w:rsidP="00F502EE">
      <w:r w:rsidRPr="00A57E69">
        <w:rPr>
          <w:i/>
        </w:rPr>
        <w:t>Per Westerberg</w:t>
      </w:r>
    </w:p>
    <w:p w:rsidR="00F502EE" w:rsidRPr="00A57E69" w:rsidRDefault="00F502EE" w:rsidP="00C62D5E">
      <w:pPr>
        <w:pStyle w:val="Normaltindrag"/>
        <w:rPr>
          <w:i/>
        </w:rPr>
      </w:pPr>
    </w:p>
    <w:p w:rsidR="00C62D5E" w:rsidRPr="00A57E69" w:rsidRDefault="00F502EE" w:rsidP="00F502EE">
      <w:pPr>
        <w:pStyle w:val="Normaltindrag"/>
        <w:ind w:left="2608" w:firstLine="1304"/>
        <w:rPr>
          <w:i/>
        </w:rPr>
      </w:pPr>
      <w:r w:rsidRPr="00A57E69">
        <w:rPr>
          <w:i/>
        </w:rPr>
        <w:t>Anders Forsberg</w:t>
      </w:r>
    </w:p>
    <w:p w:rsidR="00F502EE" w:rsidRPr="00A57E69" w:rsidRDefault="00F502EE" w:rsidP="00F502EE">
      <w:pPr>
        <w:pStyle w:val="Normaltindrag"/>
        <w:ind w:left="2608" w:firstLine="1304"/>
        <w:rPr>
          <w:i/>
        </w:rPr>
      </w:pPr>
    </w:p>
    <w:p w:rsidR="00F502EE" w:rsidRPr="00A57E69" w:rsidRDefault="00F502EE" w:rsidP="00123EF1">
      <w:pPr>
        <w:pStyle w:val="Deltagare"/>
        <w:rPr>
          <w:noProof w:val="0"/>
        </w:rPr>
      </w:pPr>
      <w:r w:rsidRPr="00A57E69">
        <w:rPr>
          <w:noProof w:val="0"/>
        </w:rPr>
        <w:t xml:space="preserve">I beslutet har deltagit </w:t>
      </w:r>
      <w:r w:rsidR="00952D8D" w:rsidRPr="00A57E69">
        <w:rPr>
          <w:noProof w:val="0"/>
        </w:rPr>
        <w:t>Per Westerberg</w:t>
      </w:r>
      <w:r w:rsidRPr="00A57E69">
        <w:rPr>
          <w:noProof w:val="0"/>
        </w:rPr>
        <w:t xml:space="preserve">, ordförande, </w:t>
      </w:r>
      <w:r w:rsidR="00952D8D" w:rsidRPr="00A57E69">
        <w:rPr>
          <w:noProof w:val="0"/>
        </w:rPr>
        <w:t>Britt Bohlin Olsson, Lars Lindblad, Leif Jakobsson, Margareta Pålsson, Berit Andnor, Alf Eriksson, Roger Tiefensee, Allan Widman</w:t>
      </w:r>
      <w:r w:rsidRPr="00A57E69">
        <w:rPr>
          <w:noProof w:val="0"/>
        </w:rPr>
        <w:t xml:space="preserve"> och </w:t>
      </w:r>
      <w:r w:rsidR="00952D8D" w:rsidRPr="00A57E69">
        <w:rPr>
          <w:noProof w:val="0"/>
        </w:rPr>
        <w:t>Margareta Israelsson</w:t>
      </w:r>
      <w:r w:rsidRPr="00A57E69">
        <w:rPr>
          <w:noProof w:val="0"/>
        </w:rPr>
        <w:t>.</w:t>
      </w:r>
    </w:p>
    <w:p w:rsidR="00501854" w:rsidRPr="00A57E69" w:rsidRDefault="00501854" w:rsidP="008F3E08">
      <w:pPr>
        <w:spacing w:before="187"/>
        <w:sectPr w:rsidR="00501854" w:rsidRPr="00A57E69" w:rsidSect="0050185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C62D5E" w:rsidRPr="00A57E69" w:rsidRDefault="00F502EE" w:rsidP="00C62D5E">
      <w:pPr>
        <w:pStyle w:val="Rubrik1"/>
        <w:rPr>
          <w:noProof w:val="0"/>
        </w:rPr>
      </w:pPr>
      <w:bookmarkStart w:id="9" w:name="_Toc178412609"/>
      <w:r w:rsidRPr="00A57E69">
        <w:rPr>
          <w:noProof w:val="0"/>
        </w:rPr>
        <w:t>Riksdagsstyrelsens lagförslag</w:t>
      </w:r>
      <w:bookmarkEnd w:id="9"/>
    </w:p>
    <w:p w:rsidR="006417DF" w:rsidRPr="00A57E69" w:rsidRDefault="006417DF" w:rsidP="006417DF">
      <w:pPr>
        <w:pStyle w:val="Rubrik2"/>
      </w:pPr>
      <w:bookmarkStart w:id="10" w:name="_Toc178412610"/>
      <w:r w:rsidRPr="00A57E69">
        <w:t>Förslag till lag om ändring i sekretesslagen (1980:100)</w:t>
      </w:r>
      <w:bookmarkEnd w:id="10"/>
    </w:p>
    <w:p w:rsidR="006417DF" w:rsidRPr="00A57E69" w:rsidRDefault="006417DF" w:rsidP="00C22C8D">
      <w:pPr>
        <w:pStyle w:val="Normaltindrag"/>
      </w:pPr>
      <w:r w:rsidRPr="00A57E69">
        <w:t>Härigenom föreskrivs att 9 kap. 4 §</w:t>
      </w:r>
      <w:r w:rsidRPr="00A57E69">
        <w:rPr>
          <w:rStyle w:val="Fotnotsreferens"/>
        </w:rPr>
        <w:footnoteReference w:id="1"/>
      </w:r>
      <w:r w:rsidRPr="00A57E69">
        <w:t xml:space="preserve"> sekretesslagen (1980:100) ska ha fö</w:t>
      </w:r>
      <w:r w:rsidRPr="00A57E69">
        <w:t>l</w:t>
      </w:r>
      <w:r w:rsidRPr="00A57E69">
        <w:t>jande lydelse.</w:t>
      </w:r>
    </w:p>
    <w:p w:rsidR="006417DF" w:rsidRPr="00A57E69" w:rsidRDefault="006417DF" w:rsidP="006417DF">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6B14C1" w:rsidRPr="00A57E69" w:rsidTr="006B14C1">
        <w:tblPrEx>
          <w:tblCellMar>
            <w:top w:w="0" w:type="dxa"/>
            <w:bottom w:w="0" w:type="dxa"/>
          </w:tblCellMar>
        </w:tblPrEx>
        <w:trPr>
          <w:tblHeader/>
        </w:trPr>
        <w:tc>
          <w:tcPr>
            <w:tcW w:w="3090" w:type="dxa"/>
          </w:tcPr>
          <w:p w:rsidR="006B14C1" w:rsidRPr="00A57E69" w:rsidRDefault="006B14C1" w:rsidP="006B14C1">
            <w:pPr>
              <w:pStyle w:val="LagtextRubrik"/>
            </w:pPr>
            <w:r w:rsidRPr="00A57E69">
              <w:t>Nuvarande lydelse</w:t>
            </w:r>
          </w:p>
        </w:tc>
        <w:tc>
          <w:tcPr>
            <w:tcW w:w="3090" w:type="dxa"/>
          </w:tcPr>
          <w:p w:rsidR="006B14C1" w:rsidRPr="00A57E69" w:rsidRDefault="006B14C1" w:rsidP="006B14C1">
            <w:pPr>
              <w:pStyle w:val="LagtextRubrik"/>
            </w:pPr>
            <w:r w:rsidRPr="00A57E69">
              <w:t>Föreslagen lydelse</w:t>
            </w:r>
          </w:p>
        </w:tc>
      </w:tr>
      <w:tr w:rsidR="006B14C1" w:rsidRPr="00A57E69" w:rsidTr="006B14C1">
        <w:tblPrEx>
          <w:tblCellMar>
            <w:top w:w="0" w:type="dxa"/>
            <w:bottom w:w="0" w:type="dxa"/>
          </w:tblCellMar>
        </w:tblPrEx>
        <w:tc>
          <w:tcPr>
            <w:tcW w:w="3090" w:type="dxa"/>
          </w:tcPr>
          <w:p w:rsidR="006B14C1" w:rsidRPr="00A57E69" w:rsidRDefault="006B14C1" w:rsidP="006B14C1">
            <w:pPr>
              <w:pStyle w:val="LagtextIndrag"/>
            </w:pPr>
          </w:p>
        </w:tc>
        <w:tc>
          <w:tcPr>
            <w:tcW w:w="3090" w:type="dxa"/>
          </w:tcPr>
          <w:p w:rsidR="006B14C1" w:rsidRPr="00A57E69" w:rsidRDefault="006B14C1" w:rsidP="006B14C1">
            <w:pPr>
              <w:pStyle w:val="LagtextIndrag"/>
            </w:pPr>
          </w:p>
        </w:tc>
      </w:tr>
      <w:tr w:rsidR="006B14C1" w:rsidRPr="00A57E69" w:rsidTr="006B14C1">
        <w:tblPrEx>
          <w:tblCellMar>
            <w:top w:w="0" w:type="dxa"/>
            <w:bottom w:w="0" w:type="dxa"/>
          </w:tblCellMar>
        </w:tblPrEx>
        <w:trPr>
          <w:tblHeader/>
        </w:trPr>
        <w:tc>
          <w:tcPr>
            <w:tcW w:w="6180" w:type="dxa"/>
            <w:gridSpan w:val="2"/>
          </w:tcPr>
          <w:p w:rsidR="006B14C1" w:rsidRPr="00A57E69" w:rsidRDefault="006B14C1" w:rsidP="009C61EA">
            <w:pPr>
              <w:pStyle w:val="LagtextIndrag"/>
              <w:jc w:val="center"/>
              <w:rPr>
                <w:i/>
              </w:rPr>
            </w:pPr>
            <w:r w:rsidRPr="00A57E69">
              <w:t>9 kap. 4 §</w:t>
            </w:r>
          </w:p>
        </w:tc>
      </w:tr>
      <w:tr w:rsidR="006417DF" w:rsidRPr="00A57E69" w:rsidTr="00F502EE">
        <w:tblPrEx>
          <w:tblCellMar>
            <w:top w:w="0" w:type="dxa"/>
            <w:bottom w:w="0" w:type="dxa"/>
          </w:tblCellMar>
        </w:tblPrEx>
        <w:tc>
          <w:tcPr>
            <w:tcW w:w="3090" w:type="dxa"/>
          </w:tcPr>
          <w:p w:rsidR="006417DF" w:rsidRPr="00A57E69" w:rsidRDefault="006417DF" w:rsidP="006417DF">
            <w:pPr>
              <w:pStyle w:val="LagtextIndrag"/>
            </w:pPr>
            <w:r w:rsidRPr="00A57E69">
              <w:t>Sekretess gäller i sådan sä</w:t>
            </w:r>
            <w:r w:rsidRPr="00A57E69">
              <w:t>r</w:t>
            </w:r>
            <w:r w:rsidRPr="00A57E69">
              <w:t>skild verksamhet hos myndighet som avser framställning av statistik för uppgift som avser enskilds personl</w:t>
            </w:r>
            <w:r w:rsidRPr="00A57E69">
              <w:t>i</w:t>
            </w:r>
            <w:r w:rsidRPr="00A57E69">
              <w:t>ga eller ekon</w:t>
            </w:r>
            <w:r w:rsidRPr="00A57E69">
              <w:t>o</w:t>
            </w:r>
            <w:r w:rsidRPr="00A57E69">
              <w:t>miska förhållanden och som kan hänföras till den enskilde. De</w:t>
            </w:r>
            <w:r w:rsidRPr="00A57E69">
              <w:t>t</w:t>
            </w:r>
            <w:r w:rsidRPr="00A57E69">
              <w:t>samma gäller annan jämförbar u</w:t>
            </w:r>
            <w:r w:rsidRPr="00A57E69">
              <w:t>n</w:t>
            </w:r>
            <w:r w:rsidRPr="00A57E69">
              <w:t>dersökning som utförs av Riksrev</w:t>
            </w:r>
            <w:r w:rsidRPr="00A57E69">
              <w:t>i</w:t>
            </w:r>
            <w:r w:rsidRPr="00A57E69">
              <w:t>sionen eller, i den utsträckning rege</w:t>
            </w:r>
            <w:r w:rsidRPr="00A57E69">
              <w:t>r</w:t>
            </w:r>
            <w:r w:rsidRPr="00A57E69">
              <w:t>ingen föreskriver det, av någon a</w:t>
            </w:r>
            <w:r w:rsidRPr="00A57E69">
              <w:t>n</w:t>
            </w:r>
            <w:r w:rsidRPr="00A57E69">
              <w:t>nan myndighet. Uppgift som b</w:t>
            </w:r>
            <w:r w:rsidRPr="00A57E69">
              <w:t>e</w:t>
            </w:r>
            <w:r w:rsidRPr="00A57E69">
              <w:t>hövs för forsknings- eller statistikä</w:t>
            </w:r>
            <w:r w:rsidRPr="00A57E69">
              <w:t>n</w:t>
            </w:r>
            <w:r w:rsidRPr="00A57E69">
              <w:t xml:space="preserve">damål och uppgift, som inte genom namn, annan identitetsbeteckning eller därmed jämförbart förhållande är direkt hänförlig till den enskilde, får dock lämnas ut, om det står klart att uppgiften kan röjas utan att den som uppgiften rör eller någon honom närstående lider skada eller men. </w:t>
            </w:r>
          </w:p>
          <w:p w:rsidR="006417DF" w:rsidRPr="00A57E69" w:rsidRDefault="006417DF" w:rsidP="006417DF">
            <w:pPr>
              <w:pStyle w:val="LagtextIndrag"/>
            </w:pPr>
            <w:r w:rsidRPr="00A57E69">
              <w:t>I fråga om uppgift i allmän han</w:t>
            </w:r>
            <w:r w:rsidRPr="00A57E69">
              <w:t>d</w:t>
            </w:r>
            <w:r w:rsidRPr="00A57E69">
              <w:t>ling gäller sekretessen i högst sjuttio år, såvitt angår uppgift om enskilds personliga förhållanden, och annars i högst tjugo år.</w:t>
            </w:r>
          </w:p>
        </w:tc>
        <w:tc>
          <w:tcPr>
            <w:tcW w:w="3090" w:type="dxa"/>
          </w:tcPr>
          <w:p w:rsidR="006417DF" w:rsidRPr="00A57E69" w:rsidRDefault="006417DF" w:rsidP="006417DF">
            <w:pPr>
              <w:pStyle w:val="LagtextIndrag"/>
            </w:pPr>
            <w:r w:rsidRPr="00A57E69">
              <w:t>Sekretess gäller i sådan sä</w:t>
            </w:r>
            <w:r w:rsidRPr="00A57E69">
              <w:t>r</w:t>
            </w:r>
            <w:r w:rsidRPr="00A57E69">
              <w:t>skild verksamhet hos myndighet som avser framställning av statistik för uppgift som avser enskilds personl</w:t>
            </w:r>
            <w:r w:rsidRPr="00A57E69">
              <w:t>i</w:t>
            </w:r>
            <w:r w:rsidRPr="00A57E69">
              <w:t>ga eller ekon</w:t>
            </w:r>
            <w:r w:rsidRPr="00A57E69">
              <w:t>o</w:t>
            </w:r>
            <w:r w:rsidRPr="00A57E69">
              <w:t>miska förhållanden och som kan hänföras till den enskilde. De</w:t>
            </w:r>
            <w:r w:rsidRPr="00A57E69">
              <w:t>t</w:t>
            </w:r>
            <w:r w:rsidRPr="00A57E69">
              <w:t>samma gäller annan jämförbar u</w:t>
            </w:r>
            <w:r w:rsidRPr="00A57E69">
              <w:t>n</w:t>
            </w:r>
            <w:r w:rsidRPr="00A57E69">
              <w:t>dersökning som utförs av Riksrev</w:t>
            </w:r>
            <w:r w:rsidRPr="00A57E69">
              <w:t>i</w:t>
            </w:r>
            <w:r w:rsidRPr="00A57E69">
              <w:t xml:space="preserve">sionen </w:t>
            </w:r>
            <w:r w:rsidRPr="00A57E69">
              <w:rPr>
                <w:i/>
              </w:rPr>
              <w:t>eller riksdagsförvaltningen</w:t>
            </w:r>
            <w:r w:rsidRPr="00A57E69">
              <w:t xml:space="preserve"> eller</w:t>
            </w:r>
            <w:r w:rsidR="00C22C8D" w:rsidRPr="00A57E69">
              <w:t>,</w:t>
            </w:r>
            <w:r w:rsidRPr="00A57E69">
              <w:t xml:space="preserve"> i den utsträckning regeringen för</w:t>
            </w:r>
            <w:r w:rsidRPr="00A57E69">
              <w:t>e</w:t>
            </w:r>
            <w:r w:rsidRPr="00A57E69">
              <w:t>skriver det, av någon annan myndi</w:t>
            </w:r>
            <w:r w:rsidRPr="00A57E69">
              <w:t>g</w:t>
            </w:r>
            <w:r w:rsidRPr="00A57E69">
              <w:t>het. Uppgift som behövs för forsknings- eller statistikä</w:t>
            </w:r>
            <w:r w:rsidRPr="00A57E69">
              <w:t>n</w:t>
            </w:r>
            <w:r w:rsidRPr="00A57E69">
              <w:t>damål och uppgift, som inte genom namn, a</w:t>
            </w:r>
            <w:r w:rsidRPr="00A57E69">
              <w:t>n</w:t>
            </w:r>
            <w:r w:rsidRPr="00A57E69">
              <w:t>nan ident</w:t>
            </w:r>
            <w:r w:rsidRPr="00A57E69">
              <w:t>i</w:t>
            </w:r>
            <w:r w:rsidRPr="00A57E69">
              <w:t>tetsbeteckning eller därmed jämfö</w:t>
            </w:r>
            <w:r w:rsidRPr="00A57E69">
              <w:t>r</w:t>
            </w:r>
            <w:r w:rsidRPr="00A57E69">
              <w:t>bart förhållande är direkt hänförlig till den enskilde, får dock lämnas ut, om det står klart att up</w:t>
            </w:r>
            <w:r w:rsidRPr="00A57E69">
              <w:t>p</w:t>
            </w:r>
            <w:r w:rsidRPr="00A57E69">
              <w:t xml:space="preserve">giften kan röjas utan att den som uppgiften rör eller någon honom närstående lider skada eller men. </w:t>
            </w:r>
          </w:p>
          <w:p w:rsidR="006417DF" w:rsidRPr="00A57E69" w:rsidRDefault="006417DF" w:rsidP="006417DF">
            <w:pPr>
              <w:pStyle w:val="LagtextIndrag"/>
            </w:pPr>
            <w:r w:rsidRPr="00A57E69">
              <w:t>I fråga om uppgift i allmän han</w:t>
            </w:r>
            <w:r w:rsidRPr="00A57E69">
              <w:t>d</w:t>
            </w:r>
            <w:r w:rsidRPr="00A57E69">
              <w:t xml:space="preserve">ling gäller sekretessen i högst sjuttio år, såvitt angår uppgift om enskilds personliga förhållanden, och annars i högst tjugo år. </w:t>
            </w:r>
          </w:p>
        </w:tc>
      </w:tr>
    </w:tbl>
    <w:p w:rsidR="006B14C1" w:rsidRPr="00A57E69" w:rsidRDefault="006B14C1" w:rsidP="006B14C1">
      <w:r w:rsidRPr="00A57E69">
        <w:t>____________</w:t>
      </w:r>
    </w:p>
    <w:p w:rsidR="00F502EE" w:rsidRPr="00A57E69" w:rsidRDefault="006B14C1" w:rsidP="006B14C1">
      <w:pPr>
        <w:pStyle w:val="Normaltindrag"/>
      </w:pPr>
      <w:r w:rsidRPr="00A57E69">
        <w:t>Denna lag träder i kraft den 1 januari 2008.</w:t>
      </w:r>
    </w:p>
    <w:p w:rsidR="00C62D5E" w:rsidRPr="00A57E69" w:rsidRDefault="00C62D5E" w:rsidP="00C62D5E">
      <w:pPr>
        <w:pStyle w:val="Normaltindrag"/>
        <w:sectPr w:rsidR="00C62D5E" w:rsidRPr="00A57E6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449B1" w:rsidRPr="00A57E69" w:rsidRDefault="006449B1" w:rsidP="00786D91">
      <w:pPr>
        <w:pStyle w:val="Rubrik2"/>
        <w:spacing w:before="0"/>
      </w:pPr>
      <w:bookmarkStart w:id="11" w:name="_Toc178412611"/>
      <w:r w:rsidRPr="00A57E69">
        <w:t>Bakgrund</w:t>
      </w:r>
      <w:bookmarkEnd w:id="11"/>
    </w:p>
    <w:p w:rsidR="00CA4852" w:rsidRPr="00A57E69" w:rsidRDefault="006449B1" w:rsidP="006449B1">
      <w:r w:rsidRPr="00A57E69">
        <w:t>Efter beslut av dåvarande förvaltningsstyrelsen inrättades i september 1997 ett budgetkontor vid riksdagens utredningstjänst</w:t>
      </w:r>
      <w:r w:rsidR="009E5959" w:rsidRPr="00A57E69">
        <w:t xml:space="preserve"> (utredningstjäns</w:t>
      </w:r>
      <w:r w:rsidR="0002298B" w:rsidRPr="00A57E69">
        <w:t>t</w:t>
      </w:r>
      <w:r w:rsidR="009E5959" w:rsidRPr="00A57E69">
        <w:t>en)</w:t>
      </w:r>
      <w:r w:rsidRPr="00A57E69">
        <w:t>.</w:t>
      </w:r>
      <w:r w:rsidRPr="00A57E69">
        <w:rPr>
          <w:rStyle w:val="Fotnotsreferens"/>
        </w:rPr>
        <w:footnoteReference w:id="2"/>
      </w:r>
      <w:r w:rsidRPr="00A57E69">
        <w:t xml:space="preserve"> </w:t>
      </w:r>
    </w:p>
    <w:p w:rsidR="006449B1" w:rsidRPr="00A57E69" w:rsidRDefault="006449B1" w:rsidP="00CA4852">
      <w:pPr>
        <w:pStyle w:val="Normaltindrag"/>
      </w:pPr>
      <w:r w:rsidRPr="00A57E69">
        <w:t>Budgetko</w:t>
      </w:r>
      <w:r w:rsidRPr="00A57E69">
        <w:t>n</w:t>
      </w:r>
      <w:r w:rsidRPr="00A57E69">
        <w:t>toret är i dag en sektion inom utredningstjänst</w:t>
      </w:r>
      <w:r w:rsidR="0002298B" w:rsidRPr="00A57E69">
        <w:t>en</w:t>
      </w:r>
      <w:r w:rsidRPr="00A57E69">
        <w:t>, som i sin tur är en del av kammarkansliet, som utgör en organisatorisk enhet inom rik</w:t>
      </w:r>
      <w:r w:rsidRPr="00A57E69">
        <w:t>s</w:t>
      </w:r>
      <w:r w:rsidRPr="00A57E69">
        <w:t>dagsförvaltnin</w:t>
      </w:r>
      <w:r w:rsidRPr="00A57E69">
        <w:t>g</w:t>
      </w:r>
      <w:r w:rsidRPr="00A57E69">
        <w:t>en.</w:t>
      </w:r>
      <w:r w:rsidRPr="00A57E69">
        <w:rPr>
          <w:rStyle w:val="Fotnotsreferens"/>
        </w:rPr>
        <w:footnoteReference w:id="3"/>
      </w:r>
      <w:r w:rsidRPr="00A57E69">
        <w:t xml:space="preserve"> </w:t>
      </w:r>
    </w:p>
    <w:p w:rsidR="006449B1" w:rsidRPr="00A57E69" w:rsidRDefault="006449B1" w:rsidP="006449B1">
      <w:pPr>
        <w:pStyle w:val="Normaltindrag"/>
      </w:pPr>
      <w:r w:rsidRPr="00A57E69">
        <w:t>På samma sätt som Finansdepartementet arbetar budgetkontoret med o</w:t>
      </w:r>
      <w:r w:rsidRPr="00A57E69">
        <w:t>m</w:t>
      </w:r>
      <w:r w:rsidRPr="00A57E69">
        <w:t>fattande och komplexa s.k. simuleringsmodeller. I modellerna efterbildas ska</w:t>
      </w:r>
      <w:r w:rsidRPr="00A57E69">
        <w:t>t</w:t>
      </w:r>
      <w:r w:rsidRPr="00A57E69">
        <w:t>te-, avgifts-, socialförsäkrings- eller bidragsregler med utnyttjande av uppgi</w:t>
      </w:r>
      <w:r w:rsidRPr="00A57E69">
        <w:t>f</w:t>
      </w:r>
      <w:r w:rsidRPr="00A57E69">
        <w:t>terna i avidentifierade modellbefolkningar. Modellerna gör det möjligt för bu</w:t>
      </w:r>
      <w:r w:rsidRPr="00A57E69">
        <w:t>d</w:t>
      </w:r>
      <w:r w:rsidRPr="00A57E69">
        <w:t>getkontoret att snabbt beräkna det ekonomiska utfallet av gällande regler samt att simulera alternativa regler och därmed detaljerat beskriva utgiftsförändringar, fördelningseffekter osv. Bearbetningen hos budgetkont</w:t>
      </w:r>
      <w:r w:rsidRPr="00A57E69">
        <w:t>o</w:t>
      </w:r>
      <w:r w:rsidRPr="00A57E69">
        <w:t>ret sker med gängse statistiska metoder och resulterar i tabeller, medelvärden, makrotal, spridningstal och andra ekonomiska parametrar. Resultatet av bu</w:t>
      </w:r>
      <w:r w:rsidRPr="00A57E69">
        <w:t>d</w:t>
      </w:r>
      <w:r w:rsidRPr="00A57E69">
        <w:t>getkontorets arbete används sedan av ledamöter, partikansl</w:t>
      </w:r>
      <w:r w:rsidRPr="00A57E69">
        <w:t>i</w:t>
      </w:r>
      <w:r w:rsidRPr="00A57E69">
        <w:t xml:space="preserve">er m.fl. som stöd i den politiska processen. </w:t>
      </w:r>
    </w:p>
    <w:p w:rsidR="00C62D5E" w:rsidRPr="00A57E69" w:rsidRDefault="00C62D5E" w:rsidP="00C62D5E">
      <w:pPr>
        <w:pStyle w:val="Rubrik2"/>
      </w:pPr>
      <w:bookmarkStart w:id="12" w:name="_Toc178412612"/>
      <w:r w:rsidRPr="00A57E69">
        <w:t>Redogörelse för ärendet</w:t>
      </w:r>
      <w:bookmarkEnd w:id="12"/>
    </w:p>
    <w:p w:rsidR="006747C2" w:rsidRPr="00A57E69" w:rsidRDefault="00AA4849" w:rsidP="006747C2">
      <w:r w:rsidRPr="00A57E69">
        <w:t xml:space="preserve">Riksdagens </w:t>
      </w:r>
      <w:r w:rsidR="006747C2" w:rsidRPr="00A57E69">
        <w:t>utredningstjänst</w:t>
      </w:r>
      <w:r w:rsidRPr="00A57E69">
        <w:t xml:space="preserve"> </w:t>
      </w:r>
      <w:r w:rsidR="006449B1" w:rsidRPr="00A57E69">
        <w:t>fick</w:t>
      </w:r>
      <w:r w:rsidR="00F70B97" w:rsidRPr="00A57E69">
        <w:t xml:space="preserve"> under våren 2007 i uppdrag </w:t>
      </w:r>
      <w:r w:rsidR="00B36369" w:rsidRPr="00A57E69">
        <w:t>av riksdagsd</w:t>
      </w:r>
      <w:r w:rsidR="00B36369" w:rsidRPr="00A57E69">
        <w:t>i</w:t>
      </w:r>
      <w:r w:rsidR="00B36369" w:rsidRPr="00A57E69">
        <w:t xml:space="preserve">rektören </w:t>
      </w:r>
      <w:r w:rsidR="006747C2" w:rsidRPr="00A57E69">
        <w:t>att undersöka möjligheten, vad gäller reglerna om sekretess, för budge</w:t>
      </w:r>
      <w:r w:rsidR="006747C2" w:rsidRPr="00A57E69">
        <w:t>t</w:t>
      </w:r>
      <w:r w:rsidR="006747C2" w:rsidRPr="00A57E69">
        <w:t>kontoret</w:t>
      </w:r>
      <w:r w:rsidR="00F33D5E" w:rsidRPr="00A57E69">
        <w:t xml:space="preserve"> (som är en sektion inom ut</w:t>
      </w:r>
      <w:r w:rsidR="00F70B97" w:rsidRPr="00A57E69">
        <w:t>redningstjänsten</w:t>
      </w:r>
      <w:r w:rsidR="00F33D5E" w:rsidRPr="00A57E69">
        <w:t>)</w:t>
      </w:r>
      <w:r w:rsidR="00BC08C9" w:rsidRPr="00A57E69">
        <w:t xml:space="preserve"> </w:t>
      </w:r>
      <w:r w:rsidR="006747C2" w:rsidRPr="00A57E69">
        <w:t>att få tillgång till statistiska uppgifter ur Statistiska centralbyråns (SCB) datab</w:t>
      </w:r>
      <w:r w:rsidR="006747C2" w:rsidRPr="00A57E69">
        <w:t>a</w:t>
      </w:r>
      <w:r w:rsidR="006747C2" w:rsidRPr="00A57E69">
        <w:t xml:space="preserve">ser samt </w:t>
      </w:r>
      <w:r w:rsidR="00BC08C9" w:rsidRPr="00A57E69">
        <w:t xml:space="preserve">att </w:t>
      </w:r>
      <w:r w:rsidR="006747C2" w:rsidRPr="00A57E69">
        <w:t>ge förslag på hur riksdagsförvaltningen kan agera för att budgetko</w:t>
      </w:r>
      <w:r w:rsidR="006747C2" w:rsidRPr="00A57E69">
        <w:t>n</w:t>
      </w:r>
      <w:r w:rsidR="006747C2" w:rsidRPr="00A57E69">
        <w:t>toret ska få tillgång till statistiska uppgifter ur dessa databaser och för att dessa uppgi</w:t>
      </w:r>
      <w:r w:rsidR="006747C2" w:rsidRPr="00A57E69">
        <w:t>f</w:t>
      </w:r>
      <w:r w:rsidR="006747C2" w:rsidRPr="00A57E69">
        <w:t>ter, även hos budgetkontoret, ska omfattas av reglerna om statistikse</w:t>
      </w:r>
      <w:r w:rsidR="006747C2" w:rsidRPr="00A57E69">
        <w:t>k</w:t>
      </w:r>
      <w:r w:rsidR="006747C2" w:rsidRPr="00A57E69">
        <w:t xml:space="preserve">retess. </w:t>
      </w:r>
    </w:p>
    <w:p w:rsidR="006747C2" w:rsidRPr="00A57E69" w:rsidRDefault="0072146C" w:rsidP="006747C2">
      <w:pPr>
        <w:pStyle w:val="Normaltindrag"/>
      </w:pPr>
      <w:r w:rsidRPr="00A57E69">
        <w:t>P</w:t>
      </w:r>
      <w:r w:rsidR="006747C2" w:rsidRPr="00A57E69">
        <w:t>romemoria</w:t>
      </w:r>
      <w:r w:rsidRPr="00A57E69">
        <w:t>n</w:t>
      </w:r>
      <w:r w:rsidR="006747C2" w:rsidRPr="00A57E69">
        <w:t xml:space="preserve"> </w:t>
      </w:r>
      <w:r w:rsidRPr="00A57E69">
        <w:rPr>
          <w:i/>
        </w:rPr>
        <w:t>Sekretess för statistiska uppgifter vid riksdagens utredning</w:t>
      </w:r>
      <w:r w:rsidRPr="00A57E69">
        <w:rPr>
          <w:i/>
        </w:rPr>
        <w:t>s</w:t>
      </w:r>
      <w:r w:rsidRPr="00A57E69">
        <w:rPr>
          <w:i/>
        </w:rPr>
        <w:t>tjänsts budgetkontor</w:t>
      </w:r>
      <w:r w:rsidRPr="00A57E69">
        <w:t xml:space="preserve"> </w:t>
      </w:r>
      <w:r w:rsidR="006747C2" w:rsidRPr="00A57E69">
        <w:t xml:space="preserve">togs därefter fram </w:t>
      </w:r>
      <w:r w:rsidR="001D42F8" w:rsidRPr="00A57E69">
        <w:t xml:space="preserve">under våren 2007 </w:t>
      </w:r>
      <w:r w:rsidR="006747C2" w:rsidRPr="00A57E69">
        <w:t>av riksdagens u</w:t>
      </w:r>
      <w:r w:rsidR="006747C2" w:rsidRPr="00A57E69">
        <w:t>t</w:t>
      </w:r>
      <w:r w:rsidR="006747C2" w:rsidRPr="00A57E69">
        <w:t xml:space="preserve">redningstjänst, se </w:t>
      </w:r>
      <w:r w:rsidR="006747C2" w:rsidRPr="00A57E69">
        <w:rPr>
          <w:i/>
        </w:rPr>
        <w:t>bilaga 1.</w:t>
      </w:r>
      <w:r w:rsidRPr="00A57E69">
        <w:rPr>
          <w:rStyle w:val="Fotnotsreferens"/>
          <w:i/>
        </w:rPr>
        <w:footnoteReference w:id="4"/>
      </w:r>
      <w:r w:rsidR="002B7C87" w:rsidRPr="00A57E69">
        <w:rPr>
          <w:i/>
        </w:rPr>
        <w:t xml:space="preserve"> </w:t>
      </w:r>
      <w:r w:rsidR="002B7C87" w:rsidRPr="00A57E69">
        <w:t xml:space="preserve">Under beredningen </w:t>
      </w:r>
      <w:r w:rsidR="002B1CE3" w:rsidRPr="00A57E69">
        <w:t xml:space="preserve">av promemorian </w:t>
      </w:r>
      <w:r w:rsidR="002B7C87" w:rsidRPr="00A57E69">
        <w:t>har kansl</w:t>
      </w:r>
      <w:r w:rsidR="002B7C87" w:rsidRPr="00A57E69">
        <w:t>i</w:t>
      </w:r>
      <w:r w:rsidR="002B7C87" w:rsidRPr="00A57E69">
        <w:t>chefen i ko</w:t>
      </w:r>
      <w:r w:rsidR="002B7C87" w:rsidRPr="00A57E69">
        <w:t>n</w:t>
      </w:r>
      <w:r w:rsidR="002B7C87" w:rsidRPr="00A57E69">
        <w:t>stitutionsutskottet delgivits utkast till promemoria.</w:t>
      </w:r>
    </w:p>
    <w:p w:rsidR="00893B36" w:rsidRPr="00A57E69" w:rsidRDefault="0072146C" w:rsidP="00893B36">
      <w:pPr>
        <w:pStyle w:val="Normaltindrag"/>
      </w:pPr>
      <w:r w:rsidRPr="00A57E69">
        <w:t xml:space="preserve">I promemorian </w:t>
      </w:r>
      <w:r w:rsidR="0041259E" w:rsidRPr="00A57E69">
        <w:t xml:space="preserve">görs bedömningen </w:t>
      </w:r>
      <w:r w:rsidRPr="00A57E69">
        <w:t xml:space="preserve">att regelförändringar </w:t>
      </w:r>
      <w:r w:rsidR="00B36369" w:rsidRPr="00A57E69">
        <w:t xml:space="preserve">är </w:t>
      </w:r>
      <w:r w:rsidR="002B1CE3" w:rsidRPr="00A57E69">
        <w:t xml:space="preserve">nödvändiga </w:t>
      </w:r>
      <w:r w:rsidR="0041259E" w:rsidRPr="00A57E69">
        <w:t>f</w:t>
      </w:r>
      <w:r w:rsidRPr="00A57E69">
        <w:rPr>
          <w:bCs/>
        </w:rPr>
        <w:t xml:space="preserve">ör att </w:t>
      </w:r>
      <w:r w:rsidR="00026581" w:rsidRPr="00A57E69">
        <w:rPr>
          <w:bCs/>
        </w:rPr>
        <w:t>ifrågavarande uppgifter ur SCB:s databaser hos budgetkontoret ska omfa</w:t>
      </w:r>
      <w:r w:rsidR="00026581" w:rsidRPr="00A57E69">
        <w:rPr>
          <w:bCs/>
        </w:rPr>
        <w:t>t</w:t>
      </w:r>
      <w:r w:rsidR="00026581" w:rsidRPr="00A57E69">
        <w:rPr>
          <w:bCs/>
        </w:rPr>
        <w:t>tas av reglerna om statistiksekretess</w:t>
      </w:r>
      <w:r w:rsidR="0041259E" w:rsidRPr="00A57E69">
        <w:rPr>
          <w:bCs/>
        </w:rPr>
        <w:t xml:space="preserve"> (se s. 10 i promem</w:t>
      </w:r>
      <w:r w:rsidR="002B1CE3" w:rsidRPr="00A57E69">
        <w:rPr>
          <w:bCs/>
        </w:rPr>
        <w:t xml:space="preserve">orian), vilket är en förutsättning för att </w:t>
      </w:r>
      <w:r w:rsidR="00026581" w:rsidRPr="00A57E69">
        <w:rPr>
          <w:bCs/>
        </w:rPr>
        <w:t xml:space="preserve">SCB ska lämna ut </w:t>
      </w:r>
      <w:r w:rsidR="002B1CE3" w:rsidRPr="00A57E69">
        <w:rPr>
          <w:bCs/>
        </w:rPr>
        <w:t>uppgifter</w:t>
      </w:r>
      <w:r w:rsidR="00026581" w:rsidRPr="00A57E69">
        <w:rPr>
          <w:bCs/>
        </w:rPr>
        <w:t>na till budgetkontoret.</w:t>
      </w:r>
      <w:r w:rsidR="002B1CE3" w:rsidRPr="00A57E69">
        <w:rPr>
          <w:bCs/>
        </w:rPr>
        <w:t xml:space="preserve"> </w:t>
      </w:r>
      <w:r w:rsidR="0041259E" w:rsidRPr="00A57E69">
        <w:rPr>
          <w:bCs/>
        </w:rPr>
        <w:t>De</w:t>
      </w:r>
      <w:r w:rsidR="00893B36" w:rsidRPr="00A57E69">
        <w:rPr>
          <w:bCs/>
        </w:rPr>
        <w:t>n</w:t>
      </w:r>
      <w:r w:rsidR="0041259E" w:rsidRPr="00A57E69">
        <w:rPr>
          <w:bCs/>
        </w:rPr>
        <w:t xml:space="preserve"> regelförändring som föreslås </w:t>
      </w:r>
      <w:r w:rsidR="001D42F8" w:rsidRPr="00A57E69">
        <w:rPr>
          <w:bCs/>
        </w:rPr>
        <w:t xml:space="preserve">i promemorian </w:t>
      </w:r>
      <w:r w:rsidR="0041259E" w:rsidRPr="00A57E69">
        <w:rPr>
          <w:bCs/>
        </w:rPr>
        <w:t>är</w:t>
      </w:r>
      <w:r w:rsidR="00893B36" w:rsidRPr="00A57E69">
        <w:rPr>
          <w:bCs/>
        </w:rPr>
        <w:t xml:space="preserve"> att man tar in e</w:t>
      </w:r>
      <w:r w:rsidR="00893B36" w:rsidRPr="00A57E69">
        <w:t>n bestä</w:t>
      </w:r>
      <w:r w:rsidR="00893B36" w:rsidRPr="00A57E69">
        <w:t>m</w:t>
      </w:r>
      <w:r w:rsidR="00893B36" w:rsidRPr="00A57E69">
        <w:t>melse av innebörd att sekretess gäller i en med statistik jämförbar undersö</w:t>
      </w:r>
      <w:r w:rsidR="00893B36" w:rsidRPr="00A57E69">
        <w:t>k</w:t>
      </w:r>
      <w:r w:rsidR="00893B36" w:rsidRPr="00A57E69">
        <w:t>ning som utförs av budgetkontoret i 9 kap. 4 § sekretesslagen på motsv</w:t>
      </w:r>
      <w:r w:rsidR="00893B36" w:rsidRPr="00A57E69">
        <w:t>a</w:t>
      </w:r>
      <w:r w:rsidR="00893B36" w:rsidRPr="00A57E69">
        <w:t xml:space="preserve">rande sätt som redan i dag gäller för </w:t>
      </w:r>
      <w:r w:rsidR="009F60F3" w:rsidRPr="00A57E69">
        <w:t>undersökningar som Riksrevisionen utför</w:t>
      </w:r>
      <w:r w:rsidR="00893B36" w:rsidRPr="00A57E69">
        <w:t>. I promemor</w:t>
      </w:r>
      <w:r w:rsidR="00893B36" w:rsidRPr="00A57E69">
        <w:t>i</w:t>
      </w:r>
      <w:r w:rsidR="00893B36" w:rsidRPr="00A57E69">
        <w:t xml:space="preserve">an görs bedömningen att ett </w:t>
      </w:r>
      <w:r w:rsidR="009F60F3" w:rsidRPr="00A57E69">
        <w:t>l</w:t>
      </w:r>
      <w:r w:rsidR="00893B36" w:rsidRPr="00A57E69">
        <w:t xml:space="preserve">agstiftningsinitiativ </w:t>
      </w:r>
      <w:r w:rsidR="009F60F3" w:rsidRPr="00A57E69">
        <w:t xml:space="preserve">som rör en av riksdagens myndigheter, riksdagsförvaltningen, </w:t>
      </w:r>
      <w:r w:rsidR="00893B36" w:rsidRPr="00A57E69">
        <w:t>bör komma från riksdagsst</w:t>
      </w:r>
      <w:r w:rsidR="00893B36" w:rsidRPr="00A57E69">
        <w:t>y</w:t>
      </w:r>
      <w:r w:rsidR="00893B36" w:rsidRPr="00A57E69">
        <w:t>relsen.</w:t>
      </w:r>
    </w:p>
    <w:p w:rsidR="0072146C" w:rsidRPr="00A57E69" w:rsidRDefault="00BE62DB" w:rsidP="006747C2">
      <w:pPr>
        <w:pStyle w:val="Normaltindrag"/>
      </w:pPr>
      <w:r w:rsidRPr="00A57E69">
        <w:t>Promemorian har remissbehandlats.</w:t>
      </w:r>
      <w:r w:rsidR="002B7C87" w:rsidRPr="00A57E69">
        <w:t xml:space="preserve"> Riksdagens ombudsmän, Justitiekan</w:t>
      </w:r>
      <w:r w:rsidR="002B7C87" w:rsidRPr="00A57E69">
        <w:t>s</w:t>
      </w:r>
      <w:r w:rsidR="002B7C87" w:rsidRPr="00A57E69">
        <w:t xml:space="preserve">lern, Statistiska </w:t>
      </w:r>
      <w:r w:rsidR="00C22C8D" w:rsidRPr="00A57E69">
        <w:t>c</w:t>
      </w:r>
      <w:r w:rsidR="002B7C87" w:rsidRPr="00A57E69">
        <w:t>entralbyrån, Datainspektionen, Konjunkturinstitutet samt Kammarrätten i Jönköping har beretts tillfälle att lämna synpunkter på pr</w:t>
      </w:r>
      <w:r w:rsidR="002B7C87" w:rsidRPr="00A57E69">
        <w:t>o</w:t>
      </w:r>
      <w:r w:rsidR="002B7C87" w:rsidRPr="00A57E69">
        <w:t>memor</w:t>
      </w:r>
      <w:r w:rsidR="002B7C87" w:rsidRPr="00A57E69">
        <w:t>i</w:t>
      </w:r>
      <w:r w:rsidR="002B7C87" w:rsidRPr="00A57E69">
        <w:t xml:space="preserve">an. </w:t>
      </w:r>
    </w:p>
    <w:p w:rsidR="00C62D5E" w:rsidRPr="00A57E69" w:rsidRDefault="00C62D5E" w:rsidP="00C62D5E">
      <w:pPr>
        <w:pStyle w:val="Normaltindrag"/>
        <w:sectPr w:rsidR="00C62D5E" w:rsidRPr="00A57E6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62D5E" w:rsidRPr="00A57E69" w:rsidRDefault="00C62D5E" w:rsidP="00C62D5E">
      <w:pPr>
        <w:pStyle w:val="Rubrik1"/>
        <w:rPr>
          <w:noProof w:val="0"/>
        </w:rPr>
      </w:pPr>
      <w:bookmarkStart w:id="13" w:name="_Toc178412613"/>
      <w:r w:rsidRPr="00A57E69">
        <w:rPr>
          <w:noProof w:val="0"/>
        </w:rPr>
        <w:t>Riksdagsstyrelsens överväganden och förslag</w:t>
      </w:r>
      <w:bookmarkEnd w:id="13"/>
    </w:p>
    <w:p w:rsidR="00C62D5E" w:rsidRPr="00A57E69" w:rsidRDefault="0072317B" w:rsidP="001F0978">
      <w:pPr>
        <w:pStyle w:val="Rubrik2"/>
        <w:spacing w:before="0"/>
      </w:pPr>
      <w:bookmarkStart w:id="14" w:name="_Toc178412614"/>
      <w:r w:rsidRPr="00A57E69">
        <w:t>Gäl</w:t>
      </w:r>
      <w:r w:rsidR="00C62D5E" w:rsidRPr="00A57E69">
        <w:t>lande bestämmelser</w:t>
      </w:r>
      <w:bookmarkEnd w:id="14"/>
    </w:p>
    <w:p w:rsidR="00C21C12" w:rsidRPr="00A57E69" w:rsidRDefault="00C21C12" w:rsidP="00C21C12">
      <w:pPr>
        <w:pStyle w:val="Rubrik3"/>
        <w:rPr>
          <w:noProof w:val="0"/>
        </w:rPr>
      </w:pPr>
      <w:bookmarkStart w:id="15" w:name="_Toc178412615"/>
      <w:r w:rsidRPr="00A57E69">
        <w:rPr>
          <w:noProof w:val="0"/>
        </w:rPr>
        <w:t>Reglerna om statistiksekretess</w:t>
      </w:r>
      <w:r w:rsidR="009819E0" w:rsidRPr="00A57E69">
        <w:rPr>
          <w:noProof w:val="0"/>
        </w:rPr>
        <w:t xml:space="preserve"> i sekretesslagen</w:t>
      </w:r>
      <w:r w:rsidR="004041A1" w:rsidRPr="00A57E69">
        <w:rPr>
          <w:noProof w:val="0"/>
        </w:rPr>
        <w:t xml:space="preserve"> (1980:100)</w:t>
      </w:r>
      <w:bookmarkEnd w:id="15"/>
    </w:p>
    <w:p w:rsidR="004041A1" w:rsidRPr="00A57E69" w:rsidRDefault="002160A9" w:rsidP="004041A1">
      <w:r w:rsidRPr="00A57E69">
        <w:t xml:space="preserve">Av 9 kap. 4 § sekretesslagen framgår att sekretess gäller i sådan särskild verksamhet hos myndighet som avser framställning av statistik för uppgift som avser enskilds personliga eller ekonomiska förhållanden och som kan hänföras till den enskilde. Detsamma gäller annan jämförbar undersökning som utförs av Riksrevisionen eller, i den utsträckning regeringen föreskriver det, av någon annan myndighet. </w:t>
      </w:r>
      <w:r w:rsidR="00AA4849" w:rsidRPr="00A57E69">
        <w:t>Enligt samma bestämmelse får dock u</w:t>
      </w:r>
      <w:r w:rsidRPr="00A57E69">
        <w:t>ppgift som behövs för forsknings- eller statistikändamål och uppgift som inte g</w:t>
      </w:r>
      <w:r w:rsidRPr="00A57E69">
        <w:t>e</w:t>
      </w:r>
      <w:r w:rsidRPr="00A57E69">
        <w:t>nom namn, annan identitetsb</w:t>
      </w:r>
      <w:r w:rsidRPr="00A57E69">
        <w:t>e</w:t>
      </w:r>
      <w:r w:rsidRPr="00A57E69">
        <w:t>teckning eller därmed jämförbart förhållande är direkt hänförlig till den enskilde lämnas ut, om det står klart att uppgi</w:t>
      </w:r>
      <w:r w:rsidRPr="00A57E69">
        <w:t>f</w:t>
      </w:r>
      <w:r w:rsidRPr="00A57E69">
        <w:t>ten kan röjas utan att den som uppgiften rör eller någon honom närst</w:t>
      </w:r>
      <w:r w:rsidRPr="00A57E69">
        <w:t>å</w:t>
      </w:r>
      <w:r w:rsidRPr="00A57E69">
        <w:t>ende lider skada eller men</w:t>
      </w:r>
      <w:r w:rsidR="002B1CE3" w:rsidRPr="00A57E69">
        <w:t>.</w:t>
      </w:r>
      <w:r w:rsidR="004041A1" w:rsidRPr="00A57E69">
        <w:t xml:space="preserve"> Här råder ett s.k. </w:t>
      </w:r>
      <w:r w:rsidR="004041A1" w:rsidRPr="00A57E69">
        <w:rPr>
          <w:i/>
        </w:rPr>
        <w:t>omvänt skaderekvisit</w:t>
      </w:r>
      <w:r w:rsidR="004041A1" w:rsidRPr="00A57E69">
        <w:t>, vilket innebär att bedö</w:t>
      </w:r>
      <w:r w:rsidR="004041A1" w:rsidRPr="00A57E69">
        <w:t>m</w:t>
      </w:r>
      <w:r w:rsidR="004041A1" w:rsidRPr="00A57E69">
        <w:t>ningen görs så att sekr</w:t>
      </w:r>
      <w:r w:rsidR="004041A1" w:rsidRPr="00A57E69">
        <w:t>e</w:t>
      </w:r>
      <w:r w:rsidR="004041A1" w:rsidRPr="00A57E69">
        <w:t xml:space="preserve">tess </w:t>
      </w:r>
      <w:r w:rsidR="00AA4849" w:rsidRPr="00A57E69">
        <w:t>anses g</w:t>
      </w:r>
      <w:r w:rsidR="004041A1" w:rsidRPr="00A57E69">
        <w:t>äll</w:t>
      </w:r>
      <w:r w:rsidR="00AA4849" w:rsidRPr="00A57E69">
        <w:t>a</w:t>
      </w:r>
      <w:r w:rsidR="004041A1" w:rsidRPr="00A57E69">
        <w:t xml:space="preserve"> om det inte står klart att uppgiften kan röjas utan att den enskilde lider skada eller men. </w:t>
      </w:r>
    </w:p>
    <w:p w:rsidR="004041A1" w:rsidRPr="00A57E69" w:rsidRDefault="00CB29F4" w:rsidP="004041A1">
      <w:pPr>
        <w:pStyle w:val="Normaltindrag"/>
        <w:rPr>
          <w:b/>
          <w:i/>
        </w:rPr>
      </w:pPr>
      <w:r w:rsidRPr="00A57E69">
        <w:t xml:space="preserve">Statistiksekretess är således enligt huvudregeln </w:t>
      </w:r>
      <w:r w:rsidRPr="00A57E69">
        <w:rPr>
          <w:i/>
        </w:rPr>
        <w:t>absolut</w:t>
      </w:r>
      <w:r w:rsidRPr="00A57E69">
        <w:t xml:space="preserve"> och sådana uppgi</w:t>
      </w:r>
      <w:r w:rsidRPr="00A57E69">
        <w:t>f</w:t>
      </w:r>
      <w:r w:rsidRPr="00A57E69">
        <w:t>ter får inte lämnas ut oberoende av om någon enskild kan lida skada eller men.</w:t>
      </w:r>
      <w:r w:rsidR="002160A9" w:rsidRPr="00A57E69">
        <w:t xml:space="preserve"> </w:t>
      </w:r>
      <w:r w:rsidR="000B2E44" w:rsidRPr="00A57E69">
        <w:t>Som framgått av föregående stycke får emellertid uppgift som behövs för forsknings- eller statistikänd</w:t>
      </w:r>
      <w:r w:rsidR="000B2E44" w:rsidRPr="00A57E69">
        <w:t>a</w:t>
      </w:r>
      <w:r w:rsidR="000B2E44" w:rsidRPr="00A57E69">
        <w:t>mål och uppgift som inte genom namn, annan identitetsbeteckning eller därmed jämförbart förhållande är direkt hänförlig till den enskilde</w:t>
      </w:r>
      <w:r w:rsidR="004041A1" w:rsidRPr="00A57E69">
        <w:t xml:space="preserve"> efter sedvanlig sekretessprövning</w:t>
      </w:r>
      <w:r w:rsidR="000B2E44" w:rsidRPr="00A57E69">
        <w:t xml:space="preserve"> lämnas ut. </w:t>
      </w:r>
      <w:r w:rsidR="004041A1" w:rsidRPr="00A57E69">
        <w:t>Mö</w:t>
      </w:r>
      <w:r w:rsidR="004041A1" w:rsidRPr="00A57E69">
        <w:t>j</w:t>
      </w:r>
      <w:r w:rsidR="004041A1" w:rsidRPr="00A57E69">
        <w:t>ligheten att, trots statistiksekretess, lämna ut uppgifter som behövs för stat</w:t>
      </w:r>
      <w:r w:rsidR="004041A1" w:rsidRPr="00A57E69">
        <w:t>i</w:t>
      </w:r>
      <w:r w:rsidR="004041A1" w:rsidRPr="00A57E69">
        <w:t>stikändamål infördes genom en lagändring år 1995</w:t>
      </w:r>
      <w:r w:rsidR="004041A1" w:rsidRPr="00A57E69">
        <w:rPr>
          <w:vertAlign w:val="superscript"/>
        </w:rPr>
        <w:footnoteReference w:id="5"/>
      </w:r>
      <w:r w:rsidR="004041A1" w:rsidRPr="00A57E69">
        <w:t>. Av motiven till lagän</w:t>
      </w:r>
      <w:r w:rsidR="004041A1" w:rsidRPr="00A57E69">
        <w:t>d</w:t>
      </w:r>
      <w:r w:rsidR="004041A1" w:rsidRPr="00A57E69">
        <w:t>ringen framgår att de uppgifter som kommer in till en statistikansvarig my</w:t>
      </w:r>
      <w:r w:rsidR="004041A1" w:rsidRPr="00A57E69">
        <w:t>n</w:t>
      </w:r>
      <w:r w:rsidR="004041A1" w:rsidRPr="00A57E69">
        <w:t>dighet omfattas av statistiksekretess, förutsatt att myndigh</w:t>
      </w:r>
      <w:r w:rsidR="004041A1" w:rsidRPr="00A57E69">
        <w:t>e</w:t>
      </w:r>
      <w:r w:rsidR="004041A1" w:rsidRPr="00A57E69">
        <w:t>ten har en särskild verksamhet för framställning av statistik.</w:t>
      </w:r>
      <w:r w:rsidR="004041A1" w:rsidRPr="00A57E69">
        <w:rPr>
          <w:rStyle w:val="Fotnotsreferens"/>
        </w:rPr>
        <w:footnoteReference w:id="6"/>
      </w:r>
      <w:r w:rsidR="004041A1" w:rsidRPr="00A57E69">
        <w:t xml:space="preserve"> Regeringen uttalade att möjligheten till utlämnande borde tillämpas mycket restriktivt. Ett utlämna</w:t>
      </w:r>
      <w:r w:rsidR="004041A1" w:rsidRPr="00A57E69">
        <w:t>n</w:t>
      </w:r>
      <w:r w:rsidR="004041A1" w:rsidRPr="00A57E69">
        <w:t xml:space="preserve">de borde </w:t>
      </w:r>
      <w:r w:rsidR="00CA4852" w:rsidRPr="00A57E69">
        <w:t xml:space="preserve">enligt regeringen </w:t>
      </w:r>
      <w:r w:rsidR="004041A1" w:rsidRPr="00A57E69">
        <w:t>i praktiken förutsätta att även den mottagande myndigheten tillämpade stat</w:t>
      </w:r>
      <w:r w:rsidR="004041A1" w:rsidRPr="00A57E69">
        <w:t>i</w:t>
      </w:r>
      <w:r w:rsidR="004041A1" w:rsidRPr="00A57E69">
        <w:t xml:space="preserve">stiksekretess. </w:t>
      </w:r>
    </w:p>
    <w:p w:rsidR="00A664E8" w:rsidRPr="00A57E69" w:rsidRDefault="002160A9" w:rsidP="00A664E8">
      <w:pPr>
        <w:pStyle w:val="Normaltindrag"/>
      </w:pPr>
      <w:r w:rsidRPr="00A57E69">
        <w:t>Om en uppgift omfattas av statistiksekretess råder inte meddelarfrihet. V</w:t>
      </w:r>
      <w:r w:rsidRPr="00A57E69">
        <w:t>i</w:t>
      </w:r>
      <w:r w:rsidRPr="00A57E69">
        <w:t>dare får inte den s.k. generalklausulen i 14 kap. 3 § sekretesslagen</w:t>
      </w:r>
      <w:r w:rsidR="008D44A4" w:rsidRPr="00A57E69">
        <w:t xml:space="preserve"> tillämpas för dessa uppgifter.</w:t>
      </w:r>
    </w:p>
    <w:p w:rsidR="002160A9" w:rsidRPr="00A57E69" w:rsidRDefault="002160A9" w:rsidP="00C21C12">
      <w:pPr>
        <w:pStyle w:val="Normaltindrag"/>
      </w:pPr>
      <w:r w:rsidRPr="00A57E69">
        <w:t xml:space="preserve">Uppgifter som omfattas av statistiksekretess kan </w:t>
      </w:r>
      <w:r w:rsidR="00745FE2" w:rsidRPr="00A57E69">
        <w:t xml:space="preserve">även </w:t>
      </w:r>
      <w:r w:rsidRPr="00A57E69">
        <w:t>enligt 14 kap. 1 § sekretesslagen lämnas ut till myndighet med stöd av uppgiftsskyldighet i lag eller förordning. Denna uppgiftsplikt finns vanligtvis i de författningar som styr den verksa</w:t>
      </w:r>
      <w:r w:rsidRPr="00A57E69">
        <w:t>m</w:t>
      </w:r>
      <w:r w:rsidRPr="00A57E69">
        <w:t>het som genererar uppgiften i fråga. Det finns således inom den officiella statistiken i många fall en uppgiftsplikt i författning som genombryter sekr</w:t>
      </w:r>
      <w:r w:rsidRPr="00A57E69">
        <w:t>e</w:t>
      </w:r>
      <w:r w:rsidRPr="00A57E69">
        <w:t>tess och möjliggör ett utlämnande.</w:t>
      </w:r>
    </w:p>
    <w:p w:rsidR="00BB20B4" w:rsidRPr="00A57E69" w:rsidRDefault="00BB20B4" w:rsidP="00BB20B4">
      <w:pPr>
        <w:pStyle w:val="Normaltindrag"/>
      </w:pPr>
      <w:r w:rsidRPr="00A57E69">
        <w:t>I TF 2 kap. 2 § medges att regeringen, efter bemyndigande i sekretessb</w:t>
      </w:r>
      <w:r w:rsidRPr="00A57E69">
        <w:t>e</w:t>
      </w:r>
      <w:r w:rsidRPr="00A57E69">
        <w:t>stämmelse i lag, genom förordning får meddela närmare föreskrifter om b</w:t>
      </w:r>
      <w:r w:rsidRPr="00A57E69">
        <w:t>e</w:t>
      </w:r>
      <w:r w:rsidRPr="00A57E69">
        <w:t>stämmelsernas tillämplighet. Denna möjlighet till delegation har bl.a. utnyt</w:t>
      </w:r>
      <w:r w:rsidRPr="00A57E69">
        <w:t>t</w:t>
      </w:r>
      <w:r w:rsidRPr="00A57E69">
        <w:t>jats i reglerna om statistiksekretess i 9 kap. 4 § sekretesslagen. Sådana för</w:t>
      </w:r>
      <w:r w:rsidRPr="00A57E69">
        <w:t>e</w:t>
      </w:r>
      <w:r w:rsidRPr="00A57E69">
        <w:t xml:space="preserve">skrifter återfinns i 3 § sekretessförordningen (1980:657). Enligt </w:t>
      </w:r>
      <w:r w:rsidR="00612436" w:rsidRPr="00A57E69">
        <w:t>denna b</w:t>
      </w:r>
      <w:r w:rsidR="00612436" w:rsidRPr="00A57E69">
        <w:t>e</w:t>
      </w:r>
      <w:r w:rsidR="00612436" w:rsidRPr="00A57E69">
        <w:t xml:space="preserve">stämmelse </w:t>
      </w:r>
      <w:r w:rsidRPr="00A57E69">
        <w:t>gäller sekretess i den utsträckning som anges i paragrafen i unde</w:t>
      </w:r>
      <w:r w:rsidRPr="00A57E69">
        <w:t>r</w:t>
      </w:r>
      <w:r w:rsidRPr="00A57E69">
        <w:t xml:space="preserve">sökningar utförda av där uppräknade myndigheter. </w:t>
      </w:r>
    </w:p>
    <w:p w:rsidR="00BB1488" w:rsidRPr="00A57E69" w:rsidRDefault="002160A9" w:rsidP="00FC2F97">
      <w:pPr>
        <w:pStyle w:val="Normaltindrag"/>
      </w:pPr>
      <w:r w:rsidRPr="00A57E69">
        <w:t xml:space="preserve">För en utförlig beskrivning av gällande bestämmelser </w:t>
      </w:r>
      <w:r w:rsidR="00FC2F97" w:rsidRPr="00A57E69">
        <w:t>om statistiksekr</w:t>
      </w:r>
      <w:r w:rsidR="00FC2F97" w:rsidRPr="00A57E69">
        <w:t>e</w:t>
      </w:r>
      <w:r w:rsidR="00FC2F97" w:rsidRPr="00A57E69">
        <w:t xml:space="preserve">tess </w:t>
      </w:r>
      <w:r w:rsidRPr="00A57E69">
        <w:t>hänvisas till u</w:t>
      </w:r>
      <w:r w:rsidRPr="00A57E69">
        <w:t>t</w:t>
      </w:r>
      <w:r w:rsidRPr="00A57E69">
        <w:t>redningstjänstens promemoria, se bilaga 1</w:t>
      </w:r>
      <w:r w:rsidR="00BE62DB" w:rsidRPr="00A57E69">
        <w:t xml:space="preserve">. </w:t>
      </w:r>
    </w:p>
    <w:p w:rsidR="00C62D5E" w:rsidRPr="00A57E69" w:rsidRDefault="00C62D5E" w:rsidP="00C62D5E">
      <w:pPr>
        <w:pStyle w:val="Rubrik2"/>
      </w:pPr>
      <w:bookmarkStart w:id="16" w:name="_Toc178412616"/>
      <w:r w:rsidRPr="00A57E69">
        <w:t>Riksdagsstyrelsens överväganden</w:t>
      </w:r>
      <w:bookmarkEnd w:id="16"/>
    </w:p>
    <w:p w:rsidR="0072317B" w:rsidRPr="00A57E69" w:rsidRDefault="0072317B" w:rsidP="0072317B">
      <w:pPr>
        <w:pBdr>
          <w:top w:val="single" w:sz="4" w:space="1" w:color="auto"/>
          <w:left w:val="single" w:sz="4" w:space="4" w:color="auto"/>
          <w:bottom w:val="single" w:sz="4" w:space="1" w:color="auto"/>
          <w:right w:val="single" w:sz="4" w:space="4" w:color="auto"/>
        </w:pBdr>
      </w:pPr>
      <w:r w:rsidRPr="00A57E69">
        <w:rPr>
          <w:b/>
        </w:rPr>
        <w:t>Riksdagsstyrelsens förslag</w:t>
      </w:r>
      <w:r w:rsidR="00A664E8" w:rsidRPr="00A57E69">
        <w:rPr>
          <w:b/>
        </w:rPr>
        <w:t xml:space="preserve">: </w:t>
      </w:r>
      <w:r w:rsidR="00A664E8" w:rsidRPr="00A57E69">
        <w:t xml:space="preserve">Riksdagsförvaltningen </w:t>
      </w:r>
      <w:r w:rsidR="00CD66AF" w:rsidRPr="00A57E69">
        <w:t xml:space="preserve">bör </w:t>
      </w:r>
      <w:r w:rsidR="00A664E8" w:rsidRPr="00A57E69">
        <w:t>ha samma möjligh</w:t>
      </w:r>
      <w:r w:rsidR="00A664E8" w:rsidRPr="00A57E69">
        <w:t>e</w:t>
      </w:r>
      <w:r w:rsidR="00A664E8" w:rsidRPr="00A57E69">
        <w:t>ter som Riksrevisionen har i dag att sekretessbelägga uppgifter i vissa unde</w:t>
      </w:r>
      <w:r w:rsidR="00A664E8" w:rsidRPr="00A57E69">
        <w:t>r</w:t>
      </w:r>
      <w:r w:rsidR="00A664E8" w:rsidRPr="00A57E69">
        <w:t>sökningar av hänsyn till den enskildes ekonomiska eller personliga förhålla</w:t>
      </w:r>
      <w:r w:rsidR="00A664E8" w:rsidRPr="00A57E69">
        <w:t>n</w:t>
      </w:r>
      <w:r w:rsidR="00A664E8" w:rsidRPr="00A57E69">
        <w:t>den. Bestämmelse</w:t>
      </w:r>
      <w:r w:rsidR="00CD66AF" w:rsidRPr="00A57E69">
        <w:t>r om detta bör tas in i</w:t>
      </w:r>
      <w:r w:rsidR="00A664E8" w:rsidRPr="00A57E69">
        <w:t xml:space="preserve"> 9 kap. 4 § </w:t>
      </w:r>
      <w:r w:rsidR="00CD66AF" w:rsidRPr="00A57E69">
        <w:t>sekretesslagen (1980:100)</w:t>
      </w:r>
      <w:r w:rsidR="00A664E8" w:rsidRPr="00A57E69">
        <w:t>.</w:t>
      </w:r>
    </w:p>
    <w:p w:rsidR="0072317B" w:rsidRPr="00A57E69" w:rsidRDefault="0072317B" w:rsidP="00C62D5E">
      <w:pPr>
        <w:rPr>
          <w:b/>
        </w:rPr>
      </w:pPr>
    </w:p>
    <w:p w:rsidR="00C62D5E" w:rsidRPr="00A57E69" w:rsidRDefault="0072317B" w:rsidP="0072317B">
      <w:r w:rsidRPr="00A57E69">
        <w:rPr>
          <w:b/>
        </w:rPr>
        <w:t xml:space="preserve">Promemorians förslag: </w:t>
      </w:r>
      <w:r w:rsidRPr="00A57E69">
        <w:t>Överensstämmer i huvudsak med riksdagsstyre</w:t>
      </w:r>
      <w:r w:rsidRPr="00A57E69">
        <w:t>l</w:t>
      </w:r>
      <w:r w:rsidRPr="00A57E69">
        <w:t>sens förslag.</w:t>
      </w:r>
    </w:p>
    <w:p w:rsidR="0072317B" w:rsidRPr="00A57E69" w:rsidRDefault="0072317B" w:rsidP="0072317B">
      <w:pPr>
        <w:pStyle w:val="Normaltindrag"/>
      </w:pPr>
    </w:p>
    <w:p w:rsidR="0072317B" w:rsidRPr="00A57E69" w:rsidRDefault="0072317B" w:rsidP="0072317B">
      <w:r w:rsidRPr="00A57E69">
        <w:rPr>
          <w:b/>
        </w:rPr>
        <w:t xml:space="preserve">Remissinstanserna: </w:t>
      </w:r>
      <w:r w:rsidRPr="00A57E69">
        <w:t xml:space="preserve">Riksdagens ombudsmän, Justitiekanslern, Statistiska </w:t>
      </w:r>
      <w:r w:rsidR="00EA1BEB" w:rsidRPr="00A57E69">
        <w:t>c</w:t>
      </w:r>
      <w:r w:rsidRPr="00A57E69">
        <w:t xml:space="preserve">entralbyrån, Datainspektionen, Konjunkturinstitutet och Kammarrätten </w:t>
      </w:r>
      <w:r w:rsidR="00FE5FA3" w:rsidRPr="00A57E69">
        <w:t xml:space="preserve">i Jönköping </w:t>
      </w:r>
      <w:r w:rsidRPr="00A57E69">
        <w:t>har inte något att erinra mot promemorians förslag om ändring i se</w:t>
      </w:r>
      <w:r w:rsidRPr="00A57E69">
        <w:t>k</w:t>
      </w:r>
      <w:r w:rsidRPr="00A57E69">
        <w:t>retessla</w:t>
      </w:r>
      <w:r w:rsidR="003D2979" w:rsidRPr="00A57E69">
        <w:t>gen.</w:t>
      </w:r>
      <w:r w:rsidR="003D2979" w:rsidRPr="00A57E69">
        <w:rPr>
          <w:rStyle w:val="Fotnotsreferens"/>
        </w:rPr>
        <w:footnoteReference w:id="7"/>
      </w:r>
      <w:r w:rsidR="00EA1BEB" w:rsidRPr="00A57E69">
        <w:t xml:space="preserve"> </w:t>
      </w:r>
    </w:p>
    <w:p w:rsidR="00A4417B" w:rsidRPr="00A57E69" w:rsidRDefault="00EA1BEB" w:rsidP="00EA1BEB">
      <w:pPr>
        <w:pStyle w:val="Normaltindrag"/>
      </w:pPr>
      <w:r w:rsidRPr="00A57E69">
        <w:t xml:space="preserve">Riksdagens ombudsmän </w:t>
      </w:r>
      <w:r w:rsidR="00B30A2D" w:rsidRPr="00A57E69">
        <w:t>pekar i</w:t>
      </w:r>
      <w:r w:rsidRPr="00A57E69">
        <w:t xml:space="preserve"> sitt remissvar på att </w:t>
      </w:r>
      <w:r w:rsidR="00A4417B" w:rsidRPr="00A57E69">
        <w:t>det i</w:t>
      </w:r>
      <w:r w:rsidRPr="00A57E69">
        <w:t xml:space="preserve"> promemorian </w:t>
      </w:r>
      <w:r w:rsidR="00B30A2D" w:rsidRPr="00A57E69">
        <w:t xml:space="preserve">saknas en </w:t>
      </w:r>
      <w:r w:rsidR="00BB79CA" w:rsidRPr="00A57E69">
        <w:t>analys</w:t>
      </w:r>
      <w:r w:rsidR="00FE5FA3" w:rsidRPr="00A57E69">
        <w:t xml:space="preserve"> eller </w:t>
      </w:r>
      <w:r w:rsidR="00B30A2D" w:rsidRPr="00A57E69">
        <w:t>redovisning av</w:t>
      </w:r>
      <w:r w:rsidRPr="00A57E69">
        <w:t xml:space="preserve"> tillämplig bestämmelse när det gäller u</w:t>
      </w:r>
      <w:r w:rsidRPr="00A57E69">
        <w:t>t</w:t>
      </w:r>
      <w:r w:rsidRPr="00A57E69">
        <w:t>lämnande av uppgifter från Statistiska centralbyrån till utredningstjänstens budgetkontor</w:t>
      </w:r>
      <w:r w:rsidR="00A4417B" w:rsidRPr="00A57E69">
        <w:t xml:space="preserve"> </w:t>
      </w:r>
      <w:r w:rsidR="008D44A4" w:rsidRPr="00A57E69">
        <w:t>och hänvisar i svaret till bestämmelsen i</w:t>
      </w:r>
      <w:r w:rsidR="00A4417B" w:rsidRPr="00A57E69">
        <w:t xml:space="preserve"> 14 kap. 1 § sekr</w:t>
      </w:r>
      <w:r w:rsidR="00A4417B" w:rsidRPr="00A57E69">
        <w:t>e</w:t>
      </w:r>
      <w:r w:rsidR="00A4417B" w:rsidRPr="00A57E69">
        <w:t>tessla</w:t>
      </w:r>
      <w:r w:rsidR="008D44A4" w:rsidRPr="00A57E69">
        <w:t>gen</w:t>
      </w:r>
      <w:r w:rsidR="00A4417B" w:rsidRPr="00A57E69">
        <w:t>.</w:t>
      </w:r>
    </w:p>
    <w:p w:rsidR="00EA1BEB" w:rsidRPr="00A57E69" w:rsidRDefault="00E607CF" w:rsidP="001665F2">
      <w:pPr>
        <w:pStyle w:val="Rubrik3"/>
        <w:rPr>
          <w:noProof w:val="0"/>
        </w:rPr>
      </w:pPr>
      <w:bookmarkStart w:id="17" w:name="_Toc178412617"/>
      <w:r w:rsidRPr="00A57E69">
        <w:rPr>
          <w:noProof w:val="0"/>
        </w:rPr>
        <w:t>Skälen för riksdagsstyrelsens förslag</w:t>
      </w:r>
      <w:bookmarkEnd w:id="17"/>
    </w:p>
    <w:p w:rsidR="00561C09" w:rsidRPr="00A57E69" w:rsidRDefault="001665F2" w:rsidP="00053DD4">
      <w:r w:rsidRPr="00A57E69">
        <w:t>Som framgått av den föregående redovisningen är statistiksekretess enligt huvudregeln e</w:t>
      </w:r>
      <w:r w:rsidR="00E4659F" w:rsidRPr="00A57E69">
        <w:t>nligt gällande bestämmelser i 9 kap. 4 § sekretesslagen</w:t>
      </w:r>
      <w:r w:rsidR="00BF7636" w:rsidRPr="00A57E69">
        <w:t xml:space="preserve"> </w:t>
      </w:r>
      <w:r w:rsidR="00BF7636" w:rsidRPr="00A57E69">
        <w:rPr>
          <w:i/>
        </w:rPr>
        <w:t>abs</w:t>
      </w:r>
      <w:r w:rsidR="00BF7636" w:rsidRPr="00A57E69">
        <w:rPr>
          <w:i/>
        </w:rPr>
        <w:t>o</w:t>
      </w:r>
      <w:r w:rsidR="00BF7636" w:rsidRPr="00A57E69">
        <w:rPr>
          <w:i/>
        </w:rPr>
        <w:t>lut</w:t>
      </w:r>
      <w:r w:rsidR="00BF7636" w:rsidRPr="00A57E69">
        <w:t>, dvs. oavsett följderna vid ett eventuellt utlämnande gäller sekretess.</w:t>
      </w:r>
      <w:r w:rsidR="00053DD4" w:rsidRPr="00A57E69">
        <w:t xml:space="preserve"> </w:t>
      </w:r>
      <w:r w:rsidR="00E4659F" w:rsidRPr="00A57E69">
        <w:t>E</w:t>
      </w:r>
      <w:r w:rsidR="00E4659F" w:rsidRPr="00A57E69">
        <w:t>n</w:t>
      </w:r>
      <w:r w:rsidR="00E4659F" w:rsidRPr="00A57E69">
        <w:t>ligt samma stadgande får emellertid u</w:t>
      </w:r>
      <w:r w:rsidR="00561C09" w:rsidRPr="00A57E69">
        <w:t>ppgift som behövs för fors</w:t>
      </w:r>
      <w:r w:rsidR="00561C09" w:rsidRPr="00A57E69">
        <w:t>k</w:t>
      </w:r>
      <w:r w:rsidR="00561C09" w:rsidRPr="00A57E69">
        <w:t>nings- eller statistikändamål och uppgift som inte genom namn, annan identitetsbetec</w:t>
      </w:r>
      <w:r w:rsidR="00561C09" w:rsidRPr="00A57E69">
        <w:t>k</w:t>
      </w:r>
      <w:r w:rsidR="00561C09" w:rsidRPr="00A57E69">
        <w:t>ning eller därmed jämförbart förhållande är direkt hänförlig till den e</w:t>
      </w:r>
      <w:r w:rsidR="00561C09" w:rsidRPr="00A57E69">
        <w:t>n</w:t>
      </w:r>
      <w:r w:rsidR="00561C09" w:rsidRPr="00A57E69">
        <w:t>skilde lämnas ut</w:t>
      </w:r>
      <w:r w:rsidR="00E4659F" w:rsidRPr="00A57E69">
        <w:t xml:space="preserve">. Ett </w:t>
      </w:r>
      <w:r w:rsidR="00580E9B" w:rsidRPr="00A57E69">
        <w:t xml:space="preserve">sådant </w:t>
      </w:r>
      <w:r w:rsidR="00E4659F" w:rsidRPr="00A57E69">
        <w:t>utlämnande förutsätter att det står klart att up</w:t>
      </w:r>
      <w:r w:rsidR="00E4659F" w:rsidRPr="00A57E69">
        <w:t>p</w:t>
      </w:r>
      <w:r w:rsidR="00E4659F" w:rsidRPr="00A57E69">
        <w:t>gifterna kan röjas utan att den som uppgiften rör eller någon honom närståe</w:t>
      </w:r>
      <w:r w:rsidR="00E4659F" w:rsidRPr="00A57E69">
        <w:t>n</w:t>
      </w:r>
      <w:r w:rsidR="00E4659F" w:rsidRPr="00A57E69">
        <w:t>de lider skada eller men</w:t>
      </w:r>
      <w:r w:rsidR="00BF7636" w:rsidRPr="00A57E69">
        <w:t xml:space="preserve">. Här råder ett </w:t>
      </w:r>
      <w:r w:rsidR="00E4659F" w:rsidRPr="00A57E69">
        <w:t xml:space="preserve">s.k. </w:t>
      </w:r>
      <w:r w:rsidR="00E4659F" w:rsidRPr="00A57E69">
        <w:rPr>
          <w:i/>
        </w:rPr>
        <w:t>omvänt skaderekvisit</w:t>
      </w:r>
      <w:r w:rsidR="00BF7636" w:rsidRPr="00A57E69">
        <w:t>, vilket inn</w:t>
      </w:r>
      <w:r w:rsidR="00BF7636" w:rsidRPr="00A57E69">
        <w:t>e</w:t>
      </w:r>
      <w:r w:rsidR="00BF7636" w:rsidRPr="00A57E69">
        <w:t>bär att bedömningen görs så att sekretess gäller om det inte står klart att up</w:t>
      </w:r>
      <w:r w:rsidR="00BF7636" w:rsidRPr="00A57E69">
        <w:t>p</w:t>
      </w:r>
      <w:r w:rsidR="00BF7636" w:rsidRPr="00A57E69">
        <w:t xml:space="preserve">giften kan röjas utan att den </w:t>
      </w:r>
      <w:r w:rsidR="00FD0B04" w:rsidRPr="00A57E69">
        <w:t>enskilde lider skada eller men.</w:t>
      </w:r>
    </w:p>
    <w:p w:rsidR="00BB79CA" w:rsidRPr="00A57E69" w:rsidRDefault="00053DD4" w:rsidP="00580E9B">
      <w:pPr>
        <w:pStyle w:val="Normaltindrag"/>
      </w:pPr>
      <w:r w:rsidRPr="00A57E69">
        <w:t xml:space="preserve">De uppgifter som det i detta ärende är fråga om omfattas av sekretess hos Statistiska centralbyrån enligt 9 kap. 4 § sekretesslagen. Utlämnande </w:t>
      </w:r>
      <w:r w:rsidR="00FD0B04" w:rsidRPr="00A57E69">
        <w:t>av såd</w:t>
      </w:r>
      <w:r w:rsidR="00FD0B04" w:rsidRPr="00A57E69">
        <w:t>a</w:t>
      </w:r>
      <w:r w:rsidR="00FD0B04" w:rsidRPr="00A57E69">
        <w:t xml:space="preserve">na uppgifter </w:t>
      </w:r>
      <w:r w:rsidRPr="00A57E69">
        <w:t>kan som framgått av det föregående ske för bl.a. forsknings- eller stat</w:t>
      </w:r>
      <w:r w:rsidRPr="00A57E69">
        <w:t>i</w:t>
      </w:r>
      <w:r w:rsidRPr="00A57E69">
        <w:t xml:space="preserve">stikändamål efter </w:t>
      </w:r>
      <w:r w:rsidR="00FD0B04" w:rsidRPr="00A57E69">
        <w:t xml:space="preserve">sedvanlig </w:t>
      </w:r>
      <w:r w:rsidR="008270E4" w:rsidRPr="00A57E69">
        <w:t>sekretess</w:t>
      </w:r>
      <w:r w:rsidRPr="00A57E69">
        <w:t xml:space="preserve">prövning. </w:t>
      </w:r>
    </w:p>
    <w:p w:rsidR="00A0529B" w:rsidRPr="00A57E69" w:rsidRDefault="00F21ED7" w:rsidP="008270E4">
      <w:pPr>
        <w:pStyle w:val="Normaltindrag"/>
      </w:pPr>
      <w:r w:rsidRPr="00A57E69">
        <w:t>Riksdagsstyrelsen konstaterar att d</w:t>
      </w:r>
      <w:r w:rsidR="0052645E" w:rsidRPr="00A57E69">
        <w:t xml:space="preserve">e uppgifter som </w:t>
      </w:r>
      <w:r w:rsidRPr="00A57E69">
        <w:t xml:space="preserve">utredningstjänstens budgetkontor vid </w:t>
      </w:r>
      <w:r w:rsidR="0052645E" w:rsidRPr="00A57E69">
        <w:t xml:space="preserve">riksdagsförvaltningen </w:t>
      </w:r>
      <w:r w:rsidRPr="00A57E69">
        <w:t xml:space="preserve">för närvarande </w:t>
      </w:r>
      <w:r w:rsidR="0052645E" w:rsidRPr="00A57E69">
        <w:t>erhåller från Statisti</w:t>
      </w:r>
      <w:r w:rsidR="0052645E" w:rsidRPr="00A57E69">
        <w:t>s</w:t>
      </w:r>
      <w:r w:rsidR="0052645E" w:rsidRPr="00A57E69">
        <w:t xml:space="preserve">ka centralbyrån </w:t>
      </w:r>
      <w:r w:rsidR="00A0529B" w:rsidRPr="00A57E69">
        <w:t xml:space="preserve">för att kunna genomföra olika slags undersökningar </w:t>
      </w:r>
      <w:r w:rsidRPr="00A57E69">
        <w:t xml:space="preserve">torde </w:t>
      </w:r>
      <w:r w:rsidR="002160A9" w:rsidRPr="00A57E69">
        <w:t xml:space="preserve">sakna </w:t>
      </w:r>
      <w:r w:rsidR="0052645E" w:rsidRPr="00A57E69">
        <w:t>sekretesskydd</w:t>
      </w:r>
      <w:r w:rsidRPr="00A57E69">
        <w:t xml:space="preserve"> inom förvaltningen</w:t>
      </w:r>
      <w:r w:rsidR="0052645E" w:rsidRPr="00A57E69">
        <w:t>.</w:t>
      </w:r>
      <w:r w:rsidR="00A0529B" w:rsidRPr="00A57E69">
        <w:t xml:space="preserve"> Riksdagsstyrelsen anser att denna brist </w:t>
      </w:r>
      <w:r w:rsidR="00BB79CA" w:rsidRPr="00A57E69">
        <w:t xml:space="preserve">snarast </w:t>
      </w:r>
      <w:r w:rsidR="00A0529B" w:rsidRPr="00A57E69">
        <w:t>bör å</w:t>
      </w:r>
      <w:r w:rsidR="00A0529B" w:rsidRPr="00A57E69">
        <w:t>t</w:t>
      </w:r>
      <w:r w:rsidR="00A0529B" w:rsidRPr="00A57E69">
        <w:t>gärdas</w:t>
      </w:r>
      <w:r w:rsidR="00BB79CA" w:rsidRPr="00A57E69">
        <w:t>.</w:t>
      </w:r>
    </w:p>
    <w:p w:rsidR="00A0529B" w:rsidRPr="00A57E69" w:rsidRDefault="0025566B" w:rsidP="00A0529B">
      <w:pPr>
        <w:pStyle w:val="Normaltindrag"/>
      </w:pPr>
      <w:r w:rsidRPr="00A57E69">
        <w:t>D</w:t>
      </w:r>
      <w:r w:rsidR="00C20E0D" w:rsidRPr="00A57E69">
        <w:t>en lösning som ligger närmast till hands är en ändring i 9 kap. 4 § sekr</w:t>
      </w:r>
      <w:r w:rsidR="00C20E0D" w:rsidRPr="00A57E69">
        <w:t>e</w:t>
      </w:r>
      <w:r w:rsidR="00C20E0D" w:rsidRPr="00A57E69">
        <w:t xml:space="preserve">tesslagen. Genom </w:t>
      </w:r>
      <w:r w:rsidR="002160A9" w:rsidRPr="00A57E69">
        <w:t xml:space="preserve">en sådan ändring </w:t>
      </w:r>
      <w:r w:rsidR="007567FF" w:rsidRPr="00A57E69">
        <w:t>erhåller de aktuella uppgifterna hos rik</w:t>
      </w:r>
      <w:r w:rsidR="007567FF" w:rsidRPr="00A57E69">
        <w:t>s</w:t>
      </w:r>
      <w:r w:rsidR="007567FF" w:rsidRPr="00A57E69">
        <w:t>dagsförvaltningen samma sekretesskydd som enligt lagrummet gäller för vissa uppgifter hos Riksrevisionen.</w:t>
      </w:r>
      <w:r w:rsidR="002160A9" w:rsidRPr="00A57E69">
        <w:t xml:space="preserve"> </w:t>
      </w:r>
      <w:r w:rsidR="00F21ED7" w:rsidRPr="00A57E69">
        <w:t xml:space="preserve">Ändringen bör inte begränsas att avse någon organisatorisk enhet </w:t>
      </w:r>
      <w:r w:rsidR="007567FF" w:rsidRPr="00A57E69">
        <w:t xml:space="preserve">inom </w:t>
      </w:r>
      <w:r w:rsidR="00F21ED7" w:rsidRPr="00A57E69">
        <w:t xml:space="preserve">riksdagsförvaltningen utan avse </w:t>
      </w:r>
      <w:r w:rsidR="007567FF" w:rsidRPr="00A57E69">
        <w:t>hela my</w:t>
      </w:r>
      <w:r w:rsidR="007567FF" w:rsidRPr="00A57E69">
        <w:t>n</w:t>
      </w:r>
      <w:r w:rsidR="007567FF" w:rsidRPr="00A57E69">
        <w:t>digheten.</w:t>
      </w:r>
    </w:p>
    <w:p w:rsidR="00A0529B" w:rsidRPr="00A57E69" w:rsidRDefault="00A0529B" w:rsidP="00A0529B">
      <w:pPr>
        <w:pStyle w:val="Normaltindrag"/>
      </w:pPr>
      <w:r w:rsidRPr="00A57E69">
        <w:t>Ändringarna i sekretesslagen föreslås träda i kraft den 1 januari 200</w:t>
      </w:r>
      <w:r w:rsidR="009A3AA0" w:rsidRPr="00A57E69">
        <w:t>8</w:t>
      </w:r>
      <w:r w:rsidRPr="00A57E69">
        <w:t>.</w:t>
      </w:r>
    </w:p>
    <w:p w:rsidR="00C62D5E" w:rsidRPr="00A57E69" w:rsidRDefault="00C62D5E" w:rsidP="00C62D5E">
      <w:pPr>
        <w:pStyle w:val="Normaltindrag"/>
        <w:sectPr w:rsidR="00C62D5E" w:rsidRPr="00A57E6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61EA" w:rsidRPr="00A57E69" w:rsidRDefault="00EB176A" w:rsidP="009C61EA">
      <w:pPr>
        <w:pStyle w:val="Bilaga"/>
      </w:pPr>
      <w:r w:rsidRPr="00A57E69">
        <w:t>Bilaga</w:t>
      </w:r>
    </w:p>
    <w:p w:rsidR="009C61EA" w:rsidRPr="00A57E69" w:rsidRDefault="0055710C" w:rsidP="009C61EA">
      <w:pPr>
        <w:pStyle w:val="Rubrik1"/>
        <w:spacing w:after="0"/>
        <w:rPr>
          <w:noProof w:val="0"/>
        </w:rPr>
      </w:pPr>
      <w:bookmarkStart w:id="18" w:name="_Toc178412618"/>
      <w:r w:rsidRPr="00A57E69">
        <w:rPr>
          <w:noProof w:val="0"/>
        </w:rPr>
        <w:t>Riksdagens utredningstjänsts promemoria</w:t>
      </w:r>
      <w:bookmarkEnd w:id="18"/>
    </w:p>
    <w:p w:rsidR="0055710C" w:rsidRPr="00A57E69" w:rsidRDefault="0055710C" w:rsidP="009C61EA">
      <w:pPr>
        <w:pStyle w:val="R1"/>
      </w:pPr>
      <w:r w:rsidRPr="00A57E69">
        <w:t>Sekretess för statistiska uppgifter vid riksdagens utredningstjänsts budgetkontor</w:t>
      </w:r>
    </w:p>
    <w:p w:rsidR="005C64AA" w:rsidRPr="00A57E69" w:rsidRDefault="005C64AA" w:rsidP="00786D91">
      <w:pPr>
        <w:pStyle w:val="R1"/>
        <w:spacing w:after="240"/>
      </w:pPr>
      <w:bookmarkStart w:id="19" w:name="Nästa_Reservation"/>
      <w:bookmarkStart w:id="20" w:name="_Toc168801333"/>
      <w:bookmarkStart w:id="21" w:name="_Toc178412619"/>
      <w:bookmarkEnd w:id="19"/>
      <w:r w:rsidRPr="00A57E69">
        <w:t>1</w:t>
      </w:r>
      <w:r w:rsidR="00E12417" w:rsidRPr="00A57E69">
        <w:t xml:space="preserve"> </w:t>
      </w:r>
      <w:r w:rsidRPr="00A57E69">
        <w:t>Inledning</w:t>
      </w:r>
      <w:bookmarkEnd w:id="20"/>
      <w:bookmarkEnd w:id="21"/>
    </w:p>
    <w:p w:rsidR="005C64AA" w:rsidRPr="00A57E69" w:rsidRDefault="005C64AA" w:rsidP="005C64AA">
      <w:r w:rsidRPr="00A57E69">
        <w:t>Denna promemoria behandlar möjligheten, vad gäller reglerna om sekretess, för budgetkontoret vid riksdagens utredningstjänst att få tillgång till statistiska uppgifter ur Statistiska centralbyråns (SCB) databaser. För att belysa om en sådan överföring innebär att uppgifter ur SCB:s databaser utgör allmän han</w:t>
      </w:r>
      <w:r w:rsidRPr="00A57E69">
        <w:t>d</w:t>
      </w:r>
      <w:r w:rsidRPr="00A57E69">
        <w:t>ling, som kan begäras utlämnad från utredningstjänstens budgetkontor, red</w:t>
      </w:r>
      <w:r w:rsidRPr="00A57E69">
        <w:t>o</w:t>
      </w:r>
      <w:r w:rsidRPr="00A57E69">
        <w:t>görs översiktligt för reglerna om handlingsoffentlighet. Därefter presenteras, i relevanta delar, sekretesslagen och särskilt bestämmelserna om statistiksekr</w:t>
      </w:r>
      <w:r w:rsidRPr="00A57E69">
        <w:t>e</w:t>
      </w:r>
      <w:r w:rsidRPr="00A57E69">
        <w:t>tess. I promemorian redogörs för hur – med utgångspunkt i uttalanden i föra</w:t>
      </w:r>
      <w:r w:rsidRPr="00A57E69">
        <w:t>r</w:t>
      </w:r>
      <w:r w:rsidRPr="00A57E69">
        <w:t>betena – lagtexten skall tolkas. För att undersöka om utredningstjänstens budgetkontors arbetsuppgifter omfattas av statistiksekretess följer en geno</w:t>
      </w:r>
      <w:r w:rsidRPr="00A57E69">
        <w:t>m</w:t>
      </w:r>
      <w:r w:rsidRPr="00A57E69">
        <w:t>gång av de arbetsuppgifter som är relevanta för denna analys. Avslutningsvis presenteras förslag på hur riksdagsförvaltningen kan agera för att budgetko</w:t>
      </w:r>
      <w:r w:rsidRPr="00A57E69">
        <w:t>n</w:t>
      </w:r>
      <w:r w:rsidRPr="00A57E69">
        <w:t>toret skall få tillgång till statistiska uppgifter ur SCB:s databaser och för att dessa uppgifter, även hos budgetkontoret, skall omfattas av reglerna om stat</w:t>
      </w:r>
      <w:r w:rsidRPr="00A57E69">
        <w:t>i</w:t>
      </w:r>
      <w:r w:rsidRPr="00A57E69">
        <w:t xml:space="preserve">stiksekretess. </w:t>
      </w:r>
    </w:p>
    <w:p w:rsidR="005C64AA" w:rsidRPr="00A57E69" w:rsidRDefault="005C64AA" w:rsidP="00786D91">
      <w:pPr>
        <w:pStyle w:val="R1"/>
        <w:spacing w:before="480" w:after="240"/>
      </w:pPr>
      <w:bookmarkStart w:id="22" w:name="_Toc168801334"/>
      <w:bookmarkStart w:id="23" w:name="_Toc178412620"/>
      <w:r w:rsidRPr="00A57E69">
        <w:t>2</w:t>
      </w:r>
      <w:r w:rsidR="00E12417" w:rsidRPr="00A57E69">
        <w:t xml:space="preserve"> </w:t>
      </w:r>
      <w:r w:rsidRPr="00A57E69">
        <w:t>Handlingsoffentlighet</w:t>
      </w:r>
      <w:bookmarkEnd w:id="22"/>
      <w:bookmarkEnd w:id="23"/>
    </w:p>
    <w:p w:rsidR="005C64AA" w:rsidRPr="00A57E69" w:rsidRDefault="005C64AA" w:rsidP="005C64AA">
      <w:r w:rsidRPr="00A57E69">
        <w:t>I svensk rätt gäller sedan länge offentlighetsprincipen. Denna princip innebär en möjlighet till medborgerlig kontroll av den offentliga förvaltningen. Den kanske mest betydelsefulla formen av offentlighet är handlingsoffentligheten. Handlingsoffentligheten syftar till att säkerställa ett fritt meningsutbyte och en allsidig upplysning och ger varje svensk medborgare</w:t>
      </w:r>
      <w:r w:rsidRPr="00A57E69">
        <w:rPr>
          <w:rStyle w:val="Fotnotsreferens"/>
        </w:rPr>
        <w:footnoteReference w:id="8"/>
      </w:r>
      <w:r w:rsidRPr="00A57E69">
        <w:t xml:space="preserve"> rätt att ta del av upp-gifter som är dokumenterade i allmänna handlingar. </w:t>
      </w:r>
    </w:p>
    <w:p w:rsidR="005C64AA" w:rsidRPr="00A57E69" w:rsidRDefault="005C64AA" w:rsidP="005C64AA">
      <w:pPr>
        <w:pStyle w:val="Rubrik2"/>
      </w:pPr>
      <w:bookmarkStart w:id="24" w:name="_Toc168801335"/>
      <w:bookmarkStart w:id="25" w:name="_Toc178412621"/>
      <w:r w:rsidRPr="00A57E69">
        <w:t>2.1 Allmän handling</w:t>
      </w:r>
      <w:bookmarkEnd w:id="24"/>
      <w:bookmarkEnd w:id="25"/>
    </w:p>
    <w:p w:rsidR="005C64AA" w:rsidRPr="00A57E69" w:rsidRDefault="005C64AA" w:rsidP="005C64AA">
      <w:pPr>
        <w:pStyle w:val="Rubrik3"/>
        <w:rPr>
          <w:noProof w:val="0"/>
        </w:rPr>
      </w:pPr>
      <w:bookmarkStart w:id="26" w:name="_Toc168801336"/>
      <w:bookmarkStart w:id="27" w:name="_Toc178412622"/>
      <w:r w:rsidRPr="00A57E69">
        <w:rPr>
          <w:noProof w:val="0"/>
        </w:rPr>
        <w:t>2.1.1 Handling</w:t>
      </w:r>
      <w:bookmarkEnd w:id="26"/>
      <w:bookmarkEnd w:id="27"/>
    </w:p>
    <w:p w:rsidR="005C64AA" w:rsidRPr="00A57E69" w:rsidRDefault="005C64AA" w:rsidP="005C64AA">
      <w:r w:rsidRPr="00A57E69">
        <w:t>Med handling förstås en framställning i skrift eller bild samt en upptagning som kan läsas, avlyssnas eller på annat sätt uppfattas endast med tekniskt hjälpmedel (2 kap. 3 § första stycket TF). Det väsentliga hos en handling är den information som handlingen är bärare av, och inte det medium inform</w:t>
      </w:r>
      <w:r w:rsidRPr="00A57E69">
        <w:t>a</w:t>
      </w:r>
      <w:r w:rsidRPr="00A57E69">
        <w:t>tionen är fixerad på.</w:t>
      </w:r>
    </w:p>
    <w:p w:rsidR="005C64AA" w:rsidRPr="00A57E69" w:rsidRDefault="005C64AA" w:rsidP="005C64AA">
      <w:pPr>
        <w:pStyle w:val="Normaltindrag"/>
      </w:pPr>
      <w:r w:rsidRPr="00A57E69">
        <w:t xml:space="preserve">En särskild form av handlingar utgörs av vad som kallas upptagningar. En upptagning är en framställning vars informationsinnehåll endast kan uppfattas eller förstås med tekniskt hjälpmedel. Med en upptagning för automatisk databehandling (ADB) avses uppgifter som är fixerade på någon form av datamedium och som antingen finns i datorn eller som matas in i datorn. Varje konstellation av sakligt eller logiskt sammanhängande uppgifter skall ses som en upptagning för sig. Uppgifterna i en databas är följaktligen en upptagning i TF:s mening och utgör i och med det en handling. </w:t>
      </w:r>
    </w:p>
    <w:p w:rsidR="005C64AA" w:rsidRPr="00A57E69" w:rsidRDefault="005C64AA" w:rsidP="005C64AA">
      <w:pPr>
        <w:pStyle w:val="Rubrik3"/>
        <w:rPr>
          <w:noProof w:val="0"/>
        </w:rPr>
      </w:pPr>
      <w:bookmarkStart w:id="28" w:name="_Toc168801337"/>
      <w:bookmarkStart w:id="29" w:name="_Toc178412623"/>
      <w:r w:rsidRPr="00A57E69">
        <w:rPr>
          <w:noProof w:val="0"/>
        </w:rPr>
        <w:t>2.1.2 Allmän</w:t>
      </w:r>
      <w:bookmarkEnd w:id="28"/>
      <w:bookmarkEnd w:id="29"/>
    </w:p>
    <w:p w:rsidR="005C64AA" w:rsidRPr="00A57E69" w:rsidRDefault="005C64AA" w:rsidP="005C64AA">
      <w:r w:rsidRPr="00A57E69">
        <w:t>För att en handling skall omfattas av reglerna om handlingsoffentlighet krävs att handlingen är allmän. En handling är allmän om den förvaras hos myndi</w:t>
      </w:r>
      <w:r w:rsidRPr="00A57E69">
        <w:t>g</w:t>
      </w:r>
      <w:r w:rsidRPr="00A57E69">
        <w:t xml:space="preserve">het och enligt 6 eller 7 § är att anse som inkommen till eller upprättad hos myndighet (2 kap. 3 § TF). </w:t>
      </w:r>
    </w:p>
    <w:p w:rsidR="005C64AA" w:rsidRPr="00A57E69" w:rsidRDefault="005C64AA" w:rsidP="005C64AA">
      <w:pPr>
        <w:pStyle w:val="Rubrik3"/>
        <w:rPr>
          <w:noProof w:val="0"/>
        </w:rPr>
      </w:pPr>
      <w:bookmarkStart w:id="30" w:name="_Toc168801338"/>
      <w:bookmarkStart w:id="31" w:name="_Toc178412624"/>
      <w:r w:rsidRPr="00A57E69">
        <w:rPr>
          <w:noProof w:val="0"/>
        </w:rPr>
        <w:t>2.1.3 Begreppet myndighet</w:t>
      </w:r>
      <w:bookmarkEnd w:id="30"/>
      <w:bookmarkEnd w:id="31"/>
      <w:r w:rsidRPr="00A57E69">
        <w:rPr>
          <w:noProof w:val="0"/>
        </w:rPr>
        <w:t xml:space="preserve"> </w:t>
      </w:r>
    </w:p>
    <w:p w:rsidR="005C64AA" w:rsidRPr="00A57E69" w:rsidRDefault="005C64AA" w:rsidP="005C64AA">
      <w:r w:rsidRPr="00A57E69">
        <w:t>Begreppet myndighet i TF korresponderar med myndighetsbegreppet i rege</w:t>
      </w:r>
      <w:r w:rsidRPr="00A57E69">
        <w:t>r</w:t>
      </w:r>
      <w:r w:rsidRPr="00A57E69">
        <w:t>ingsformen. Till myndigheterna hänförs därför dels regeringen och domst</w:t>
      </w:r>
      <w:r w:rsidRPr="00A57E69">
        <w:t>o</w:t>
      </w:r>
      <w:r w:rsidRPr="00A57E69">
        <w:t>larna, vilka är statliga organ, dels förvaltningsmyndigheterna som kan vara antingen statliga eller kommunala organ. Av 2 kap. 5 § TF framgår vidare att med myndighet jämställs i kapitlet även riksdagen och beslutande kommunal församling. I 1 kap. 8 och 9 §§ sekretesslagen (1980:100) stadgas bl.a. att TF:s regler om rätt att ta del av allmänna handlingar även skall, i tillämpliga delar, gälla hos de organ som anges i bilagan till sekretessförordningen samt hos bolag, föreningar och stiftelser där kommuner eller landsting utövar ett rättsligt bestämmande inflytande. Även i kommunallagen (1991:900) finns regler om TF:s tillämplighet för det fall vården av en kommunal angelägenhet har lämnats över till en juridisk person.</w:t>
      </w:r>
    </w:p>
    <w:p w:rsidR="005C64AA" w:rsidRPr="00A57E69" w:rsidRDefault="005C64AA" w:rsidP="005C64AA">
      <w:pPr>
        <w:pStyle w:val="Rubrik3"/>
        <w:rPr>
          <w:noProof w:val="0"/>
        </w:rPr>
      </w:pPr>
      <w:bookmarkStart w:id="32" w:name="_Toc168801339"/>
      <w:bookmarkStart w:id="33" w:name="_Toc178412625"/>
      <w:r w:rsidRPr="00A57E69">
        <w:rPr>
          <w:noProof w:val="0"/>
        </w:rPr>
        <w:t>2.1.4 Förvaring</w:t>
      </w:r>
      <w:bookmarkEnd w:id="32"/>
      <w:bookmarkEnd w:id="33"/>
    </w:p>
    <w:p w:rsidR="005C64AA" w:rsidRPr="00A57E69" w:rsidRDefault="005C64AA" w:rsidP="005C64AA">
      <w:r w:rsidRPr="00A57E69">
        <w:t>För att en handling skall vara allmän i TF:s mening krävs till att börja med att handlingen är knuten till en myndighet genom förvaring. Klart är att en han</w:t>
      </w:r>
      <w:r w:rsidRPr="00A57E69">
        <w:t>d</w:t>
      </w:r>
      <w:r w:rsidRPr="00A57E69">
        <w:t>ling förvaras hos en myndighet om den finns i myndighetens lokaler. En handling kan dock anses förvarad hos en myndighet även om den finns på annan plats. När det gäller upptagningar har begreppet förvarad givits en särskild, i lagtexten, uttrycklig innebörd (2 kap. 3 § andra stycket TF). Av lagrummet framgår att en upptagning anses förvarad hos en myndighet om den är tillgänglig för myndigheten med tekniskt hjälpmedel som myndig-heten själv utnyttjar för överföring i sådan form att upptagningen kan läsas, avlyssnas eller på annat sätt uppfattas. När det gäller upptagningar för ADB anses handlingen även förvarad hos myndigheten om myndigheten kan ta del av upptagningen genom t.ex. terminalförbindelse med en dator hos ett annat organ.</w:t>
      </w:r>
      <w:r w:rsidRPr="00A57E69">
        <w:rPr>
          <w:rStyle w:val="Fotnotsreferens"/>
        </w:rPr>
        <w:footnoteReference w:id="9"/>
      </w:r>
      <w:r w:rsidRPr="00A57E69">
        <w:t xml:space="preserve"> </w:t>
      </w:r>
    </w:p>
    <w:p w:rsidR="005C64AA" w:rsidRPr="00A57E69" w:rsidRDefault="005C64AA" w:rsidP="005C64AA">
      <w:pPr>
        <w:pStyle w:val="Normaltindrag"/>
      </w:pPr>
      <w:r w:rsidRPr="00A57E69">
        <w:t>Av 2 kap. 3 § TF framgår att om ADB-upptagningen behandlar perso</w:t>
      </w:r>
      <w:r w:rsidRPr="00A57E69">
        <w:t>n</w:t>
      </w:r>
      <w:r w:rsidRPr="00A57E69">
        <w:t>uppgi</w:t>
      </w:r>
      <w:r w:rsidRPr="00A57E69">
        <w:t>f</w:t>
      </w:r>
      <w:r w:rsidRPr="00A57E69">
        <w:t xml:space="preserve">ter krävs, för att upptagningen skall anses förvarad hos myndigheten, även att myndigheten har rättslig befogenhet att överföra upptagningen till läsbar form. </w:t>
      </w:r>
    </w:p>
    <w:p w:rsidR="005C64AA" w:rsidRPr="00A57E69" w:rsidRDefault="005C64AA" w:rsidP="005C64AA">
      <w:pPr>
        <w:pStyle w:val="Rubrik3"/>
        <w:rPr>
          <w:noProof w:val="0"/>
        </w:rPr>
      </w:pPr>
      <w:bookmarkStart w:id="34" w:name="_Toc168801340"/>
      <w:bookmarkStart w:id="35" w:name="_Toc178412626"/>
      <w:r w:rsidRPr="00A57E69">
        <w:rPr>
          <w:noProof w:val="0"/>
        </w:rPr>
        <w:t>2.1.5 Inkommen till myndigheten</w:t>
      </w:r>
      <w:bookmarkEnd w:id="34"/>
      <w:bookmarkEnd w:id="35"/>
    </w:p>
    <w:p w:rsidR="005C64AA" w:rsidRPr="00A57E69" w:rsidRDefault="005C64AA" w:rsidP="005C64AA">
      <w:r w:rsidRPr="00A57E69">
        <w:t>För att en upptagning skall utgöra en allmän handling krävs vidare att de</w:t>
      </w:r>
      <w:r w:rsidRPr="00A57E69">
        <w:t>n</w:t>
      </w:r>
      <w:r w:rsidRPr="00A57E69">
        <w:t>samma har inkommit till eller upprättats hos myndigheten.</w:t>
      </w:r>
      <w:r w:rsidRPr="00A57E69">
        <w:rPr>
          <w:rStyle w:val="Fotnotsreferens"/>
        </w:rPr>
        <w:footnoteReference w:id="10"/>
      </w:r>
      <w:r w:rsidRPr="00A57E69">
        <w:t xml:space="preserve"> Som huvudregel anses en handling ha inkommit till myndigheten när den har anlänt till my</w:t>
      </w:r>
      <w:r w:rsidRPr="00A57E69">
        <w:t>n</w:t>
      </w:r>
      <w:r w:rsidRPr="00A57E69">
        <w:t xml:space="preserve">digheten eller har kommit behörig befattningshavare till handa. I fråga om en upptagning anses den ha kommit in till myndigheten när annan har gjort den tillgänglig för myndigheten i sådan form att den kan läsas, avlyssnas eller på annat sätt uppfattas av myndigheten (2 kap. 6 § första stycket TF). </w:t>
      </w:r>
    </w:p>
    <w:p w:rsidR="005C64AA" w:rsidRPr="00A57E69" w:rsidRDefault="005C64AA" w:rsidP="005C64AA">
      <w:pPr>
        <w:pStyle w:val="Rubrik2"/>
      </w:pPr>
      <w:bookmarkStart w:id="36" w:name="_Toc168801341"/>
      <w:bookmarkStart w:id="37" w:name="_Toc178412627"/>
      <w:r w:rsidRPr="00A57E69">
        <w:t>2.2 Rätten att ta del av allmän handling</w:t>
      </w:r>
      <w:bookmarkEnd w:id="36"/>
      <w:bookmarkEnd w:id="37"/>
    </w:p>
    <w:p w:rsidR="005C64AA" w:rsidRPr="00A57E69" w:rsidRDefault="005C64AA" w:rsidP="005C64AA">
      <w:r w:rsidRPr="00A57E69">
        <w:t>En allmän handling som inte är hemlig skall på begäran genast, eller så snart det är möjligt, på stället och utan avgift tillhandahållas den som önskar ta del av handlingen (2 kap. 12 § första stycket TF). Begäran att få ta del av allmän handling skall enligt huvudregeln göras hos den myndighet som förvarar handlingen (2 kap. 14 § 1 stycket TF). I allmänhet är det även denna myndi</w:t>
      </w:r>
      <w:r w:rsidRPr="00A57E69">
        <w:t>g</w:t>
      </w:r>
      <w:r w:rsidRPr="00A57E69">
        <w:t xml:space="preserve">het som prövar om handlingen kan lämnas ut. </w:t>
      </w:r>
    </w:p>
    <w:p w:rsidR="005C64AA" w:rsidRPr="00A57E69" w:rsidRDefault="005C64AA" w:rsidP="005C64AA">
      <w:pPr>
        <w:pStyle w:val="Normaltindrag"/>
      </w:pPr>
      <w:r w:rsidRPr="00A57E69">
        <w:t>Som tidigare har redogjorts för anses en upptagning vara förvarad hos en myndighet om myndigheten kan ta del av upptagningen. Därför kan en up</w:t>
      </w:r>
      <w:r w:rsidRPr="00A57E69">
        <w:t>p</w:t>
      </w:r>
      <w:r w:rsidRPr="00A57E69">
        <w:t>tagning vara förvarad hos flera myndigheter. Varje myndighet som förvarar en upptagning som utgör en allmän handling skall – efter begäran – pröva om densamma kan lämnas ut. Sökanden kan alltså vända sig till vilken myndighet han eller hon vill, under förutsättning att myndigheten förfogar över hjälpm</w:t>
      </w:r>
      <w:r w:rsidRPr="00A57E69">
        <w:t>e</w:t>
      </w:r>
      <w:r w:rsidRPr="00A57E69">
        <w:t xml:space="preserve">del som kan överföra upptagningen till sådan form att den kan uppfattas. </w:t>
      </w:r>
    </w:p>
    <w:p w:rsidR="005C64AA" w:rsidRPr="00A57E69" w:rsidRDefault="005C64AA" w:rsidP="005C64AA">
      <w:pPr>
        <w:pStyle w:val="Rubrik2"/>
      </w:pPr>
      <w:bookmarkStart w:id="38" w:name="_Toc168801342"/>
      <w:bookmarkStart w:id="39" w:name="_Toc178412628"/>
      <w:r w:rsidRPr="00A57E69">
        <w:t>2.3 Statistiska uppgifter hos utredningstjänstens budgetkontor</w:t>
      </w:r>
      <w:bookmarkEnd w:id="38"/>
      <w:bookmarkEnd w:id="39"/>
    </w:p>
    <w:p w:rsidR="005C64AA" w:rsidRPr="00A57E69" w:rsidRDefault="005C64AA" w:rsidP="005C64AA">
      <w:r w:rsidRPr="00A57E69">
        <w:t>Uppgifter som är fixerade på någon form av datamedium utgör en upptagning för ADB. Statistiska uppgifter ur databaser hos SCB som antingen förs över till utredningstjänstens budgetkontor genom direktuppkoppling eller som finns på datamedium som matas in i budgetkontorets datorer utgör därför enligt TF:s regler en handling.  Budgetkontoret vid utredningstjänsten är en del av riksdagsförvaltningen som är en myndighet. Upptagningen anses förv</w:t>
      </w:r>
      <w:r w:rsidRPr="00A57E69">
        <w:t>a</w:t>
      </w:r>
      <w:r w:rsidRPr="00A57E69">
        <w:t>rad hos budgetkontoret om informationen, med tekniskt hjälpmedel som myndigheten själv utnyttjar, är tillgänglig i sådan form att den kan läsas, avlyssnas eller på annat sätt uppfattas. En upptagning anses även förvarad hos en myndighet som kan ta del av densamma genom t.ex. terminalförbindelse med en dator hos ett annat organ. Avgörande för om de statistiska uppgifte</w:t>
      </w:r>
      <w:r w:rsidRPr="00A57E69">
        <w:t>r</w:t>
      </w:r>
      <w:r w:rsidRPr="00A57E69">
        <w:t>na, som utgör en upptagning, kan anses inkomna till budgetkontoret är om SCB har gjort dem tillgängliga i sådan form att upptagningen kan läsas, a</w:t>
      </w:r>
      <w:r w:rsidRPr="00A57E69">
        <w:t>v</w:t>
      </w:r>
      <w:r w:rsidRPr="00A57E69">
        <w:t xml:space="preserve">lyssnas eller på annat sätt uppfattas av budgetkontoret. När så har skett blir upptagningen en allmän handling hos budgetkontoret. </w:t>
      </w:r>
    </w:p>
    <w:p w:rsidR="005C64AA" w:rsidRPr="00A57E69" w:rsidRDefault="005C64AA" w:rsidP="00786D91">
      <w:pPr>
        <w:pStyle w:val="R1"/>
        <w:spacing w:before="480" w:after="240"/>
      </w:pPr>
      <w:bookmarkStart w:id="40" w:name="_Toc168801343"/>
      <w:bookmarkStart w:id="41" w:name="_Toc178412629"/>
      <w:r w:rsidRPr="00A57E69">
        <w:t>3 Sekretess</w:t>
      </w:r>
      <w:bookmarkEnd w:id="40"/>
      <w:bookmarkEnd w:id="41"/>
    </w:p>
    <w:p w:rsidR="005C64AA" w:rsidRPr="00A57E69" w:rsidRDefault="005C64AA" w:rsidP="00785FCA">
      <w:pPr>
        <w:pStyle w:val="Rubrik2"/>
        <w:spacing w:before="0"/>
      </w:pPr>
      <w:bookmarkStart w:id="42" w:name="_Toc168801344"/>
      <w:bookmarkStart w:id="43" w:name="_Toc178412630"/>
      <w:r w:rsidRPr="00A57E69">
        <w:t>3.1 Generella regler om sekretess</w:t>
      </w:r>
      <w:bookmarkEnd w:id="42"/>
      <w:bookmarkEnd w:id="43"/>
    </w:p>
    <w:p w:rsidR="005C64AA" w:rsidRPr="00A57E69" w:rsidRDefault="005C64AA" w:rsidP="005C64AA">
      <w:r w:rsidRPr="00A57E69">
        <w:t>Enskildas rätt att få ta del av allmänna handlingar får endast begränsas om det är påkallat med hänsyn till vissa, i 2 kap. 2 § TF, uppräknade intressen. Av samma lagrum framgår att begränsningen skall anges noga i bestämmelse i en särskild lag eller, om så i visst fall är lämpligare, i annan lag till vilken den särskilda lagen hänvisar. De skyddsvärda intressen som anges i 2 kap</w:t>
      </w:r>
      <w:r w:rsidR="00804957" w:rsidRPr="00A57E69">
        <w:t>.</w:t>
      </w:r>
      <w:r w:rsidRPr="00A57E69">
        <w:t xml:space="preserve"> 2 § TF är: </w:t>
      </w:r>
    </w:p>
    <w:p w:rsidR="005C64AA" w:rsidRPr="00A57E69" w:rsidRDefault="005C64AA" w:rsidP="005C64AA">
      <w:r w:rsidRPr="00A57E69">
        <w:t>1. rikets säkerhet eller dess förhållande till annan stat eller mellanfolklig organisation,</w:t>
      </w:r>
    </w:p>
    <w:p w:rsidR="005C64AA" w:rsidRPr="00A57E69" w:rsidRDefault="005C64AA" w:rsidP="005C64AA">
      <w:r w:rsidRPr="00A57E69">
        <w:t>2. rikets centrala finanspolitik, penningpolitik eller valutapolitik,</w:t>
      </w:r>
    </w:p>
    <w:p w:rsidR="005C64AA" w:rsidRPr="00A57E69" w:rsidRDefault="005C64AA" w:rsidP="005C64AA">
      <w:r w:rsidRPr="00A57E69">
        <w:t>3. myndighets verksamhet för inspektion, kontroll eller annan tillsyn,</w:t>
      </w:r>
    </w:p>
    <w:p w:rsidR="005C64AA" w:rsidRPr="00A57E69" w:rsidRDefault="005C64AA" w:rsidP="005C64AA">
      <w:r w:rsidRPr="00A57E69">
        <w:t>4. intresset att förebygga eller beivra brott,</w:t>
      </w:r>
    </w:p>
    <w:p w:rsidR="005C64AA" w:rsidRPr="00A57E69" w:rsidRDefault="005C64AA" w:rsidP="005C64AA">
      <w:r w:rsidRPr="00A57E69">
        <w:t>5. det allmännas ekonomiska intresse,</w:t>
      </w:r>
    </w:p>
    <w:p w:rsidR="005C64AA" w:rsidRPr="00A57E69" w:rsidRDefault="005C64AA" w:rsidP="005C64AA">
      <w:r w:rsidRPr="00A57E69">
        <w:t>6. skyddet för enskilds personliga eller ekonomiska förhållanden,</w:t>
      </w:r>
    </w:p>
    <w:p w:rsidR="005C64AA" w:rsidRPr="00A57E69" w:rsidRDefault="005C64AA" w:rsidP="005C64AA">
      <w:r w:rsidRPr="00A57E69">
        <w:t>7. intresset att bevara djur- eller växtart.</w:t>
      </w:r>
    </w:p>
    <w:p w:rsidR="005C64AA" w:rsidRPr="00A57E69" w:rsidRDefault="005C64AA" w:rsidP="00785FCA">
      <w:r w:rsidRPr="00A57E69">
        <w:t>Allmänna handlingar får inte hållas hemliga för att skydda andra intressen än de som räknas upp i lagrummet.</w:t>
      </w:r>
    </w:p>
    <w:p w:rsidR="005C64AA" w:rsidRPr="00A57E69" w:rsidRDefault="005C64AA" w:rsidP="00785FCA">
      <w:pPr>
        <w:pStyle w:val="Normaltindrag"/>
      </w:pPr>
      <w:r w:rsidRPr="00A57E69">
        <w:t>Den särskilda lag som TF hänvisar till är sekretesslagen. Av 1 kap. 1 § fra</w:t>
      </w:r>
      <w:r w:rsidRPr="00A57E69">
        <w:t>m</w:t>
      </w:r>
      <w:r w:rsidRPr="00A57E69">
        <w:t xml:space="preserve">går att sekretesslagen gäller i det allmännas verksamhet och att sekretess innefattar tystnadsplikt och förbud att röja vissa uppgifter, vare sig det sker muntligen, genom att allmänna handlingar lämnas ut eller på annat sätt. </w:t>
      </w:r>
    </w:p>
    <w:p w:rsidR="005C64AA" w:rsidRPr="00A57E69" w:rsidRDefault="005C64AA" w:rsidP="005C64AA">
      <w:pPr>
        <w:pStyle w:val="Normaltindrag"/>
      </w:pPr>
      <w:r w:rsidRPr="00A57E69">
        <w:t>Sekretessens räckvidd är begränsad genom att det har uppställts villkor för att en uppgift skall omfattas av sekretess. Normalt sett skall det kunna föru</w:t>
      </w:r>
      <w:r w:rsidRPr="00A57E69">
        <w:t>t</w:t>
      </w:r>
      <w:r w:rsidRPr="00A57E69">
        <w:t>ses att en skada uppkommer om uppgiften röjs. Det finns två typer av sådana skaderekvisit – rakt skaderekvisit och omvänt skaderekvisit. Vid det raka skaderekvisitet är uppgifterna som huvudregel offentliga och sekretess gäller bara om det kan antas att den enskilde lider skada eller men om uppgiften röjs. Vid det omvända skaderekvisitet är i stället sekretess huvudregel. Up</w:t>
      </w:r>
      <w:r w:rsidRPr="00A57E69">
        <w:t>p</w:t>
      </w:r>
      <w:r w:rsidRPr="00A57E69">
        <w:t>giften kan då bara lämnas ut om det står klart att den enskilde inte lider skada eller men. Med skada avses i regel ekonomisk skada medan men i första hand avser olägenheter av icke ekonomisk natur, t.ex. olika typer av integritet</w:t>
      </w:r>
      <w:r w:rsidRPr="00A57E69">
        <w:t>s</w:t>
      </w:r>
      <w:r w:rsidRPr="00A57E69">
        <w:t xml:space="preserve">kränkningar. Det finns även, i ett fåtal sekretessbestämmelser, en regel om absolut sekretess. Uppgifterna kan då inte lämnas ut oavsett om skada eller men kan uppkomma. Den absoluta sekretessen kan dock brytas genom att det särskilt anges i lag eller förordning. </w:t>
      </w:r>
    </w:p>
    <w:p w:rsidR="005C64AA" w:rsidRPr="00A57E69" w:rsidRDefault="005C64AA" w:rsidP="005C64AA">
      <w:pPr>
        <w:pStyle w:val="Rubrik2"/>
      </w:pPr>
      <w:bookmarkStart w:id="44" w:name="_Toc168801345"/>
      <w:bookmarkStart w:id="45" w:name="_Toc178412631"/>
      <w:r w:rsidRPr="00A57E69">
        <w:t>3.2 Statistiksekretess</w:t>
      </w:r>
      <w:bookmarkEnd w:id="44"/>
      <w:bookmarkEnd w:id="45"/>
    </w:p>
    <w:p w:rsidR="005C64AA" w:rsidRPr="00A57E69" w:rsidRDefault="005C64AA" w:rsidP="005C64AA">
      <w:r w:rsidRPr="00A57E69">
        <w:t>Av 9 kap. 4 § sekretesslagen framgår att sekretess gäller i sådan särskild verksamhet hos myndighet som avser framställning av statistik för uppgift som avser enskilds personliga eller ekonomiska förhållanden och som kan hänföras till den enskilde. Detsamma gäller annan jämförbar undersökning som utförs av Riksrevisionen eller, i den utsträckning regeringen föreskriver det, av någon annan myndighet. Uppgift som behövs för forsknings- eller statistikändamål och uppgift som inte genom namn, annan identitetsbetec</w:t>
      </w:r>
      <w:r w:rsidRPr="00A57E69">
        <w:t>k</w:t>
      </w:r>
      <w:r w:rsidRPr="00A57E69">
        <w:t>ning eller därmed jämförbart förhållande är direkt hänförlig till den enskilde får dock lämnas ut, om det står klart att uppgiften kan röjas utan att den som uppgiften rör eller någon honom närstående lider skada eller men.</w:t>
      </w:r>
    </w:p>
    <w:p w:rsidR="005C64AA" w:rsidRPr="00A57E69" w:rsidRDefault="005C64AA" w:rsidP="005C64AA">
      <w:pPr>
        <w:pStyle w:val="Normaltindrag"/>
      </w:pPr>
      <w:r w:rsidRPr="00A57E69">
        <w:t>Statistiksekretess är enligt huvudregeln absolut. Uppgifterna kan alltså inte lämnas ut oavsett om någon enskild kan lida skada eller men. Det framgår dock av lagrummet att uppgifter som behövs för forsknings- eller statistikä</w:t>
      </w:r>
      <w:r w:rsidRPr="00A57E69">
        <w:t>n</w:t>
      </w:r>
      <w:r w:rsidRPr="00A57E69">
        <w:t>damål och uppgifter som inte genom namn, annan identitetsbeteckning eller därmed jämförbart förhållande är direkt hänförlig till den enskilde, får lämnas ut om det står klart att uppgiften kan röjas utan att den som uppgiften gäller eller någon honom närstående lider skada eller men. Sekretessen gäller för dessa uppgifter med ett omvänt skaderekvisit. Med ”därmed jämförbart fö</w:t>
      </w:r>
      <w:r w:rsidRPr="00A57E69">
        <w:t>r</w:t>
      </w:r>
      <w:r w:rsidRPr="00A57E69">
        <w:t>hållande” avses registreringsnummer, telefonnummer, anställningsnummer, fastighetsbeteckning osv. Däremot avses inte uppgifter som genom s.k. ba</w:t>
      </w:r>
      <w:r w:rsidRPr="00A57E69">
        <w:t>k</w:t>
      </w:r>
      <w:r w:rsidRPr="00A57E69">
        <w:t>vägsidentifiering kan hänföras till viss person.</w:t>
      </w:r>
    </w:p>
    <w:p w:rsidR="005C64AA" w:rsidRPr="00A57E69" w:rsidRDefault="005C64AA" w:rsidP="005C64AA">
      <w:pPr>
        <w:pStyle w:val="Normaltindrag"/>
      </w:pPr>
      <w:r w:rsidRPr="00A57E69">
        <w:t>Om en uppgift omfattas av statistiksekretess råder inte meddelarfrihet. V</w:t>
      </w:r>
      <w:r w:rsidRPr="00A57E69">
        <w:t>i</w:t>
      </w:r>
      <w:r w:rsidRPr="00A57E69">
        <w:t>dare får inte den s.k. generalklausulen i 14 kap. 3 § sekretesslagen tillämpas för dessa uppgifter. Generalklausulen innebär att en sekretessbelagd uppgift får lämnas till myndighet om det är uppenbart att intresset av att uppgiften lämnas har företräde framför det intresse som sekretessen skall skydda. Up</w:t>
      </w:r>
      <w:r w:rsidRPr="00A57E69">
        <w:t>p</w:t>
      </w:r>
      <w:r w:rsidRPr="00A57E69">
        <w:t>gifter som omfattas av statistiksekretess kan dock enligt 14 kap. 1 § sekr</w:t>
      </w:r>
      <w:r w:rsidRPr="00A57E69">
        <w:t>e</w:t>
      </w:r>
      <w:r w:rsidRPr="00A57E69">
        <w:t>tesslagen lämnas ut till myndighet med stöd av uppgiftsskyldighet i lag eller förordning. Denna uppgiftsplikt finns vanligtvis i de författningar som styr den verksa</w:t>
      </w:r>
      <w:r w:rsidRPr="00A57E69">
        <w:t>m</w:t>
      </w:r>
      <w:r w:rsidRPr="00A57E69">
        <w:t>het som genererar uppgiften i fråga. Det finns således inom den officiella statistiken i många fall en uppgiftsplikt i författning som genombr</w:t>
      </w:r>
      <w:r w:rsidRPr="00A57E69">
        <w:t>y</w:t>
      </w:r>
      <w:r w:rsidRPr="00A57E69">
        <w:t>ter sekr</w:t>
      </w:r>
      <w:r w:rsidRPr="00A57E69">
        <w:t>e</w:t>
      </w:r>
      <w:r w:rsidRPr="00A57E69">
        <w:t>tess och möjliggör ett utlämnande.</w:t>
      </w:r>
    </w:p>
    <w:p w:rsidR="005C64AA" w:rsidRPr="00A57E69" w:rsidRDefault="005C64AA" w:rsidP="005C64AA">
      <w:pPr>
        <w:pStyle w:val="Rubrik3"/>
        <w:rPr>
          <w:noProof w:val="0"/>
        </w:rPr>
      </w:pPr>
      <w:bookmarkStart w:id="46" w:name="_Toc168801346"/>
      <w:bookmarkStart w:id="47" w:name="_Toc178412632"/>
      <w:r w:rsidRPr="00A57E69">
        <w:rPr>
          <w:noProof w:val="0"/>
        </w:rPr>
        <w:t>3.2.1 Begreppet framställning av statistik</w:t>
      </w:r>
      <w:bookmarkEnd w:id="46"/>
      <w:bookmarkEnd w:id="47"/>
    </w:p>
    <w:p w:rsidR="005C64AA" w:rsidRPr="00A57E69" w:rsidRDefault="005C64AA" w:rsidP="005C64AA">
      <w:r w:rsidRPr="00A57E69">
        <w:t xml:space="preserve">Statistiksekretess omfattar sådan särskild verksamhet hos myndighet som </w:t>
      </w:r>
      <w:r w:rsidRPr="00A57E69">
        <w:rPr>
          <w:spacing w:val="-2"/>
        </w:rPr>
        <w:t>avser framställning av statistik. Vad som avses med sådan särskild verksa</w:t>
      </w:r>
      <w:r w:rsidRPr="00A57E69">
        <w:rPr>
          <w:spacing w:val="-2"/>
        </w:rPr>
        <w:t>m</w:t>
      </w:r>
      <w:r w:rsidRPr="00A57E69">
        <w:rPr>
          <w:spacing w:val="-2"/>
        </w:rPr>
        <w:t>het och hur denna verksamhet skall vara organiserad framgår inte av lagru</w:t>
      </w:r>
      <w:r w:rsidRPr="00A57E69">
        <w:rPr>
          <w:spacing w:val="-2"/>
        </w:rPr>
        <w:t>m</w:t>
      </w:r>
      <w:r w:rsidRPr="00A57E69">
        <w:rPr>
          <w:spacing w:val="-2"/>
        </w:rPr>
        <w:t xml:space="preserve">met. </w:t>
      </w:r>
    </w:p>
    <w:p w:rsidR="005C64AA" w:rsidRPr="00A57E69" w:rsidRDefault="005C64AA" w:rsidP="005C64AA">
      <w:pPr>
        <w:pStyle w:val="Normaltindrag"/>
      </w:pPr>
      <w:r w:rsidRPr="00A57E69">
        <w:t xml:space="preserve">Av förarbetena till sekretesslagen (prop. 1979/80:2 del A s. </w:t>
      </w:r>
      <w:smartTag w:uri="urn:schemas-microsoft-com:office:smarttags" w:element="metricconverter">
        <w:smartTagPr>
          <w:attr w:name="ProductID" w:val="262 f"/>
        </w:smartTagPr>
        <w:r w:rsidRPr="00A57E69">
          <w:t>262 f</w:t>
        </w:r>
      </w:smartTag>
      <w:r w:rsidRPr="00A57E69">
        <w:t>.) framgår att statistiksekretessen inte omfattar statistik som framställs för att användas som underlag för beslut i ett ärende hos en myndighet. Sekretessen skall i stället omfatta en mera utredande verksamhet utan anknytning till ett visst ärende. Som typexempel på särskild verksamhet hos myndighet som avser framstäl</w:t>
      </w:r>
      <w:r w:rsidRPr="00A57E69">
        <w:t>l</w:t>
      </w:r>
      <w:r w:rsidRPr="00A57E69">
        <w:t>ning av statistik anges den statistikproduktion som SCB svarar för. Motsv</w:t>
      </w:r>
      <w:r w:rsidRPr="00A57E69">
        <w:t>a</w:t>
      </w:r>
      <w:r w:rsidRPr="00A57E69">
        <w:t>rande framställning av statistik utan anknytning till något ärende kan dock förekomma även hos andra myndigheter och omfattas då av statistikse</w:t>
      </w:r>
      <w:r w:rsidRPr="00A57E69">
        <w:t>k</w:t>
      </w:r>
      <w:r w:rsidRPr="00A57E69">
        <w:t>retess. Utmärkande är att verksamheten är organiserad som en egen enhet eller liknande. Av kommentaren till sekretesslagen</w:t>
      </w:r>
      <w:r w:rsidRPr="00A57E69">
        <w:rPr>
          <w:rStyle w:val="Fotnotsreferens"/>
        </w:rPr>
        <w:footnoteReference w:id="11"/>
      </w:r>
      <w:r w:rsidRPr="00A57E69">
        <w:t xml:space="preserve"> framgår att med avfat</w:t>
      </w:r>
      <w:r w:rsidRPr="00A57E69">
        <w:t>t</w:t>
      </w:r>
      <w:r w:rsidRPr="00A57E69">
        <w:t>ningen ”sekretess gäller i sådan särskild verksamhet hos myndigheter som avser framställning av statistik” avses också att sekretessen gäller hos my</w:t>
      </w:r>
      <w:r w:rsidRPr="00A57E69">
        <w:t>n</w:t>
      </w:r>
      <w:r w:rsidRPr="00A57E69">
        <w:t>digheter som biträder andra myndigheter som framställer statistik, genom att samla in uppgifter för de senares räkning. Används dessa uppgifter hos my</w:t>
      </w:r>
      <w:r w:rsidRPr="00A57E69">
        <w:t>n</w:t>
      </w:r>
      <w:r w:rsidRPr="00A57E69">
        <w:t>digheterna i annan verksamhet än som nyss sagts blir statistiksekretessen dock inte ti</w:t>
      </w:r>
      <w:r w:rsidRPr="00A57E69">
        <w:t>l</w:t>
      </w:r>
      <w:r w:rsidRPr="00A57E69">
        <w:t xml:space="preserve">lämplig. </w:t>
      </w:r>
    </w:p>
    <w:p w:rsidR="005C64AA" w:rsidRPr="00A57E69" w:rsidRDefault="005C64AA" w:rsidP="005C64AA">
      <w:pPr>
        <w:pStyle w:val="Normaltindrag"/>
      </w:pPr>
      <w:r w:rsidRPr="00A57E69">
        <w:t xml:space="preserve">I augusti 1985 </w:t>
      </w:r>
      <w:r w:rsidRPr="00A57E69">
        <w:rPr>
          <w:rStyle w:val="Fotnotsreferens"/>
        </w:rPr>
        <w:footnoteReference w:id="12"/>
      </w:r>
      <w:r w:rsidRPr="00A57E69">
        <w:t xml:space="preserve"> skärptes statistiksekretessen och uppgifter som omfatt</w:t>
      </w:r>
      <w:r w:rsidRPr="00A57E69">
        <w:t>a</w:t>
      </w:r>
      <w:r w:rsidRPr="00A57E69">
        <w:t>des av sådan sekretess fick inte längre lämnas ut med stöd av generalklaus</w:t>
      </w:r>
      <w:r w:rsidRPr="00A57E69">
        <w:t>u</w:t>
      </w:r>
      <w:r w:rsidRPr="00A57E69">
        <w:t xml:space="preserve">len i 14 kap. 3 §. I förarbetena till ändringen (prop. 1984/85:133 s. </w:t>
      </w:r>
      <w:smartTag w:uri="urn:schemas-microsoft-com:office:smarttags" w:element="metricconverter">
        <w:smartTagPr>
          <w:attr w:name="ProductID" w:val="6 f"/>
        </w:smartTagPr>
        <w:r w:rsidRPr="00A57E69">
          <w:t>6 f</w:t>
        </w:r>
      </w:smartTag>
      <w:r w:rsidRPr="00A57E69">
        <w:t>.) anfö</w:t>
      </w:r>
      <w:r w:rsidRPr="00A57E69">
        <w:t>r</w:t>
      </w:r>
      <w:r w:rsidRPr="00A57E69">
        <w:t>de föredragande departementschefen att det är av stor betydelse att hålla rågången klar mellan två olika sätt att använda uppgifter</w:t>
      </w:r>
      <w:r w:rsidR="00371CA0" w:rsidRPr="00A57E69">
        <w:t>:</w:t>
      </w:r>
      <w:r w:rsidRPr="00A57E69">
        <w:t xml:space="preserve"> Å ena sidan anvä</w:t>
      </w:r>
      <w:r w:rsidRPr="00A57E69">
        <w:t>n</w:t>
      </w:r>
      <w:r w:rsidRPr="00A57E69">
        <w:t>dande för statistik och forskning, där den statistiska redovisningen inte röjer enski</w:t>
      </w:r>
      <w:r w:rsidRPr="00A57E69">
        <w:t>l</w:t>
      </w:r>
      <w:r w:rsidRPr="00A57E69">
        <w:t>da individer eller andra enskilda objekt och därför inte innebär något integr</w:t>
      </w:r>
      <w:r w:rsidRPr="00A57E69">
        <w:t>i</w:t>
      </w:r>
      <w:r w:rsidRPr="00A57E69">
        <w:t>tetsintrång. Å andra sidan användande av uppgifter för administrativa änd</w:t>
      </w:r>
      <w:r w:rsidRPr="00A57E69">
        <w:t>a</w:t>
      </w:r>
      <w:r w:rsidRPr="00A57E69">
        <w:t>mål i mera snäv bemärkelse. Då är det ofta fråga om åtgärder riktade direkt till uppgiftslämnaren. Departementschefen ansåg att det måste anko</w:t>
      </w:r>
      <w:r w:rsidRPr="00A57E69">
        <w:t>m</w:t>
      </w:r>
      <w:r w:rsidRPr="00A57E69">
        <w:t>ma på de statistikproducerande myndigheterna att inom ramen för sin ver</w:t>
      </w:r>
      <w:r w:rsidRPr="00A57E69">
        <w:t>k</w:t>
      </w:r>
      <w:r w:rsidRPr="00A57E69">
        <w:t xml:space="preserve">samhet sörja för nödvändig information om vad skillnaderna i användning av de olika uppgifterna innebär. </w:t>
      </w:r>
    </w:p>
    <w:p w:rsidR="005C64AA" w:rsidRPr="00A57E69" w:rsidRDefault="005C64AA" w:rsidP="005C64AA">
      <w:pPr>
        <w:pStyle w:val="Normaltindrag"/>
        <w:rPr>
          <w:b/>
          <w:i/>
        </w:rPr>
      </w:pPr>
      <w:r w:rsidRPr="00A57E69">
        <w:t>Möjligheten att, trots statistiksekretess, lämna ut uppgifter som behövs för statistikändamål infördes genom en lagändring år 1995</w:t>
      </w:r>
      <w:r w:rsidRPr="00A57E69">
        <w:rPr>
          <w:rStyle w:val="Fotnotsreferens"/>
        </w:rPr>
        <w:footnoteReference w:id="13"/>
      </w:r>
      <w:r w:rsidRPr="00A57E69">
        <w:t xml:space="preserve">. Av motiven (prop. 1994/95:200 s. </w:t>
      </w:r>
      <w:smartTag w:uri="urn:schemas-microsoft-com:office:smarttags" w:element="metricconverter">
        <w:smartTagPr>
          <w:attr w:name="ProductID" w:val="27 f"/>
        </w:smartTagPr>
        <w:r w:rsidRPr="00A57E69">
          <w:t>27 f</w:t>
        </w:r>
      </w:smartTag>
      <w:r w:rsidRPr="00A57E69">
        <w:t>.) till lagändringen framgår att de uppgifter som kommer in till en statistikansvarig myndighet omfattas av statistiksekretess, förutsatt att myndigheten har en särskild verksamhet för framställning av statistik. Regeringen uttalade att möjligheten till utlämnande borde tillämpas mycket restriktivt. Ett utlämnande borde i praktiken förutsätta att även den mottaga</w:t>
      </w:r>
      <w:r w:rsidRPr="00A57E69">
        <w:t>n</w:t>
      </w:r>
      <w:r w:rsidRPr="00A57E69">
        <w:t>de myndigheten tillämpade statistiksekretess. Regeringen uttalade vidare att den avsåg att i förordningen om officiell statistik föreskriva att en statistika</w:t>
      </w:r>
      <w:r w:rsidRPr="00A57E69">
        <w:t>n</w:t>
      </w:r>
      <w:r w:rsidRPr="00A57E69">
        <w:t xml:space="preserve">svarig myndighet är skyldig att hålla statistikverksamhet avskild från övrig ärendehantering. </w:t>
      </w:r>
    </w:p>
    <w:p w:rsidR="005C64AA" w:rsidRPr="00A57E69" w:rsidRDefault="005C64AA" w:rsidP="005C64AA">
      <w:pPr>
        <w:pStyle w:val="Rubrik3"/>
        <w:rPr>
          <w:noProof w:val="0"/>
        </w:rPr>
      </w:pPr>
      <w:bookmarkStart w:id="48" w:name="_Toc168801347"/>
      <w:bookmarkStart w:id="49" w:name="_Toc178412633"/>
      <w:r w:rsidRPr="00A57E69">
        <w:rPr>
          <w:noProof w:val="0"/>
        </w:rPr>
        <w:t>3.2.2 Bemyndigande för regeringen</w:t>
      </w:r>
      <w:bookmarkEnd w:id="48"/>
      <w:bookmarkEnd w:id="49"/>
    </w:p>
    <w:p w:rsidR="005C64AA" w:rsidRPr="00A57E69" w:rsidRDefault="005C64AA" w:rsidP="005C64AA">
      <w:r w:rsidRPr="00A57E69">
        <w:t xml:space="preserve">I 2 kap. 2 § </w:t>
      </w:r>
      <w:r w:rsidR="005F7406" w:rsidRPr="00A57E69">
        <w:t xml:space="preserve">TF </w:t>
      </w:r>
      <w:r w:rsidRPr="00A57E69">
        <w:t>medges att regeringen, efter bemyndigande i sekretessb</w:t>
      </w:r>
      <w:r w:rsidRPr="00A57E69">
        <w:t>e</w:t>
      </w:r>
      <w:r w:rsidRPr="00A57E69">
        <w:t>stämmelse i lag, genom förordning får meddela närmare föreskrifter om b</w:t>
      </w:r>
      <w:r w:rsidRPr="00A57E69">
        <w:t>e</w:t>
      </w:r>
      <w:r w:rsidRPr="00A57E69">
        <w:t>stämmelsernas tillämplighet. Denna möjlighet till delegation har bl.a. utnyt</w:t>
      </w:r>
      <w:r w:rsidRPr="00A57E69">
        <w:t>t</w:t>
      </w:r>
      <w:r w:rsidRPr="00A57E69">
        <w:t>jats i re</w:t>
      </w:r>
      <w:r w:rsidRPr="00A57E69">
        <w:t>g</w:t>
      </w:r>
      <w:r w:rsidRPr="00A57E69">
        <w:t>lerna om statistiksekretess i 9 kap. 4 § sekretesslagen. I nämnda lagrum sta</w:t>
      </w:r>
      <w:r w:rsidRPr="00A57E69">
        <w:t>d</w:t>
      </w:r>
      <w:r w:rsidRPr="00A57E69">
        <w:t>gas bl.a. dels att sekretess gäller i sådan särskild verksamhet hos myndighet som avser framställning av statistik för uppgifter som avser e</w:t>
      </w:r>
      <w:r w:rsidRPr="00A57E69">
        <w:t>n</w:t>
      </w:r>
      <w:r w:rsidRPr="00A57E69">
        <w:t>skilds personl</w:t>
      </w:r>
      <w:r w:rsidRPr="00A57E69">
        <w:t>i</w:t>
      </w:r>
      <w:r w:rsidRPr="00A57E69">
        <w:t>ga eller ekonomiska förhållanden och som kan hänföras till den enskilde, dels att detsamma gäller annan med statistik jämförbar undersö</w:t>
      </w:r>
      <w:r w:rsidRPr="00A57E69">
        <w:t>k</w:t>
      </w:r>
      <w:r w:rsidRPr="00A57E69">
        <w:t xml:space="preserve">ning som utförs av Riksrevisionen eller, </w:t>
      </w:r>
      <w:r w:rsidRPr="00A57E69">
        <w:rPr>
          <w:i/>
        </w:rPr>
        <w:t>i den utsträckning regeringen för</w:t>
      </w:r>
      <w:r w:rsidRPr="00A57E69">
        <w:rPr>
          <w:i/>
        </w:rPr>
        <w:t>e</w:t>
      </w:r>
      <w:r w:rsidRPr="00A57E69">
        <w:rPr>
          <w:i/>
        </w:rPr>
        <w:t xml:space="preserve">skriver det, </w:t>
      </w:r>
      <w:r w:rsidRPr="00A57E69">
        <w:t>av någon annan myndighet. Sekretessförordningen (1980:657) upptar i 3 § för</w:t>
      </w:r>
      <w:r w:rsidRPr="00A57E69">
        <w:t>e</w:t>
      </w:r>
      <w:r w:rsidRPr="00A57E69">
        <w:t>skrifter med stöd av 9 kap. 4 § sekretesslagen. Enligt 3 § sekretessförordningen gäller sekretess i den utsträckning som anges i paragr</w:t>
      </w:r>
      <w:r w:rsidRPr="00A57E69">
        <w:t>a</w:t>
      </w:r>
      <w:r w:rsidRPr="00A57E69">
        <w:t>fen i undersökningar utförda av där uppräknade myndigheter. Sekretessen omfattar uppgifter som avser enskildas personliga eller ekonomiska förhå</w:t>
      </w:r>
      <w:r w:rsidRPr="00A57E69">
        <w:t>l</w:t>
      </w:r>
      <w:r w:rsidRPr="00A57E69">
        <w:t>landen och som kan hänf</w:t>
      </w:r>
      <w:r w:rsidRPr="00A57E69">
        <w:t>ö</w:t>
      </w:r>
      <w:r w:rsidRPr="00A57E69">
        <w:t>ras till den enskilde. Sekretessen gäller med de begränsningar som följer av 9 kap. 4 § sekretesslagen, om inte mera långtg</w:t>
      </w:r>
      <w:r w:rsidRPr="00A57E69">
        <w:t>å</w:t>
      </w:r>
      <w:r w:rsidRPr="00A57E69">
        <w:t xml:space="preserve">ende begränsningar anges i 3 § sekretessförordningen. </w:t>
      </w:r>
    </w:p>
    <w:p w:rsidR="005C64AA" w:rsidRPr="00A57E69" w:rsidRDefault="005C64AA" w:rsidP="005C64AA">
      <w:pPr>
        <w:pStyle w:val="Rubrik3"/>
        <w:rPr>
          <w:noProof w:val="0"/>
        </w:rPr>
      </w:pPr>
      <w:bookmarkStart w:id="50" w:name="_Toc168801348"/>
      <w:bookmarkStart w:id="51" w:name="_Toc178412634"/>
      <w:r w:rsidRPr="00A57E69">
        <w:rPr>
          <w:noProof w:val="0"/>
        </w:rPr>
        <w:t>3.2.3 Begreppet annan jämförbar undersökning</w:t>
      </w:r>
      <w:bookmarkEnd w:id="50"/>
      <w:bookmarkEnd w:id="51"/>
    </w:p>
    <w:p w:rsidR="005C64AA" w:rsidRPr="00A57E69" w:rsidRDefault="005C64AA" w:rsidP="005C64AA">
      <w:r w:rsidRPr="00A57E69">
        <w:t xml:space="preserve">Av 9 kap. 4 § första stycket sekretesslagen framgår att sekretess gäller </w:t>
      </w:r>
      <w:r w:rsidRPr="00A57E69">
        <w:rPr>
          <w:i/>
        </w:rPr>
        <w:t xml:space="preserve">annan jämförbar undersökning </w:t>
      </w:r>
      <w:r w:rsidRPr="00A57E69">
        <w:t>som utförs av Riksrevisionen eller, i den utsträc</w:t>
      </w:r>
      <w:r w:rsidRPr="00A57E69">
        <w:t>k</w:t>
      </w:r>
      <w:r w:rsidRPr="00A57E69">
        <w:t xml:space="preserve">ning regeringen föreskriver det, </w:t>
      </w:r>
      <w:r w:rsidRPr="00A57E69">
        <w:rPr>
          <w:i/>
        </w:rPr>
        <w:t xml:space="preserve">av någon annan myndighet. </w:t>
      </w:r>
      <w:r w:rsidRPr="00A57E69">
        <w:t xml:space="preserve">I betänkandet Statistik och integritet del 2 (SOU 1994:65 s. </w:t>
      </w:r>
      <w:smartTag w:uri="urn:schemas-microsoft-com:office:smarttags" w:element="metricconverter">
        <w:smartTagPr>
          <w:attr w:name="ProductID" w:val="149 f"/>
        </w:smartTagPr>
        <w:r w:rsidRPr="00A57E69">
          <w:t>149 f</w:t>
        </w:r>
      </w:smartTag>
      <w:r w:rsidRPr="00A57E69">
        <w:t>.) diskuterades hur uppgi</w:t>
      </w:r>
      <w:r w:rsidRPr="00A57E69">
        <w:t>f</w:t>
      </w:r>
      <w:r w:rsidRPr="00A57E69">
        <w:t>terna som används i Regeringskansliets ekonomiska konsekvensanalyser med mikrodata skulle kunna omfattas av sekretess. Av betänkandet framgår att Finansdepartementet arbetar med omfattande och komplexa s.k. simulering</w:t>
      </w:r>
      <w:r w:rsidRPr="00A57E69">
        <w:t>s</w:t>
      </w:r>
      <w:r w:rsidRPr="00A57E69">
        <w:t>modeller. I dessa modeller efterbildas skatte-, avgifts-, socialförsäkrings- eller bidragsregler med utnyttjande av uppgifterna i avidentifierade modellbefol</w:t>
      </w:r>
      <w:r w:rsidRPr="00A57E69">
        <w:t>k</w:t>
      </w:r>
      <w:r w:rsidRPr="00A57E69">
        <w:t>ningar, som utformats efter departementens behov. Modellerna gör det mö</w:t>
      </w:r>
      <w:r w:rsidRPr="00A57E69">
        <w:t>j</w:t>
      </w:r>
      <w:r w:rsidRPr="00A57E69">
        <w:t>ligt att snabbt beräkna det ekonomiska utfallet av gällande regler samt att simulera alternativa regler och således detaljerat beskriva utgiftsförändringar, fördelningseffekter osv. Bearbetningen sker med gängse statistiska metoder och resulterar i tabeller, medelvärden, makrotal, spridningstal och andra ek</w:t>
      </w:r>
      <w:r w:rsidRPr="00A57E69">
        <w:t>o</w:t>
      </w:r>
      <w:r w:rsidRPr="00A57E69">
        <w:t>nomiska parametrar. Av betänkandet framgår vidare att om uppgifter kommer in till en myndighet för mikromodellering och denna myndighet inte uppfyller förutsättningarna för statistiksekretess, kan en situation uppkomma där up</w:t>
      </w:r>
      <w:r w:rsidRPr="00A57E69">
        <w:t>p</w:t>
      </w:r>
      <w:r w:rsidRPr="00A57E69">
        <w:t>gifterna får ett betydligt sämre skydd än hos SCB. Enligt Integritetsskydd</w:t>
      </w:r>
      <w:r w:rsidRPr="00A57E69">
        <w:t>s</w:t>
      </w:r>
      <w:r w:rsidRPr="00A57E69">
        <w:t xml:space="preserve">kommittén skulle en framkomlig väg för regeringen vara att jämställa </w:t>
      </w:r>
      <w:r w:rsidR="00170549" w:rsidRPr="00A57E69">
        <w:t xml:space="preserve">en </w:t>
      </w:r>
      <w:r w:rsidRPr="00A57E69">
        <w:t>sådan modellsimulering med ”annan med statistik jämförbar undersökning som utförs av en myndighet”. Med stöd av 9 kap. 4 § sekretesslagen skulle det då bli möjligt att låta de uppgifter i form av mikrodata som används av Finan</w:t>
      </w:r>
      <w:r w:rsidRPr="00A57E69">
        <w:t>s</w:t>
      </w:r>
      <w:r w:rsidRPr="00A57E69">
        <w:t xml:space="preserve">departementet för simulering i modeller omfattas av sekretess genom att göra ett tillägg till 3 § sekretessförordningen.  </w:t>
      </w:r>
    </w:p>
    <w:p w:rsidR="005C64AA" w:rsidRPr="00A57E69" w:rsidRDefault="005C64AA" w:rsidP="005C64AA">
      <w:pPr>
        <w:pStyle w:val="Normaltindrag"/>
      </w:pPr>
      <w:r w:rsidRPr="00A57E69">
        <w:t>Regeringen beslutade sedermera om den ändring i 13 § sekretessföror</w:t>
      </w:r>
      <w:r w:rsidRPr="00A57E69">
        <w:t>d</w:t>
      </w:r>
      <w:r w:rsidRPr="00A57E69">
        <w:t>ningen som Integritetsskyddskommittén föreslagit i sitt betänkande. Ändrin</w:t>
      </w:r>
      <w:r w:rsidRPr="00A57E69">
        <w:t>g</w:t>
      </w:r>
      <w:r w:rsidRPr="00A57E69">
        <w:t>en trä</w:t>
      </w:r>
      <w:r w:rsidRPr="00A57E69">
        <w:t>d</w:t>
      </w:r>
      <w:r w:rsidRPr="00A57E69">
        <w:t>de i kraft den 1 juli 2005 (SFS 2005:350).</w:t>
      </w:r>
    </w:p>
    <w:p w:rsidR="005C64AA" w:rsidRPr="00A57E69" w:rsidRDefault="005C64AA" w:rsidP="005C64AA">
      <w:pPr>
        <w:pStyle w:val="Normaltindrag"/>
      </w:pPr>
      <w:r w:rsidRPr="00A57E69">
        <w:t xml:space="preserve">I förarbetena (prop. 2001/02:190 s. </w:t>
      </w:r>
      <w:smartTag w:uri="urn:schemas-microsoft-com:office:smarttags" w:element="metricconverter">
        <w:smartTagPr>
          <w:attr w:name="ProductID" w:val="92 f"/>
        </w:smartTagPr>
        <w:r w:rsidRPr="00A57E69">
          <w:t>92 f</w:t>
        </w:r>
      </w:smartTag>
      <w:r w:rsidRPr="00A57E69">
        <w:t>. och s. 168) till inrättandet av Riksr</w:t>
      </w:r>
      <w:r w:rsidRPr="00A57E69">
        <w:t>e</w:t>
      </w:r>
      <w:r w:rsidRPr="00A57E69">
        <w:t>visionen anförde regeringen att Riksrevisionsverkets undersökningar tidigare hade varit sekretessbelagda genom att regeringen i 3 § sekretessfö</w:t>
      </w:r>
      <w:r w:rsidRPr="00A57E69">
        <w:t>r</w:t>
      </w:r>
      <w:r w:rsidRPr="00A57E69">
        <w:t>ordningen föreskrivit att de skulle utgöra annan med statistik jämförbar u</w:t>
      </w:r>
      <w:r w:rsidRPr="00A57E69">
        <w:t>n</w:t>
      </w:r>
      <w:r w:rsidRPr="00A57E69">
        <w:t>dersökning. I propositionen anfördes dock att Riksrevisionen som är en my</w:t>
      </w:r>
      <w:r w:rsidRPr="00A57E69">
        <w:t>n</w:t>
      </w:r>
      <w:r w:rsidRPr="00A57E69">
        <w:t>dighet under riksdagen inte för sina revisioner kan vara beroende av att rege</w:t>
      </w:r>
      <w:r w:rsidRPr="00A57E69">
        <w:t>r</w:t>
      </w:r>
      <w:r w:rsidRPr="00A57E69">
        <w:t>ingen föreskriver om sekretess. Det föreslogs därför att en ny bestämmelse, som uttryckligen anger att sekretess gäller i en med statistik jämförbar unde</w:t>
      </w:r>
      <w:r w:rsidRPr="00A57E69">
        <w:t>r</w:t>
      </w:r>
      <w:r w:rsidRPr="00A57E69">
        <w:t>sökning som utförs av Riksrevisionen, såvitt gäller uppgift om enskilds pe</w:t>
      </w:r>
      <w:r w:rsidRPr="00A57E69">
        <w:t>r</w:t>
      </w:r>
      <w:r w:rsidRPr="00A57E69">
        <w:t>sonl</w:t>
      </w:r>
      <w:r w:rsidRPr="00A57E69">
        <w:t>i</w:t>
      </w:r>
      <w:r w:rsidRPr="00A57E69">
        <w:t xml:space="preserve">ga eller ekonomiska förhållanden och som kan hänföras till den enskilde, skulle tas in i 9 kap. 4 § sekretesslagen. </w:t>
      </w:r>
    </w:p>
    <w:p w:rsidR="005C64AA" w:rsidRPr="00A57E69" w:rsidRDefault="005C64AA" w:rsidP="00786D91">
      <w:pPr>
        <w:pStyle w:val="R1"/>
        <w:spacing w:before="480" w:after="240"/>
      </w:pPr>
      <w:bookmarkStart w:id="52" w:name="_Toc168801349"/>
      <w:bookmarkStart w:id="53" w:name="_Toc178412635"/>
      <w:r w:rsidRPr="00A57E69">
        <w:t>4. Utredningstjänstens budgetkontor</w:t>
      </w:r>
      <w:bookmarkEnd w:id="52"/>
      <w:bookmarkEnd w:id="53"/>
    </w:p>
    <w:p w:rsidR="005C64AA" w:rsidRPr="00A57E69" w:rsidRDefault="005C64AA" w:rsidP="005C64AA">
      <w:r w:rsidRPr="00A57E69">
        <w:t>Budgetkontoret – som inrättades i september 1997 – är en sektion inom rik</w:t>
      </w:r>
      <w:r w:rsidRPr="00A57E69">
        <w:t>s</w:t>
      </w:r>
      <w:r w:rsidRPr="00A57E69">
        <w:t>dagens utredningstjänst som i sin tur är en del av riksdagsförvaltningen (kammarkansl</w:t>
      </w:r>
      <w:r w:rsidRPr="00A57E69">
        <w:t>i</w:t>
      </w:r>
      <w:r w:rsidRPr="00A57E69">
        <w:t>et). Enligt budgetkontorets sektionschef Hans Tapper arbetar budgetkontoret, liksom Finansdepartementet, med omfattande och komplexa s.k. simuleringsmodeller. I dessa modeller efterbildas skatte-, avgifts-, socia</w:t>
      </w:r>
      <w:r w:rsidRPr="00A57E69">
        <w:t>l</w:t>
      </w:r>
      <w:r w:rsidRPr="00A57E69">
        <w:t>försäkrings- eller bidragsregler med utnyttjande av uppgifterna i avidentifi</w:t>
      </w:r>
      <w:r w:rsidRPr="00A57E69">
        <w:t>e</w:t>
      </w:r>
      <w:r w:rsidRPr="00A57E69">
        <w:t>rade modellbefolkningar. Liksom vid arbetet i Regeringskansliet gör mode</w:t>
      </w:r>
      <w:r w:rsidRPr="00A57E69">
        <w:t>l</w:t>
      </w:r>
      <w:r w:rsidRPr="00A57E69">
        <w:t>lerna det möjligt för budgetkontoret att snabbt beräkna det ekonomiska utfa</w:t>
      </w:r>
      <w:r w:rsidRPr="00A57E69">
        <w:t>l</w:t>
      </w:r>
      <w:r w:rsidRPr="00A57E69">
        <w:t>let av gällande regler samt att simulera alternativa regler och därmed detalj</w:t>
      </w:r>
      <w:r w:rsidRPr="00A57E69">
        <w:t>e</w:t>
      </w:r>
      <w:r w:rsidRPr="00A57E69">
        <w:t>rat beskriva utgiftsförändringar, fördelningseffekter osv. Bearbetningen hos budgetkontoret sker med gängse statistiska metoder och resulterar i tabeller, medelvärden, makrotal, spridningstal och andra ekonomiska parametrar. Resultatet av budgetkontorets arbete används sedan av ledamöter, partikansl</w:t>
      </w:r>
      <w:r w:rsidRPr="00A57E69">
        <w:t>i</w:t>
      </w:r>
      <w:r w:rsidRPr="00A57E69">
        <w:t xml:space="preserve">er m.fl. som stöd i den politiska processen. </w:t>
      </w:r>
    </w:p>
    <w:p w:rsidR="005C64AA" w:rsidRPr="00A57E69" w:rsidRDefault="005C64AA" w:rsidP="005C64AA">
      <w:pPr>
        <w:pStyle w:val="Rubrik2"/>
      </w:pPr>
      <w:bookmarkStart w:id="54" w:name="_Toc168801350"/>
      <w:bookmarkStart w:id="55" w:name="_Toc178412636"/>
      <w:r w:rsidRPr="00A57E69">
        <w:t>4.1 Sekretesskydd inom utredningstjänstens budgetkontor</w:t>
      </w:r>
      <w:bookmarkEnd w:id="54"/>
      <w:bookmarkEnd w:id="55"/>
    </w:p>
    <w:p w:rsidR="005C64AA" w:rsidRPr="00A57E69" w:rsidRDefault="005C64AA" w:rsidP="005C64AA">
      <w:r w:rsidRPr="00A57E69">
        <w:t>När det gäller budgetkontorets möjlighet att ta del av uppgifter som omfattas av sekretess måste hänsyn även tas till budgetkontorets möjlighet att sekr</w:t>
      </w:r>
      <w:r w:rsidRPr="00A57E69">
        <w:t>e</w:t>
      </w:r>
      <w:r w:rsidRPr="00A57E69">
        <w:t>tesskydda uppgifterna. Ett sådant sekretesskydd måste utformas med bea</w:t>
      </w:r>
      <w:r w:rsidRPr="00A57E69">
        <w:t>k</w:t>
      </w:r>
      <w:r w:rsidRPr="00A57E69">
        <w:t>tande av bestämmelserna i sekretesslagen. Att i avtal eller på annat sätt fö</w:t>
      </w:r>
      <w:r w:rsidRPr="00A57E69">
        <w:t>r</w:t>
      </w:r>
      <w:r w:rsidRPr="00A57E69">
        <w:t xml:space="preserve">binda sig att iaktta sekretess saknar stöd i sekretesslagen och påverkar på intet sätt medborgarnas möjligheter att ta del av allmänna handlingar. </w:t>
      </w:r>
    </w:p>
    <w:p w:rsidR="005C64AA" w:rsidRPr="00A57E69" w:rsidRDefault="005C64AA" w:rsidP="005C64AA">
      <w:pPr>
        <w:pStyle w:val="Rubrik3"/>
        <w:rPr>
          <w:noProof w:val="0"/>
        </w:rPr>
      </w:pPr>
      <w:bookmarkStart w:id="56" w:name="_Toc168801351"/>
      <w:bookmarkStart w:id="57" w:name="_Toc178412637"/>
      <w:r w:rsidRPr="00A57E69">
        <w:rPr>
          <w:noProof w:val="0"/>
        </w:rPr>
        <w:t>4.1.1 Uppdragssekretess</w:t>
      </w:r>
      <w:bookmarkEnd w:id="56"/>
      <w:bookmarkEnd w:id="57"/>
    </w:p>
    <w:p w:rsidR="005C64AA" w:rsidRPr="00A57E69" w:rsidRDefault="005C64AA" w:rsidP="005C64AA">
      <w:r w:rsidRPr="00A57E69">
        <w:t>Den sekretessbestämmelse som tillämpas inom riksdagens utredningstjänst och budgetkontoret är den s.k. uppdragssekretessen i 8 kap. 9 § sekretessl</w:t>
      </w:r>
      <w:r w:rsidRPr="00A57E69">
        <w:t>a</w:t>
      </w:r>
      <w:r w:rsidRPr="00A57E69">
        <w:t xml:space="preserve">gen. Där stadgas, såvitt nu är av intresse, att sekretess gäller hos myndighet för uppgift som avser provning, bestämning av egenskaper eller myckenhet, värdering, vetenskaplig, teknisk, ekonomisk eller statistisk undersökning eller annat sådant uppdrag som myndigheten utför för enskilds räkning, om det måste antas att uppdraget har lämnats under förutsättning att uppgiften inte röjs. Det kan diskuteras hur detta sekretesskydd förhåller sig till de uppgifter som finns i en databas förvarad hos budgetkontoret. </w:t>
      </w:r>
    </w:p>
    <w:p w:rsidR="005C64AA" w:rsidRPr="00A57E69" w:rsidRDefault="005C64AA" w:rsidP="005C64AA">
      <w:pPr>
        <w:pStyle w:val="Rubrik2"/>
      </w:pPr>
      <w:bookmarkStart w:id="58" w:name="_Toc168801352"/>
      <w:bookmarkStart w:id="59" w:name="_Toc178412638"/>
      <w:r w:rsidRPr="00A57E69">
        <w:t>4.2 Möjlighet att ta del av uppgifter som omfattas av statistiksekretess</w:t>
      </w:r>
      <w:bookmarkEnd w:id="58"/>
      <w:bookmarkEnd w:id="59"/>
    </w:p>
    <w:p w:rsidR="005C64AA" w:rsidRPr="00A57E69" w:rsidRDefault="005C64AA" w:rsidP="00384BC3">
      <w:pPr>
        <w:pStyle w:val="Rubrik3"/>
        <w:spacing w:before="235"/>
        <w:rPr>
          <w:noProof w:val="0"/>
        </w:rPr>
      </w:pPr>
      <w:bookmarkStart w:id="60" w:name="_Toc168801353"/>
      <w:bookmarkStart w:id="61" w:name="_Toc178412639"/>
      <w:r w:rsidRPr="00A57E69">
        <w:rPr>
          <w:noProof w:val="0"/>
        </w:rPr>
        <w:t>4.2.1 Riksdagens generella möjlighet att ta del av sekretesskyddat material</w:t>
      </w:r>
      <w:bookmarkEnd w:id="60"/>
      <w:bookmarkEnd w:id="61"/>
    </w:p>
    <w:p w:rsidR="005C64AA" w:rsidRPr="00A57E69" w:rsidRDefault="005C64AA" w:rsidP="00384BC3">
      <w:bookmarkStart w:id="62" w:name="K14P1S1"/>
      <w:r w:rsidRPr="00A57E69">
        <w:t>Av 14 kap. 1 § sekretesslagen framgår att sekretess inte hindrar att uppgift lämnas till regeringen eller riksdage</w:t>
      </w:r>
      <w:bookmarkEnd w:id="62"/>
      <w:r w:rsidRPr="00A57E69">
        <w:t>n. Sekretess hindrar inte heller att uppgift lämnas till annan myndighet, om uppgiftsskyldighet följer av lag eller föror</w:t>
      </w:r>
      <w:r w:rsidRPr="00A57E69">
        <w:t>d</w:t>
      </w:r>
      <w:r w:rsidRPr="00A57E69">
        <w:t xml:space="preserve">ning. För utskottens räkning finns i 4 kap. 11 § riksdagsordningen regler som ger utskotten en vidsträckt möjlighet att inhämta upplysningar och yttranden från statliga myndigheter. </w:t>
      </w:r>
    </w:p>
    <w:p w:rsidR="005C64AA" w:rsidRPr="00A57E69" w:rsidRDefault="005C64AA" w:rsidP="005C64AA">
      <w:pPr>
        <w:pStyle w:val="Normaltindrag"/>
      </w:pPr>
      <w:r w:rsidRPr="00A57E69">
        <w:t>För de uppgifter som riksdagen inhämtar gäller sekretess i den mån sekr</w:t>
      </w:r>
      <w:r w:rsidRPr="00A57E69">
        <w:t>e</w:t>
      </w:r>
      <w:r w:rsidRPr="00A57E69">
        <w:t>tes</w:t>
      </w:r>
      <w:r w:rsidRPr="00A57E69">
        <w:t>s</w:t>
      </w:r>
      <w:r w:rsidRPr="00A57E69">
        <w:t>reglerna är så avfattade att uppgifterna skyddas även hos mottagaren. Särskilda regler om sekundär sekretess finns även i 11 kap. 3 § sekretessl</w:t>
      </w:r>
      <w:r w:rsidRPr="00A57E69">
        <w:t>a</w:t>
      </w:r>
      <w:r w:rsidRPr="00A57E69">
        <w:t>gen. Av andra stycket framgår att om riksdagen från annan myndighet erhå</w:t>
      </w:r>
      <w:r w:rsidRPr="00A57E69">
        <w:t>l</w:t>
      </w:r>
      <w:r w:rsidRPr="00A57E69">
        <w:t>ler up</w:t>
      </w:r>
      <w:r w:rsidRPr="00A57E69">
        <w:t>p</w:t>
      </w:r>
      <w:r w:rsidRPr="00A57E69">
        <w:t>gift, som är sekretessbelagd där, för att riksdagen skall pröva frågan om u</w:t>
      </w:r>
      <w:r w:rsidRPr="00A57E69">
        <w:t>t</w:t>
      </w:r>
      <w:r w:rsidRPr="00A57E69">
        <w:t>lämnande av uppgiften, gäller sekretessen även hos riksdagen. Det finns även generella regler om sekundär sekretess i 13 kap. sekretesslagen.</w:t>
      </w:r>
    </w:p>
    <w:p w:rsidR="005C64AA" w:rsidRPr="00A57E69" w:rsidRDefault="005C64AA" w:rsidP="005C64AA">
      <w:pPr>
        <w:pStyle w:val="Normaltindrag"/>
      </w:pPr>
      <w:r w:rsidRPr="00A57E69">
        <w:t>Av kommentaren till sekretesslagen</w:t>
      </w:r>
      <w:r w:rsidRPr="00A57E69">
        <w:rPr>
          <w:rStyle w:val="Fotnotsreferens"/>
        </w:rPr>
        <w:footnoteReference w:id="14"/>
      </w:r>
      <w:r w:rsidRPr="00A57E69">
        <w:t xml:space="preserve"> framgår att undantaget i 14 kap. 1 § sekretesslagen har tillkommit, eftersom det kan anses principiellt oriktigt att det högsta statsorganet skall vara förhindrat att få in uppgifter från myndigh</w:t>
      </w:r>
      <w:r w:rsidRPr="00A57E69">
        <w:t>e</w:t>
      </w:r>
      <w:r w:rsidRPr="00A57E69">
        <w:t>terna i landet. Vidare framgår att det normalt sett torde vara ett utskott som är mottagare av informationen. Av avgörandet RÅ 1992 not 188 följer att en enskild riksdagsledamot inte med stöd av 14 kap. 1 § sekretesslagen har rätt att ta del av sekretesskyddade allmänna handlingar. Med riksdagen torde i 14 kap. 1 § avses riksdagen som beslutande församling. Riksdagsförvaltningen</w:t>
      </w:r>
      <w:r w:rsidR="00922B2A" w:rsidRPr="00A57E69">
        <w:t xml:space="preserve"> –</w:t>
      </w:r>
      <w:r w:rsidRPr="00A57E69">
        <w:t>inkl</w:t>
      </w:r>
      <w:r w:rsidR="00922B2A" w:rsidRPr="00A57E69">
        <w:t>usive</w:t>
      </w:r>
      <w:r w:rsidRPr="00A57E69">
        <w:t xml:space="preserve"> utredningstjänstens budgetkontor – kan därför inte med stöd av riksdagens generella rätt enligt 14 kap. 1 § sekretesslagen ta del av sekrete</w:t>
      </w:r>
      <w:r w:rsidRPr="00A57E69">
        <w:t>s</w:t>
      </w:r>
      <w:r w:rsidRPr="00A57E69">
        <w:t>sky</w:t>
      </w:r>
      <w:r w:rsidRPr="00A57E69">
        <w:t>d</w:t>
      </w:r>
      <w:r w:rsidRPr="00A57E69">
        <w:t xml:space="preserve">dat material. </w:t>
      </w:r>
    </w:p>
    <w:p w:rsidR="005C64AA" w:rsidRPr="00A57E69" w:rsidRDefault="005C64AA" w:rsidP="005C64AA">
      <w:pPr>
        <w:pStyle w:val="Normaltindrag"/>
      </w:pPr>
      <w:r w:rsidRPr="00A57E69">
        <w:t>Ett annat problem i sammanhanget är att reglerna om statistiksekretess inte är så avfattade att sekretess även gäller för mottagaren av dessa uppgifter. För att reglerna om sekundär sekretess i 11 kap. 3 § sekretesslagen skall vara tillämpliga krävs att riksdagen har begärt in uppgifterna för att pröva huruvida desamma kan lämnas ut. Det finns inte heller någon generell regel om seku</w:t>
      </w:r>
      <w:r w:rsidRPr="00A57E69">
        <w:t>n</w:t>
      </w:r>
      <w:r w:rsidRPr="00A57E69">
        <w:t>där sekretess i 13 kap. sekretesslagen som avser denna situation. Sammanfat</w:t>
      </w:r>
      <w:r w:rsidRPr="00A57E69">
        <w:t>t</w:t>
      </w:r>
      <w:r w:rsidRPr="00A57E69">
        <w:t>ningsvis skyddas inte statistiska uppgifter från SCB:s databaser som har lä</w:t>
      </w:r>
      <w:r w:rsidRPr="00A57E69">
        <w:t>m</w:t>
      </w:r>
      <w:r w:rsidRPr="00A57E69">
        <w:t xml:space="preserve">nats till riksdagen av sekretess. </w:t>
      </w:r>
    </w:p>
    <w:p w:rsidR="005C64AA" w:rsidRPr="00A57E69" w:rsidRDefault="005C64AA" w:rsidP="005C64AA">
      <w:pPr>
        <w:pStyle w:val="Rubrik3"/>
        <w:rPr>
          <w:noProof w:val="0"/>
        </w:rPr>
      </w:pPr>
      <w:bookmarkStart w:id="63" w:name="_Toc168801354"/>
      <w:bookmarkStart w:id="64" w:name="_Toc178412640"/>
      <w:r w:rsidRPr="00A57E69">
        <w:rPr>
          <w:noProof w:val="0"/>
        </w:rPr>
        <w:t>4.2.2 Vilka regelförändringar krävs för att utredningstjänstens budgetkontors undersökningar (simuleringsmodeller) ska omfattas av reglerna om statistiksekretess?</w:t>
      </w:r>
      <w:bookmarkEnd w:id="63"/>
      <w:bookmarkEnd w:id="64"/>
    </w:p>
    <w:p w:rsidR="005C64AA" w:rsidRPr="00A57E69" w:rsidRDefault="005C64AA" w:rsidP="005C64AA">
      <w:pPr>
        <w:rPr>
          <w:kern w:val="28"/>
        </w:rPr>
      </w:pPr>
      <w:r w:rsidRPr="00A57E69">
        <w:rPr>
          <w:kern w:val="28"/>
        </w:rPr>
        <w:t>Utredningstjänstens budgetkontor arbetar med simuleringsmodeller liknande dem som bl.a. Finansdepartementet använder sig av. Budgetkontorets arbete torde därför, i likhet med Regeringskansliets undersökningar, vara att betrakta som annan med statistik jämförbar undersökning som utförs av en myndighet. Eftersom utredningstjänstens budgetkontor utgör en del av riksdagsförval</w:t>
      </w:r>
      <w:r w:rsidRPr="00A57E69">
        <w:rPr>
          <w:kern w:val="28"/>
        </w:rPr>
        <w:t>t</w:t>
      </w:r>
      <w:r w:rsidRPr="00A57E69">
        <w:rPr>
          <w:kern w:val="28"/>
        </w:rPr>
        <w:t>ningen, som är en myndighet under riksdagen, bör det i det nu aktuella fallet ankomma på riksdagen att föreskriva om sekretess. Ledning kan sökas i hur motsvarande sekretessfråga har lösts när det gäller Riksrevisionen. I förarb</w:t>
      </w:r>
      <w:r w:rsidRPr="00A57E69">
        <w:rPr>
          <w:kern w:val="28"/>
        </w:rPr>
        <w:t>e</w:t>
      </w:r>
      <w:r w:rsidRPr="00A57E69">
        <w:rPr>
          <w:kern w:val="28"/>
        </w:rPr>
        <w:t xml:space="preserve">tena (prop. 2001/02:190 s. </w:t>
      </w:r>
      <w:smartTag w:uri="urn:schemas-microsoft-com:office:smarttags" w:element="metricconverter">
        <w:smartTagPr>
          <w:attr w:name="ProductID" w:val="92 f"/>
        </w:smartTagPr>
        <w:r w:rsidRPr="00A57E69">
          <w:rPr>
            <w:kern w:val="28"/>
          </w:rPr>
          <w:t>92 f</w:t>
        </w:r>
      </w:smartTag>
      <w:r w:rsidRPr="00A57E69">
        <w:rPr>
          <w:kern w:val="28"/>
        </w:rPr>
        <w:t>.) anfördes att det stod klart att Riksrevisionen inte, för sina revisioner, kunde vara beroende av att regeringen föreskrev om sekretess. En bestämmelse av innebörd</w:t>
      </w:r>
      <w:r w:rsidRPr="00A57E69">
        <w:t xml:space="preserve"> att sekretess gäller i en med statistik jämförbar undersökning som utförs av Riksrevisionen togs in</w:t>
      </w:r>
      <w:r w:rsidRPr="00A57E69">
        <w:rPr>
          <w:kern w:val="28"/>
        </w:rPr>
        <w:t xml:space="preserve"> i 9 kap. 4 § sekretesslagen. Motsvarande lagstiftning skulle kunna beslutas för de unde</w:t>
      </w:r>
      <w:r w:rsidRPr="00A57E69">
        <w:rPr>
          <w:kern w:val="28"/>
        </w:rPr>
        <w:t>r</w:t>
      </w:r>
      <w:r w:rsidRPr="00A57E69">
        <w:rPr>
          <w:kern w:val="28"/>
        </w:rPr>
        <w:t>sökningar som RUT:s budgetkontor utför. Ett sådant initiativ bör komma från riksdagsstyrelsen.</w:t>
      </w:r>
    </w:p>
    <w:p w:rsidR="005C64AA" w:rsidRPr="00A57E69" w:rsidRDefault="005C64AA" w:rsidP="005C64AA">
      <w:pPr>
        <w:rPr>
          <w:kern w:val="28"/>
        </w:rPr>
      </w:pPr>
    </w:p>
    <w:p w:rsidR="005C64AA" w:rsidRPr="00A57E69" w:rsidRDefault="005C64AA" w:rsidP="005C64AA">
      <w:pPr>
        <w:pStyle w:val="Rubrik2"/>
      </w:pPr>
      <w:bookmarkStart w:id="65" w:name="_Toc168801355"/>
      <w:bookmarkStart w:id="66" w:name="_Toc178412641"/>
      <w:r w:rsidRPr="00A57E69">
        <w:t>Källor</w:t>
      </w:r>
      <w:bookmarkEnd w:id="65"/>
      <w:bookmarkEnd w:id="66"/>
    </w:p>
    <w:p w:rsidR="005C64AA" w:rsidRPr="00A57E69" w:rsidRDefault="005C64AA" w:rsidP="005C64AA">
      <w:r w:rsidRPr="00A57E69">
        <w:t>Bohlin, Alf, Allmänna handlingar, 1988</w:t>
      </w:r>
    </w:p>
    <w:p w:rsidR="005C64AA" w:rsidRPr="00A57E69" w:rsidRDefault="005C64AA" w:rsidP="005C64AA">
      <w:r w:rsidRPr="00A57E69">
        <w:t>Bohlin, Alf, Offentlighetsprincipen, 6:e upplagan</w:t>
      </w:r>
    </w:p>
    <w:p w:rsidR="005C64AA" w:rsidRPr="00A57E69" w:rsidRDefault="005C64AA" w:rsidP="005C64AA">
      <w:r w:rsidRPr="00A57E69">
        <w:t>Regner, Eliason, Heuman, Sekretesslagen en kommentar</w:t>
      </w:r>
    </w:p>
    <w:p w:rsidR="005C64AA" w:rsidRPr="00A57E69" w:rsidRDefault="005C64AA" w:rsidP="005C64AA">
      <w:r w:rsidRPr="00A57E69">
        <w:t>Kommentar till sekretesslagen, KARNOV-Plus på webbplatsen: http://www.westlaw.se/pls/onl_se/!ilseintk.request?funktion=lg&amp;produkt=&amp;normid=&amp;prodid=614</w:t>
      </w:r>
    </w:p>
    <w:p w:rsidR="005C64AA" w:rsidRPr="00A57E69" w:rsidRDefault="005C64AA" w:rsidP="005C64AA"/>
    <w:p w:rsidR="005C64AA" w:rsidRPr="00A57E69" w:rsidRDefault="005C64AA" w:rsidP="005C64AA">
      <w:r w:rsidRPr="00A57E69">
        <w:t>SOU 1994:65 Statistik och integritet del 2</w:t>
      </w:r>
    </w:p>
    <w:p w:rsidR="005C64AA" w:rsidRPr="00A57E69" w:rsidRDefault="005C64AA" w:rsidP="005C64AA">
      <w:r w:rsidRPr="00A57E69">
        <w:t xml:space="preserve">SOU 2001:3 Offentlighetsprincipen och den nya tekniken </w:t>
      </w:r>
    </w:p>
    <w:p w:rsidR="005C64AA" w:rsidRPr="00A57E69" w:rsidRDefault="005C64AA" w:rsidP="005C64AA">
      <w:r w:rsidRPr="00A57E69">
        <w:t>SOU 2001:97 Utredningen om regler för Riksrevisionen</w:t>
      </w:r>
    </w:p>
    <w:p w:rsidR="005C64AA" w:rsidRPr="00A57E69" w:rsidRDefault="005C64AA" w:rsidP="005C64AA"/>
    <w:p w:rsidR="005C64AA" w:rsidRPr="00A57E69" w:rsidRDefault="005C64AA" w:rsidP="005C64AA">
      <w:r w:rsidRPr="00A57E69">
        <w:t xml:space="preserve">Prop. 1979/80:2 </w:t>
      </w:r>
      <w:smartTag w:uri="urn:schemas-microsoft-com:office:smarttags" w:element="State">
        <w:smartTag w:uri="urn:schemas-microsoft-com:office:smarttags" w:element="place">
          <w:r w:rsidRPr="00A57E69">
            <w:t>del</w:t>
          </w:r>
        </w:smartTag>
      </w:smartTag>
      <w:r w:rsidRPr="00A57E69">
        <w:t xml:space="preserve"> A</w:t>
      </w:r>
    </w:p>
    <w:p w:rsidR="005C64AA" w:rsidRPr="00A57E69" w:rsidRDefault="005C64AA" w:rsidP="005C64AA">
      <w:r w:rsidRPr="00A57E69">
        <w:t>Prop. 1984/85:133</w:t>
      </w:r>
    </w:p>
    <w:p w:rsidR="005C64AA" w:rsidRPr="00A57E69" w:rsidRDefault="005C64AA" w:rsidP="005C64AA">
      <w:r w:rsidRPr="00A57E69">
        <w:t>Prop. 1994/95:200</w:t>
      </w:r>
    </w:p>
    <w:p w:rsidR="005C64AA" w:rsidRPr="00A57E69" w:rsidRDefault="005C64AA" w:rsidP="005C64AA">
      <w:r w:rsidRPr="00A57E69">
        <w:t>Prop. 2001/02:190</w:t>
      </w:r>
    </w:p>
    <w:p w:rsidR="00123EF1" w:rsidRPr="00A57E69" w:rsidRDefault="00123EF1" w:rsidP="005C64AA"/>
    <w:p w:rsidR="00123EF1" w:rsidRPr="00A57E69" w:rsidRDefault="00123EF1" w:rsidP="00123EF1">
      <w:pPr>
        <w:pStyle w:val="Tryckort"/>
        <w:framePr w:wrap="around"/>
        <w:jc w:val="right"/>
      </w:pPr>
      <w:r w:rsidRPr="00A57E69">
        <w:t>Tryck: Elanders,Vällingby  2007</w:t>
      </w:r>
    </w:p>
    <w:p w:rsidR="00C62D5E" w:rsidRPr="00A57E69" w:rsidRDefault="00C62D5E" w:rsidP="00123EF1">
      <w:pPr>
        <w:pStyle w:val="Normaltindrag"/>
      </w:pPr>
    </w:p>
    <w:sectPr w:rsidR="00C62D5E" w:rsidRPr="00A57E6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1BA" w:rsidRPr="00A57E69" w:rsidRDefault="005821BA">
      <w:r w:rsidRPr="00A57E69">
        <w:separator/>
      </w:r>
    </w:p>
  </w:endnote>
  <w:endnote w:type="continuationSeparator" w:id="0">
    <w:p w:rsidR="005821BA" w:rsidRPr="00A57E69" w:rsidRDefault="005821BA">
      <w:r w:rsidRPr="00A57E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H"/>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F73519" w:rsidRPr="00A57E69">
      <w:instrText>4</w:instrText>
    </w:r>
    <w:r w:rsidRPr="00A57E69">
      <w:fldChar w:fldCharType="end"/>
    </w:r>
    <w:r w:rsidRPr="00A57E69">
      <w:instrText xml:space="preserve">/2 </w:instrText>
    </w:r>
    <w:r w:rsidRPr="00A57E69">
      <w:fldChar w:fldCharType="separate"/>
    </w:r>
    <w:r w:rsidR="00F73519" w:rsidRPr="00A57E69">
      <w:instrText>2</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F73519" w:rsidRPr="00A57E69">
      <w:instrText>4</w:instrText>
    </w:r>
    <w:r w:rsidRPr="00A57E69">
      <w:fldChar w:fldCharType="end"/>
    </w:r>
    <w:r w:rsidRPr="00A57E69">
      <w:instrText xml:space="preserve">/2) </w:instrText>
    </w:r>
    <w:r w:rsidRPr="00A57E69">
      <w:fldChar w:fldCharType="separate"/>
    </w:r>
    <w:r w:rsidR="00F73519" w:rsidRPr="00A57E69">
      <w:instrText>2</w:instrText>
    </w:r>
    <w:r w:rsidRPr="00A57E69">
      <w:fldChar w:fldCharType="end"/>
    </w:r>
    <w:r w:rsidRPr="00A57E69">
      <w:fldChar w:fldCharType="separate"/>
    </w:r>
    <w:r w:rsidR="00F73519" w:rsidRPr="00A57E69">
      <w:instrText>0</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instrText>4</w:instrText>
    </w:r>
    <w:r w:rsidRPr="00A57E69">
      <w:fldChar w:fldCharType="end"/>
    </w:r>
  </w:p>
  <w:p w:rsidR="00F73519" w:rsidRPr="00A57E69" w:rsidRDefault="003241D9">
    <w:pPr>
      <w:pStyle w:val="SidfotV"/>
      <w:framePr w:w="8732" w:h="284" w:hRule="exact" w:hSpace="0" w:vSpace="0" w:wrap="around" w:xAlign="inside" w:y="13042"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5</w:instrText>
    </w:r>
    <w:r w:rsidRPr="00A57E69">
      <w:fldChar w:fldCharType="end"/>
    </w:r>
    <w:r w:rsidRPr="00A57E69">
      <w:instrText>"</w:instrText>
    </w:r>
    <w:r w:rsidRPr="00A57E69">
      <w:fldChar w:fldCharType="separate"/>
    </w:r>
    <w:r w:rsidR="00F73519" w:rsidRPr="00A57E69">
      <w:t>4</w:t>
    </w:r>
  </w:p>
  <w:p w:rsidR="003241D9" w:rsidRPr="00A57E69" w:rsidRDefault="003241D9">
    <w:pPr>
      <w:pStyle w:val="SidfotH"/>
      <w:framePr w:w="8732" w:h="284" w:hRule="exact" w:hSpace="0" w:vSpace="0" w:wrap="around" w:xAlign="inside" w:y="13042" w:anchorLock="0"/>
    </w:pPr>
    <w:r w:rsidRPr="00A57E69">
      <w:fldChar w:fldCharType="end"/>
    </w:r>
  </w:p>
  <w:p w:rsidR="003241D9" w:rsidRPr="00A57E69" w:rsidRDefault="003241D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t>6</w:t>
    </w:r>
    <w:r w:rsidRPr="00A57E69">
      <w:fldChar w:fldCharType="end"/>
    </w:r>
  </w:p>
  <w:p w:rsidR="003241D9" w:rsidRPr="00A57E69" w:rsidRDefault="003241D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H"/>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F73519" w:rsidRPr="00A57E69">
      <w:instrText>5</w:instrText>
    </w:r>
    <w:r w:rsidRPr="00A57E69">
      <w:fldChar w:fldCharType="end"/>
    </w:r>
    <w:r w:rsidRPr="00A57E69">
      <w:instrText xml:space="preserve">/2 </w:instrText>
    </w:r>
    <w:r w:rsidRPr="00A57E69">
      <w:fldChar w:fldCharType="separate"/>
    </w:r>
    <w:r w:rsidR="00F73519" w:rsidRPr="00A57E69">
      <w:instrText>2,5</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F73519" w:rsidRPr="00A57E69">
      <w:instrText>5</w:instrText>
    </w:r>
    <w:r w:rsidRPr="00A57E69">
      <w:fldChar w:fldCharType="end"/>
    </w:r>
    <w:r w:rsidRPr="00A57E69">
      <w:instrText xml:space="preserve">/2) </w:instrText>
    </w:r>
    <w:r w:rsidRPr="00A57E69">
      <w:fldChar w:fldCharType="separate"/>
    </w:r>
    <w:r w:rsidR="00F73519" w:rsidRPr="00A57E69">
      <w:instrText>2</w:instrText>
    </w:r>
    <w:r w:rsidRPr="00A57E69">
      <w:fldChar w:fldCharType="end"/>
    </w:r>
    <w:r w:rsidRPr="00A57E69">
      <w:fldChar w:fldCharType="separate"/>
    </w:r>
    <w:r w:rsidR="00F73519" w:rsidRPr="00A57E69">
      <w:instrText>0,5</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20</w:instrText>
    </w:r>
    <w:r w:rsidRPr="00A57E69">
      <w:fldChar w:fldCharType="end"/>
    </w:r>
  </w:p>
  <w:p w:rsidR="003241D9" w:rsidRPr="00A57E69" w:rsidRDefault="003241D9">
    <w:pPr>
      <w:pStyle w:val="SidfotH"/>
      <w:framePr w:w="8732" w:h="284" w:hRule="exact" w:hSpace="0" w:vSpace="0" w:wrap="around" w:xAlign="inside" w:y="13042"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instrText>5</w:instrText>
    </w:r>
    <w:r w:rsidRPr="00A57E69">
      <w:fldChar w:fldCharType="end"/>
    </w:r>
    <w:r w:rsidRPr="00A57E69">
      <w:instrText>"</w:instrText>
    </w:r>
    <w:r w:rsidRPr="00A57E69">
      <w:fldChar w:fldCharType="separate"/>
    </w:r>
    <w:r w:rsidR="00F73519" w:rsidRPr="00A57E69">
      <w:t>5</w:t>
    </w:r>
    <w:r w:rsidRPr="00A57E69">
      <w:fldChar w:fldCharType="end"/>
    </w:r>
  </w:p>
  <w:p w:rsidR="003241D9" w:rsidRPr="00A57E69" w:rsidRDefault="003241D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t>8</w:t>
    </w:r>
    <w:r w:rsidRPr="00A57E69">
      <w:fldChar w:fldCharType="end"/>
    </w:r>
  </w:p>
  <w:p w:rsidR="003241D9" w:rsidRPr="00A57E69" w:rsidRDefault="003241D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H"/>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t>9</w:t>
    </w:r>
    <w:r w:rsidRPr="00A57E69">
      <w:fldChar w:fldCharType="end"/>
    </w:r>
  </w:p>
  <w:p w:rsidR="003241D9" w:rsidRPr="00A57E69" w:rsidRDefault="003241D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F73519" w:rsidRPr="00A57E69">
      <w:instrText>7</w:instrText>
    </w:r>
    <w:r w:rsidRPr="00A57E69">
      <w:fldChar w:fldCharType="end"/>
    </w:r>
    <w:r w:rsidRPr="00A57E69">
      <w:instrText xml:space="preserve">/2 </w:instrText>
    </w:r>
    <w:r w:rsidRPr="00A57E69">
      <w:fldChar w:fldCharType="separate"/>
    </w:r>
    <w:r w:rsidR="00F73519" w:rsidRPr="00A57E69">
      <w:instrText>3,5</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F73519" w:rsidRPr="00A57E69">
      <w:instrText>7</w:instrText>
    </w:r>
    <w:r w:rsidRPr="00A57E69">
      <w:fldChar w:fldCharType="end"/>
    </w:r>
    <w:r w:rsidRPr="00A57E69">
      <w:instrText xml:space="preserve">/2) </w:instrText>
    </w:r>
    <w:r w:rsidRPr="00A57E69">
      <w:fldChar w:fldCharType="separate"/>
    </w:r>
    <w:r w:rsidR="00F73519" w:rsidRPr="00A57E69">
      <w:instrText>3</w:instrText>
    </w:r>
    <w:r w:rsidRPr="00A57E69">
      <w:fldChar w:fldCharType="end"/>
    </w:r>
    <w:r w:rsidRPr="00A57E69">
      <w:fldChar w:fldCharType="separate"/>
    </w:r>
    <w:r w:rsidR="00F73519" w:rsidRPr="00A57E69">
      <w:instrText>0,5</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20</w:instrText>
    </w:r>
    <w:r w:rsidRPr="00A57E69">
      <w:fldChar w:fldCharType="end"/>
    </w:r>
  </w:p>
  <w:p w:rsidR="003241D9" w:rsidRPr="00A57E69" w:rsidRDefault="003241D9">
    <w:pPr>
      <w:pStyle w:val="SidfotH"/>
      <w:framePr w:w="8732" w:h="284" w:hRule="exact" w:hSpace="0" w:vSpace="0" w:wrap="around" w:xAlign="inside" w:y="13042"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instrText>7</w:instrText>
    </w:r>
    <w:r w:rsidRPr="00A57E69">
      <w:fldChar w:fldCharType="end"/>
    </w:r>
    <w:r w:rsidRPr="00A57E69">
      <w:instrText>"</w:instrText>
    </w:r>
    <w:r w:rsidRPr="00A57E69">
      <w:fldChar w:fldCharType="separate"/>
    </w:r>
    <w:r w:rsidR="00F73519" w:rsidRPr="00A57E69">
      <w:t>7</w:t>
    </w:r>
    <w:r w:rsidRPr="00A57E69">
      <w:fldChar w:fldCharType="end"/>
    </w:r>
  </w:p>
  <w:p w:rsidR="003241D9" w:rsidRPr="00A57E69" w:rsidRDefault="003241D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t>18</w:t>
    </w:r>
    <w:r w:rsidRPr="00A57E69">
      <w:fldChar w:fldCharType="end"/>
    </w:r>
  </w:p>
  <w:p w:rsidR="003241D9" w:rsidRPr="00A57E69" w:rsidRDefault="003241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H"/>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H"/>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t>19</w:t>
    </w:r>
    <w:r w:rsidRPr="00A57E69">
      <w:fldChar w:fldCharType="end"/>
    </w:r>
  </w:p>
  <w:p w:rsidR="003241D9" w:rsidRPr="00A57E69" w:rsidRDefault="003241D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F73519" w:rsidRPr="00A57E69">
      <w:instrText>10</w:instrText>
    </w:r>
    <w:r w:rsidRPr="00A57E69">
      <w:fldChar w:fldCharType="end"/>
    </w:r>
    <w:r w:rsidRPr="00A57E69">
      <w:instrText xml:space="preserve">/2 </w:instrText>
    </w:r>
    <w:r w:rsidRPr="00A57E69">
      <w:fldChar w:fldCharType="separate"/>
    </w:r>
    <w:r w:rsidR="00F73519" w:rsidRPr="00A57E69">
      <w:instrText>5</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F73519" w:rsidRPr="00A57E69">
      <w:instrText>10</w:instrText>
    </w:r>
    <w:r w:rsidRPr="00A57E69">
      <w:fldChar w:fldCharType="end"/>
    </w:r>
    <w:r w:rsidRPr="00A57E69">
      <w:instrText xml:space="preserve">/2) </w:instrText>
    </w:r>
    <w:r w:rsidRPr="00A57E69">
      <w:fldChar w:fldCharType="separate"/>
    </w:r>
    <w:r w:rsidR="00F73519" w:rsidRPr="00A57E69">
      <w:instrText>5</w:instrText>
    </w:r>
    <w:r w:rsidRPr="00A57E69">
      <w:fldChar w:fldCharType="end"/>
    </w:r>
    <w:r w:rsidRPr="00A57E69">
      <w:fldChar w:fldCharType="separate"/>
    </w:r>
    <w:r w:rsidR="00F73519" w:rsidRPr="00A57E69">
      <w:instrText>0</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instrText>10</w:instrText>
    </w:r>
    <w:r w:rsidRPr="00A57E69">
      <w:fldChar w:fldCharType="end"/>
    </w:r>
  </w:p>
  <w:p w:rsidR="00F73519" w:rsidRPr="00A57E69" w:rsidRDefault="003241D9">
    <w:pPr>
      <w:pStyle w:val="SidfotV"/>
      <w:framePr w:w="8732" w:h="284" w:hRule="exact" w:hSpace="0" w:vSpace="0" w:wrap="around" w:xAlign="inside" w:y="13042"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11</w:instrText>
    </w:r>
    <w:r w:rsidRPr="00A57E69">
      <w:fldChar w:fldCharType="end"/>
    </w:r>
    <w:r w:rsidRPr="00A57E69">
      <w:instrText>"</w:instrText>
    </w:r>
    <w:r w:rsidRPr="00A57E69">
      <w:fldChar w:fldCharType="separate"/>
    </w:r>
    <w:r w:rsidR="00F73519" w:rsidRPr="00A57E69">
      <w:t>10</w:t>
    </w:r>
  </w:p>
  <w:p w:rsidR="003241D9" w:rsidRPr="00A57E69" w:rsidRDefault="003241D9">
    <w:pPr>
      <w:pStyle w:val="SidfotH"/>
      <w:framePr w:w="8732" w:h="284" w:hRule="exact" w:hSpace="0" w:vSpace="0" w:wrap="around" w:xAlign="inside" w:y="13042" w:anchorLock="0"/>
    </w:pPr>
    <w:r w:rsidRPr="00A57E69">
      <w:fldChar w:fldCharType="end"/>
    </w:r>
  </w:p>
  <w:p w:rsidR="003241D9" w:rsidRPr="00A57E69" w:rsidRDefault="003241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A57E69">
      <w:rPr>
        <w:noProof/>
      </w:rPr>
      <w:instrText>1</w:instrText>
    </w:r>
    <w:r w:rsidRPr="00A57E69">
      <w:fldChar w:fldCharType="end"/>
    </w:r>
    <w:r w:rsidRPr="00A57E69">
      <w:instrText xml:space="preserve">/2 </w:instrText>
    </w:r>
    <w:r w:rsidRPr="00A57E69">
      <w:fldChar w:fldCharType="separate"/>
    </w:r>
    <w:r w:rsidR="00A57E69">
      <w:rPr>
        <w:noProof/>
      </w:rPr>
      <w:instrText>0,5</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A57E69">
      <w:rPr>
        <w:noProof/>
      </w:rPr>
      <w:instrText>1</w:instrText>
    </w:r>
    <w:r w:rsidRPr="00A57E69">
      <w:fldChar w:fldCharType="end"/>
    </w:r>
    <w:r w:rsidRPr="00A57E69">
      <w:instrText xml:space="preserve">/2) </w:instrText>
    </w:r>
    <w:r w:rsidRPr="00A57E69">
      <w:fldChar w:fldCharType="separate"/>
    </w:r>
    <w:r w:rsidR="00A57E69">
      <w:rPr>
        <w:noProof/>
      </w:rPr>
      <w:instrText>0</w:instrText>
    </w:r>
    <w:r w:rsidRPr="00A57E69">
      <w:fldChar w:fldCharType="end"/>
    </w:r>
    <w:r w:rsidRPr="00A57E69">
      <w:fldChar w:fldCharType="separate"/>
    </w:r>
    <w:r w:rsidR="00A57E69">
      <w:rPr>
        <w:noProof/>
      </w:rPr>
      <w:instrText>0,5</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20</w:instrText>
    </w:r>
    <w:r w:rsidRPr="00A57E69">
      <w:fldChar w:fldCharType="end"/>
    </w:r>
  </w:p>
  <w:p w:rsidR="003241D9" w:rsidRPr="00A57E69" w:rsidRDefault="003241D9">
    <w:pPr>
      <w:pStyle w:val="SidfotH"/>
      <w:framePr w:w="8732" w:h="284" w:hRule="exact" w:hSpace="0" w:vSpace="0" w:wrap="around" w:xAlign="inside" w:y="13042"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A57E69">
      <w:rPr>
        <w:noProof/>
      </w:rPr>
      <w:instrText>1</w:instrText>
    </w:r>
    <w:r w:rsidRPr="00A57E69">
      <w:fldChar w:fldCharType="end"/>
    </w:r>
    <w:r w:rsidRPr="00A57E69">
      <w:instrText>"</w:instrText>
    </w:r>
    <w:r w:rsidRPr="00A57E69">
      <w:fldChar w:fldCharType="separate"/>
    </w:r>
    <w:r w:rsidR="00A57E69">
      <w:rPr>
        <w:noProof/>
      </w:rPr>
      <w:t>1</w:t>
    </w:r>
    <w:r w:rsidRPr="00A57E69">
      <w:fldChar w:fldCharType="end"/>
    </w:r>
  </w:p>
  <w:p w:rsidR="003241D9" w:rsidRPr="00A57E69" w:rsidRDefault="003241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H"/>
      <w:framePr w:w="8732" w:h="284" w:hRule="exact" w:hSpace="0" w:vSpace="0" w:wrap="around" w:xAlign="inside" w:y="13042"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fotV"/>
      <w:framePr w:w="8732" w:h="284" w:hRule="exact" w:hSpace="0" w:vSpace="0" w:wrap="around" w:xAlign="inside" w:y="13042"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F73519" w:rsidRPr="00A57E69">
      <w:instrText>2</w:instrText>
    </w:r>
    <w:r w:rsidRPr="00A57E69">
      <w:fldChar w:fldCharType="end"/>
    </w:r>
    <w:r w:rsidRPr="00A57E69">
      <w:instrText xml:space="preserve">/2 </w:instrText>
    </w:r>
    <w:r w:rsidRPr="00A57E69">
      <w:fldChar w:fldCharType="separate"/>
    </w:r>
    <w:r w:rsidR="00F73519" w:rsidRPr="00A57E69">
      <w:instrText>1</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F73519" w:rsidRPr="00A57E69">
      <w:instrText>2</w:instrText>
    </w:r>
    <w:r w:rsidRPr="00A57E69">
      <w:fldChar w:fldCharType="end"/>
    </w:r>
    <w:r w:rsidRPr="00A57E69">
      <w:instrText xml:space="preserve">/2) </w:instrText>
    </w:r>
    <w:r w:rsidRPr="00A57E69">
      <w:fldChar w:fldCharType="separate"/>
    </w:r>
    <w:r w:rsidR="00F73519" w:rsidRPr="00A57E69">
      <w:instrText>1</w:instrText>
    </w:r>
    <w:r w:rsidRPr="00A57E69">
      <w:fldChar w:fldCharType="end"/>
    </w:r>
    <w:r w:rsidRPr="00A57E69">
      <w:fldChar w:fldCharType="separate"/>
    </w:r>
    <w:r w:rsidR="00F73519" w:rsidRPr="00A57E69">
      <w:instrText>0</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instrText>2</w:instrText>
    </w:r>
    <w:r w:rsidRPr="00A57E69">
      <w:fldChar w:fldCharType="end"/>
    </w:r>
  </w:p>
  <w:p w:rsidR="00F73519" w:rsidRPr="00A57E69" w:rsidRDefault="003241D9">
    <w:pPr>
      <w:pStyle w:val="SidfotV"/>
      <w:framePr w:w="8732" w:h="284" w:hRule="exact" w:hSpace="0" w:vSpace="0" w:wrap="around" w:xAlign="inside" w:y="13042"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1</w:instrText>
    </w:r>
    <w:r w:rsidRPr="00A57E69">
      <w:fldChar w:fldCharType="end"/>
    </w:r>
    <w:r w:rsidRPr="00A57E69">
      <w:instrText>"</w:instrText>
    </w:r>
    <w:r w:rsidRPr="00A57E69">
      <w:fldChar w:fldCharType="separate"/>
    </w:r>
    <w:r w:rsidR="00F73519" w:rsidRPr="00A57E69">
      <w:t>2</w:t>
    </w:r>
  </w:p>
  <w:p w:rsidR="003241D9" w:rsidRPr="00A57E69" w:rsidRDefault="003241D9">
    <w:pPr>
      <w:pStyle w:val="SidfotH"/>
      <w:framePr w:w="8732" w:h="284" w:hRule="exact" w:hSpace="0" w:vSpace="0" w:wrap="around" w:xAlign="inside" w:y="13042" w:anchorLock="0"/>
    </w:pPr>
    <w:r w:rsidRPr="00A57E69">
      <w:fldChar w:fldCharType="end"/>
    </w:r>
  </w:p>
  <w:p w:rsidR="003241D9" w:rsidRPr="00A57E69" w:rsidRDefault="003241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rsidP="00501854">
    <w:pPr>
      <w:pStyle w:val="SidfotV"/>
      <w:framePr w:w="8957" w:h="283" w:hRule="exact" w:hSpace="0" w:vSpace="0" w:wrap="around" w:xAlign="inside" w:y="13040"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rsidP="00501854">
    <w:pPr>
      <w:pStyle w:val="SidfotH"/>
      <w:framePr w:w="8957" w:h="283" w:hRule="exact" w:hSpace="0" w:vSpace="0" w:wrap="around" w:xAlign="inside" w:y="13040" w:anchorLock="0"/>
    </w:pP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t>20</w:t>
    </w:r>
    <w:r w:rsidRPr="00A57E69">
      <w:fldChar w:fldCharType="end"/>
    </w:r>
  </w:p>
  <w:p w:rsidR="003241D9" w:rsidRPr="00A57E69" w:rsidRDefault="003241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rsidP="00501854">
    <w:pPr>
      <w:pStyle w:val="SidfotV"/>
      <w:framePr w:w="8957" w:h="283" w:hRule="exact" w:hSpace="0" w:vSpace="0" w:wrap="around" w:xAlign="inside" w:y="13040" w:anchorLock="0"/>
    </w:pPr>
    <w:r w:rsidRPr="00A57E69">
      <w:fldChar w:fldCharType="begin" w:fldLock="1"/>
    </w:r>
    <w:r w:rsidRPr="00A57E69">
      <w:instrText xml:space="preserve"> if </w:instrText>
    </w:r>
    <w:r w:rsidRPr="00A57E69">
      <w:fldChar w:fldCharType="begin" w:fldLock="1"/>
    </w:r>
    <w:r w:rsidRPr="00A57E69">
      <w:instrText xml:space="preserve"> = </w:instrText>
    </w:r>
    <w:r w:rsidRPr="00A57E69">
      <w:fldChar w:fldCharType="begin" w:fldLock="1"/>
    </w:r>
    <w:r w:rsidRPr="00A57E69">
      <w:instrText xml:space="preserve"> = </w:instrText>
    </w:r>
    <w:r w:rsidRPr="00A57E69">
      <w:fldChar w:fldCharType="begin" w:fldLock="1"/>
    </w:r>
    <w:r w:rsidRPr="00A57E69">
      <w:instrText xml:space="preserve"> page</w:instrText>
    </w:r>
    <w:r w:rsidRPr="00A57E69">
      <w:fldChar w:fldCharType="separate"/>
    </w:r>
    <w:r w:rsidR="00F73519" w:rsidRPr="00A57E69">
      <w:instrText>3</w:instrText>
    </w:r>
    <w:r w:rsidRPr="00A57E69">
      <w:fldChar w:fldCharType="end"/>
    </w:r>
    <w:r w:rsidRPr="00A57E69">
      <w:instrText xml:space="preserve">/2 </w:instrText>
    </w:r>
    <w:r w:rsidRPr="00A57E69">
      <w:fldChar w:fldCharType="separate"/>
    </w:r>
    <w:r w:rsidR="00F73519" w:rsidRPr="00A57E69">
      <w:instrText>1,5</w:instrText>
    </w:r>
    <w:r w:rsidRPr="00A57E69">
      <w:fldChar w:fldCharType="end"/>
    </w:r>
    <w:r w:rsidRPr="00A57E69">
      <w:instrText xml:space="preserve"> - </w:instrText>
    </w:r>
    <w:r w:rsidRPr="00A57E69">
      <w:fldChar w:fldCharType="begin" w:fldLock="1"/>
    </w:r>
    <w:r w:rsidRPr="00A57E69">
      <w:instrText xml:space="preserve"> = int(</w:instrText>
    </w:r>
    <w:r w:rsidRPr="00A57E69">
      <w:fldChar w:fldCharType="begin" w:fldLock="1"/>
    </w:r>
    <w:r w:rsidRPr="00A57E69">
      <w:instrText xml:space="preserve"> page</w:instrText>
    </w:r>
    <w:r w:rsidRPr="00A57E69">
      <w:fldChar w:fldCharType="separate"/>
    </w:r>
    <w:r w:rsidR="00F73519" w:rsidRPr="00A57E69">
      <w:instrText>3</w:instrText>
    </w:r>
    <w:r w:rsidRPr="00A57E69">
      <w:fldChar w:fldCharType="end"/>
    </w:r>
    <w:r w:rsidRPr="00A57E69">
      <w:instrText xml:space="preserve">/2) </w:instrText>
    </w:r>
    <w:r w:rsidRPr="00A57E69">
      <w:fldChar w:fldCharType="separate"/>
    </w:r>
    <w:r w:rsidR="00F73519" w:rsidRPr="00A57E69">
      <w:instrText>1</w:instrText>
    </w:r>
    <w:r w:rsidRPr="00A57E69">
      <w:fldChar w:fldCharType="end"/>
    </w:r>
    <w:r w:rsidRPr="00A57E69">
      <w:fldChar w:fldCharType="separate"/>
    </w:r>
    <w:r w:rsidR="00F73519" w:rsidRPr="00A57E69">
      <w:instrText>0,5</w:instrText>
    </w:r>
    <w:r w:rsidRPr="00A57E69">
      <w:fldChar w:fldCharType="end"/>
    </w:r>
    <w:r w:rsidRPr="00A57E69">
      <w:instrText xml:space="preserve"> = 0 "</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Pr="00A57E69">
      <w:instrText>20</w:instrText>
    </w:r>
    <w:r w:rsidRPr="00A57E69">
      <w:fldChar w:fldCharType="end"/>
    </w:r>
  </w:p>
  <w:p w:rsidR="003241D9" w:rsidRPr="00A57E69" w:rsidRDefault="003241D9" w:rsidP="00501854">
    <w:pPr>
      <w:pStyle w:val="SidfotH"/>
      <w:framePr w:w="8957" w:h="283" w:hRule="exact" w:hSpace="0" w:vSpace="0" w:wrap="around" w:xAlign="inside" w:y="13040" w:anchorLock="0"/>
    </w:pPr>
    <w:r w:rsidRPr="00A57E69">
      <w:instrText>""</w:instrText>
    </w:r>
    <w:r w:rsidRPr="00A57E69">
      <w:fldChar w:fldCharType="begin" w:fldLock="1"/>
    </w:r>
    <w:r w:rsidRPr="00A57E69">
      <w:instrText xml:space="preserve"> P</w:instrText>
    </w:r>
    <w:r w:rsidRPr="00A57E69">
      <w:instrText>A</w:instrText>
    </w:r>
    <w:r w:rsidRPr="00A57E69">
      <w:instrText xml:space="preserve">GE </w:instrText>
    </w:r>
    <w:r w:rsidRPr="00A57E69">
      <w:fldChar w:fldCharType="separate"/>
    </w:r>
    <w:r w:rsidR="00F73519" w:rsidRPr="00A57E69">
      <w:instrText>3</w:instrText>
    </w:r>
    <w:r w:rsidRPr="00A57E69">
      <w:fldChar w:fldCharType="end"/>
    </w:r>
    <w:r w:rsidRPr="00A57E69">
      <w:instrText>"</w:instrText>
    </w:r>
    <w:r w:rsidRPr="00A57E69">
      <w:fldChar w:fldCharType="separate"/>
    </w:r>
    <w:r w:rsidR="00F73519" w:rsidRPr="00A57E69">
      <w:t>3</w:t>
    </w:r>
    <w:r w:rsidRPr="00A57E69">
      <w:fldChar w:fldCharType="end"/>
    </w:r>
  </w:p>
  <w:p w:rsidR="003241D9" w:rsidRPr="00A57E69" w:rsidRDefault="003241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1BA" w:rsidRPr="00A57E69" w:rsidRDefault="005821BA">
      <w:r w:rsidRPr="00A57E69">
        <w:separator/>
      </w:r>
    </w:p>
  </w:footnote>
  <w:footnote w:type="continuationSeparator" w:id="0">
    <w:p w:rsidR="005821BA" w:rsidRPr="00A57E69" w:rsidRDefault="005821BA">
      <w:r w:rsidRPr="00A57E69">
        <w:continuationSeparator/>
      </w:r>
    </w:p>
  </w:footnote>
  <w:footnote w:id="1">
    <w:p w:rsidR="003241D9" w:rsidRPr="00A57E69" w:rsidRDefault="003241D9">
      <w:pPr>
        <w:pStyle w:val="Fotnotstext"/>
      </w:pPr>
      <w:r w:rsidRPr="00A57E69">
        <w:rPr>
          <w:rStyle w:val="Fotnotsreferens"/>
        </w:rPr>
        <w:footnoteRef/>
      </w:r>
      <w:r w:rsidRPr="00A57E69">
        <w:t xml:space="preserve"> Senaste lydelse 2002:1027.</w:t>
      </w:r>
    </w:p>
  </w:footnote>
  <w:footnote w:id="2">
    <w:p w:rsidR="003241D9" w:rsidRPr="00A57E69" w:rsidRDefault="003241D9">
      <w:pPr>
        <w:pStyle w:val="Fotnotstext"/>
      </w:pPr>
      <w:r w:rsidRPr="00A57E69">
        <w:rPr>
          <w:rStyle w:val="Fotnotsreferens"/>
        </w:rPr>
        <w:footnoteRef/>
      </w:r>
      <w:r w:rsidRPr="00A57E69">
        <w:t xml:space="preserve"> Se dåvarande förvaltningsstyrelsens protokoll nr 6 1996/97.</w:t>
      </w:r>
    </w:p>
  </w:footnote>
  <w:footnote w:id="3">
    <w:p w:rsidR="003241D9" w:rsidRPr="00A57E69" w:rsidRDefault="003241D9" w:rsidP="006449B1">
      <w:pPr>
        <w:pStyle w:val="Fotnotstext"/>
      </w:pPr>
      <w:r w:rsidRPr="00A57E69">
        <w:rPr>
          <w:rStyle w:val="Fotnotsreferens"/>
        </w:rPr>
        <w:footnoteRef/>
      </w:r>
      <w:r w:rsidRPr="00A57E69">
        <w:t xml:space="preserve"> Se 1 § tjänsteföreskriften (RFS 2003:5) om organisation och ansvarsområden inom riksdagsförvaltningen.</w:t>
      </w:r>
    </w:p>
  </w:footnote>
  <w:footnote w:id="4">
    <w:p w:rsidR="003241D9" w:rsidRPr="00A57E69" w:rsidRDefault="003241D9">
      <w:pPr>
        <w:pStyle w:val="Fotnotstext"/>
      </w:pPr>
      <w:r w:rsidRPr="00A57E69">
        <w:rPr>
          <w:rStyle w:val="Fotnotsreferens"/>
        </w:rPr>
        <w:footnoteRef/>
      </w:r>
      <w:r w:rsidRPr="00A57E69">
        <w:t xml:space="preserve"> Promemorian är dagtecknad 2007-03-27 med ändringar 2007-06-04.</w:t>
      </w:r>
    </w:p>
  </w:footnote>
  <w:footnote w:id="5">
    <w:p w:rsidR="003241D9" w:rsidRPr="00A57E69" w:rsidRDefault="003241D9" w:rsidP="004041A1">
      <w:pPr>
        <w:pStyle w:val="Fotnotstext"/>
      </w:pPr>
      <w:r w:rsidRPr="00A57E69">
        <w:rPr>
          <w:rStyle w:val="Fotnotsreferens"/>
        </w:rPr>
        <w:footnoteRef/>
      </w:r>
      <w:r w:rsidRPr="00A57E69">
        <w:t xml:space="preserve"> Lag (1995:607) om ändring i sekretesslagen (1980:100). </w:t>
      </w:r>
    </w:p>
  </w:footnote>
  <w:footnote w:id="6">
    <w:p w:rsidR="003241D9" w:rsidRPr="00A57E69" w:rsidRDefault="003241D9">
      <w:pPr>
        <w:pStyle w:val="Fotnotstext"/>
      </w:pPr>
      <w:r w:rsidRPr="00A57E69">
        <w:rPr>
          <w:rStyle w:val="Fotnotsreferens"/>
        </w:rPr>
        <w:footnoteRef/>
      </w:r>
      <w:r w:rsidRPr="00A57E69">
        <w:t xml:space="preserve"> Se s. </w:t>
      </w:r>
      <w:smartTag w:uri="urn:schemas-microsoft-com:office:smarttags" w:element="metricconverter">
        <w:smartTagPr>
          <w:attr w:name="ProductID" w:val="27 f"/>
        </w:smartTagPr>
        <w:r w:rsidRPr="00A57E69">
          <w:t>27 f</w:t>
        </w:r>
      </w:smartTag>
      <w:r w:rsidRPr="00A57E69">
        <w:t>. prop. 1994/95:200 Lag om vissa personregister för officiell statistik m.m.</w:t>
      </w:r>
    </w:p>
  </w:footnote>
  <w:footnote w:id="7">
    <w:p w:rsidR="003241D9" w:rsidRPr="00A57E69" w:rsidRDefault="003241D9">
      <w:pPr>
        <w:pStyle w:val="Fotnotstext"/>
      </w:pPr>
      <w:r w:rsidRPr="00A57E69">
        <w:rPr>
          <w:rStyle w:val="Fotnotsreferens"/>
        </w:rPr>
        <w:footnoteRef/>
      </w:r>
      <w:r w:rsidRPr="00A57E69">
        <w:t xml:space="preserve"> Remissvaren finns tillgängliga vid riksdagsförvaltningens kammarkansli, dnr 019-3248-06/07.</w:t>
      </w:r>
    </w:p>
  </w:footnote>
  <w:footnote w:id="8">
    <w:p w:rsidR="003241D9" w:rsidRPr="00A57E69" w:rsidRDefault="003241D9" w:rsidP="005C64AA">
      <w:pPr>
        <w:pStyle w:val="Fotnotstext"/>
      </w:pPr>
      <w:r w:rsidRPr="00A57E69">
        <w:rPr>
          <w:rStyle w:val="Fotnotsreferens"/>
        </w:rPr>
        <w:footnoteRef/>
      </w:r>
      <w:r w:rsidRPr="00A57E69">
        <w:t xml:space="preserve"> Med svensk medborgare jämställs enligt TF 14:5 </w:t>
      </w:r>
      <w:smartTag w:uri="urn:schemas-microsoft-com:office:smarttags" w:element="metricconverter">
        <w:smartTagPr>
          <w:attr w:name="ProductID" w:val="2 st"/>
        </w:smartTagPr>
        <w:r w:rsidRPr="00A57E69">
          <w:t>2 st</w:t>
        </w:r>
      </w:smartTag>
      <w:r w:rsidRPr="00A57E69">
        <w:t>. i princip även utländsk me</w:t>
      </w:r>
      <w:r w:rsidRPr="00A57E69">
        <w:t>d</w:t>
      </w:r>
      <w:r w:rsidRPr="00A57E69">
        <w:t xml:space="preserve">borgare. </w:t>
      </w:r>
    </w:p>
  </w:footnote>
  <w:footnote w:id="9">
    <w:p w:rsidR="003241D9" w:rsidRPr="00A57E69" w:rsidRDefault="003241D9" w:rsidP="005C64AA">
      <w:pPr>
        <w:pStyle w:val="Fotnotstext"/>
      </w:pPr>
      <w:r w:rsidRPr="00A57E69">
        <w:rPr>
          <w:rStyle w:val="Fotnotsreferens"/>
        </w:rPr>
        <w:footnoteRef/>
      </w:r>
      <w:r w:rsidRPr="00A57E69">
        <w:t xml:space="preserve"> Bohlin, Allmänna handlingar s. 62.</w:t>
      </w:r>
    </w:p>
  </w:footnote>
  <w:footnote w:id="10">
    <w:p w:rsidR="003241D9" w:rsidRPr="00A57E69" w:rsidRDefault="003241D9" w:rsidP="005C64AA">
      <w:pPr>
        <w:pStyle w:val="Fotnotstext"/>
      </w:pPr>
      <w:r w:rsidRPr="00A57E69">
        <w:rPr>
          <w:rStyle w:val="Fotnotsreferens"/>
        </w:rPr>
        <w:footnoteRef/>
      </w:r>
      <w:r w:rsidRPr="00A57E69">
        <w:t xml:space="preserve"> I det aktuella fallet är bara begreppet inkommen av intresse.</w:t>
      </w:r>
    </w:p>
  </w:footnote>
  <w:footnote w:id="11">
    <w:p w:rsidR="003241D9" w:rsidRPr="00A57E69" w:rsidRDefault="003241D9" w:rsidP="005C64AA">
      <w:pPr>
        <w:pStyle w:val="Fotnotstext"/>
      </w:pPr>
      <w:r w:rsidRPr="00A57E69">
        <w:rPr>
          <w:rStyle w:val="Fotnotsreferens"/>
        </w:rPr>
        <w:footnoteRef/>
      </w:r>
      <w:r w:rsidRPr="00A57E69">
        <w:t xml:space="preserve"> Regner, Eliason och Heuman 9:16 f.</w:t>
      </w:r>
    </w:p>
  </w:footnote>
  <w:footnote w:id="12">
    <w:p w:rsidR="003241D9" w:rsidRPr="00A57E69" w:rsidRDefault="003241D9" w:rsidP="005C64AA">
      <w:pPr>
        <w:pStyle w:val="Fotnotstext"/>
      </w:pPr>
      <w:r w:rsidRPr="00A57E69">
        <w:rPr>
          <w:rStyle w:val="Fotnotsreferens"/>
        </w:rPr>
        <w:footnoteRef/>
      </w:r>
      <w:r w:rsidRPr="00A57E69">
        <w:t xml:space="preserve"> </w:t>
      </w:r>
      <w:r w:rsidRPr="00A57E69">
        <w:rPr>
          <w:rFonts w:ascii="Times" w:hAnsi="Times" w:cs="Times"/>
        </w:rPr>
        <w:t>Lag (1985:656) om ändring i sekretesslagen (1980:100).</w:t>
      </w:r>
    </w:p>
  </w:footnote>
  <w:footnote w:id="13">
    <w:p w:rsidR="003241D9" w:rsidRPr="00A57E69" w:rsidRDefault="003241D9" w:rsidP="005C64AA">
      <w:pPr>
        <w:pStyle w:val="Fotnotstext"/>
      </w:pPr>
      <w:r w:rsidRPr="00A57E69">
        <w:rPr>
          <w:rStyle w:val="Fotnotsreferens"/>
        </w:rPr>
        <w:footnoteRef/>
      </w:r>
      <w:r w:rsidRPr="00A57E69">
        <w:t xml:space="preserve"> Lag (1995:607) om ändring i sekretesslagen (1980:100).</w:t>
      </w:r>
    </w:p>
    <w:p w:rsidR="003241D9" w:rsidRPr="00A57E69" w:rsidRDefault="003241D9" w:rsidP="005C64AA">
      <w:pPr>
        <w:pStyle w:val="Fotnotstext"/>
      </w:pPr>
    </w:p>
  </w:footnote>
  <w:footnote w:id="14">
    <w:p w:rsidR="003241D9" w:rsidRPr="00A57E69" w:rsidRDefault="003241D9" w:rsidP="005C64AA">
      <w:pPr>
        <w:pStyle w:val="Fotnotstext"/>
      </w:pPr>
      <w:r w:rsidRPr="00A57E69">
        <w:rPr>
          <w:rStyle w:val="Fotnotsreferens"/>
        </w:rPr>
        <w:footnoteRef/>
      </w:r>
      <w:r w:rsidRPr="00A57E69">
        <w:t xml:space="preserve"> Regner, Eliason och Heuman s.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Jmn"/>
      <w:framePr w:w="8732" w:h="567" w:hRule="exact" w:vSpace="0" w:wrap="around" w:vAnchor="page" w:y="341" w:anchorLock="0"/>
    </w:pP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 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BetänkandeNr</w:instrText>
    </w:r>
    <w:r w:rsidRPr="00A57E69">
      <w:rPr>
        <w:rStyle w:val="SidhuvudUtskott"/>
      </w:rPr>
      <w:fldChar w:fldCharType="separate"/>
    </w:r>
    <w:r w:rsidRPr="00A57E69">
      <w:rPr>
        <w:rStyle w:val="SidhuvudUtskott"/>
      </w:rPr>
      <w:t>1</w:t>
    </w:r>
    <w:r w:rsidRPr="00A57E69">
      <w:rPr>
        <w:rStyle w:val="SidhuvudUtskott"/>
      </w:rPr>
      <w:fldChar w:fldCharType="end"/>
    </w:r>
    <w:r w:rsidRPr="00A57E69">
      <w:t xml:space="preserve">     </w:t>
    </w:r>
    <w:r w:rsidRPr="00A57E69">
      <w:rPr>
        <w:rStyle w:val="SidhuvudBilaga"/>
      </w:rPr>
      <w:t xml:space="preserve"> </w:t>
    </w: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Sammanfattning</w:t>
    </w:r>
    <w:r w:rsidRPr="00A57E69">
      <w:rPr>
        <w:rStyle w:val="SidhuvudRubrikReferens"/>
      </w:rPr>
      <w:fldChar w:fldCharType="end"/>
    </w:r>
  </w:p>
  <w:p w:rsidR="003241D9" w:rsidRPr="00A57E69" w:rsidRDefault="003241D9">
    <w:pPr>
      <w:pStyle w:val="SidhuvudKantJmn"/>
      <w:framePr w:w="8732" w:h="567" w:hRule="exact" w:vSpace="0" w:wrap="around" w:vAnchor="page" w:y="341" w:anchorLock="0"/>
    </w:pPr>
    <w:r w:rsidRPr="00A57E69">
      <w:rPr>
        <w:rStyle w:val="SidhuvudUtskott"/>
      </w:rPr>
      <w:fldChar w:fldCharType="begin" w:fldLock="1"/>
    </w:r>
    <w:r w:rsidRPr="00A57E69">
      <w:rPr>
        <w:rStyle w:val="SidhuvudUtskott"/>
      </w:rPr>
      <w:instrText xml:space="preserve"> DOCPROPERTY Status</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    </w:instrText>
    </w:r>
    <w:r w:rsidRPr="00A57E69">
      <w:rPr>
        <w:rStyle w:val="SidhuvudUtskott"/>
      </w:rPr>
      <w:fldChar w:fldCharType="begin" w:fldLock="1"/>
    </w:r>
    <w:r w:rsidRPr="00A57E69">
      <w:rPr>
        <w:rStyle w:val="SidhuvudUtskott"/>
      </w:rPr>
      <w:instrText xml:space="preserve"> PRINTDATE \@ "yyyy-MM-dd HH.mm"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p>
  <w:p w:rsidR="003241D9" w:rsidRPr="00A57E69" w:rsidRDefault="003241D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Jmn"/>
      <w:framePr w:w="8732" w:h="567" w:hRule="exact" w:vSpace="0" w:wrap="around" w:vAnchor="page" w:y="341" w:anchorLock="0"/>
    </w:pP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 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BetänkandeNr</w:instrText>
    </w:r>
    <w:r w:rsidRPr="00A57E69">
      <w:rPr>
        <w:rStyle w:val="SidhuvudUtskott"/>
      </w:rPr>
      <w:fldChar w:fldCharType="separate"/>
    </w:r>
    <w:r w:rsidRPr="00A57E69">
      <w:rPr>
        <w:rStyle w:val="SidhuvudUtskott"/>
      </w:rPr>
      <w:t>1</w:t>
    </w:r>
    <w:r w:rsidRPr="00A57E69">
      <w:rPr>
        <w:rStyle w:val="SidhuvudUtskott"/>
      </w:rPr>
      <w:fldChar w:fldCharType="end"/>
    </w:r>
    <w:r w:rsidRPr="00A57E69">
      <w:t xml:space="preserve">     </w:t>
    </w:r>
    <w:r w:rsidRPr="00A57E69">
      <w:rPr>
        <w:rStyle w:val="SidhuvudBilaga"/>
      </w:rPr>
      <w:t xml:space="preserve"> </w:t>
    </w: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Riksdagsstyrelsens förslag till riksdagsbeslut</w:t>
    </w:r>
    <w:r w:rsidRPr="00A57E69">
      <w:rPr>
        <w:rStyle w:val="SidhuvudRubrikReferens"/>
      </w:rPr>
      <w:fldChar w:fldCharType="end"/>
    </w:r>
  </w:p>
  <w:p w:rsidR="003241D9" w:rsidRPr="00A57E69" w:rsidRDefault="003241D9">
    <w:pPr>
      <w:pStyle w:val="SidhuvudKantJmn"/>
      <w:framePr w:w="8732" w:h="567" w:hRule="exact" w:vSpace="0" w:wrap="around" w:vAnchor="page" w:y="341" w:anchorLock="0"/>
    </w:pPr>
    <w:r w:rsidRPr="00A57E69">
      <w:rPr>
        <w:rStyle w:val="SidhuvudUtskott"/>
      </w:rPr>
      <w:fldChar w:fldCharType="begin" w:fldLock="1"/>
    </w:r>
    <w:r w:rsidRPr="00A57E69">
      <w:rPr>
        <w:rStyle w:val="SidhuvudUtskott"/>
      </w:rPr>
      <w:instrText xml:space="preserve"> DOCPROPERTY Status</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    </w:instrText>
    </w:r>
    <w:r w:rsidRPr="00A57E69">
      <w:rPr>
        <w:rStyle w:val="SidhuvudUtskott"/>
      </w:rPr>
      <w:fldChar w:fldCharType="begin" w:fldLock="1"/>
    </w:r>
    <w:r w:rsidRPr="00A57E69">
      <w:rPr>
        <w:rStyle w:val="SidhuvudUtskott"/>
      </w:rPr>
      <w:instrText xml:space="preserve"> PRINTDATE \@ "yyyy-MM-dd HH.mm"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p>
  <w:p w:rsidR="003241D9" w:rsidRPr="00A57E69" w:rsidRDefault="003241D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Udda"/>
      <w:framePr w:w="8732" w:h="567" w:hRule="exact" w:vSpace="0" w:wrap="around" w:vAnchor="page" w:y="341" w:anchorLock="0"/>
    </w:pP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Riksdagsstyrelsens förslag till riksdagsbeslut</w:t>
    </w:r>
    <w:r w:rsidRPr="00A57E69">
      <w:rPr>
        <w:rStyle w:val="SidhuvudRubrikReferens"/>
      </w:rPr>
      <w:fldChar w:fldCharType="end"/>
    </w:r>
    <w:r w:rsidRPr="00A57E69">
      <w:rPr>
        <w:rStyle w:val="SidhuvudBilaga"/>
      </w:rPr>
      <w:t xml:space="preserve"> </w:t>
    </w:r>
    <w:r w:rsidRPr="00A57E69">
      <w:t xml:space="preserve">     </w:t>
    </w: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w:instrText>
    </w:r>
    <w:r w:rsidRPr="00A57E69">
      <w:instrText xml:space="preserve"> </w:instrText>
    </w:r>
    <w:r w:rsidRPr="00A57E69">
      <w:rPr>
        <w:rStyle w:val="SidhuvudUtskott"/>
      </w:rPr>
      <w:instrText>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w:instrText>
    </w:r>
    <w:r w:rsidRPr="00A57E69">
      <w:rPr>
        <w:rStyle w:val="SidhuvudUtskott"/>
      </w:rPr>
      <w:instrText>n</w:instrText>
    </w:r>
    <w:r w:rsidRPr="00A57E69">
      <w:rPr>
        <w:rStyle w:val="SidhuvudUtskott"/>
      </w:rPr>
      <w:instrText>kandeNr</w:instrText>
    </w:r>
    <w:r w:rsidRPr="00A57E69">
      <w:rPr>
        <w:rStyle w:val="SidhuvudUtskott"/>
      </w:rPr>
      <w:fldChar w:fldCharType="separate"/>
    </w:r>
    <w:r w:rsidRPr="00A57E69">
      <w:rPr>
        <w:rStyle w:val="SidhuvudUtskott"/>
      </w:rPr>
      <w:t>1</w:t>
    </w:r>
    <w:r w:rsidRPr="00A57E69">
      <w:rPr>
        <w:rStyle w:val="SidhuvudUtskott"/>
      </w:rPr>
      <w:fldChar w:fldCharType="end"/>
    </w:r>
  </w:p>
  <w:p w:rsidR="003241D9" w:rsidRPr="00A57E69" w:rsidRDefault="003241D9">
    <w:pPr>
      <w:pStyle w:val="SidhuvudKantUdda"/>
      <w:framePr w:w="8732" w:h="567" w:hRule="exact" w:vSpace="0" w:wrap="around" w:vAnchor="page" w:y="341" w:anchorLock="0"/>
    </w:pP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w:instrText>
    </w:r>
    <w:r w:rsidRPr="00A57E69">
      <w:rPr>
        <w:rStyle w:val="SidhuvudUtskott"/>
      </w:rPr>
      <w:fldChar w:fldCharType="begin" w:fldLock="1"/>
    </w:r>
    <w:r w:rsidRPr="00A57E69">
      <w:rPr>
        <w:rStyle w:val="SidhuvudUtskott"/>
      </w:rPr>
      <w:instrText xml:space="preserve"> PRINTDATE \@ "yyyy-MM-dd HH.mm    "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w:instrText>
    </w:r>
    <w:r w:rsidRPr="00A57E69">
      <w:rPr>
        <w:rStyle w:val="SidhuvudUtskott"/>
      </w:rPr>
      <w:instrText>O</w:instrText>
    </w:r>
    <w:r w:rsidRPr="00A57E69">
      <w:rPr>
        <w:rStyle w:val="SidhuvudUtskott"/>
      </w:rPr>
      <w:instrText>PERTY Status</w:instrText>
    </w:r>
    <w:r w:rsidRPr="00A57E69">
      <w:rPr>
        <w:rStyle w:val="SidhuvudUtskott"/>
      </w:rPr>
      <w:fldChar w:fldCharType="end"/>
    </w:r>
  </w:p>
  <w:p w:rsidR="003241D9" w:rsidRPr="00A57E69" w:rsidRDefault="003241D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19" w:rsidRPr="00A57E69" w:rsidRDefault="00F73519">
    <w:pPr>
      <w:pStyle w:val="SidhuvudKantJmn"/>
      <w:framePr w:w="8732" w:h="567" w:hRule="exact" w:vSpace="0" w:wrap="around" w:vAnchor="page" w:y="341" w:anchorLock="0"/>
    </w:pPr>
    <w:r w:rsidRPr="00A57E69">
      <w:rPr>
        <w:rStyle w:val="SidhuvudUtskott"/>
      </w:rPr>
      <w:t>2007/08:RS1</w:t>
    </w:r>
    <w:r w:rsidRPr="00A57E69">
      <w:t xml:space="preserve">    </w:t>
    </w:r>
  </w:p>
  <w:p w:rsidR="00F73519" w:rsidRPr="00A57E69" w:rsidRDefault="00F73519">
    <w:pPr>
      <w:pStyle w:val="SidhuvudKantJmn"/>
      <w:framePr w:w="8732" w:h="567" w:hRule="exact" w:vSpace="0" w:wrap="around" w:vAnchor="page" w:y="341" w:anchorLock="0"/>
    </w:pPr>
  </w:p>
  <w:p w:rsidR="003241D9" w:rsidRPr="00A57E69" w:rsidRDefault="00F73519">
    <w:pPr>
      <w:pStyle w:val="SidhuvudKantUdda"/>
      <w:framePr w:w="8732" w:h="567" w:hRule="exact" w:vSpace="0" w:wrap="around" w:vAnchor="page" w:y="341" w:anchorLock="0"/>
    </w:pPr>
    <w:r w:rsidRPr="00A57E69">
      <w:rPr>
        <w:rStyle w:val="SidhuvudRubrikReferens"/>
        <w:smallCaps w:val="0"/>
      </w:rPr>
      <w:t xml:space="preserve"> </w:t>
    </w:r>
  </w:p>
  <w:p w:rsidR="003241D9" w:rsidRPr="00A57E69" w:rsidRDefault="003241D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Jmn"/>
      <w:framePr w:w="8732" w:h="567" w:hRule="exact" w:vSpace="0" w:wrap="around" w:vAnchor="page" w:y="341" w:anchorLock="0"/>
    </w:pPr>
    <w:r w:rsidRPr="00A57E69">
      <w:rPr>
        <w:rStyle w:val="SidhuvudUtskott"/>
      </w:rPr>
      <w:t>2007/08:RS1</w:t>
    </w:r>
    <w:r w:rsidRPr="00A57E69">
      <w:t xml:space="preserve">     </w:t>
    </w:r>
    <w:r w:rsidRPr="00A57E69">
      <w:rPr>
        <w:rStyle w:val="SidhuvudBilaga"/>
      </w:rPr>
      <w:t xml:space="preserve"> </w:t>
    </w:r>
    <w:r w:rsidR="00F73519" w:rsidRPr="00A57E69">
      <w:rPr>
        <w:rStyle w:val="SidhuvudRubrikReferens"/>
      </w:rPr>
      <w:t>Riksdagsstyrelsens lagförslag</w:t>
    </w:r>
  </w:p>
  <w:p w:rsidR="003241D9" w:rsidRPr="00A57E69" w:rsidRDefault="003241D9">
    <w:pPr>
      <w:pStyle w:val="SidhuvudKantJmn"/>
      <w:framePr w:w="8732" w:h="567" w:hRule="exact" w:vSpace="0" w:wrap="around" w:vAnchor="page" w:y="341" w:anchorLock="0"/>
    </w:pPr>
  </w:p>
  <w:p w:rsidR="003241D9" w:rsidRPr="00A57E69" w:rsidRDefault="003241D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Udda"/>
      <w:framePr w:w="8732" w:h="567" w:hRule="exact" w:vSpace="0" w:wrap="around" w:vAnchor="page" w:y="341" w:anchorLock="0"/>
    </w:pP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Riksdagsstyrelsens lagförslag</w:t>
    </w:r>
    <w:r w:rsidRPr="00A57E69">
      <w:rPr>
        <w:rStyle w:val="SidhuvudRubrikReferens"/>
      </w:rPr>
      <w:fldChar w:fldCharType="end"/>
    </w:r>
    <w:r w:rsidRPr="00A57E69">
      <w:rPr>
        <w:rStyle w:val="SidhuvudBilaga"/>
      </w:rPr>
      <w:t xml:space="preserve"> </w:t>
    </w:r>
    <w:r w:rsidRPr="00A57E69">
      <w:t xml:space="preserve">     </w:t>
    </w: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w:instrText>
    </w:r>
    <w:r w:rsidRPr="00A57E69">
      <w:instrText xml:space="preserve"> </w:instrText>
    </w:r>
    <w:r w:rsidRPr="00A57E69">
      <w:rPr>
        <w:rStyle w:val="SidhuvudUtskott"/>
      </w:rPr>
      <w:instrText>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w:instrText>
    </w:r>
    <w:r w:rsidRPr="00A57E69">
      <w:rPr>
        <w:rStyle w:val="SidhuvudUtskott"/>
      </w:rPr>
      <w:instrText>n</w:instrText>
    </w:r>
    <w:r w:rsidRPr="00A57E69">
      <w:rPr>
        <w:rStyle w:val="SidhuvudUtskott"/>
      </w:rPr>
      <w:instrText>kandeNr</w:instrText>
    </w:r>
    <w:r w:rsidRPr="00A57E69">
      <w:rPr>
        <w:rStyle w:val="SidhuvudUtskott"/>
      </w:rPr>
      <w:fldChar w:fldCharType="separate"/>
    </w:r>
    <w:r w:rsidRPr="00A57E69">
      <w:rPr>
        <w:rStyle w:val="SidhuvudUtskott"/>
      </w:rPr>
      <w:t>1</w:t>
    </w:r>
    <w:r w:rsidRPr="00A57E69">
      <w:rPr>
        <w:rStyle w:val="SidhuvudUtskott"/>
      </w:rPr>
      <w:fldChar w:fldCharType="end"/>
    </w:r>
  </w:p>
  <w:p w:rsidR="003241D9" w:rsidRPr="00A57E69" w:rsidRDefault="003241D9">
    <w:pPr>
      <w:pStyle w:val="SidhuvudKantUdda"/>
      <w:framePr w:w="8732" w:h="567" w:hRule="exact" w:vSpace="0" w:wrap="around" w:vAnchor="page" w:y="341" w:anchorLock="0"/>
    </w:pP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w:instrText>
    </w:r>
    <w:r w:rsidRPr="00A57E69">
      <w:rPr>
        <w:rStyle w:val="SidhuvudUtskott"/>
      </w:rPr>
      <w:fldChar w:fldCharType="begin" w:fldLock="1"/>
    </w:r>
    <w:r w:rsidRPr="00A57E69">
      <w:rPr>
        <w:rStyle w:val="SidhuvudUtskott"/>
      </w:rPr>
      <w:instrText xml:space="preserve"> PRINTDATE \@ "yyyy-MM-dd HH.mm    "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w:instrText>
    </w:r>
    <w:r w:rsidRPr="00A57E69">
      <w:rPr>
        <w:rStyle w:val="SidhuvudUtskott"/>
      </w:rPr>
      <w:instrText>O</w:instrText>
    </w:r>
    <w:r w:rsidRPr="00A57E69">
      <w:rPr>
        <w:rStyle w:val="SidhuvudUtskott"/>
      </w:rPr>
      <w:instrText>PERTY Status</w:instrText>
    </w:r>
    <w:r w:rsidRPr="00A57E69">
      <w:rPr>
        <w:rStyle w:val="SidhuvudUtskott"/>
      </w:rPr>
      <w:fldChar w:fldCharType="end"/>
    </w:r>
  </w:p>
  <w:p w:rsidR="003241D9" w:rsidRPr="00A57E69" w:rsidRDefault="003241D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19" w:rsidRPr="00A57E69" w:rsidRDefault="00F73519">
    <w:pPr>
      <w:pStyle w:val="SidhuvudKantUdda"/>
      <w:framePr w:w="8732" w:h="567" w:hRule="exact" w:vSpace="0" w:wrap="around" w:vAnchor="page" w:y="341" w:anchorLock="0"/>
    </w:pPr>
    <w:r w:rsidRPr="00A57E69">
      <w:t xml:space="preserve">  </w:t>
    </w:r>
    <w:r w:rsidRPr="00A57E69">
      <w:rPr>
        <w:rStyle w:val="SidhuvudUtskott"/>
      </w:rPr>
      <w:t>2007/08:RS1</w:t>
    </w:r>
  </w:p>
  <w:p w:rsidR="003241D9" w:rsidRPr="00A57E69" w:rsidRDefault="003241D9">
    <w:pPr>
      <w:pStyle w:val="SidhuvudKantUdda"/>
      <w:framePr w:w="8732" w:h="567" w:hRule="exact" w:vSpace="0" w:wrap="around" w:vAnchor="page" w:y="341" w:anchorLock="0"/>
    </w:pPr>
  </w:p>
  <w:p w:rsidR="003241D9" w:rsidRPr="00A57E69" w:rsidRDefault="003241D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Jmn"/>
      <w:framePr w:w="8732" w:h="567" w:hRule="exact" w:vSpace="0" w:wrap="around" w:vAnchor="page" w:y="341" w:anchorLock="0"/>
    </w:pPr>
    <w:r w:rsidRPr="00A57E69">
      <w:rPr>
        <w:rStyle w:val="SidhuvudUtskott"/>
      </w:rPr>
      <w:t>2007/08:RS1</w:t>
    </w:r>
    <w:r w:rsidRPr="00A57E69">
      <w:t xml:space="preserve">     </w:t>
    </w:r>
    <w:r w:rsidRPr="00A57E69">
      <w:rPr>
        <w:rStyle w:val="SidhuvudBilaga"/>
      </w:rPr>
      <w:t xml:space="preserve"> </w:t>
    </w:r>
    <w:r w:rsidR="00F73519" w:rsidRPr="00A57E69">
      <w:rPr>
        <w:rStyle w:val="SidhuvudRubrikReferens"/>
      </w:rPr>
      <w:t>Riksdagsstyrelsens överväganden och förslag</w:t>
    </w:r>
  </w:p>
  <w:p w:rsidR="003241D9" w:rsidRPr="00A57E69" w:rsidRDefault="003241D9">
    <w:pPr>
      <w:pStyle w:val="SidhuvudKantJmn"/>
      <w:framePr w:w="8732" w:h="567" w:hRule="exact" w:vSpace="0" w:wrap="around" w:vAnchor="page" w:y="341" w:anchorLock="0"/>
    </w:pPr>
  </w:p>
  <w:p w:rsidR="003241D9" w:rsidRPr="00A57E69" w:rsidRDefault="003241D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F73519">
    <w:pPr>
      <w:pStyle w:val="SidhuvudKantUdda"/>
      <w:framePr w:w="8732" w:h="567" w:hRule="exact" w:vSpace="0" w:wrap="around" w:vAnchor="page" w:y="341" w:anchorLock="0"/>
    </w:pPr>
    <w:r w:rsidRPr="00A57E69">
      <w:rPr>
        <w:rStyle w:val="SidhuvudRubrikReferens"/>
      </w:rPr>
      <w:t>Riksdagsstyrelsens överväganden och förslag</w:t>
    </w:r>
    <w:r w:rsidR="003241D9" w:rsidRPr="00A57E69">
      <w:rPr>
        <w:rStyle w:val="SidhuvudBilaga"/>
      </w:rPr>
      <w:t xml:space="preserve"> </w:t>
    </w:r>
    <w:r w:rsidR="003241D9" w:rsidRPr="00A57E69">
      <w:t xml:space="preserve">     </w:t>
    </w:r>
    <w:r w:rsidR="003241D9" w:rsidRPr="00A57E69">
      <w:rPr>
        <w:rStyle w:val="SidhuvudUtskott"/>
      </w:rPr>
      <w:t>2007/08:RS1</w:t>
    </w:r>
  </w:p>
  <w:p w:rsidR="003241D9" w:rsidRPr="00A57E69" w:rsidRDefault="003241D9">
    <w:pPr>
      <w:pStyle w:val="SidhuvudKantUdda"/>
      <w:framePr w:w="8732" w:h="567" w:hRule="exact" w:vSpace="0" w:wrap="around" w:vAnchor="page" w:y="341" w:anchorLock="0"/>
    </w:pPr>
  </w:p>
  <w:p w:rsidR="003241D9" w:rsidRPr="00A57E69" w:rsidRDefault="003241D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19" w:rsidRPr="00A57E69" w:rsidRDefault="00F73519">
    <w:pPr>
      <w:pStyle w:val="SidhuvudKantUdda"/>
      <w:framePr w:w="8732" w:h="567" w:hRule="exact" w:vSpace="0" w:wrap="around" w:vAnchor="page" w:y="341" w:anchorLock="0"/>
    </w:pPr>
    <w:r w:rsidRPr="00A57E69">
      <w:t xml:space="preserve">  </w:t>
    </w:r>
    <w:r w:rsidRPr="00A57E69">
      <w:rPr>
        <w:rStyle w:val="SidhuvudUtskott"/>
      </w:rPr>
      <w:t>2007/08:RS1</w:t>
    </w:r>
  </w:p>
  <w:p w:rsidR="003241D9" w:rsidRPr="00A57E69" w:rsidRDefault="003241D9">
    <w:pPr>
      <w:pStyle w:val="SidhuvudKantUdda"/>
      <w:framePr w:w="8732" w:h="567" w:hRule="exact" w:vSpace="0" w:wrap="around" w:vAnchor="page" w:y="341" w:anchorLock="0"/>
    </w:pPr>
  </w:p>
  <w:p w:rsidR="003241D9" w:rsidRPr="00A57E69" w:rsidRDefault="003241D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Jmn"/>
      <w:framePr w:w="8732" w:h="567" w:hRule="exact" w:vSpace="0" w:wrap="around" w:vAnchor="page" w:y="341" w:anchorLock="0"/>
    </w:pPr>
    <w:r w:rsidRPr="00A57E69">
      <w:rPr>
        <w:rStyle w:val="SidhuvudUtskott"/>
      </w:rPr>
      <w:t>2007/08:RS1</w:t>
    </w:r>
    <w:r w:rsidRPr="00A57E69">
      <w:t xml:space="preserve">     </w:t>
    </w:r>
    <w:r w:rsidRPr="00A57E69">
      <w:rPr>
        <w:rStyle w:val="SidhuvudBilaga"/>
      </w:rPr>
      <w:t xml:space="preserve"> Bilaga   </w:t>
    </w:r>
    <w:r w:rsidR="00F73519" w:rsidRPr="00A57E69">
      <w:rPr>
        <w:rStyle w:val="SidhuvudRubrikReferens"/>
      </w:rPr>
      <w:t>Riksdagens utredningstjänsts promemoria</w:t>
    </w:r>
  </w:p>
  <w:p w:rsidR="003241D9" w:rsidRPr="00A57E69" w:rsidRDefault="003241D9">
    <w:pPr>
      <w:pStyle w:val="SidhuvudKantJmn"/>
      <w:framePr w:w="8732" w:h="567" w:hRule="exact" w:vSpace="0" w:wrap="around" w:vAnchor="page" w:y="341" w:anchorLock="0"/>
    </w:pPr>
  </w:p>
  <w:p w:rsidR="003241D9" w:rsidRPr="00A57E69" w:rsidRDefault="003241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Udda"/>
      <w:framePr w:w="8732" w:h="567" w:hRule="exact" w:vSpace="0" w:wrap="around" w:vAnchor="page" w:y="341" w:anchorLock="0"/>
    </w:pP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Sammanfattning</w:t>
    </w:r>
    <w:r w:rsidRPr="00A57E69">
      <w:rPr>
        <w:rStyle w:val="SidhuvudRubrikReferens"/>
      </w:rPr>
      <w:fldChar w:fldCharType="end"/>
    </w:r>
    <w:r w:rsidRPr="00A57E69">
      <w:rPr>
        <w:rStyle w:val="SidhuvudBilaga"/>
      </w:rPr>
      <w:t xml:space="preserve"> </w:t>
    </w:r>
    <w:r w:rsidRPr="00A57E69">
      <w:t xml:space="preserve">     </w:t>
    </w: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w:instrText>
    </w:r>
    <w:r w:rsidRPr="00A57E69">
      <w:instrText xml:space="preserve"> </w:instrText>
    </w:r>
    <w:r w:rsidRPr="00A57E69">
      <w:rPr>
        <w:rStyle w:val="SidhuvudUtskott"/>
      </w:rPr>
      <w:instrText>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w:instrText>
    </w:r>
    <w:r w:rsidRPr="00A57E69">
      <w:rPr>
        <w:rStyle w:val="SidhuvudUtskott"/>
      </w:rPr>
      <w:instrText>n</w:instrText>
    </w:r>
    <w:r w:rsidRPr="00A57E69">
      <w:rPr>
        <w:rStyle w:val="SidhuvudUtskott"/>
      </w:rPr>
      <w:instrText>kandeNr</w:instrText>
    </w:r>
    <w:r w:rsidRPr="00A57E69">
      <w:rPr>
        <w:rStyle w:val="SidhuvudUtskott"/>
      </w:rPr>
      <w:fldChar w:fldCharType="separate"/>
    </w:r>
    <w:r w:rsidRPr="00A57E69">
      <w:rPr>
        <w:rStyle w:val="SidhuvudUtskott"/>
      </w:rPr>
      <w:t>1</w:t>
    </w:r>
    <w:r w:rsidRPr="00A57E69">
      <w:rPr>
        <w:rStyle w:val="SidhuvudUtskott"/>
      </w:rPr>
      <w:fldChar w:fldCharType="end"/>
    </w:r>
  </w:p>
  <w:p w:rsidR="003241D9" w:rsidRPr="00A57E69" w:rsidRDefault="003241D9">
    <w:pPr>
      <w:pStyle w:val="SidhuvudKantUdda"/>
      <w:framePr w:w="8732" w:h="567" w:hRule="exact" w:vSpace="0" w:wrap="around" w:vAnchor="page" w:y="341" w:anchorLock="0"/>
    </w:pP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w:instrText>
    </w:r>
    <w:r w:rsidRPr="00A57E69">
      <w:rPr>
        <w:rStyle w:val="SidhuvudUtskott"/>
      </w:rPr>
      <w:fldChar w:fldCharType="begin" w:fldLock="1"/>
    </w:r>
    <w:r w:rsidRPr="00A57E69">
      <w:rPr>
        <w:rStyle w:val="SidhuvudUtskott"/>
      </w:rPr>
      <w:instrText xml:space="preserve"> PRINTDATE \@ "yyyy-MM-dd HH.mm    "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w:instrText>
    </w:r>
    <w:r w:rsidRPr="00A57E69">
      <w:rPr>
        <w:rStyle w:val="SidhuvudUtskott"/>
      </w:rPr>
      <w:instrText>O</w:instrText>
    </w:r>
    <w:r w:rsidRPr="00A57E69">
      <w:rPr>
        <w:rStyle w:val="SidhuvudUtskott"/>
      </w:rPr>
      <w:instrText>PERTY Status</w:instrText>
    </w:r>
    <w:r w:rsidRPr="00A57E69">
      <w:rPr>
        <w:rStyle w:val="SidhuvudUtskott"/>
      </w:rPr>
      <w:fldChar w:fldCharType="end"/>
    </w:r>
  </w:p>
  <w:p w:rsidR="003241D9" w:rsidRPr="00A57E69" w:rsidRDefault="003241D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F73519">
    <w:pPr>
      <w:pStyle w:val="SidhuvudKantUdda"/>
      <w:framePr w:w="8732" w:h="567" w:hRule="exact" w:vSpace="0" w:wrap="around" w:vAnchor="page" w:y="341" w:anchorLock="0"/>
    </w:pPr>
    <w:r w:rsidRPr="00A57E69">
      <w:rPr>
        <w:rStyle w:val="SidhuvudRubrikReferens"/>
      </w:rPr>
      <w:t>Riksdagens utredningstjänsts promemoria</w:t>
    </w:r>
    <w:r w:rsidR="003241D9" w:rsidRPr="00A57E69">
      <w:rPr>
        <w:rStyle w:val="SidhuvudBilaga"/>
      </w:rPr>
      <w:t xml:space="preserve">   Bilaga </w:t>
    </w:r>
    <w:r w:rsidR="003241D9" w:rsidRPr="00A57E69">
      <w:t xml:space="preserve">     </w:t>
    </w:r>
    <w:r w:rsidR="003241D9" w:rsidRPr="00A57E69">
      <w:rPr>
        <w:rStyle w:val="SidhuvudUtskott"/>
      </w:rPr>
      <w:t>2007/08:RS1</w:t>
    </w:r>
  </w:p>
  <w:p w:rsidR="003241D9" w:rsidRPr="00A57E69" w:rsidRDefault="003241D9">
    <w:pPr>
      <w:pStyle w:val="SidhuvudKantUdda"/>
      <w:framePr w:w="8732" w:h="567" w:hRule="exact" w:vSpace="0" w:wrap="around" w:vAnchor="page" w:y="341" w:anchorLock="0"/>
    </w:pPr>
  </w:p>
  <w:p w:rsidR="003241D9" w:rsidRPr="00A57E69" w:rsidRDefault="003241D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19" w:rsidRPr="00A57E69" w:rsidRDefault="00F73519">
    <w:pPr>
      <w:pStyle w:val="SidhuvudKantJmn"/>
      <w:framePr w:w="8732" w:h="567" w:hRule="exact" w:vSpace="0" w:wrap="around" w:vAnchor="page" w:y="341" w:anchorLock="0"/>
    </w:pPr>
    <w:r w:rsidRPr="00A57E69">
      <w:rPr>
        <w:rStyle w:val="SidhuvudUtskott"/>
      </w:rPr>
      <w:t>2007/08:RS1</w:t>
    </w:r>
    <w:r w:rsidRPr="00A57E69">
      <w:t xml:space="preserve">    </w:t>
    </w:r>
  </w:p>
  <w:p w:rsidR="00F73519" w:rsidRPr="00A57E69" w:rsidRDefault="00F73519">
    <w:pPr>
      <w:pStyle w:val="SidhuvudKantJmn"/>
      <w:framePr w:w="8732" w:h="567" w:hRule="exact" w:vSpace="0" w:wrap="around" w:vAnchor="page" w:y="341" w:anchorLock="0"/>
    </w:pPr>
  </w:p>
  <w:p w:rsidR="003241D9" w:rsidRPr="00A57E69" w:rsidRDefault="00F73519">
    <w:pPr>
      <w:pStyle w:val="SidhuvudKantUdda"/>
      <w:framePr w:w="8732" w:h="567" w:hRule="exact" w:vSpace="0" w:wrap="around" w:vAnchor="page" w:y="341" w:anchorLock="0"/>
    </w:pPr>
    <w:r w:rsidRPr="00A57E69">
      <w:rPr>
        <w:rStyle w:val="SidhuvudRubrikReferens"/>
        <w:smallCaps w:val="0"/>
      </w:rPr>
      <w:t xml:space="preserve"> </w:t>
    </w:r>
  </w:p>
  <w:p w:rsidR="003241D9" w:rsidRPr="00A57E69" w:rsidRDefault="003241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F73519">
    <w:pPr>
      <w:pStyle w:val="SidhuvudKantUdda"/>
      <w:framePr w:w="8732" w:h="567" w:hRule="exact" w:vSpace="0" w:wrap="around" w:vAnchor="page" w:y="341" w:anchorLock="0"/>
    </w:pPr>
    <w:r w:rsidRPr="00A57E69">
      <w:t xml:space="preserve"> </w:t>
    </w:r>
  </w:p>
  <w:p w:rsidR="003241D9" w:rsidRPr="00A57E69" w:rsidRDefault="003241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Jmn"/>
      <w:framePr w:w="8732" w:h="567" w:hRule="exact" w:vSpace="0" w:wrap="around" w:vAnchor="page" w:y="341" w:anchorLock="0"/>
    </w:pP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 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BetänkandeNr</w:instrText>
    </w:r>
    <w:r w:rsidRPr="00A57E69">
      <w:rPr>
        <w:rStyle w:val="SidhuvudUtskott"/>
      </w:rPr>
      <w:fldChar w:fldCharType="separate"/>
    </w:r>
    <w:r w:rsidRPr="00A57E69">
      <w:rPr>
        <w:rStyle w:val="SidhuvudUtskott"/>
      </w:rPr>
      <w:t>1</w:t>
    </w:r>
    <w:r w:rsidRPr="00A57E69">
      <w:rPr>
        <w:rStyle w:val="SidhuvudUtskott"/>
      </w:rPr>
      <w:fldChar w:fldCharType="end"/>
    </w:r>
    <w:r w:rsidRPr="00A57E69">
      <w:t xml:space="preserve">     </w:t>
    </w:r>
    <w:r w:rsidRPr="00A57E69">
      <w:rPr>
        <w:rStyle w:val="SidhuvudBilaga"/>
      </w:rPr>
      <w:t xml:space="preserve"> </w:t>
    </w: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Sammanfattning</w:t>
    </w:r>
    <w:r w:rsidRPr="00A57E69">
      <w:rPr>
        <w:rStyle w:val="SidhuvudRubrikReferens"/>
      </w:rPr>
      <w:fldChar w:fldCharType="end"/>
    </w:r>
  </w:p>
  <w:p w:rsidR="003241D9" w:rsidRPr="00A57E69" w:rsidRDefault="003241D9">
    <w:pPr>
      <w:pStyle w:val="SidhuvudKantJmn"/>
      <w:framePr w:w="8732" w:h="567" w:hRule="exact" w:vSpace="0" w:wrap="around" w:vAnchor="page" w:y="341" w:anchorLock="0"/>
    </w:pPr>
    <w:r w:rsidRPr="00A57E69">
      <w:rPr>
        <w:rStyle w:val="SidhuvudUtskott"/>
      </w:rPr>
      <w:fldChar w:fldCharType="begin" w:fldLock="1"/>
    </w:r>
    <w:r w:rsidRPr="00A57E69">
      <w:rPr>
        <w:rStyle w:val="SidhuvudUtskott"/>
      </w:rPr>
      <w:instrText xml:space="preserve"> DOCPROPERTY Status</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    </w:instrText>
    </w:r>
    <w:r w:rsidRPr="00A57E69">
      <w:rPr>
        <w:rStyle w:val="SidhuvudUtskott"/>
      </w:rPr>
      <w:fldChar w:fldCharType="begin" w:fldLock="1"/>
    </w:r>
    <w:r w:rsidRPr="00A57E69">
      <w:rPr>
        <w:rStyle w:val="SidhuvudUtskott"/>
      </w:rPr>
      <w:instrText xml:space="preserve"> PRINTDATE \@ "yyyy-MM-dd HH.mm"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p>
  <w:p w:rsidR="003241D9" w:rsidRPr="00A57E69" w:rsidRDefault="003241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pPr>
      <w:pStyle w:val="SidhuvudKantUdda"/>
      <w:framePr w:w="8732" w:h="567" w:hRule="exact" w:vSpace="0" w:wrap="around" w:vAnchor="page" w:y="341" w:anchorLock="0"/>
    </w:pP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Sammanfattning</w:t>
    </w:r>
    <w:r w:rsidRPr="00A57E69">
      <w:rPr>
        <w:rStyle w:val="SidhuvudRubrikReferens"/>
      </w:rPr>
      <w:fldChar w:fldCharType="end"/>
    </w:r>
    <w:r w:rsidRPr="00A57E69">
      <w:rPr>
        <w:rStyle w:val="SidhuvudBilaga"/>
      </w:rPr>
      <w:t xml:space="preserve"> </w:t>
    </w:r>
    <w:r w:rsidRPr="00A57E69">
      <w:t xml:space="preserve">     </w:t>
    </w: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w:instrText>
    </w:r>
    <w:r w:rsidRPr="00A57E69">
      <w:instrText xml:space="preserve"> </w:instrText>
    </w:r>
    <w:r w:rsidRPr="00A57E69">
      <w:rPr>
        <w:rStyle w:val="SidhuvudUtskott"/>
      </w:rPr>
      <w:instrText>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w:instrText>
    </w:r>
    <w:r w:rsidRPr="00A57E69">
      <w:rPr>
        <w:rStyle w:val="SidhuvudUtskott"/>
      </w:rPr>
      <w:instrText>n</w:instrText>
    </w:r>
    <w:r w:rsidRPr="00A57E69">
      <w:rPr>
        <w:rStyle w:val="SidhuvudUtskott"/>
      </w:rPr>
      <w:instrText>kandeNr</w:instrText>
    </w:r>
    <w:r w:rsidRPr="00A57E69">
      <w:rPr>
        <w:rStyle w:val="SidhuvudUtskott"/>
      </w:rPr>
      <w:fldChar w:fldCharType="separate"/>
    </w:r>
    <w:r w:rsidRPr="00A57E69">
      <w:rPr>
        <w:rStyle w:val="SidhuvudUtskott"/>
      </w:rPr>
      <w:t>1</w:t>
    </w:r>
    <w:r w:rsidRPr="00A57E69">
      <w:rPr>
        <w:rStyle w:val="SidhuvudUtskott"/>
      </w:rPr>
      <w:fldChar w:fldCharType="end"/>
    </w:r>
  </w:p>
  <w:p w:rsidR="003241D9" w:rsidRPr="00A57E69" w:rsidRDefault="003241D9">
    <w:pPr>
      <w:pStyle w:val="SidhuvudKantUdda"/>
      <w:framePr w:w="8732" w:h="567" w:hRule="exact" w:vSpace="0" w:wrap="around" w:vAnchor="page" w:y="341" w:anchorLock="0"/>
    </w:pP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w:instrText>
    </w:r>
    <w:r w:rsidRPr="00A57E69">
      <w:rPr>
        <w:rStyle w:val="SidhuvudUtskott"/>
      </w:rPr>
      <w:fldChar w:fldCharType="begin" w:fldLock="1"/>
    </w:r>
    <w:r w:rsidRPr="00A57E69">
      <w:rPr>
        <w:rStyle w:val="SidhuvudUtskott"/>
      </w:rPr>
      <w:instrText xml:space="preserve"> PRINTDATE \@ "yyyy-MM-dd HH.mm    "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w:instrText>
    </w:r>
    <w:r w:rsidRPr="00A57E69">
      <w:rPr>
        <w:rStyle w:val="SidhuvudUtskott"/>
      </w:rPr>
      <w:instrText>O</w:instrText>
    </w:r>
    <w:r w:rsidRPr="00A57E69">
      <w:rPr>
        <w:rStyle w:val="SidhuvudUtskott"/>
      </w:rPr>
      <w:instrText>PERTY Status</w:instrText>
    </w:r>
    <w:r w:rsidRPr="00A57E69">
      <w:rPr>
        <w:rStyle w:val="SidhuvudUtskott"/>
      </w:rPr>
      <w:fldChar w:fldCharType="end"/>
    </w:r>
  </w:p>
  <w:p w:rsidR="003241D9" w:rsidRPr="00A57E69" w:rsidRDefault="003241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19" w:rsidRPr="00A57E69" w:rsidRDefault="00F73519">
    <w:pPr>
      <w:pStyle w:val="SidhuvudKantJmn"/>
      <w:framePr w:w="8732" w:h="567" w:hRule="exact" w:vSpace="0" w:wrap="around" w:vAnchor="page" w:y="341" w:anchorLock="0"/>
    </w:pPr>
    <w:r w:rsidRPr="00A57E69">
      <w:rPr>
        <w:rStyle w:val="SidhuvudUtskott"/>
      </w:rPr>
      <w:t>2007/08:RS1</w:t>
    </w:r>
    <w:r w:rsidRPr="00A57E69">
      <w:t xml:space="preserve">    </w:t>
    </w:r>
  </w:p>
  <w:p w:rsidR="00F73519" w:rsidRPr="00A57E69" w:rsidRDefault="00F73519">
    <w:pPr>
      <w:pStyle w:val="SidhuvudKantJmn"/>
      <w:framePr w:w="8732" w:h="567" w:hRule="exact" w:vSpace="0" w:wrap="around" w:vAnchor="page" w:y="341" w:anchorLock="0"/>
    </w:pPr>
  </w:p>
  <w:p w:rsidR="003241D9" w:rsidRPr="00A57E69" w:rsidRDefault="00F73519">
    <w:pPr>
      <w:pStyle w:val="SidhuvudKantUdda"/>
      <w:framePr w:w="8732" w:h="567" w:hRule="exact" w:vSpace="0" w:wrap="around" w:vAnchor="page" w:y="341" w:anchorLock="0"/>
    </w:pPr>
    <w:r w:rsidRPr="00A57E69">
      <w:rPr>
        <w:rStyle w:val="SidhuvudRubrikReferens"/>
        <w:smallCaps w:val="0"/>
      </w:rPr>
      <w:t xml:space="preserve"> </w:t>
    </w:r>
  </w:p>
  <w:p w:rsidR="003241D9" w:rsidRPr="00A57E69" w:rsidRDefault="003241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rsidP="00501854">
    <w:pPr>
      <w:pStyle w:val="SidhuvudKantJmn"/>
      <w:framePr w:w="8731" w:h="567" w:hRule="exact" w:vSpace="0" w:wrap="around" w:vAnchor="page" w:y="341" w:anchorLock="0"/>
    </w:pP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 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BetänkandeNr</w:instrText>
    </w:r>
    <w:r w:rsidRPr="00A57E69">
      <w:rPr>
        <w:rStyle w:val="SidhuvudUtskott"/>
      </w:rPr>
      <w:fldChar w:fldCharType="separate"/>
    </w:r>
    <w:r w:rsidRPr="00A57E69">
      <w:rPr>
        <w:rStyle w:val="SidhuvudUtskott"/>
      </w:rPr>
      <w:t>1</w:t>
    </w:r>
    <w:r w:rsidRPr="00A57E69">
      <w:rPr>
        <w:rStyle w:val="SidhuvudUtskott"/>
      </w:rPr>
      <w:fldChar w:fldCharType="end"/>
    </w:r>
    <w:r w:rsidRPr="00A57E69">
      <w:t xml:space="preserve">     </w:t>
    </w:r>
    <w:r w:rsidRPr="00A57E69">
      <w:rPr>
        <w:rStyle w:val="SidhuvudBilaga"/>
      </w:rPr>
      <w:t xml:space="preserve"> </w:t>
    </w: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Innehållsförteckning</w:t>
    </w:r>
    <w:r w:rsidRPr="00A57E69">
      <w:rPr>
        <w:rStyle w:val="SidhuvudRubrikReferens"/>
      </w:rPr>
      <w:fldChar w:fldCharType="end"/>
    </w:r>
  </w:p>
  <w:p w:rsidR="003241D9" w:rsidRPr="00A57E69" w:rsidRDefault="003241D9" w:rsidP="00501854">
    <w:pPr>
      <w:pStyle w:val="SidhuvudKantJmn"/>
      <w:framePr w:w="8731" w:h="567" w:hRule="exact" w:vSpace="0" w:wrap="around" w:vAnchor="page" w:y="341" w:anchorLock="0"/>
    </w:pPr>
    <w:r w:rsidRPr="00A57E69">
      <w:rPr>
        <w:rStyle w:val="SidhuvudUtskott"/>
      </w:rPr>
      <w:fldChar w:fldCharType="begin" w:fldLock="1"/>
    </w:r>
    <w:r w:rsidRPr="00A57E69">
      <w:rPr>
        <w:rStyle w:val="SidhuvudUtskott"/>
      </w:rPr>
      <w:instrText xml:space="preserve"> DOCPROPERTY Status</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    </w:instrText>
    </w:r>
    <w:r w:rsidRPr="00A57E69">
      <w:rPr>
        <w:rStyle w:val="SidhuvudUtskott"/>
      </w:rPr>
      <w:fldChar w:fldCharType="begin" w:fldLock="1"/>
    </w:r>
    <w:r w:rsidRPr="00A57E69">
      <w:rPr>
        <w:rStyle w:val="SidhuvudUtskott"/>
      </w:rPr>
      <w:instrText xml:space="preserve"> PRINTDATE \@ "yyyy-MM-dd HH.mm"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p>
  <w:p w:rsidR="003241D9" w:rsidRPr="00A57E69" w:rsidRDefault="003241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D9" w:rsidRPr="00A57E69" w:rsidRDefault="003241D9" w:rsidP="00501854">
    <w:pPr>
      <w:pStyle w:val="SidhuvudKantUdda"/>
      <w:framePr w:w="8731" w:h="567" w:hRule="exact" w:vSpace="0" w:wrap="around" w:vAnchor="page" w:y="341" w:anchorLock="0"/>
    </w:pPr>
    <w:r w:rsidRPr="00A57E69">
      <w:rPr>
        <w:rStyle w:val="SidhuvudRubrikReferens"/>
      </w:rPr>
      <w:fldChar w:fldCharType="begin" w:fldLock="1"/>
    </w:r>
    <w:r w:rsidRPr="00A57E69">
      <w:rPr>
        <w:rStyle w:val="SidhuvudRubrikReferens"/>
      </w:rPr>
      <w:instrText xml:space="preserve"> StyleREF "Rubrik 1" </w:instrText>
    </w:r>
    <w:r w:rsidRPr="00A57E69">
      <w:rPr>
        <w:rStyle w:val="SidhuvudRubrikReferens"/>
      </w:rPr>
      <w:fldChar w:fldCharType="separate"/>
    </w:r>
    <w:r w:rsidRPr="00A57E69">
      <w:rPr>
        <w:rStyle w:val="SidhuvudRubrikReferens"/>
      </w:rPr>
      <w:t>Innehållsförteckning</w:t>
    </w:r>
    <w:r w:rsidRPr="00A57E69">
      <w:rPr>
        <w:rStyle w:val="SidhuvudRubrikReferens"/>
      </w:rPr>
      <w:fldChar w:fldCharType="end"/>
    </w:r>
    <w:r w:rsidRPr="00A57E69">
      <w:rPr>
        <w:rStyle w:val="SidhuvudBilaga"/>
      </w:rPr>
      <w:t xml:space="preserve"> </w:t>
    </w:r>
    <w:r w:rsidRPr="00A57E69">
      <w:t xml:space="preserve">     </w:t>
    </w:r>
    <w:r w:rsidRPr="00A57E69">
      <w:rPr>
        <w:rStyle w:val="SidhuvudUtskott"/>
      </w:rPr>
      <w:fldChar w:fldCharType="begin" w:fldLock="1"/>
    </w:r>
    <w:r w:rsidRPr="00A57E69">
      <w:rPr>
        <w:rStyle w:val="SidhuvudUtskott"/>
      </w:rPr>
      <w:instrText xml:space="preserve"> DOCPROPERTY BetänkandeÅr</w:instrText>
    </w:r>
    <w:r w:rsidRPr="00A57E69">
      <w:rPr>
        <w:rStyle w:val="SidhuvudUtskott"/>
      </w:rPr>
      <w:fldChar w:fldCharType="separate"/>
    </w:r>
    <w:r w:rsidRPr="00A57E69">
      <w:rPr>
        <w:rStyle w:val="SidhuvudUtskott"/>
      </w:rPr>
      <w:t>2007/08</w:t>
    </w:r>
    <w:r w:rsidRPr="00A57E69">
      <w:rPr>
        <w:rStyle w:val="SidhuvudUtskott"/>
      </w:rPr>
      <w:fldChar w:fldCharType="end"/>
    </w:r>
    <w:r w:rsidRPr="00A57E69">
      <w:rPr>
        <w:rStyle w:val="SidhuvudUtskott"/>
      </w:rPr>
      <w:t>:</w:t>
    </w:r>
    <w:r w:rsidRPr="00A57E69">
      <w:rPr>
        <w:rStyle w:val="SidhuvudUtskott"/>
      </w:rPr>
      <w:fldChar w:fldCharType="begin" w:fldLock="1"/>
    </w:r>
    <w:r w:rsidRPr="00A57E69">
      <w:rPr>
        <w:rStyle w:val="SidhuvudUtskott"/>
      </w:rPr>
      <w:instrText xml:space="preserve"> DOCPROPERTY</w:instrText>
    </w:r>
    <w:r w:rsidRPr="00A57E69">
      <w:instrText xml:space="preserve"> </w:instrText>
    </w:r>
    <w:r w:rsidRPr="00A57E69">
      <w:rPr>
        <w:rStyle w:val="SidhuvudUtskott"/>
      </w:rPr>
      <w:instrText>Utskott</w:instrText>
    </w:r>
    <w:r w:rsidRPr="00A57E69">
      <w:rPr>
        <w:rStyle w:val="SidhuvudUtskott"/>
      </w:rPr>
      <w:fldChar w:fldCharType="separate"/>
    </w:r>
    <w:r w:rsidRPr="00A57E69">
      <w:rPr>
        <w:rStyle w:val="SidhuvudUtskott"/>
      </w:rPr>
      <w:t>RS</w: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DOCPROPERTY Betä</w:instrText>
    </w:r>
    <w:r w:rsidRPr="00A57E69">
      <w:rPr>
        <w:rStyle w:val="SidhuvudUtskott"/>
      </w:rPr>
      <w:instrText>n</w:instrText>
    </w:r>
    <w:r w:rsidRPr="00A57E69">
      <w:rPr>
        <w:rStyle w:val="SidhuvudUtskott"/>
      </w:rPr>
      <w:instrText>kandeNr</w:instrText>
    </w:r>
    <w:r w:rsidRPr="00A57E69">
      <w:rPr>
        <w:rStyle w:val="SidhuvudUtskott"/>
      </w:rPr>
      <w:fldChar w:fldCharType="separate"/>
    </w:r>
    <w:r w:rsidRPr="00A57E69">
      <w:rPr>
        <w:rStyle w:val="SidhuvudUtskott"/>
      </w:rPr>
      <w:t>1</w:t>
    </w:r>
    <w:r w:rsidRPr="00A57E69">
      <w:rPr>
        <w:rStyle w:val="SidhuvudUtskott"/>
      </w:rPr>
      <w:fldChar w:fldCharType="end"/>
    </w:r>
  </w:p>
  <w:p w:rsidR="003241D9" w:rsidRPr="00A57E69" w:rsidRDefault="003241D9" w:rsidP="00501854">
    <w:pPr>
      <w:pStyle w:val="SidhuvudKantUdda"/>
      <w:framePr w:w="8731" w:h="567" w:hRule="exact" w:vSpace="0" w:wrap="around" w:vAnchor="page" w:y="341" w:anchorLock="0"/>
    </w:pPr>
    <w:r w:rsidRPr="00A57E69">
      <w:rPr>
        <w:rStyle w:val="SidhuvudUtskott"/>
      </w:rPr>
      <w:fldChar w:fldCharType="begin" w:fldLock="1"/>
    </w:r>
    <w:r w:rsidRPr="00A57E69">
      <w:rPr>
        <w:rStyle w:val="SidhuvudUtskott"/>
      </w:rPr>
      <w:instrText xml:space="preserve"> if </w:instrText>
    </w:r>
    <w:r w:rsidRPr="00A57E69">
      <w:rPr>
        <w:rStyle w:val="SidhuvudUtskott"/>
      </w:rPr>
      <w:fldChar w:fldCharType="begin" w:fldLock="1"/>
    </w:r>
    <w:r w:rsidRPr="00A57E69">
      <w:rPr>
        <w:rStyle w:val="SidhuvudUtskott"/>
      </w:rPr>
      <w:instrText xml:space="preserve"> DOCPROPERTY "UtkastDatum"</w:instrText>
    </w:r>
    <w:r w:rsidRPr="00A57E69">
      <w:rPr>
        <w:rStyle w:val="SidhuvudUtskott"/>
      </w:rPr>
      <w:fldChar w:fldCharType="separate"/>
    </w:r>
    <w:r w:rsidRPr="00A57E69">
      <w:rPr>
        <w:rStyle w:val="SidhuvudUtskott"/>
      </w:rPr>
      <w:instrText>Nej</w:instrText>
    </w:r>
    <w:r w:rsidRPr="00A57E69">
      <w:rPr>
        <w:rStyle w:val="SidhuvudUtskott"/>
      </w:rPr>
      <w:fldChar w:fldCharType="end"/>
    </w:r>
    <w:r w:rsidRPr="00A57E69">
      <w:rPr>
        <w:rStyle w:val="SidhuvudUtskott"/>
      </w:rPr>
      <w:instrText xml:space="preserve"> = "Ja" "</w:instrText>
    </w:r>
    <w:r w:rsidRPr="00A57E69">
      <w:rPr>
        <w:rStyle w:val="SidhuvudUtskott"/>
      </w:rPr>
      <w:fldChar w:fldCharType="begin" w:fldLock="1"/>
    </w:r>
    <w:r w:rsidRPr="00A57E69">
      <w:rPr>
        <w:rStyle w:val="SidhuvudUtskott"/>
      </w:rPr>
      <w:instrText xml:space="preserve"> PRINTDATE \@ "yyyy-MM-dd HH.mm    " </w:instrText>
    </w:r>
    <w:r w:rsidRPr="00A57E69">
      <w:rPr>
        <w:rStyle w:val="SidhuvudUtskott"/>
      </w:rPr>
      <w:fldChar w:fldCharType="separate"/>
    </w:r>
    <w:r w:rsidRPr="00A57E69">
      <w:rPr>
        <w:rStyle w:val="SidhuvudUtskott"/>
      </w:rPr>
      <w:instrText>2000-08-11 16.42</w:instrText>
    </w:r>
    <w:r w:rsidRPr="00A57E69">
      <w:rPr>
        <w:rStyle w:val="SidhuvudUtskott"/>
      </w:rPr>
      <w:fldChar w:fldCharType="end"/>
    </w:r>
    <w:r w:rsidRPr="00A57E69">
      <w:rPr>
        <w:rStyle w:val="SidhuvudUtskott"/>
      </w:rPr>
      <w:instrText xml:space="preserve">" </w:instrText>
    </w:r>
    <w:r w:rsidRPr="00A57E69">
      <w:rPr>
        <w:rStyle w:val="SidhuvudUtskott"/>
      </w:rPr>
      <w:fldChar w:fldCharType="end"/>
    </w:r>
    <w:r w:rsidRPr="00A57E69">
      <w:rPr>
        <w:rStyle w:val="SidhuvudUtskott"/>
      </w:rPr>
      <w:fldChar w:fldCharType="begin" w:fldLock="1"/>
    </w:r>
    <w:r w:rsidRPr="00A57E69">
      <w:rPr>
        <w:rStyle w:val="SidhuvudUtskott"/>
      </w:rPr>
      <w:instrText xml:space="preserve"> DOCPR</w:instrText>
    </w:r>
    <w:r w:rsidRPr="00A57E69">
      <w:rPr>
        <w:rStyle w:val="SidhuvudUtskott"/>
      </w:rPr>
      <w:instrText>O</w:instrText>
    </w:r>
    <w:r w:rsidRPr="00A57E69">
      <w:rPr>
        <w:rStyle w:val="SidhuvudUtskott"/>
      </w:rPr>
      <w:instrText>PERTY Status</w:instrText>
    </w:r>
    <w:r w:rsidRPr="00A57E69">
      <w:rPr>
        <w:rStyle w:val="SidhuvudUtskott"/>
      </w:rPr>
      <w:fldChar w:fldCharType="end"/>
    </w:r>
  </w:p>
  <w:p w:rsidR="003241D9" w:rsidRPr="00A57E69" w:rsidRDefault="003241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19" w:rsidRPr="00A57E69" w:rsidRDefault="00F73519" w:rsidP="00501854">
    <w:pPr>
      <w:pStyle w:val="SidhuvudKantUdda"/>
      <w:framePr w:w="8731" w:h="567" w:hRule="exact" w:vSpace="0" w:wrap="around" w:vAnchor="page" w:y="341" w:anchorLock="0"/>
    </w:pPr>
    <w:r w:rsidRPr="00A57E69">
      <w:t xml:space="preserve">  </w:t>
    </w:r>
    <w:r w:rsidRPr="00A57E69">
      <w:rPr>
        <w:rStyle w:val="SidhuvudUtskott"/>
      </w:rPr>
      <w:t>2007/08:RS1</w:t>
    </w:r>
  </w:p>
  <w:p w:rsidR="003241D9" w:rsidRPr="00A57E69" w:rsidRDefault="003241D9" w:rsidP="00501854">
    <w:pPr>
      <w:pStyle w:val="SidhuvudKantUdda"/>
      <w:framePr w:w="8731" w:h="567" w:hRule="exact" w:vSpace="0" w:wrap="around" w:vAnchor="page" w:y="341" w:anchorLock="0"/>
    </w:pPr>
  </w:p>
  <w:p w:rsidR="003241D9" w:rsidRPr="00A57E69" w:rsidRDefault="003241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35721497">
    <w:abstractNumId w:val="10"/>
  </w:num>
  <w:num w:numId="2" w16cid:durableId="1450515900">
    <w:abstractNumId w:val="8"/>
  </w:num>
  <w:num w:numId="3" w16cid:durableId="1501651541">
    <w:abstractNumId w:val="3"/>
  </w:num>
  <w:num w:numId="4" w16cid:durableId="684982745">
    <w:abstractNumId w:val="2"/>
  </w:num>
  <w:num w:numId="5" w16cid:durableId="552430619">
    <w:abstractNumId w:val="1"/>
  </w:num>
  <w:num w:numId="6" w16cid:durableId="287471866">
    <w:abstractNumId w:val="0"/>
  </w:num>
  <w:num w:numId="7" w16cid:durableId="1421289045">
    <w:abstractNumId w:val="9"/>
  </w:num>
  <w:num w:numId="8" w16cid:durableId="1000230353">
    <w:abstractNumId w:val="7"/>
  </w:num>
  <w:num w:numId="9" w16cid:durableId="532230836">
    <w:abstractNumId w:val="6"/>
  </w:num>
  <w:num w:numId="10" w16cid:durableId="1925524923">
    <w:abstractNumId w:val="5"/>
  </w:num>
  <w:num w:numId="11" w16cid:durableId="365523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708"/>
  </w:docVars>
  <w:rsids>
    <w:rsidRoot w:val="00C62D5E"/>
    <w:rsid w:val="000220CC"/>
    <w:rsid w:val="0002298B"/>
    <w:rsid w:val="00026581"/>
    <w:rsid w:val="0004355C"/>
    <w:rsid w:val="000443E3"/>
    <w:rsid w:val="00053DD4"/>
    <w:rsid w:val="000737D5"/>
    <w:rsid w:val="000B2E44"/>
    <w:rsid w:val="000E3384"/>
    <w:rsid w:val="000F42F8"/>
    <w:rsid w:val="000F6A22"/>
    <w:rsid w:val="00123EF1"/>
    <w:rsid w:val="00162267"/>
    <w:rsid w:val="001665F2"/>
    <w:rsid w:val="00170549"/>
    <w:rsid w:val="0019399E"/>
    <w:rsid w:val="001A05E6"/>
    <w:rsid w:val="001D42F8"/>
    <w:rsid w:val="001F0978"/>
    <w:rsid w:val="00200824"/>
    <w:rsid w:val="0020770C"/>
    <w:rsid w:val="002160A9"/>
    <w:rsid w:val="002251A8"/>
    <w:rsid w:val="00227786"/>
    <w:rsid w:val="0025566B"/>
    <w:rsid w:val="00262D01"/>
    <w:rsid w:val="00273CA8"/>
    <w:rsid w:val="00284558"/>
    <w:rsid w:val="002B1CE3"/>
    <w:rsid w:val="002B7C87"/>
    <w:rsid w:val="002F19B5"/>
    <w:rsid w:val="003138AB"/>
    <w:rsid w:val="00322737"/>
    <w:rsid w:val="003241D9"/>
    <w:rsid w:val="00371CA0"/>
    <w:rsid w:val="00384BC3"/>
    <w:rsid w:val="00393CB2"/>
    <w:rsid w:val="003B709E"/>
    <w:rsid w:val="003C1F13"/>
    <w:rsid w:val="003C7FBE"/>
    <w:rsid w:val="003D2979"/>
    <w:rsid w:val="003E2734"/>
    <w:rsid w:val="003E41B1"/>
    <w:rsid w:val="003F148C"/>
    <w:rsid w:val="004041A1"/>
    <w:rsid w:val="0041259E"/>
    <w:rsid w:val="004169C6"/>
    <w:rsid w:val="0043172E"/>
    <w:rsid w:val="0044601F"/>
    <w:rsid w:val="00447979"/>
    <w:rsid w:val="00484F62"/>
    <w:rsid w:val="004D1D51"/>
    <w:rsid w:val="00501854"/>
    <w:rsid w:val="0052645E"/>
    <w:rsid w:val="00555C0B"/>
    <w:rsid w:val="0055710C"/>
    <w:rsid w:val="00561C09"/>
    <w:rsid w:val="0057671C"/>
    <w:rsid w:val="00580E9B"/>
    <w:rsid w:val="005821BA"/>
    <w:rsid w:val="005C64AA"/>
    <w:rsid w:val="005D67F0"/>
    <w:rsid w:val="005F4BC7"/>
    <w:rsid w:val="005F7406"/>
    <w:rsid w:val="005F747B"/>
    <w:rsid w:val="00612436"/>
    <w:rsid w:val="00630B56"/>
    <w:rsid w:val="006417DF"/>
    <w:rsid w:val="006449B1"/>
    <w:rsid w:val="006747C2"/>
    <w:rsid w:val="006B14C1"/>
    <w:rsid w:val="006B44DC"/>
    <w:rsid w:val="006F7BB6"/>
    <w:rsid w:val="0072146C"/>
    <w:rsid w:val="00721ADA"/>
    <w:rsid w:val="0072317B"/>
    <w:rsid w:val="007437B1"/>
    <w:rsid w:val="00745FE2"/>
    <w:rsid w:val="007567FF"/>
    <w:rsid w:val="007615FF"/>
    <w:rsid w:val="00771930"/>
    <w:rsid w:val="00785FCA"/>
    <w:rsid w:val="00786D91"/>
    <w:rsid w:val="00795D32"/>
    <w:rsid w:val="007B3D96"/>
    <w:rsid w:val="007B3FF4"/>
    <w:rsid w:val="00804957"/>
    <w:rsid w:val="008132B4"/>
    <w:rsid w:val="00820653"/>
    <w:rsid w:val="008270E4"/>
    <w:rsid w:val="0088106E"/>
    <w:rsid w:val="00893B36"/>
    <w:rsid w:val="00894B91"/>
    <w:rsid w:val="008A6C84"/>
    <w:rsid w:val="008D44A4"/>
    <w:rsid w:val="008F3E08"/>
    <w:rsid w:val="00922B2A"/>
    <w:rsid w:val="0093491B"/>
    <w:rsid w:val="00935E40"/>
    <w:rsid w:val="00952D8D"/>
    <w:rsid w:val="0095604C"/>
    <w:rsid w:val="009819E0"/>
    <w:rsid w:val="009A3AA0"/>
    <w:rsid w:val="009B3CD4"/>
    <w:rsid w:val="009C61EA"/>
    <w:rsid w:val="009E5959"/>
    <w:rsid w:val="009F60F3"/>
    <w:rsid w:val="00A0529B"/>
    <w:rsid w:val="00A4417B"/>
    <w:rsid w:val="00A57E69"/>
    <w:rsid w:val="00A60DB5"/>
    <w:rsid w:val="00A664E8"/>
    <w:rsid w:val="00A77A95"/>
    <w:rsid w:val="00A836D6"/>
    <w:rsid w:val="00A96E30"/>
    <w:rsid w:val="00AA002E"/>
    <w:rsid w:val="00AA4849"/>
    <w:rsid w:val="00AB48A2"/>
    <w:rsid w:val="00B20BB7"/>
    <w:rsid w:val="00B30A2D"/>
    <w:rsid w:val="00B36369"/>
    <w:rsid w:val="00B70682"/>
    <w:rsid w:val="00BB1488"/>
    <w:rsid w:val="00BB20B4"/>
    <w:rsid w:val="00BB79CA"/>
    <w:rsid w:val="00BC08C9"/>
    <w:rsid w:val="00BE2E8F"/>
    <w:rsid w:val="00BE62DB"/>
    <w:rsid w:val="00BE786C"/>
    <w:rsid w:val="00BF2A80"/>
    <w:rsid w:val="00BF7636"/>
    <w:rsid w:val="00C1150E"/>
    <w:rsid w:val="00C20E0D"/>
    <w:rsid w:val="00C21C12"/>
    <w:rsid w:val="00C22C8D"/>
    <w:rsid w:val="00C329E5"/>
    <w:rsid w:val="00C62D5E"/>
    <w:rsid w:val="00CA4852"/>
    <w:rsid w:val="00CA7A4E"/>
    <w:rsid w:val="00CB29F4"/>
    <w:rsid w:val="00CB5590"/>
    <w:rsid w:val="00CC6514"/>
    <w:rsid w:val="00CC70BE"/>
    <w:rsid w:val="00CD66AF"/>
    <w:rsid w:val="00CD7B7F"/>
    <w:rsid w:val="00CF2F2A"/>
    <w:rsid w:val="00DA65DF"/>
    <w:rsid w:val="00DF0391"/>
    <w:rsid w:val="00E12417"/>
    <w:rsid w:val="00E17782"/>
    <w:rsid w:val="00E24965"/>
    <w:rsid w:val="00E342FE"/>
    <w:rsid w:val="00E4659F"/>
    <w:rsid w:val="00E607CF"/>
    <w:rsid w:val="00E9776E"/>
    <w:rsid w:val="00EA1BEB"/>
    <w:rsid w:val="00EB176A"/>
    <w:rsid w:val="00EC620B"/>
    <w:rsid w:val="00ED601C"/>
    <w:rsid w:val="00F12C8E"/>
    <w:rsid w:val="00F21ED7"/>
    <w:rsid w:val="00F33D5E"/>
    <w:rsid w:val="00F502EE"/>
    <w:rsid w:val="00F53A97"/>
    <w:rsid w:val="00F70B97"/>
    <w:rsid w:val="00F73519"/>
    <w:rsid w:val="00F818AB"/>
    <w:rsid w:val="00FB5145"/>
    <w:rsid w:val="00FB660E"/>
    <w:rsid w:val="00FC2F97"/>
    <w:rsid w:val="00FD0B04"/>
    <w:rsid w:val="00FE5F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EFFF5E4-410C-408D-A9A3-FE1322CC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AA002E"/>
    <w:rPr>
      <w:rFonts w:ascii="Tahoma" w:hAnsi="Tahoma" w:cs="Tahoma"/>
      <w:sz w:val="16"/>
      <w:szCs w:val="16"/>
    </w:rPr>
  </w:style>
  <w:style w:type="character" w:customStyle="1" w:styleId="Rubrik3Char">
    <w:name w:val="Rubrik 3 Char"/>
    <w:basedOn w:val="Standardstycketeckensnitt"/>
    <w:link w:val="Rubrik3"/>
    <w:rsid w:val="005C64AA"/>
    <w:rPr>
      <w:b/>
      <w:noProof/>
      <w:sz w:val="21"/>
      <w:lang w:val="sv-SE" w:eastAsia="sv-SE" w:bidi="ar-SA"/>
    </w:rPr>
  </w:style>
  <w:style w:type="character" w:styleId="Hyperlnk">
    <w:name w:val="Hyperlink"/>
    <w:basedOn w:val="Standardstycketeckensnitt"/>
    <w:rsid w:val="005C6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3001">
      <w:bodyDiv w:val="1"/>
      <w:marLeft w:val="0"/>
      <w:marRight w:val="0"/>
      <w:marTop w:val="0"/>
      <w:marBottom w:val="0"/>
      <w:divBdr>
        <w:top w:val="none" w:sz="0" w:space="0" w:color="auto"/>
        <w:left w:val="none" w:sz="0" w:space="0" w:color="auto"/>
        <w:bottom w:val="none" w:sz="0" w:space="0" w:color="auto"/>
        <w:right w:val="none" w:sz="0" w:space="0" w:color="auto"/>
      </w:divBdr>
      <w:divsChild>
        <w:div w:id="334694548">
          <w:marLeft w:val="-10"/>
          <w:marRight w:val="-10"/>
          <w:marTop w:val="0"/>
          <w:marBottom w:val="0"/>
          <w:divBdr>
            <w:top w:val="none" w:sz="0" w:space="0" w:color="auto"/>
            <w:left w:val="single" w:sz="4" w:space="0" w:color="DADADA"/>
            <w:bottom w:val="none" w:sz="0" w:space="0" w:color="auto"/>
            <w:right w:val="single" w:sz="4" w:space="0" w:color="DADADA"/>
          </w:divBdr>
          <w:divsChild>
            <w:div w:id="1231111423">
              <w:marLeft w:val="0"/>
              <w:marRight w:val="0"/>
              <w:marTop w:val="0"/>
              <w:marBottom w:val="0"/>
              <w:divBdr>
                <w:top w:val="none" w:sz="0" w:space="0" w:color="auto"/>
                <w:left w:val="single" w:sz="48" w:space="0" w:color="FFFFFF"/>
                <w:bottom w:val="none" w:sz="0" w:space="0" w:color="auto"/>
                <w:right w:val="none" w:sz="0" w:space="0" w:color="auto"/>
              </w:divBdr>
              <w:divsChild>
                <w:div w:id="275258742">
                  <w:marLeft w:val="-10"/>
                  <w:marRight w:val="-10"/>
                  <w:marTop w:val="0"/>
                  <w:marBottom w:val="0"/>
                  <w:divBdr>
                    <w:top w:val="none" w:sz="0" w:space="0" w:color="auto"/>
                    <w:left w:val="single" w:sz="4" w:space="0" w:color="F9C661"/>
                    <w:bottom w:val="none" w:sz="0" w:space="0" w:color="auto"/>
                    <w:right w:val="single" w:sz="4" w:space="0" w:color="DADADA"/>
                  </w:divBdr>
                  <w:divsChild>
                    <w:div w:id="340162479">
                      <w:marLeft w:val="-20"/>
                      <w:marRight w:val="-30"/>
                      <w:marTop w:val="0"/>
                      <w:marBottom w:val="0"/>
                      <w:divBdr>
                        <w:top w:val="none" w:sz="0" w:space="0" w:color="auto"/>
                        <w:left w:val="none" w:sz="0" w:space="0" w:color="auto"/>
                        <w:bottom w:val="none" w:sz="0" w:space="0" w:color="auto"/>
                        <w:right w:val="none" w:sz="0" w:space="0" w:color="auto"/>
                      </w:divBdr>
                      <w:divsChild>
                        <w:div w:id="7623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6369">
      <w:bodyDiv w:val="1"/>
      <w:marLeft w:val="0"/>
      <w:marRight w:val="0"/>
      <w:marTop w:val="0"/>
      <w:marBottom w:val="0"/>
      <w:divBdr>
        <w:top w:val="none" w:sz="0" w:space="0" w:color="auto"/>
        <w:left w:val="none" w:sz="0" w:space="0" w:color="auto"/>
        <w:bottom w:val="none" w:sz="0" w:space="0" w:color="auto"/>
        <w:right w:val="none" w:sz="0" w:space="0" w:color="auto"/>
      </w:divBdr>
      <w:divsChild>
        <w:div w:id="446199884">
          <w:marLeft w:val="-10"/>
          <w:marRight w:val="-10"/>
          <w:marTop w:val="0"/>
          <w:marBottom w:val="0"/>
          <w:divBdr>
            <w:top w:val="none" w:sz="0" w:space="0" w:color="auto"/>
            <w:left w:val="single" w:sz="4" w:space="0" w:color="DADADA"/>
            <w:bottom w:val="none" w:sz="0" w:space="0" w:color="auto"/>
            <w:right w:val="single" w:sz="4" w:space="0" w:color="DADADA"/>
          </w:divBdr>
          <w:divsChild>
            <w:div w:id="595790856">
              <w:marLeft w:val="0"/>
              <w:marRight w:val="0"/>
              <w:marTop w:val="0"/>
              <w:marBottom w:val="0"/>
              <w:divBdr>
                <w:top w:val="none" w:sz="0" w:space="0" w:color="auto"/>
                <w:left w:val="single" w:sz="48" w:space="0" w:color="FFFFFF"/>
                <w:bottom w:val="none" w:sz="0" w:space="0" w:color="auto"/>
                <w:right w:val="none" w:sz="0" w:space="0" w:color="auto"/>
              </w:divBdr>
              <w:divsChild>
                <w:div w:id="1385906575">
                  <w:marLeft w:val="-10"/>
                  <w:marRight w:val="-10"/>
                  <w:marTop w:val="0"/>
                  <w:marBottom w:val="0"/>
                  <w:divBdr>
                    <w:top w:val="none" w:sz="0" w:space="0" w:color="auto"/>
                    <w:left w:val="single" w:sz="4" w:space="0" w:color="F9C661"/>
                    <w:bottom w:val="none" w:sz="0" w:space="0" w:color="auto"/>
                    <w:right w:val="single" w:sz="4" w:space="0" w:color="DADADA"/>
                  </w:divBdr>
                  <w:divsChild>
                    <w:div w:id="360937202">
                      <w:marLeft w:val="-20"/>
                      <w:marRight w:val="-30"/>
                      <w:marTop w:val="0"/>
                      <w:marBottom w:val="0"/>
                      <w:divBdr>
                        <w:top w:val="none" w:sz="0" w:space="0" w:color="auto"/>
                        <w:left w:val="none" w:sz="0" w:space="0" w:color="auto"/>
                        <w:bottom w:val="none" w:sz="0" w:space="0" w:color="auto"/>
                        <w:right w:val="none" w:sz="0" w:space="0" w:color="auto"/>
                      </w:divBdr>
                      <w:divsChild>
                        <w:div w:id="12668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5042">
      <w:bodyDiv w:val="1"/>
      <w:marLeft w:val="0"/>
      <w:marRight w:val="0"/>
      <w:marTop w:val="0"/>
      <w:marBottom w:val="0"/>
      <w:divBdr>
        <w:top w:val="none" w:sz="0" w:space="0" w:color="auto"/>
        <w:left w:val="none" w:sz="0" w:space="0" w:color="auto"/>
        <w:bottom w:val="none" w:sz="0" w:space="0" w:color="auto"/>
        <w:right w:val="none" w:sz="0" w:space="0" w:color="auto"/>
      </w:divBdr>
      <w:divsChild>
        <w:div w:id="626667408">
          <w:marLeft w:val="100"/>
          <w:marRight w:val="100"/>
          <w:marTop w:val="100"/>
          <w:marBottom w:val="100"/>
          <w:divBdr>
            <w:top w:val="none" w:sz="0" w:space="0" w:color="auto"/>
            <w:left w:val="none" w:sz="0" w:space="0" w:color="auto"/>
            <w:bottom w:val="none" w:sz="0" w:space="0" w:color="auto"/>
            <w:right w:val="none" w:sz="0" w:space="0" w:color="auto"/>
          </w:divBdr>
          <w:divsChild>
            <w:div w:id="563836654">
              <w:marLeft w:val="0"/>
              <w:marRight w:val="0"/>
              <w:marTop w:val="0"/>
              <w:marBottom w:val="0"/>
              <w:divBdr>
                <w:top w:val="none" w:sz="0" w:space="0" w:color="auto"/>
                <w:left w:val="none" w:sz="0" w:space="0" w:color="auto"/>
                <w:bottom w:val="none" w:sz="0" w:space="0" w:color="auto"/>
                <w:right w:val="none" w:sz="0" w:space="0" w:color="auto"/>
              </w:divBdr>
            </w:div>
            <w:div w:id="170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586">
      <w:bodyDiv w:val="1"/>
      <w:marLeft w:val="0"/>
      <w:marRight w:val="0"/>
      <w:marTop w:val="0"/>
      <w:marBottom w:val="0"/>
      <w:divBdr>
        <w:top w:val="none" w:sz="0" w:space="0" w:color="auto"/>
        <w:left w:val="none" w:sz="0" w:space="0" w:color="auto"/>
        <w:bottom w:val="none" w:sz="0" w:space="0" w:color="auto"/>
        <w:right w:val="none" w:sz="0" w:space="0" w:color="auto"/>
      </w:divBdr>
      <w:divsChild>
        <w:div w:id="1651330435">
          <w:marLeft w:val="100"/>
          <w:marRight w:val="100"/>
          <w:marTop w:val="100"/>
          <w:marBottom w:val="100"/>
          <w:divBdr>
            <w:top w:val="none" w:sz="0" w:space="0" w:color="auto"/>
            <w:left w:val="none" w:sz="0" w:space="0" w:color="auto"/>
            <w:bottom w:val="none" w:sz="0" w:space="0" w:color="auto"/>
            <w:right w:val="none" w:sz="0" w:space="0" w:color="auto"/>
          </w:divBdr>
          <w:divsChild>
            <w:div w:id="986396918">
              <w:marLeft w:val="0"/>
              <w:marRight w:val="0"/>
              <w:marTop w:val="0"/>
              <w:marBottom w:val="0"/>
              <w:divBdr>
                <w:top w:val="none" w:sz="0" w:space="0" w:color="auto"/>
                <w:left w:val="none" w:sz="0" w:space="0" w:color="auto"/>
                <w:bottom w:val="none" w:sz="0" w:space="0" w:color="auto"/>
                <w:right w:val="none" w:sz="0" w:space="0" w:color="auto"/>
              </w:divBdr>
            </w:div>
            <w:div w:id="1206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3254">
      <w:bodyDiv w:val="1"/>
      <w:marLeft w:val="0"/>
      <w:marRight w:val="0"/>
      <w:marTop w:val="0"/>
      <w:marBottom w:val="0"/>
      <w:divBdr>
        <w:top w:val="none" w:sz="0" w:space="0" w:color="auto"/>
        <w:left w:val="none" w:sz="0" w:space="0" w:color="auto"/>
        <w:bottom w:val="none" w:sz="0" w:space="0" w:color="auto"/>
        <w:right w:val="none" w:sz="0" w:space="0" w:color="auto"/>
      </w:divBdr>
      <w:divsChild>
        <w:div w:id="35011193">
          <w:marLeft w:val="100"/>
          <w:marRight w:val="100"/>
          <w:marTop w:val="100"/>
          <w:marBottom w:val="100"/>
          <w:divBdr>
            <w:top w:val="none" w:sz="0" w:space="0" w:color="auto"/>
            <w:left w:val="none" w:sz="0" w:space="0" w:color="auto"/>
            <w:bottom w:val="none" w:sz="0" w:space="0" w:color="auto"/>
            <w:right w:val="none" w:sz="0" w:space="0" w:color="auto"/>
          </w:divBdr>
          <w:divsChild>
            <w:div w:id="209265813">
              <w:marLeft w:val="0"/>
              <w:marRight w:val="0"/>
              <w:marTop w:val="0"/>
              <w:marBottom w:val="0"/>
              <w:divBdr>
                <w:top w:val="none" w:sz="0" w:space="0" w:color="auto"/>
                <w:left w:val="none" w:sz="0" w:space="0" w:color="auto"/>
                <w:bottom w:val="none" w:sz="0" w:space="0" w:color="auto"/>
                <w:right w:val="none" w:sz="0" w:space="0" w:color="auto"/>
              </w:divBdr>
            </w:div>
            <w:div w:id="21284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5547</Words>
  <Characters>34563</Characters>
  <Application>Microsoft Office Word</Application>
  <DocSecurity>4</DocSecurity>
  <Lines>691</Lines>
  <Paragraphs>200</Paragraphs>
  <ScaleCrop>false</ScaleCrop>
  <HeadingPairs>
    <vt:vector size="2" baseType="variant">
      <vt:variant>
        <vt:lpstr>Rubrik</vt:lpstr>
      </vt:variant>
      <vt:variant>
        <vt:i4>1</vt:i4>
      </vt:variant>
    </vt:vector>
  </HeadingPairs>
  <TitlesOfParts>
    <vt:vector size="1" baseType="lpstr">
      <vt:lpstr>Riksdagsstyrelsens framställning till riksdagen</vt:lpstr>
    </vt:vector>
  </TitlesOfParts>
  <Company>Riksdagen</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 till riksdagen</dc:title>
  <dc:subject>Riksdagsstyrelsens framställning till riksdagen</dc:subject>
  <dc:creator>Riksdagen</dc:creator>
  <cp:keywords>Riksdagen</cp:keywords>
  <dc:description/>
  <cp:lastModifiedBy>Lars Brink</cp:lastModifiedBy>
  <cp:revision>2</cp:revision>
  <cp:lastPrinted>2007-10-26T09:53:00Z</cp:lastPrinted>
  <dcterms:created xsi:type="dcterms:W3CDTF">2025-12-17T11:50:00Z</dcterms:created>
  <dcterms:modified xsi:type="dcterms:W3CDTF">2025-12-17T11:50:00Z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