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6AF" w:rsidRPr="00A249DD" w:rsidRDefault="000F26AF">
      <w:pPr>
        <w:pStyle w:val="Rubrik1"/>
        <w:shd w:val="clear" w:color="000000" w:fill="auto"/>
      </w:pPr>
      <w:r w:rsidRPr="00A249DD">
        <w:t>Sammanfattning</w:t>
      </w:r>
    </w:p>
    <w:p w:rsidR="000F26AF" w:rsidRPr="00A249DD" w:rsidRDefault="000F26AF">
      <w:pPr>
        <w:shd w:val="clear" w:color="000000" w:fill="auto"/>
      </w:pPr>
      <w:r w:rsidRPr="00A249DD">
        <w:t>Inom utgiftsområde 25 föreslår vi dels en rad riktade satsningar, dels en vä</w:t>
      </w:r>
      <w:r w:rsidRPr="00A249DD">
        <w:t>r</w:t>
      </w:r>
      <w:r w:rsidRPr="00A249DD">
        <w:t>desäkring av de generella statsbidragen så att de värdesäkras för kommune</w:t>
      </w:r>
      <w:r w:rsidRPr="00A249DD">
        <w:t>r</w:t>
      </w:r>
      <w:r w:rsidRPr="00A249DD">
        <w:t xml:space="preserve">nas pris- och löneökningar. Värdesäkringen av de generella statsbidragen motsvarar en höjning av anslaget 1:1 med 2,5 miljarder kronor för 2012. </w:t>
      </w:r>
    </w:p>
    <w:p w:rsidR="000F26AF" w:rsidRPr="00A249DD" w:rsidRDefault="000F26AF">
      <w:pPr>
        <w:pStyle w:val="Normaltindrag"/>
        <w:shd w:val="clear" w:color="000000" w:fill="auto"/>
      </w:pPr>
      <w:r w:rsidRPr="00A249DD">
        <w:t>Till detta kommer en rad regleringar i enlighet med den kommunala fina</w:t>
      </w:r>
      <w:r w:rsidRPr="00A249DD">
        <w:t>n</w:t>
      </w:r>
      <w:r w:rsidRPr="00A249DD">
        <w:t>sieringsprincipen.</w:t>
      </w:r>
    </w:p>
    <w:p w:rsidR="000F26AF" w:rsidRPr="00A249DD" w:rsidRDefault="000F26AF">
      <w:pPr>
        <w:pStyle w:val="Frslagsrubrik"/>
        <w:shd w:val="clear" w:color="000000" w:fill="auto"/>
      </w:pPr>
      <w:r w:rsidRPr="00A249DD">
        <w:t>Förslag till riksdagsbeslut</w:t>
      </w:r>
    </w:p>
    <w:p w:rsidR="000F26AF" w:rsidRPr="00A249DD" w:rsidRDefault="000F26AF">
      <w:pPr>
        <w:pStyle w:val="Hemstlatt"/>
        <w:shd w:val="clear" w:color="000000" w:fill="auto"/>
        <w:ind w:left="0"/>
      </w:pPr>
      <w:r w:rsidRPr="00A249DD">
        <w:t>Riksdagen anvisar med följande ändringar i förhålla</w:t>
      </w:r>
      <w:r w:rsidRPr="00A249DD">
        <w:t>n</w:t>
      </w:r>
      <w:r w:rsidRPr="00A249DD">
        <w:t>de till regeringens förslag anslagen under utgiftsområde 25 Allmänna bidrag till kommuner enligt uppställning:</w:t>
      </w:r>
    </w:p>
    <w:tbl>
      <w:tblPr>
        <w:tblW w:w="618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2290"/>
        <w:gridCol w:w="1790"/>
        <w:gridCol w:w="1485"/>
      </w:tblGrid>
      <w:tr w:rsidR="00000000" w:rsidRPr="00A249DD">
        <w:tc>
          <w:tcPr>
            <w:tcW w:w="615" w:type="dxa"/>
            <w:tcBorders>
              <w:top w:val="single" w:sz="4" w:space="0" w:color="auto"/>
              <w:bottom w:val="single" w:sz="4" w:space="0" w:color="auto"/>
            </w:tcBorders>
          </w:tcPr>
          <w:p w:rsidR="000F26AF" w:rsidRPr="00A249DD" w:rsidRDefault="000F26AF">
            <w:pPr>
              <w:shd w:val="clear" w:color="000000" w:fill="auto"/>
              <w:spacing w:before="60" w:line="200" w:lineRule="exact"/>
              <w:rPr>
                <w:b/>
                <w:sz w:val="16"/>
                <w:szCs w:val="16"/>
              </w:rPr>
            </w:pPr>
            <w:r w:rsidRPr="00A249DD">
              <w:rPr>
                <w:b/>
                <w:sz w:val="16"/>
                <w:szCs w:val="16"/>
              </w:rPr>
              <w:t>Anslag</w:t>
            </w:r>
          </w:p>
        </w:tc>
        <w:tc>
          <w:tcPr>
            <w:tcW w:w="2290" w:type="dxa"/>
            <w:tcBorders>
              <w:top w:val="single" w:sz="4" w:space="0" w:color="auto"/>
              <w:bottom w:val="single" w:sz="4" w:space="0" w:color="auto"/>
            </w:tcBorders>
          </w:tcPr>
          <w:p w:rsidR="000F26AF" w:rsidRPr="00A249DD" w:rsidRDefault="000F26AF">
            <w:pPr>
              <w:shd w:val="clear" w:color="000000" w:fill="auto"/>
              <w:spacing w:before="60" w:line="200" w:lineRule="exact"/>
              <w:rPr>
                <w:b/>
                <w:sz w:val="16"/>
                <w:szCs w:val="16"/>
              </w:rPr>
            </w:pPr>
          </w:p>
        </w:tc>
        <w:tc>
          <w:tcPr>
            <w:tcW w:w="1790" w:type="dxa"/>
            <w:tcBorders>
              <w:top w:val="single" w:sz="4" w:space="0" w:color="auto"/>
              <w:bottom w:val="single" w:sz="4" w:space="0" w:color="auto"/>
            </w:tcBorders>
          </w:tcPr>
          <w:p w:rsidR="000F26AF" w:rsidRPr="00A249DD" w:rsidRDefault="000F26AF">
            <w:pPr>
              <w:shd w:val="clear" w:color="000000" w:fill="auto"/>
              <w:spacing w:before="60" w:line="200" w:lineRule="exact"/>
              <w:jc w:val="right"/>
              <w:rPr>
                <w:b/>
                <w:sz w:val="16"/>
                <w:szCs w:val="16"/>
              </w:rPr>
            </w:pPr>
            <w:r w:rsidRPr="00A249DD">
              <w:rPr>
                <w:b/>
                <w:sz w:val="16"/>
                <w:szCs w:val="16"/>
              </w:rPr>
              <w:t>Regeringens förslag (tkr)</w:t>
            </w:r>
          </w:p>
        </w:tc>
        <w:tc>
          <w:tcPr>
            <w:tcW w:w="1485" w:type="dxa"/>
            <w:tcBorders>
              <w:top w:val="single" w:sz="4" w:space="0" w:color="auto"/>
              <w:bottom w:val="single" w:sz="4" w:space="0" w:color="auto"/>
            </w:tcBorders>
          </w:tcPr>
          <w:p w:rsidR="000F26AF" w:rsidRPr="00A249DD" w:rsidRDefault="000F26AF">
            <w:pPr>
              <w:shd w:val="clear" w:color="000000" w:fill="auto"/>
              <w:spacing w:before="60" w:line="200" w:lineRule="exact"/>
              <w:jc w:val="right"/>
              <w:rPr>
                <w:b/>
                <w:sz w:val="16"/>
                <w:szCs w:val="16"/>
              </w:rPr>
            </w:pPr>
            <w:r w:rsidRPr="00A249DD">
              <w:rPr>
                <w:b/>
                <w:sz w:val="16"/>
                <w:szCs w:val="16"/>
              </w:rPr>
              <w:t>Anslagsförändring (tkr)</w:t>
            </w:r>
          </w:p>
        </w:tc>
      </w:tr>
      <w:tr w:rsidR="00000000" w:rsidRPr="00A249DD">
        <w:tc>
          <w:tcPr>
            <w:tcW w:w="615" w:type="dxa"/>
            <w:tcBorders>
              <w:top w:val="single" w:sz="4" w:space="0" w:color="auto"/>
            </w:tcBorders>
          </w:tcPr>
          <w:p w:rsidR="000F26AF" w:rsidRPr="00A249DD" w:rsidRDefault="000F26AF">
            <w:pPr>
              <w:shd w:val="clear" w:color="000000" w:fill="auto"/>
              <w:spacing w:before="60" w:line="200" w:lineRule="exact"/>
              <w:rPr>
                <w:sz w:val="16"/>
                <w:szCs w:val="16"/>
              </w:rPr>
            </w:pPr>
            <w:r w:rsidRPr="00A249DD">
              <w:rPr>
                <w:sz w:val="16"/>
                <w:szCs w:val="16"/>
              </w:rPr>
              <w:t>1:1</w:t>
            </w:r>
          </w:p>
        </w:tc>
        <w:tc>
          <w:tcPr>
            <w:tcW w:w="2290" w:type="dxa"/>
            <w:tcBorders>
              <w:top w:val="single" w:sz="4" w:space="0" w:color="auto"/>
            </w:tcBorders>
          </w:tcPr>
          <w:p w:rsidR="000F26AF" w:rsidRPr="00A249DD" w:rsidRDefault="000F26AF">
            <w:pPr>
              <w:shd w:val="clear" w:color="000000" w:fill="auto"/>
              <w:spacing w:before="60" w:line="200" w:lineRule="exact"/>
              <w:rPr>
                <w:sz w:val="16"/>
                <w:szCs w:val="16"/>
              </w:rPr>
            </w:pPr>
            <w:r w:rsidRPr="00A249DD">
              <w:rPr>
                <w:sz w:val="16"/>
                <w:szCs w:val="16"/>
              </w:rPr>
              <w:t>Kommunalekonomisk utjämning</w:t>
            </w:r>
          </w:p>
        </w:tc>
        <w:tc>
          <w:tcPr>
            <w:tcW w:w="1790" w:type="dxa"/>
            <w:tcBorders>
              <w:top w:val="single" w:sz="4" w:space="0" w:color="auto"/>
            </w:tcBorders>
          </w:tcPr>
          <w:p w:rsidR="000F26AF" w:rsidRPr="00A249DD" w:rsidRDefault="000F26AF">
            <w:pPr>
              <w:shd w:val="clear" w:color="000000" w:fill="auto"/>
              <w:spacing w:before="60" w:line="200" w:lineRule="exact"/>
              <w:jc w:val="right"/>
              <w:rPr>
                <w:sz w:val="16"/>
                <w:szCs w:val="16"/>
              </w:rPr>
            </w:pPr>
            <w:r w:rsidRPr="00A249DD">
              <w:rPr>
                <w:sz w:val="16"/>
                <w:szCs w:val="16"/>
              </w:rPr>
              <w:t>81 975 063</w:t>
            </w:r>
          </w:p>
        </w:tc>
        <w:tc>
          <w:tcPr>
            <w:tcW w:w="1485" w:type="dxa"/>
            <w:tcBorders>
              <w:top w:val="single" w:sz="4" w:space="0" w:color="auto"/>
            </w:tcBorders>
          </w:tcPr>
          <w:p w:rsidR="000F26AF" w:rsidRPr="00A249DD" w:rsidRDefault="000F26AF">
            <w:pPr>
              <w:shd w:val="clear" w:color="000000" w:fill="auto"/>
              <w:spacing w:before="60" w:line="200" w:lineRule="exact"/>
              <w:jc w:val="right"/>
              <w:rPr>
                <w:sz w:val="16"/>
                <w:szCs w:val="16"/>
              </w:rPr>
            </w:pPr>
            <w:r w:rsidRPr="00A249DD">
              <w:rPr>
                <w:sz w:val="16"/>
                <w:szCs w:val="16"/>
              </w:rPr>
              <w:t>+ 19 587 000</w:t>
            </w:r>
          </w:p>
        </w:tc>
      </w:tr>
      <w:tr w:rsidR="00000000" w:rsidRPr="00A249DD">
        <w:tc>
          <w:tcPr>
            <w:tcW w:w="615" w:type="dxa"/>
          </w:tcPr>
          <w:p w:rsidR="000F26AF" w:rsidRPr="00A249DD" w:rsidRDefault="000F26AF">
            <w:pPr>
              <w:shd w:val="clear" w:color="000000" w:fill="auto"/>
              <w:spacing w:before="60" w:line="200" w:lineRule="exact"/>
              <w:rPr>
                <w:sz w:val="16"/>
                <w:szCs w:val="16"/>
              </w:rPr>
            </w:pPr>
            <w:r w:rsidRPr="00A249DD">
              <w:rPr>
                <w:sz w:val="16"/>
                <w:szCs w:val="16"/>
              </w:rPr>
              <w:t>Nytt</w:t>
            </w:r>
          </w:p>
        </w:tc>
        <w:tc>
          <w:tcPr>
            <w:tcW w:w="2290" w:type="dxa"/>
            <w:vAlign w:val="bottom"/>
          </w:tcPr>
          <w:p w:rsidR="000F26AF" w:rsidRPr="00A249DD" w:rsidRDefault="000F26AF">
            <w:pPr>
              <w:shd w:val="clear" w:color="000000" w:fill="auto"/>
              <w:spacing w:before="60" w:line="200" w:lineRule="exact"/>
              <w:rPr>
                <w:sz w:val="16"/>
                <w:szCs w:val="16"/>
              </w:rPr>
            </w:pPr>
            <w:r w:rsidRPr="00A249DD">
              <w:rPr>
                <w:sz w:val="16"/>
                <w:szCs w:val="16"/>
              </w:rPr>
              <w:t>Försöksverksamhet med lokala servicekontor</w:t>
            </w:r>
          </w:p>
        </w:tc>
        <w:tc>
          <w:tcPr>
            <w:tcW w:w="1790" w:type="dxa"/>
            <w:vAlign w:val="bottom"/>
          </w:tcPr>
          <w:p w:rsidR="000F26AF" w:rsidRPr="00A249DD" w:rsidRDefault="000F26AF">
            <w:pPr>
              <w:shd w:val="clear" w:color="000000" w:fill="auto"/>
              <w:spacing w:before="60" w:line="200" w:lineRule="exact"/>
              <w:jc w:val="right"/>
              <w:rPr>
                <w:sz w:val="16"/>
                <w:szCs w:val="16"/>
              </w:rPr>
            </w:pPr>
          </w:p>
        </w:tc>
        <w:tc>
          <w:tcPr>
            <w:tcW w:w="1485" w:type="dxa"/>
            <w:vAlign w:val="bottom"/>
          </w:tcPr>
          <w:p w:rsidR="000F26AF" w:rsidRPr="00A249DD" w:rsidRDefault="000F26AF">
            <w:pPr>
              <w:shd w:val="clear" w:color="000000" w:fill="auto"/>
              <w:spacing w:before="60" w:line="200" w:lineRule="exact"/>
              <w:jc w:val="right"/>
              <w:rPr>
                <w:sz w:val="16"/>
                <w:szCs w:val="16"/>
              </w:rPr>
            </w:pPr>
            <w:r w:rsidRPr="00A249DD">
              <w:rPr>
                <w:sz w:val="16"/>
                <w:szCs w:val="16"/>
              </w:rPr>
              <w:t>+20 000</w:t>
            </w:r>
          </w:p>
        </w:tc>
      </w:tr>
      <w:tr w:rsidR="00000000" w:rsidRPr="00A249DD">
        <w:tc>
          <w:tcPr>
            <w:tcW w:w="615" w:type="dxa"/>
          </w:tcPr>
          <w:p w:rsidR="000F26AF" w:rsidRPr="00A249DD" w:rsidRDefault="000F26AF">
            <w:pPr>
              <w:shd w:val="clear" w:color="000000" w:fill="auto"/>
              <w:spacing w:before="60" w:line="200" w:lineRule="exact"/>
              <w:rPr>
                <w:b/>
                <w:sz w:val="16"/>
                <w:szCs w:val="16"/>
              </w:rPr>
            </w:pPr>
          </w:p>
        </w:tc>
        <w:tc>
          <w:tcPr>
            <w:tcW w:w="2290" w:type="dxa"/>
          </w:tcPr>
          <w:p w:rsidR="000F26AF" w:rsidRPr="00A249DD" w:rsidRDefault="000F26AF">
            <w:pPr>
              <w:shd w:val="clear" w:color="000000" w:fill="auto"/>
              <w:spacing w:before="60" w:line="200" w:lineRule="exact"/>
              <w:rPr>
                <w:b/>
                <w:sz w:val="16"/>
                <w:szCs w:val="16"/>
              </w:rPr>
            </w:pPr>
            <w:r w:rsidRPr="00A249DD">
              <w:rPr>
                <w:b/>
                <w:sz w:val="16"/>
                <w:szCs w:val="16"/>
              </w:rPr>
              <w:t>Summa</w:t>
            </w:r>
          </w:p>
        </w:tc>
        <w:tc>
          <w:tcPr>
            <w:tcW w:w="1790" w:type="dxa"/>
          </w:tcPr>
          <w:p w:rsidR="000F26AF" w:rsidRPr="00A249DD" w:rsidRDefault="000F26AF">
            <w:pPr>
              <w:shd w:val="clear" w:color="000000" w:fill="auto"/>
              <w:spacing w:before="60" w:line="200" w:lineRule="exact"/>
              <w:jc w:val="right"/>
              <w:rPr>
                <w:b/>
                <w:sz w:val="16"/>
                <w:szCs w:val="16"/>
              </w:rPr>
            </w:pPr>
          </w:p>
        </w:tc>
        <w:tc>
          <w:tcPr>
            <w:tcW w:w="1485" w:type="dxa"/>
          </w:tcPr>
          <w:p w:rsidR="000F26AF" w:rsidRPr="00A249DD" w:rsidRDefault="000F26AF">
            <w:pPr>
              <w:shd w:val="clear" w:color="000000" w:fill="auto"/>
              <w:spacing w:before="60" w:line="200" w:lineRule="exact"/>
              <w:jc w:val="right"/>
              <w:rPr>
                <w:b/>
                <w:sz w:val="16"/>
                <w:szCs w:val="16"/>
              </w:rPr>
            </w:pPr>
            <w:r w:rsidRPr="00A249DD">
              <w:rPr>
                <w:b/>
                <w:sz w:val="16"/>
                <w:szCs w:val="16"/>
              </w:rPr>
              <w:t>+19 607 000</w:t>
            </w:r>
          </w:p>
        </w:tc>
      </w:tr>
    </w:tbl>
    <w:p w:rsidR="000F26AF" w:rsidRPr="00A249DD" w:rsidRDefault="000F26AF">
      <w:pPr>
        <w:shd w:val="clear" w:color="000000" w:fill="auto"/>
      </w:pPr>
    </w:p>
    <w:p w:rsidR="000F26AF" w:rsidRPr="00A249DD" w:rsidRDefault="000F26AF">
      <w:pPr>
        <w:pStyle w:val="Rubrik1"/>
        <w:shd w:val="clear" w:color="000000" w:fill="auto"/>
      </w:pPr>
      <w:r w:rsidRPr="00A249DD">
        <w:t>1:1 Kommunalekonomisk utjämning</w:t>
      </w:r>
    </w:p>
    <w:p w:rsidR="000F26AF" w:rsidRPr="00A249DD" w:rsidRDefault="000F26AF">
      <w:pPr>
        <w:pStyle w:val="Normaltindrag"/>
        <w:shd w:val="clear" w:color="000000" w:fill="auto"/>
        <w:ind w:firstLine="0"/>
      </w:pPr>
      <w:r w:rsidRPr="00A249DD">
        <w:t>Det finns ett behov av utökad daglig verksamhet för personer med funktion</w:t>
      </w:r>
      <w:r w:rsidRPr="00A249DD">
        <w:t>s</w:t>
      </w:r>
      <w:r w:rsidRPr="00A249DD">
        <w:t>nedsättningar. Vi föreslår därför att personer med psykiska funktionsnedsät</w:t>
      </w:r>
      <w:r w:rsidRPr="00A249DD">
        <w:t>t</w:t>
      </w:r>
      <w:r w:rsidRPr="00A249DD">
        <w:t xml:space="preserve">ningar inom LSS (Lagen om stöd och service till vissa funktionshindrade) </w:t>
      </w:r>
      <w:r w:rsidRPr="00A249DD">
        <w:lastRenderedPageBreak/>
        <w:t>personkrets 3, ska få rätt till daglig verksamhet (se motion 2011/12:So568). Vi ersätter därför kommunerna för deras ökande kostnader med 165 miljoner kronor 2012 och planerar för ökad ersättning till 330 miljoner kronor 2013 och 495 miljoner kronor 2014.</w:t>
      </w:r>
    </w:p>
    <w:p w:rsidR="000F26AF" w:rsidRPr="00A249DD" w:rsidRDefault="000F26AF">
      <w:pPr>
        <w:pStyle w:val="Normaltindrag"/>
        <w:shd w:val="clear" w:color="000000" w:fill="auto"/>
      </w:pPr>
      <w:r w:rsidRPr="00A249DD">
        <w:t>Tvångsomhändertagna personer inom psykiatrin har ofta en raserad ek</w:t>
      </w:r>
      <w:r w:rsidRPr="00A249DD">
        <w:t>o</w:t>
      </w:r>
      <w:r w:rsidRPr="00A249DD">
        <w:t xml:space="preserve">nomi med stora skulder på grund av sin sjukdom. Vi föreslår därför att man slopar vårdavgifterna i den psykiatriska tvångsvården. Landstingen bör då ersättas med 22 miljoner kronor per år från 2012. </w:t>
      </w:r>
    </w:p>
    <w:p w:rsidR="000F26AF" w:rsidRPr="00A249DD" w:rsidRDefault="000F26AF">
      <w:pPr>
        <w:pStyle w:val="Normaltindrag"/>
        <w:shd w:val="clear" w:color="000000" w:fill="auto"/>
      </w:pPr>
      <w:r w:rsidRPr="00A249DD">
        <w:t>I dag varierar taxan för hemtjänst stort mellan olika kommuner. För många äldre blir höga hemtjänsttaxor ett hinder. Men huruvida man får omsorg och stöd ska inte komma an på den enskildes ekonomiska situation. Vänsterpartiet vill därför införa ett tak på 100 kronor i timmen för hemtjänsten. För detta avsätter</w:t>
      </w:r>
      <w:r w:rsidRPr="00A249DD">
        <w:t xml:space="preserve"> vi 300 miljoner.</w:t>
      </w:r>
    </w:p>
    <w:p w:rsidR="000F26AF" w:rsidRPr="00A249DD" w:rsidRDefault="000F26AF">
      <w:pPr>
        <w:pStyle w:val="Normaltindrag"/>
        <w:shd w:val="clear" w:color="000000" w:fill="auto"/>
      </w:pPr>
      <w:r w:rsidRPr="00A249DD">
        <w:t>Glasögon till barn är dyrt. I dag tvingas många fattiga föräldrar att avstå från att köpa glasögon, trots att de är nödvändiga för barnen. Inget barn med synfel ska behöva vara utan glasögon på grund av föräldrarnas dåliga ekon</w:t>
      </w:r>
      <w:r w:rsidRPr="00A249DD">
        <w:t>o</w:t>
      </w:r>
      <w:r w:rsidRPr="00A249DD">
        <w:t>mi. Vi vill subventionera glasögon för barn i åldern 2–15 år med 800 kronor för ett par glasögon (standardglas och bågar). Vi avsätter därför 200 miljoner kronor per år för en glasögonreform.</w:t>
      </w:r>
    </w:p>
    <w:p w:rsidR="000F26AF" w:rsidRPr="00A249DD" w:rsidRDefault="000F26AF">
      <w:pPr>
        <w:pStyle w:val="Normaltindrag"/>
        <w:shd w:val="clear" w:color="000000" w:fill="auto"/>
      </w:pPr>
      <w:r w:rsidRPr="00A249DD">
        <w:t>Fritidsgårdarnas betydelse för många tjejer och killar är svår att överskatta. Alltför ofta saknas det i dag fysiska mötesplatser som är icke-kommersiella och drogfria och där ungdomarna själva är med och påverkar innehållet. På många av de fritidsgårdar som finns är öppettiderna och antalet anställda alltför begränsa</w:t>
      </w:r>
      <w:r w:rsidRPr="00A249DD">
        <w:t>t. För att fler ungdomar ska ha tillgång till fritidsgårdarnas verksamhet avsätter vi i vår budget 150 miljoner i stimulansbidrag till fritid</w:t>
      </w:r>
      <w:r w:rsidRPr="00A249DD">
        <w:t>s</w:t>
      </w:r>
      <w:r w:rsidRPr="00A249DD">
        <w:t>gårdsverksamhet i kommunerna.</w:t>
      </w:r>
    </w:p>
    <w:p w:rsidR="000F26AF" w:rsidRPr="00A249DD" w:rsidRDefault="000F26AF">
      <w:pPr>
        <w:pStyle w:val="Normaltindrag"/>
        <w:shd w:val="clear" w:color="000000" w:fill="auto"/>
      </w:pPr>
      <w:r w:rsidRPr="00A249DD">
        <w:t>Avgifterna till kulturskolan (tidigare känt som kommunala musikskolan) är för många familjer ett stort problem. Den genomsnittliga avgiften för en te</w:t>
      </w:r>
      <w:r w:rsidRPr="00A249DD">
        <w:t>r</w:t>
      </w:r>
      <w:r w:rsidRPr="00A249DD">
        <w:t>min är över 600 kronor, men den varierar stort så att den i vissa kommuner är mer än dubbelt så hög. Barn från alla familjer ska ha möjlighet att delta i kulturskolans verksamhet, och vi menar därför att det är en viktig fråga att dessa avgifter minimeras. Vi avsätter 200 miljoner kronor för att införa en maxtaxa på kulturskolorna motsvarande den som har införts för förskolan.</w:t>
      </w:r>
    </w:p>
    <w:p w:rsidR="000F26AF" w:rsidRPr="00A249DD" w:rsidRDefault="000F26AF">
      <w:pPr>
        <w:pStyle w:val="Normaltindrag"/>
        <w:shd w:val="clear" w:color="000000" w:fill="auto"/>
      </w:pPr>
      <w:r w:rsidRPr="00A249DD">
        <w:t>Ensamstående föräldrar kan ha svårt att få avlastning när barnen är sjuka. Att inte ha en partner som delar ansvaret för vård av sj</w:t>
      </w:r>
      <w:r w:rsidRPr="00A249DD">
        <w:t>uka barn kan leda till att föräldern inte kan sköta sitt arbete. Långa eller upprepade perioder med sjuka barn innebär även ett inkomstbortfall som blir extra kännbart för den förälder som är ensamstående. Ensamstående mammor är dessutom oftare arbetslösa än andra föräldrar, vilket tyder på att arbetsgivare väljer bort dem. Detta kan bero på att arbetsgivarna är rädda för att ensamstående föräldrar kommer att vara borta mycket från arbetet när barnen är sjuka.</w:t>
      </w:r>
    </w:p>
    <w:p w:rsidR="000F26AF" w:rsidRPr="00A249DD" w:rsidRDefault="000F26AF">
      <w:pPr>
        <w:pStyle w:val="Normaltindrag"/>
        <w:shd w:val="clear" w:color="000000" w:fill="auto"/>
      </w:pPr>
      <w:r w:rsidRPr="00A249DD">
        <w:t>För att underlätta situationen för ensamstående</w:t>
      </w:r>
      <w:r w:rsidRPr="00A249DD">
        <w:t xml:space="preserve"> föräldrar vill vi se över möjligheten att införa ett barnomsorgsstöd i hemmet under perioder då barnen är sjuka och föräldern normalt skulle ha tagit ut tillfällig föräldrapenning för vård av sjukt barn. På så sätt skulle ensamstående föräldrar inte behöva stanna hemma från arbetet vid varje tillfälle barnen är sjuka. Barnomsorgsstöd i hemmet blir en ersättning för den ordinarie förskoleverksamhet som barnet deltar i när föräldern arbetar. Föräldern ska inte behöva betala någon extra avgift utöver den ordi</w:t>
      </w:r>
      <w:r w:rsidRPr="00A249DD">
        <w:t>narie taxan för barnomsorgen. De anställda barnsköta</w:t>
      </w:r>
      <w:r w:rsidRPr="00A249DD">
        <w:t>r</w:t>
      </w:r>
      <w:r w:rsidRPr="00A249DD">
        <w:t>na kan med fördel ingå i kommunens vikariepool eller stärka upp verksamh</w:t>
      </w:r>
      <w:r w:rsidRPr="00A249DD">
        <w:t>e</w:t>
      </w:r>
      <w:r w:rsidRPr="00A249DD">
        <w:t>ten på kommunens förskolor de dagar som de inte arbetar hemma hos sjuka barn. Ensamstående föräldrar har sällan råd att anlita privat barnvakt, inte ens med den skattelättnad för hushållsnära tjänster (RUT) som regeringen infört. Barnomsorgsstöd i hemmet är däremot ett alternativ som skulle underlätta vardagen för ensamstående föräldrar på riktigt. Vi avsätter därför 300 milj</w:t>
      </w:r>
      <w:r w:rsidRPr="00A249DD">
        <w:t>o</w:t>
      </w:r>
      <w:r w:rsidRPr="00A249DD">
        <w:t>ner i s</w:t>
      </w:r>
      <w:r w:rsidRPr="00A249DD">
        <w:t xml:space="preserve">yfte att inleda försöksverksamhet med barnomsorgsstöd i hemmet. </w:t>
      </w:r>
    </w:p>
    <w:p w:rsidR="000F26AF" w:rsidRPr="00A249DD" w:rsidRDefault="000F26AF">
      <w:pPr>
        <w:pStyle w:val="Rubrik1"/>
        <w:shd w:val="clear" w:color="000000" w:fill="auto"/>
      </w:pPr>
      <w:r w:rsidRPr="00A249DD">
        <w:t>Nytt anslag: Lokala servicekontor</w:t>
      </w:r>
    </w:p>
    <w:p w:rsidR="000F26AF" w:rsidRPr="00A249DD" w:rsidRDefault="000F26AF">
      <w:pPr>
        <w:shd w:val="clear" w:color="000000" w:fill="auto"/>
        <w:rPr>
          <w:color w:val="000000"/>
        </w:rPr>
      </w:pPr>
      <w:r w:rsidRPr="00A249DD">
        <w:t>Vänsterpartiet vill att det ska finnas lokala servicekontor i varje kommun. Där vill vi samla Arbetsförmedlingens, Försäkringskassans och delar av komm</w:t>
      </w:r>
      <w:r w:rsidRPr="00A249DD">
        <w:t>u</w:t>
      </w:r>
      <w:r w:rsidRPr="00A249DD">
        <w:t>nernas service i en enda organisation på lokal nivå. Resurserna ska kunna användas gemensamt. Vi menar att det på sikt behöver byggas upp kompletta servicekontor i varje kommun för att samordna statlig, kommunal och privat service. De kan kompletteras med servicepunkter i vissa orter utanför centra</w:t>
      </w:r>
      <w:r w:rsidRPr="00A249DD">
        <w:t>l</w:t>
      </w:r>
      <w:r w:rsidRPr="00A249DD">
        <w:t>orten. Vi anslår därför 20 miljoner till kommunerna per år under en femårsp</w:t>
      </w:r>
      <w:r w:rsidRPr="00A249DD">
        <w:t>e</w:t>
      </w:r>
      <w:r w:rsidRPr="00A249DD">
        <w:t xml:space="preserve">riod för försöksverksamhet beträffande lokala servicekontor.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9DD">
        <w:trPr>
          <w:cantSplit/>
        </w:trPr>
        <w:tc>
          <w:tcPr>
            <w:tcW w:w="3046" w:type="dxa"/>
          </w:tcPr>
          <w:p w:rsidR="000F26AF" w:rsidRPr="00A249DD" w:rsidRDefault="000F26AF">
            <w:pPr>
              <w:pStyle w:val="UnderskriftDatum"/>
              <w:shd w:val="clear" w:color="000000" w:fill="auto"/>
              <w:spacing w:before="240"/>
            </w:pPr>
            <w:r w:rsidRPr="00A249DD">
              <w:t>Stockholm den 4 oktober 2011</w:t>
            </w:r>
          </w:p>
        </w:tc>
        <w:tc>
          <w:tcPr>
            <w:tcW w:w="3047" w:type="dxa"/>
          </w:tcPr>
          <w:p w:rsidR="000F26AF" w:rsidRPr="00A249DD" w:rsidRDefault="000F26AF">
            <w:pPr>
              <w:pStyle w:val="Underskrifter"/>
              <w:shd w:val="clear" w:color="000000" w:fill="auto"/>
              <w:spacing w:before="240"/>
            </w:pPr>
          </w:p>
        </w:tc>
      </w:tr>
      <w:tr w:rsidR="00000000" w:rsidRPr="00A249DD">
        <w:trPr>
          <w:cantSplit/>
        </w:trPr>
        <w:tc>
          <w:tcPr>
            <w:tcW w:w="3046" w:type="dxa"/>
          </w:tcPr>
          <w:p w:rsidR="000F26AF" w:rsidRPr="00A249DD" w:rsidRDefault="000F26AF">
            <w:pPr>
              <w:pStyle w:val="Underskrifter"/>
              <w:shd w:val="clear" w:color="000000" w:fill="auto"/>
            </w:pPr>
            <w:r w:rsidRPr="00A249DD">
              <w:t>Lars Ohly (V)</w:t>
            </w:r>
          </w:p>
        </w:tc>
        <w:tc>
          <w:tcPr>
            <w:tcW w:w="3046" w:type="dxa"/>
          </w:tcPr>
          <w:p w:rsidR="000F26AF" w:rsidRPr="00A249DD" w:rsidRDefault="000F26AF">
            <w:pPr>
              <w:pStyle w:val="Underskrifter"/>
              <w:shd w:val="clear" w:color="000000" w:fill="auto"/>
            </w:pPr>
          </w:p>
        </w:tc>
      </w:tr>
      <w:tr w:rsidR="00000000" w:rsidRPr="00A249DD">
        <w:trPr>
          <w:cantSplit/>
        </w:trPr>
        <w:tc>
          <w:tcPr>
            <w:tcW w:w="3046" w:type="dxa"/>
          </w:tcPr>
          <w:p w:rsidR="000F26AF" w:rsidRPr="00A249DD" w:rsidRDefault="000F26AF">
            <w:pPr>
              <w:pStyle w:val="Underskrifter"/>
              <w:shd w:val="clear" w:color="000000" w:fill="auto"/>
            </w:pPr>
            <w:r w:rsidRPr="00A249DD">
              <w:t>Hans Linde (V)</w:t>
            </w:r>
          </w:p>
        </w:tc>
        <w:tc>
          <w:tcPr>
            <w:tcW w:w="3046" w:type="dxa"/>
          </w:tcPr>
          <w:p w:rsidR="000F26AF" w:rsidRPr="00A249DD" w:rsidRDefault="000F26AF">
            <w:pPr>
              <w:pStyle w:val="Underskrifter"/>
              <w:shd w:val="clear" w:color="000000" w:fill="auto"/>
            </w:pPr>
            <w:r w:rsidRPr="00A249DD">
              <w:t>Eva Olofsson (V)</w:t>
            </w:r>
          </w:p>
        </w:tc>
      </w:tr>
      <w:tr w:rsidR="00000000" w:rsidRPr="00A249DD">
        <w:trPr>
          <w:cantSplit/>
        </w:trPr>
        <w:tc>
          <w:tcPr>
            <w:tcW w:w="3046" w:type="dxa"/>
          </w:tcPr>
          <w:p w:rsidR="000F26AF" w:rsidRPr="00A249DD" w:rsidRDefault="000F26AF">
            <w:pPr>
              <w:pStyle w:val="Underskrifter"/>
              <w:shd w:val="clear" w:color="000000" w:fill="auto"/>
            </w:pPr>
            <w:r w:rsidRPr="00A249DD">
              <w:t>Jonas Sjöstedt (V)</w:t>
            </w:r>
          </w:p>
        </w:tc>
        <w:tc>
          <w:tcPr>
            <w:tcW w:w="3046" w:type="dxa"/>
          </w:tcPr>
          <w:p w:rsidR="000F26AF" w:rsidRPr="00A249DD" w:rsidRDefault="000F26AF">
            <w:pPr>
              <w:pStyle w:val="Underskrifter"/>
              <w:shd w:val="clear" w:color="000000" w:fill="auto"/>
            </w:pPr>
            <w:r w:rsidRPr="00A249DD">
              <w:t>Mia Sydow Mölleby (V)</w:t>
            </w:r>
          </w:p>
        </w:tc>
      </w:tr>
      <w:tr w:rsidR="00000000" w:rsidRPr="00A249DD">
        <w:trPr>
          <w:cantSplit/>
        </w:trPr>
        <w:tc>
          <w:tcPr>
            <w:tcW w:w="3046" w:type="dxa"/>
          </w:tcPr>
          <w:p w:rsidR="000F26AF" w:rsidRPr="00A249DD" w:rsidRDefault="000F26AF">
            <w:pPr>
              <w:pStyle w:val="Underskrifter"/>
              <w:shd w:val="clear" w:color="000000" w:fill="auto"/>
            </w:pPr>
            <w:r w:rsidRPr="00A249DD">
              <w:t>Ulla Andersson (V)</w:t>
            </w:r>
          </w:p>
        </w:tc>
        <w:tc>
          <w:tcPr>
            <w:tcW w:w="3046" w:type="dxa"/>
          </w:tcPr>
          <w:p w:rsidR="000F26AF" w:rsidRPr="00A249DD" w:rsidRDefault="000F26AF">
            <w:pPr>
              <w:pStyle w:val="Underskrifter"/>
              <w:shd w:val="clear" w:color="000000" w:fill="auto"/>
            </w:pPr>
          </w:p>
        </w:tc>
      </w:tr>
    </w:tbl>
    <w:p w:rsidR="000F26AF" w:rsidRPr="00A249DD" w:rsidRDefault="000F26AF">
      <w:pPr>
        <w:pStyle w:val="Normaltindrag"/>
        <w:shd w:val="clear" w:color="000000" w:fill="auto"/>
      </w:pPr>
    </w:p>
    <w:sectPr w:rsidR="000F26AF" w:rsidRPr="00A249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6AF" w:rsidRPr="00A249DD" w:rsidRDefault="000F26AF">
      <w:r w:rsidRPr="00A249DD">
        <w:separator/>
      </w:r>
    </w:p>
  </w:endnote>
  <w:endnote w:type="continuationSeparator" w:id="0">
    <w:p w:rsidR="000F26AF" w:rsidRPr="00A249DD" w:rsidRDefault="000F26AF">
      <w:r w:rsidRPr="00A24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A249DD">
    <w:pPr>
      <w:pStyle w:val="Sidfot"/>
    </w:pPr>
    <w:r w:rsidRPr="00A24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213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AF" w:rsidRDefault="000F2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26AF" w:rsidRDefault="000F2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A249DD">
    <w:pPr>
      <w:pStyle w:val="Sidfot"/>
    </w:pPr>
    <w:r w:rsidRPr="00A24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765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AF" w:rsidRDefault="000F26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26AF" w:rsidRDefault="000F26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A249DD">
    <w:pPr>
      <w:pStyle w:val="Sidfot"/>
    </w:pPr>
    <w:r w:rsidRPr="00A24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011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AF" w:rsidRDefault="000F2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26AF" w:rsidRDefault="000F2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6AF" w:rsidRPr="00A249DD" w:rsidRDefault="000F26AF">
      <w:r w:rsidRPr="00A249DD">
        <w:separator/>
      </w:r>
    </w:p>
  </w:footnote>
  <w:footnote w:type="continuationSeparator" w:id="0">
    <w:p w:rsidR="000F26AF" w:rsidRPr="00A249DD" w:rsidRDefault="000F26AF">
      <w:r w:rsidRPr="00A24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A249DD">
    <w:pPr>
      <w:pStyle w:val="Sidhuvud"/>
    </w:pPr>
    <w:r w:rsidRPr="00A24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683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AF" w:rsidRDefault="000F2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26AF" w:rsidRDefault="000F2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A249DD">
    <w:pPr>
      <w:pStyle w:val="Sidhuvud"/>
    </w:pPr>
    <w:r w:rsidRPr="00A24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590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6AF" w:rsidRDefault="000F2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26AF" w:rsidRDefault="000F2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6AF" w:rsidRPr="00A249DD" w:rsidRDefault="000F26AF">
    <w:pPr>
      <w:pStyle w:val="FSHNormal"/>
      <w:tabs>
        <w:tab w:val="right" w:pos="5840"/>
      </w:tabs>
    </w:pPr>
    <w:r w:rsidRPr="00A249DD">
      <w:br/>
    </w:r>
    <w:r w:rsidRPr="00A249DD">
      <w:fldChar w:fldCharType="begin" w:fldLock="1"/>
    </w:r>
    <w:r w:rsidRPr="00A249DD">
      <w:instrText xml:space="preserve"> DOCPROPERTY</w:instrText>
    </w:r>
    <w:r w:rsidRPr="00A249DD">
      <w:rPr>
        <w:sz w:val="18"/>
      </w:rPr>
      <w:instrText xml:space="preserve"> "YearUser" *\charformat </w:instrText>
    </w:r>
    <w:r w:rsidRPr="00A249DD">
      <w:fldChar w:fldCharType="separate"/>
    </w:r>
    <w:r w:rsidRPr="00A249DD">
      <w:t>2011/12</w:t>
    </w:r>
    <w:r w:rsidRPr="00A249DD">
      <w:fldChar w:fldCharType="end"/>
    </w:r>
    <w:r w:rsidRPr="00A249DD">
      <w:t xml:space="preserve"> </w:t>
    </w:r>
    <w:r w:rsidRPr="00A249DD">
      <w:tab/>
      <w:t xml:space="preserve">mnr: </w:t>
    </w:r>
    <w:r w:rsidRPr="00A249DD">
      <w:fldChar w:fldCharType="begin" w:fldLock="1"/>
    </w:r>
    <w:r w:rsidRPr="00A249DD">
      <w:instrText xml:space="preserve"> DOCPROPERTY</w:instrText>
    </w:r>
    <w:r w:rsidRPr="00A249DD">
      <w:rPr>
        <w:sz w:val="18"/>
      </w:rPr>
      <w:instrText xml:space="preserve"> "Motionsnummer" *\charformat </w:instrText>
    </w:r>
    <w:r w:rsidRPr="00A249DD">
      <w:fldChar w:fldCharType="separate"/>
    </w:r>
    <w:r w:rsidRPr="00A249DD">
      <w:t>Fi296</w:t>
    </w:r>
    <w:r w:rsidRPr="00A249DD">
      <w:fldChar w:fldCharType="end"/>
    </w:r>
    <w:r w:rsidRPr="00A249DD">
      <w:br/>
    </w:r>
    <w:r w:rsidRPr="00A249DD">
      <w:fldChar w:fldCharType="begin" w:fldLock="1"/>
    </w:r>
    <w:r w:rsidRPr="00A249DD">
      <w:instrText xml:space="preserve"> DOCPROPERTY</w:instrText>
    </w:r>
    <w:r w:rsidRPr="00A249DD">
      <w:rPr>
        <w:sz w:val="18"/>
      </w:rPr>
      <w:instrText xml:space="preserve"> "Samling" *\charformat </w:instrText>
    </w:r>
    <w:r w:rsidRPr="00A249DD">
      <w:fldChar w:fldCharType="end"/>
    </w:r>
    <w:r w:rsidRPr="00A249DD">
      <w:tab/>
      <w:t xml:space="preserve">pnr: </w:t>
    </w:r>
    <w:r w:rsidRPr="00A249DD">
      <w:fldChar w:fldCharType="begin" w:fldLock="1"/>
    </w:r>
    <w:r w:rsidRPr="00A249DD">
      <w:instrText xml:space="preserve"> DOCPROPERTY</w:instrText>
    </w:r>
    <w:r w:rsidRPr="00A249DD">
      <w:rPr>
        <w:sz w:val="18"/>
      </w:rPr>
      <w:instrText xml:space="preserve"> "Partinummer" *\charformat </w:instrText>
    </w:r>
    <w:r w:rsidRPr="00A249DD">
      <w:fldChar w:fldCharType="separate"/>
    </w:r>
    <w:r w:rsidRPr="00A249DD">
      <w:t>V347</w:t>
    </w:r>
    <w:r w:rsidRPr="00A249DD">
      <w:fldChar w:fldCharType="end"/>
    </w:r>
  </w:p>
  <w:p w:rsidR="000F26AF" w:rsidRPr="00A249DD" w:rsidRDefault="000F26AF">
    <w:pPr>
      <w:pStyle w:val="FSHRub1"/>
    </w:pPr>
    <w:r w:rsidRPr="00A249DD">
      <w:t>Motion till riksdagen</w:t>
    </w:r>
    <w:r w:rsidRPr="00A249DD">
      <w:br/>
    </w:r>
    <w:r w:rsidRPr="00A249DD">
      <w:fldChar w:fldCharType="begin" w:fldLock="1"/>
    </w:r>
    <w:r w:rsidRPr="00A249DD">
      <w:instrText xml:space="preserve"> DOCPROPERTY "YearUser" *\charformat </w:instrText>
    </w:r>
    <w:r w:rsidRPr="00A249DD">
      <w:fldChar w:fldCharType="separate"/>
    </w:r>
    <w:r w:rsidRPr="00A249DD">
      <w:t>2011/12</w:t>
    </w:r>
    <w:r w:rsidRPr="00A249DD">
      <w:fldChar w:fldCharType="end"/>
    </w:r>
    <w:r w:rsidRPr="00A249DD">
      <w:t>:</w:t>
    </w:r>
    <w:r w:rsidRPr="00A249DD">
      <w:fldChar w:fldCharType="begin" w:fldLock="1"/>
    </w:r>
    <w:r w:rsidRPr="00A249DD">
      <w:instrText xml:space="preserve"> DOCPROPERTY "Motionsnummer" *\charformat </w:instrText>
    </w:r>
    <w:r w:rsidRPr="00A249DD">
      <w:fldChar w:fldCharType="separate"/>
    </w:r>
    <w:r w:rsidRPr="00A249DD">
      <w:t>Fi296</w:t>
    </w:r>
    <w:r w:rsidRPr="00A249DD">
      <w:fldChar w:fldCharType="end"/>
    </w:r>
  </w:p>
  <w:p w:rsidR="000F26AF" w:rsidRPr="00A249DD" w:rsidRDefault="000F26AF">
    <w:pPr>
      <w:pStyle w:val="FSHNormalS5"/>
    </w:pPr>
    <w:r w:rsidRPr="00A249DD">
      <w:fldChar w:fldCharType="begin" w:fldLock="1"/>
    </w:r>
    <w:r w:rsidRPr="00A249DD">
      <w:instrText xml:space="preserve"> DOCPROPERTY "MotionarText" *\charformat </w:instrText>
    </w:r>
    <w:r w:rsidRPr="00A249DD">
      <w:fldChar w:fldCharType="separate"/>
    </w:r>
    <w:r w:rsidRPr="00A249DD">
      <w:t>av Lars Ohly m.fl. (V)</w:t>
    </w:r>
    <w:r w:rsidRPr="00A249DD">
      <w:fldChar w:fldCharType="end"/>
    </w:r>
    <w:r w:rsidRPr="00A249DD">
      <w:br/>
    </w:r>
    <w:r w:rsidRPr="00A249DD">
      <w:fldChar w:fldCharType="begin" w:fldLock="1"/>
    </w:r>
    <w:r w:rsidRPr="00A249DD">
      <w:instrText xml:space="preserve"> DOCPROPERTY "SvarFrasKort" *\charformat </w:instrText>
    </w:r>
    <w:r w:rsidRPr="00A249DD">
      <w:fldChar w:fldCharType="end"/>
    </w:r>
  </w:p>
  <w:p w:rsidR="000F26AF" w:rsidRPr="00A249DD" w:rsidRDefault="000F26AF">
    <w:pPr>
      <w:pStyle w:val="FSHTitel"/>
    </w:pPr>
    <w:r w:rsidRPr="00A249DD">
      <w:fldChar w:fldCharType="begin" w:fldLock="1"/>
    </w:r>
    <w:r w:rsidRPr="00A249DD">
      <w:instrText xml:space="preserve"> DOCPROPERTY</w:instrText>
    </w:r>
    <w:r w:rsidRPr="00A249DD">
      <w:rPr>
        <w:sz w:val="18"/>
      </w:rPr>
      <w:instrText xml:space="preserve"> "RubrikSvar" *\charformat </w:instrText>
    </w:r>
    <w:r w:rsidRPr="00A249DD">
      <w:fldChar w:fldCharType="separate"/>
    </w:r>
    <w:r w:rsidRPr="00A249DD">
      <w:t>Utgiftsområde 25 Allmänna bidrag till kommuner</w:t>
    </w:r>
    <w:r w:rsidRPr="00A249DD">
      <w:fldChar w:fldCharType="end"/>
    </w:r>
  </w:p>
  <w:p w:rsidR="000F26AF" w:rsidRPr="00A249DD" w:rsidRDefault="000F26AF">
    <w:pPr>
      <w:pStyle w:val="Normal00"/>
    </w:pPr>
  </w:p>
  <w:p w:rsidR="000F26AF" w:rsidRPr="00A249DD" w:rsidRDefault="000F2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1485697">
    <w:abstractNumId w:val="3"/>
  </w:num>
  <w:num w:numId="2" w16cid:durableId="695158944">
    <w:abstractNumId w:val="2"/>
  </w:num>
  <w:num w:numId="3" w16cid:durableId="1629508995">
    <w:abstractNumId w:val="1"/>
  </w:num>
  <w:num w:numId="4" w16cid:durableId="1083375838">
    <w:abstractNumId w:val="0"/>
  </w:num>
  <w:num w:numId="5" w16cid:durableId="1794324364">
    <w:abstractNumId w:val="7"/>
  </w:num>
  <w:num w:numId="6" w16cid:durableId="896281368">
    <w:abstractNumId w:val="6"/>
  </w:num>
  <w:num w:numId="7" w16cid:durableId="2066562487">
    <w:abstractNumId w:val="5"/>
  </w:num>
  <w:num w:numId="8" w16cid:durableId="1469662471">
    <w:abstractNumId w:val="4"/>
  </w:num>
  <w:num w:numId="9" w16cid:durableId="1870485708">
    <w:abstractNumId w:val="8"/>
  </w:num>
  <w:num w:numId="10" w16cid:durableId="1151751212">
    <w:abstractNumId w:val="9"/>
  </w:num>
  <w:num w:numId="11" w16cid:durableId="1700813548">
    <w:abstractNumId w:val="10"/>
  </w:num>
  <w:num w:numId="12" w16cid:durableId="1619334866">
    <w:abstractNumId w:val="13"/>
  </w:num>
  <w:num w:numId="13" w16cid:durableId="790443330">
    <w:abstractNumId w:val="15"/>
  </w:num>
  <w:num w:numId="14" w16cid:durableId="1541823678">
    <w:abstractNumId w:val="16"/>
  </w:num>
  <w:num w:numId="15" w16cid:durableId="950824256">
    <w:abstractNumId w:val="11"/>
  </w:num>
  <w:num w:numId="16" w16cid:durableId="139076897">
    <w:abstractNumId w:val="18"/>
  </w:num>
  <w:num w:numId="17" w16cid:durableId="703671882">
    <w:abstractNumId w:val="17"/>
  </w:num>
  <w:num w:numId="18" w16cid:durableId="2081978739">
    <w:abstractNumId w:val="14"/>
  </w:num>
  <w:num w:numId="19" w16cid:durableId="1935555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53F0F50-6F1F-4A36-9FEB-9B3CE8CAF153},{00468181-7122-42C5-877E-69489063FE94},{A3B7BC79-15BA-4C82-9CD3-12632F50DBA0},{DA248C4D-AFF6-4AC5-94CA-AED252C8C8C8},{A7313DCE-0B34-4C27-86F8-BEBB9AB9F316},{9757EBE9-5352-471C-B04A-E35C112BD16A}"/>
  </w:docVars>
  <w:rsids>
    <w:rsidRoot w:val="00DC0DA4"/>
    <w:rsid w:val="000F26AF"/>
    <w:rsid w:val="00A249DD"/>
    <w:rsid w:val="00DC0D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C86D3B-1A4F-48D8-AA64-6FA8E467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96161">
      <w:bodyDiv w:val="1"/>
      <w:marLeft w:val="0"/>
      <w:marRight w:val="0"/>
      <w:marTop w:val="0"/>
      <w:marBottom w:val="0"/>
      <w:divBdr>
        <w:top w:val="none" w:sz="0" w:space="0" w:color="auto"/>
        <w:left w:val="none" w:sz="0" w:space="0" w:color="auto"/>
        <w:bottom w:val="none" w:sz="0" w:space="0" w:color="auto"/>
        <w:right w:val="none" w:sz="0" w:space="0" w:color="auto"/>
      </w:divBdr>
    </w:div>
    <w:div w:id="1526672658">
      <w:bodyDiv w:val="1"/>
      <w:marLeft w:val="0"/>
      <w:marRight w:val="0"/>
      <w:marTop w:val="0"/>
      <w:marBottom w:val="0"/>
      <w:divBdr>
        <w:top w:val="none" w:sz="0" w:space="0" w:color="auto"/>
        <w:left w:val="none" w:sz="0" w:space="0" w:color="auto"/>
        <w:bottom w:val="none" w:sz="0" w:space="0" w:color="auto"/>
        <w:right w:val="none" w:sz="0" w:space="0" w:color="auto"/>
      </w:divBdr>
    </w:div>
    <w:div w:id="18044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4965</Characters>
  <Application>Microsoft Office Word</Application>
  <DocSecurity>4</DocSecurity>
  <Lines>112</Lines>
  <Paragraphs>41</Paragraphs>
  <ScaleCrop>false</ScaleCrop>
  <HeadingPairs>
    <vt:vector size="2" baseType="variant">
      <vt:variant>
        <vt:lpstr>Rubrik</vt:lpstr>
      </vt:variant>
      <vt:variant>
        <vt:i4>1</vt:i4>
      </vt:variant>
    </vt:vector>
  </HeadingPairs>
  <TitlesOfParts>
    <vt:vector size="1" baseType="lpstr">
      <vt:lpstr>V347</vt:lpstr>
    </vt:vector>
  </TitlesOfParts>
  <Company>Riksdagen</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V347</dc:title>
  <dc:subject>V347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2011-11-05T08:12:00Z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(V)\Linde, Hans (V)\Olofsson, Eva (V)\Sjöstedt, Jonas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Hans Linde (V), Eva Olofsson (V), Jonas Sjöstedt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20112012000000000086000003470080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20112012000000000086000003470080</vt:lpwstr>
  </property>
  <property fmtid="{D5CDD505-2E9C-101B-9397-08002B2CF9AE}" pid="50" name="nummer">
    <vt:lpwstr>296</vt:lpwstr>
  </property>
  <property fmtid="{D5CDD505-2E9C-101B-9397-08002B2CF9AE}" pid="51" name="utskottsbeteckning">
    <vt:lpwstr>Fi</vt:lpwstr>
  </property>
  <property fmtid="{D5CDD505-2E9C-101B-9397-08002B2CF9AE}" pid="52" name="GlobalUID">
    <vt:lpwstr>{2851A1D3-223B-492B-97E0-A4AC1ACF5233}</vt:lpwstr>
  </property>
  <property fmtid="{D5CDD505-2E9C-101B-9397-08002B2CF9AE}" pid="53" name="Överföringar">
    <vt:i4>0</vt:i4>
  </property>
  <property fmtid="{D5CDD505-2E9C-101B-9397-08002B2CF9AE}" pid="54" name="Checksum">
    <vt:lpwstr>*1013330627105*</vt:lpwstr>
  </property>
  <property fmtid="{D5CDD505-2E9C-101B-9397-08002B2CF9AE}" pid="55" name="skuggnummer">
    <vt:lpwstr>2957</vt:lpwstr>
  </property>
  <property fmtid="{D5CDD505-2E9C-101B-9397-08002B2CF9AE}" pid="56" name="urixVersion">
    <vt:lpwstr>4.5.0.25</vt:lpwstr>
  </property>
  <property fmtid="{D5CDD505-2E9C-101B-9397-08002B2CF9AE}" pid="57" name="urixOrigin">
    <vt:lpwstr>111105 09:12:55.609</vt:lpwstr>
  </property>
  <property fmtid="{D5CDD505-2E9C-101B-9397-08002B2CF9AE}" pid="58" name="urixGuid">
    <vt:lpwstr>{53DCD985-262C-4E7A-9EA7-D30180BC0870}</vt:lpwstr>
  </property>
</Properties>
</file>