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5A4" w:rsidRPr="00E327F0" w:rsidRDefault="00F505A4">
      <w:pPr>
        <w:pStyle w:val="Hemstlrubrik"/>
      </w:pPr>
      <w:r w:rsidRPr="00E327F0">
        <w:t>Förslag till riksdagsbeslut</w:t>
      </w:r>
    </w:p>
    <w:p w:rsidR="00F505A4" w:rsidRPr="00E327F0" w:rsidRDefault="00F505A4">
      <w:pPr>
        <w:pStyle w:val="Hemstlatt"/>
        <w:ind w:left="0"/>
      </w:pPr>
      <w:r w:rsidRPr="00E327F0">
        <w:t>Riksdagen avslår proposition 2008/09:4 Ändrad sa</w:t>
      </w:r>
      <w:r w:rsidRPr="00E327F0">
        <w:t>m</w:t>
      </w:r>
      <w:r w:rsidRPr="00E327F0">
        <w:t>mansättning i Arbetsdomstolen i diskrimineringstvi</w:t>
      </w:r>
      <w:r w:rsidRPr="00E327F0">
        <w:t>s</w:t>
      </w:r>
      <w:r w:rsidRPr="00E327F0">
        <w:t>ter.</w:t>
      </w:r>
    </w:p>
    <w:p w:rsidR="00F505A4" w:rsidRPr="00E327F0" w:rsidRDefault="00F505A4">
      <w:pPr>
        <w:pStyle w:val="Rubrik1"/>
      </w:pPr>
      <w:r w:rsidRPr="00E327F0">
        <w:t>Propositionens huvudsakliga innehåll</w:t>
      </w:r>
    </w:p>
    <w:p w:rsidR="00F505A4" w:rsidRPr="00E327F0" w:rsidRDefault="00F505A4">
      <w:r w:rsidRPr="00E327F0">
        <w:t>I propositionen föreslås att ett mål där ett yrkande helt eller delvis grundas på ett sådant förhållande som avses i den nya diskrimineringslagen (2008:567) ska avgöras av Arbetsdomstolen i en sammansättning med fem ledamöter, varav en för vardera arbetsgivar- och arbetstagarsidan. Vidare föreslås att domstolen vid hanteringen av diskrimineringsmål även ska vara domför i en sammansättning med tre lagfarna domare vid behandling av frågor om prö</w:t>
      </w:r>
      <w:r w:rsidRPr="00E327F0">
        <w:t>v</w:t>
      </w:r>
      <w:r w:rsidRPr="00E327F0">
        <w:t>ningstillstånd eller vid prövning av annat än arbetsrättsliga frågor som inte sker vid huvudförhandling. Ändringarna föreslås träda i kraft den 1 januari 2009.</w:t>
      </w:r>
    </w:p>
    <w:p w:rsidR="00F505A4" w:rsidRPr="00E327F0" w:rsidRDefault="00F505A4">
      <w:pPr>
        <w:pStyle w:val="Rubrik1"/>
      </w:pPr>
      <w:r w:rsidRPr="00E327F0">
        <w:t>Motivering</w:t>
      </w:r>
    </w:p>
    <w:p w:rsidR="00F505A4" w:rsidRPr="00E327F0" w:rsidRDefault="00F505A4">
      <w:pPr>
        <w:autoSpaceDE w:val="0"/>
        <w:autoSpaceDN w:val="0"/>
        <w:adjustRightInd w:val="0"/>
        <w:rPr>
          <w:szCs w:val="24"/>
        </w:rPr>
      </w:pPr>
      <w:r w:rsidRPr="00E327F0">
        <w:rPr>
          <w:szCs w:val="24"/>
        </w:rPr>
        <w:t>Den del av diskrimineringslagstiftningen som rör arbetslivet måste samspela med övrig arbetsrättslig lagstiftning och de normer och tvistlösningsmek</w:t>
      </w:r>
      <w:r w:rsidRPr="00E327F0">
        <w:rPr>
          <w:szCs w:val="24"/>
        </w:rPr>
        <w:t>a</w:t>
      </w:r>
      <w:r w:rsidRPr="00E327F0">
        <w:rPr>
          <w:szCs w:val="24"/>
        </w:rPr>
        <w:t>nismer som är etablerade på arbetsmarknaden. De viktigaste aktörerna på arbetsmarknaden är de fackliga organisationerna och arbetsgivarorganisati</w:t>
      </w:r>
      <w:r w:rsidRPr="00E327F0">
        <w:rPr>
          <w:szCs w:val="24"/>
        </w:rPr>
        <w:t>o</w:t>
      </w:r>
      <w:r w:rsidRPr="00E327F0">
        <w:rPr>
          <w:szCs w:val="24"/>
        </w:rPr>
        <w:t>nerna.</w:t>
      </w:r>
    </w:p>
    <w:p w:rsidR="00F505A4" w:rsidRPr="00E327F0" w:rsidRDefault="00F505A4">
      <w:pPr>
        <w:pStyle w:val="Normaltindrag"/>
        <w:rPr>
          <w:szCs w:val="24"/>
        </w:rPr>
      </w:pPr>
      <w:r w:rsidRPr="00E327F0">
        <w:lastRenderedPageBreak/>
        <w:t>Vänsterpartiet motionerade därför till propositionen om ny diskrimin</w:t>
      </w:r>
      <w:r w:rsidRPr="00E327F0">
        <w:t>e</w:t>
      </w:r>
      <w:r w:rsidRPr="00E327F0">
        <w:t>ringslagstiftning att den del av diskrimineringslagstiftningen som rör arbetsl</w:t>
      </w:r>
      <w:r w:rsidRPr="00E327F0">
        <w:t>i</w:t>
      </w:r>
      <w:r w:rsidRPr="00E327F0">
        <w:t>vet ska samlas i en separat lag. LO, TCO och Saco har gemensamt lyft fram detta förslag i sitt särskilda yttrande till Diskrimineringskommitténs slutb</w:t>
      </w:r>
      <w:r w:rsidRPr="00E327F0">
        <w:t>e</w:t>
      </w:r>
      <w:r w:rsidRPr="00E327F0">
        <w:t>tänkande (SOU 2006:22). De fackliga or</w:t>
      </w:r>
      <w:r w:rsidRPr="00E327F0">
        <w:rPr>
          <w:szCs w:val="24"/>
        </w:rPr>
        <w:t>ganisationerna betonar att relationen mellan arbetsgivare och arbetstagare är speciell och att den normbildning som föreligger i arbetslivet inte finns inom andra samhällsområden. Den arbet</w:t>
      </w:r>
      <w:r w:rsidRPr="00E327F0">
        <w:rPr>
          <w:szCs w:val="24"/>
        </w:rPr>
        <w:t>s</w:t>
      </w:r>
      <w:r w:rsidRPr="00E327F0">
        <w:rPr>
          <w:szCs w:val="24"/>
        </w:rPr>
        <w:t>rättsliga regleringen har i den svenska arbetsmarknad</w:t>
      </w:r>
      <w:r w:rsidRPr="00E327F0">
        <w:rPr>
          <w:szCs w:val="24"/>
        </w:rPr>
        <w:t>smodellen en struktur som består av regler i såväl lagstiftning och kollektivavtal som enskilda avtal. Diskrimineringsskyddet i arbetslivet bygger på ett samspel mellan alla dessa regler. Arbetsdomstolen och dess sammansättning är en viktig del av dessa principiella ställningstaganden.</w:t>
      </w:r>
    </w:p>
    <w:p w:rsidR="00F505A4" w:rsidRPr="00E327F0" w:rsidRDefault="00F505A4">
      <w:pPr>
        <w:pStyle w:val="Rubrik1"/>
      </w:pPr>
      <w:r w:rsidRPr="00E327F0">
        <w:t>Saklig grund för ändring saknas</w:t>
      </w:r>
    </w:p>
    <w:p w:rsidR="00F505A4" w:rsidRPr="00E327F0" w:rsidRDefault="00F505A4">
      <w:pPr>
        <w:rPr>
          <w:color w:val="000000"/>
          <w:szCs w:val="24"/>
        </w:rPr>
      </w:pPr>
      <w:r w:rsidRPr="00E327F0">
        <w:t>Remissinstanserna har efterfrågat saklig grund till att förändra sammansät</w:t>
      </w:r>
      <w:r w:rsidRPr="00E327F0">
        <w:t>t</w:t>
      </w:r>
      <w:r w:rsidRPr="00E327F0">
        <w:t xml:space="preserve">ningen i Arbetsdomstolen. Bland annat säger Lagrådet att förslaget inte </w:t>
      </w:r>
      <w:r w:rsidRPr="00E327F0">
        <w:rPr>
          <w:color w:val="000000"/>
          <w:szCs w:val="24"/>
        </w:rPr>
        <w:t>bör föras vidare och anför att det inte framgår av lagrådsremissen varför påstådd diskriminering skulle motivera en ändring av bestämmelserna om Arbetsdo</w:t>
      </w:r>
      <w:r w:rsidRPr="00E327F0">
        <w:rPr>
          <w:color w:val="000000"/>
          <w:szCs w:val="24"/>
        </w:rPr>
        <w:t>m</w:t>
      </w:r>
      <w:r w:rsidRPr="00E327F0">
        <w:rPr>
          <w:color w:val="000000"/>
          <w:szCs w:val="24"/>
        </w:rPr>
        <w:t>stolens sammansättning. Lagrådet kan inte finna skäl för att en talan i en a</w:t>
      </w:r>
      <w:r w:rsidRPr="00E327F0">
        <w:rPr>
          <w:color w:val="000000"/>
          <w:szCs w:val="24"/>
        </w:rPr>
        <w:t>r</w:t>
      </w:r>
      <w:r w:rsidRPr="00E327F0">
        <w:rPr>
          <w:color w:val="000000"/>
          <w:szCs w:val="24"/>
        </w:rPr>
        <w:t>betstvist som helt eller delvis grundas på diskriminering enligt diskrimin</w:t>
      </w:r>
      <w:r w:rsidRPr="00E327F0">
        <w:rPr>
          <w:color w:val="000000"/>
          <w:szCs w:val="24"/>
        </w:rPr>
        <w:t>e</w:t>
      </w:r>
      <w:r w:rsidRPr="00E327F0">
        <w:rPr>
          <w:color w:val="000000"/>
          <w:szCs w:val="24"/>
        </w:rPr>
        <w:t>ringslagen intar en sådan särställning att särskilda bestämmelser om Arbet</w:t>
      </w:r>
      <w:r w:rsidRPr="00E327F0">
        <w:rPr>
          <w:color w:val="000000"/>
          <w:szCs w:val="24"/>
        </w:rPr>
        <w:t>s</w:t>
      </w:r>
      <w:r w:rsidRPr="00E327F0">
        <w:rPr>
          <w:color w:val="000000"/>
          <w:szCs w:val="24"/>
        </w:rPr>
        <w:t>domstolens sammansättning krävs.</w:t>
      </w:r>
    </w:p>
    <w:p w:rsidR="00F505A4" w:rsidRPr="00E327F0" w:rsidRDefault="00F505A4">
      <w:pPr>
        <w:pStyle w:val="Citat"/>
      </w:pPr>
      <w:r w:rsidRPr="00E327F0">
        <w:rPr>
          <w:color w:val="000000"/>
        </w:rPr>
        <w:t>I remissomgången framhöll</w:t>
      </w:r>
      <w:r w:rsidRPr="00E327F0">
        <w:rPr>
          <w:color w:val="000000"/>
        </w:rPr>
        <w:t xml:space="preserve"> TCO följande: TCO </w:t>
      </w:r>
      <w:r w:rsidRPr="00E327F0">
        <w:t>ställer sig frågande till vilken grund det finns för att misstänka att rättssökande skulle vara av uppfattningen att AD på grund av sin sammansättning skulle vara partisk i mål om diskriminering? Promemorian pekar inte på något som styrker påståendet eller visar på mål där detta skulle ha ägt rum. Exempel på fall där AD:s fyra s k intresseledamöter gemensamt gått emot ämbetsmann</w:t>
      </w:r>
      <w:r w:rsidRPr="00E327F0">
        <w:t>a</w:t>
      </w:r>
      <w:r w:rsidRPr="00E327F0">
        <w:t>ledamöterna och drivit genom att en diskrimineringstalan ska ogillas har heller aldrig skett. TCO ser snarare a</w:t>
      </w:r>
      <w:r w:rsidRPr="00E327F0">
        <w:t>tt domstolens samlade kompetens i mål rörande diskriminering blir mindre ju färre ledamöter som deltar, vilket också promemorian kommer fram till på sida fem. Det finns skäl att erinra om att de ledamöter som utses efter förslag från arbetsmarkn</w:t>
      </w:r>
      <w:r w:rsidRPr="00E327F0">
        <w:t>a</w:t>
      </w:r>
      <w:r w:rsidRPr="00E327F0">
        <w:t>dens parter avger domared och ingalunda sitter i domstolen som tale</w:t>
      </w:r>
      <w:r w:rsidRPr="00E327F0">
        <w:t>s</w:t>
      </w:r>
      <w:r w:rsidRPr="00E327F0">
        <w:t>män/kvinnor för sina respektive centralorganisationer.</w:t>
      </w:r>
    </w:p>
    <w:p w:rsidR="00F505A4" w:rsidRPr="00E327F0" w:rsidRDefault="00F505A4">
      <w:pPr>
        <w:pStyle w:val="Citatindrag"/>
      </w:pPr>
      <w:r w:rsidRPr="00E327F0">
        <w:t>Diskrimineringskommittén konstaterade också i sitt slutbetänkande (SOU 2006:22) – efter en gedigen genomgång av praxis – att det inte finns någ</w:t>
      </w:r>
      <w:r w:rsidRPr="00E327F0">
        <w:t>ra rättsliga skäl att ändra AD:s sammansättning i diskrimin</w:t>
      </w:r>
      <w:r w:rsidRPr="00E327F0">
        <w:t>e</w:t>
      </w:r>
      <w:r w:rsidRPr="00E327F0">
        <w:t>ringsmålen. TCO instämmer till fullo i denna slutsats.</w:t>
      </w:r>
    </w:p>
    <w:p w:rsidR="00F505A4" w:rsidRPr="00E327F0" w:rsidRDefault="00F505A4">
      <w:r w:rsidRPr="00E327F0">
        <w:t>Vänsterpartiet har inte funnit bevis för att sammansättningen påverkat u</w:t>
      </w:r>
      <w:r w:rsidRPr="00E327F0">
        <w:t>t</w:t>
      </w:r>
      <w:r w:rsidRPr="00E327F0">
        <w:t>gången av diskrimineringsmål i Arbetsdomstolen. Riksdagen bör därför avslå propositionen.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27F0">
        <w:trPr>
          <w:cantSplit/>
        </w:trPr>
        <w:tc>
          <w:tcPr>
            <w:tcW w:w="3046" w:type="dxa"/>
          </w:tcPr>
          <w:p w:rsidR="00F505A4" w:rsidRPr="00E327F0" w:rsidRDefault="00F505A4">
            <w:pPr>
              <w:pStyle w:val="UnderskriftDatum"/>
              <w:spacing w:before="240"/>
            </w:pPr>
            <w:r w:rsidRPr="00E327F0">
              <w:t>Stockholm den 2 oktober 2008</w:t>
            </w:r>
          </w:p>
        </w:tc>
        <w:tc>
          <w:tcPr>
            <w:tcW w:w="3047" w:type="dxa"/>
          </w:tcPr>
          <w:p w:rsidR="00F505A4" w:rsidRPr="00E327F0" w:rsidRDefault="00F505A4">
            <w:pPr>
              <w:pStyle w:val="Underskrifter"/>
              <w:spacing w:before="240"/>
            </w:pPr>
          </w:p>
        </w:tc>
      </w:tr>
      <w:tr w:rsidR="00000000" w:rsidRPr="00E327F0">
        <w:trPr>
          <w:cantSplit/>
        </w:trPr>
        <w:tc>
          <w:tcPr>
            <w:tcW w:w="3046" w:type="dxa"/>
          </w:tcPr>
          <w:p w:rsidR="00F505A4" w:rsidRPr="00E327F0" w:rsidRDefault="00F505A4">
            <w:pPr>
              <w:pStyle w:val="Underskrifter"/>
            </w:pPr>
            <w:r w:rsidRPr="00E327F0">
              <w:t>Josefin Brink (v)</w:t>
            </w:r>
          </w:p>
        </w:tc>
        <w:tc>
          <w:tcPr>
            <w:tcW w:w="3046" w:type="dxa"/>
          </w:tcPr>
          <w:p w:rsidR="00F505A4" w:rsidRPr="00E327F0" w:rsidRDefault="00F505A4">
            <w:pPr>
              <w:pStyle w:val="Underskrifter"/>
            </w:pPr>
            <w:r w:rsidRPr="00E327F0">
              <w:t>Torbjörn Björlund (v)</w:t>
            </w:r>
          </w:p>
        </w:tc>
      </w:tr>
    </w:tbl>
    <w:p w:rsidR="00F505A4" w:rsidRPr="00E327F0" w:rsidRDefault="00F505A4">
      <w:pPr>
        <w:pStyle w:val="Normaltindrag"/>
      </w:pPr>
    </w:p>
    <w:sectPr w:rsidR="00F505A4" w:rsidRPr="00E327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5A4" w:rsidRPr="00E327F0" w:rsidRDefault="00F505A4">
      <w:r w:rsidRPr="00E327F0">
        <w:separator/>
      </w:r>
    </w:p>
  </w:endnote>
  <w:endnote w:type="continuationSeparator" w:id="0">
    <w:p w:rsidR="00F505A4" w:rsidRPr="00E327F0" w:rsidRDefault="00F505A4">
      <w:r w:rsidRPr="00E32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A4" w:rsidRPr="00E327F0" w:rsidRDefault="00E327F0">
    <w:pPr>
      <w:pStyle w:val="Sidfot"/>
    </w:pPr>
    <w:r w:rsidRPr="00E327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7023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5A4" w:rsidRDefault="00F505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5A4" w:rsidRDefault="00F505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A4" w:rsidRPr="00E327F0" w:rsidRDefault="00E327F0">
    <w:pPr>
      <w:pStyle w:val="Sidfot"/>
    </w:pPr>
    <w:r w:rsidRPr="00E327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925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5A4" w:rsidRDefault="00F505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5A4" w:rsidRDefault="00F505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A4" w:rsidRPr="00E327F0" w:rsidRDefault="00E327F0">
    <w:pPr>
      <w:pStyle w:val="Sidfot"/>
    </w:pPr>
    <w:r w:rsidRPr="00E327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909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5A4" w:rsidRDefault="00F505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5A4" w:rsidRDefault="00F505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5A4" w:rsidRPr="00E327F0" w:rsidRDefault="00F505A4">
      <w:r w:rsidRPr="00E327F0">
        <w:separator/>
      </w:r>
    </w:p>
  </w:footnote>
  <w:footnote w:type="continuationSeparator" w:id="0">
    <w:p w:rsidR="00F505A4" w:rsidRPr="00E327F0" w:rsidRDefault="00F505A4">
      <w:r w:rsidRPr="00E327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A4" w:rsidRPr="00E327F0" w:rsidRDefault="00E327F0">
    <w:pPr>
      <w:pStyle w:val="Sidhuvud"/>
    </w:pPr>
    <w:r w:rsidRPr="00E327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071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5A4" w:rsidRDefault="00F505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5A4" w:rsidRDefault="00F505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A4" w:rsidRPr="00E327F0" w:rsidRDefault="00E327F0">
    <w:pPr>
      <w:pStyle w:val="Sidhuvud"/>
    </w:pPr>
    <w:r w:rsidRPr="00E327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215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5A4" w:rsidRDefault="00F505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5A4" w:rsidRDefault="00F505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A4" w:rsidRPr="00E327F0" w:rsidRDefault="00F505A4">
    <w:pPr>
      <w:pStyle w:val="FSHNormal"/>
      <w:tabs>
        <w:tab w:val="right" w:pos="5840"/>
      </w:tabs>
    </w:pPr>
    <w:r w:rsidRPr="00E327F0">
      <w:br/>
    </w:r>
    <w:r w:rsidRPr="00E327F0">
      <w:fldChar w:fldCharType="begin" w:fldLock="1"/>
    </w:r>
    <w:r w:rsidRPr="00E327F0">
      <w:instrText xml:space="preserve"> DOCPROPERTY</w:instrText>
    </w:r>
    <w:r w:rsidRPr="00E327F0">
      <w:rPr>
        <w:sz w:val="18"/>
      </w:rPr>
      <w:instrText xml:space="preserve"> "YearUser" *\charformat </w:instrText>
    </w:r>
    <w:r w:rsidRPr="00E327F0">
      <w:fldChar w:fldCharType="separate"/>
    </w:r>
    <w:r w:rsidRPr="00E327F0">
      <w:t>2008/09</w:t>
    </w:r>
    <w:r w:rsidRPr="00E327F0">
      <w:fldChar w:fldCharType="end"/>
    </w:r>
    <w:r w:rsidRPr="00E327F0">
      <w:t xml:space="preserve"> </w:t>
    </w:r>
    <w:r w:rsidRPr="00E327F0">
      <w:tab/>
      <w:t xml:space="preserve">mnr: </w:t>
    </w:r>
    <w:r w:rsidRPr="00E327F0">
      <w:fldChar w:fldCharType="begin" w:fldLock="1"/>
    </w:r>
    <w:r w:rsidRPr="00E327F0">
      <w:instrText xml:space="preserve"> DOCPROPERTY</w:instrText>
    </w:r>
    <w:r w:rsidRPr="00E327F0">
      <w:rPr>
        <w:sz w:val="18"/>
      </w:rPr>
      <w:instrText xml:space="preserve"> "Motionsnummer" *\charformat </w:instrText>
    </w:r>
    <w:r w:rsidRPr="00E327F0">
      <w:fldChar w:fldCharType="separate"/>
    </w:r>
    <w:r w:rsidRPr="00E327F0">
      <w:t>A4</w:t>
    </w:r>
    <w:r w:rsidRPr="00E327F0">
      <w:fldChar w:fldCharType="end"/>
    </w:r>
    <w:r w:rsidRPr="00E327F0">
      <w:br/>
    </w:r>
    <w:r w:rsidRPr="00E327F0">
      <w:fldChar w:fldCharType="begin" w:fldLock="1"/>
    </w:r>
    <w:r w:rsidRPr="00E327F0">
      <w:instrText xml:space="preserve"> DOCPROPERTY</w:instrText>
    </w:r>
    <w:r w:rsidRPr="00E327F0">
      <w:rPr>
        <w:sz w:val="18"/>
      </w:rPr>
      <w:instrText xml:space="preserve"> "Samling" *\charformat </w:instrText>
    </w:r>
    <w:r w:rsidRPr="00E327F0">
      <w:fldChar w:fldCharType="end"/>
    </w:r>
    <w:r w:rsidRPr="00E327F0">
      <w:tab/>
      <w:t xml:space="preserve">pnr: </w:t>
    </w:r>
    <w:r w:rsidRPr="00E327F0">
      <w:fldChar w:fldCharType="begin" w:fldLock="1"/>
    </w:r>
    <w:r w:rsidRPr="00E327F0">
      <w:instrText xml:space="preserve"> DOCPROPERTY</w:instrText>
    </w:r>
    <w:r w:rsidRPr="00E327F0">
      <w:rPr>
        <w:sz w:val="18"/>
      </w:rPr>
      <w:instrText xml:space="preserve"> "Partinummer" *\charformat </w:instrText>
    </w:r>
    <w:r w:rsidRPr="00E327F0">
      <w:fldChar w:fldCharType="separate"/>
    </w:r>
    <w:r w:rsidRPr="00E327F0">
      <w:t>v6</w:t>
    </w:r>
    <w:r w:rsidRPr="00E327F0">
      <w:fldChar w:fldCharType="end"/>
    </w:r>
  </w:p>
  <w:p w:rsidR="00F505A4" w:rsidRPr="00E327F0" w:rsidRDefault="00F505A4">
    <w:pPr>
      <w:pStyle w:val="FSHRub1"/>
    </w:pPr>
    <w:r w:rsidRPr="00E327F0">
      <w:t>Motion till riksdagen</w:t>
    </w:r>
    <w:r w:rsidRPr="00E327F0">
      <w:br/>
    </w:r>
    <w:r w:rsidRPr="00E327F0">
      <w:fldChar w:fldCharType="begin" w:fldLock="1"/>
    </w:r>
    <w:r w:rsidRPr="00E327F0">
      <w:instrText xml:space="preserve"> DOCPROPERTY "YearUser" *\charformat </w:instrText>
    </w:r>
    <w:r w:rsidRPr="00E327F0">
      <w:fldChar w:fldCharType="separate"/>
    </w:r>
    <w:r w:rsidRPr="00E327F0">
      <w:t>2008/09</w:t>
    </w:r>
    <w:r w:rsidRPr="00E327F0">
      <w:fldChar w:fldCharType="end"/>
    </w:r>
    <w:r w:rsidRPr="00E327F0">
      <w:t>:</w:t>
    </w:r>
    <w:r w:rsidRPr="00E327F0">
      <w:fldChar w:fldCharType="begin" w:fldLock="1"/>
    </w:r>
    <w:r w:rsidRPr="00E327F0">
      <w:instrText xml:space="preserve"> DOCPROPERTY "Motionsnummer" *\charformat </w:instrText>
    </w:r>
    <w:r w:rsidRPr="00E327F0">
      <w:fldChar w:fldCharType="separate"/>
    </w:r>
    <w:r w:rsidRPr="00E327F0">
      <w:t>A4</w:t>
    </w:r>
    <w:r w:rsidRPr="00E327F0">
      <w:fldChar w:fldCharType="end"/>
    </w:r>
  </w:p>
  <w:p w:rsidR="00F505A4" w:rsidRPr="00E327F0" w:rsidRDefault="00F505A4">
    <w:pPr>
      <w:pStyle w:val="FSHNormalS5"/>
    </w:pPr>
    <w:r w:rsidRPr="00E327F0">
      <w:fldChar w:fldCharType="begin" w:fldLock="1"/>
    </w:r>
    <w:r w:rsidRPr="00E327F0">
      <w:instrText xml:space="preserve"> DOCPROPERTY "MotionarText" *\charformat </w:instrText>
    </w:r>
    <w:r w:rsidRPr="00E327F0">
      <w:fldChar w:fldCharType="separate"/>
    </w:r>
    <w:r w:rsidRPr="00E327F0">
      <w:t>av Josefin Brink och Torbjörn Björlund (v)</w:t>
    </w:r>
    <w:r w:rsidRPr="00E327F0">
      <w:fldChar w:fldCharType="end"/>
    </w:r>
    <w:r w:rsidRPr="00E327F0">
      <w:br/>
    </w:r>
    <w:r w:rsidRPr="00E327F0">
      <w:fldChar w:fldCharType="begin" w:fldLock="1"/>
    </w:r>
    <w:r w:rsidRPr="00E327F0">
      <w:instrText xml:space="preserve"> DOCPROPERTY "SvarFrasKort" *\charformat </w:instrText>
    </w:r>
    <w:r w:rsidRPr="00E327F0">
      <w:fldChar w:fldCharType="separate"/>
    </w:r>
    <w:r w:rsidRPr="00E327F0">
      <w:t>med anledning av prop. 2008/09:4</w:t>
    </w:r>
    <w:r w:rsidRPr="00E327F0">
      <w:fldChar w:fldCharType="end"/>
    </w:r>
  </w:p>
  <w:p w:rsidR="00F505A4" w:rsidRPr="00E327F0" w:rsidRDefault="00F505A4">
    <w:pPr>
      <w:pStyle w:val="FSHTitel"/>
    </w:pPr>
    <w:r w:rsidRPr="00E327F0">
      <w:fldChar w:fldCharType="begin" w:fldLock="1"/>
    </w:r>
    <w:r w:rsidRPr="00E327F0">
      <w:instrText xml:space="preserve"> DOCPROPERTY</w:instrText>
    </w:r>
    <w:r w:rsidRPr="00E327F0">
      <w:rPr>
        <w:sz w:val="18"/>
      </w:rPr>
      <w:instrText xml:space="preserve"> "RubrikSvar" *\charformat </w:instrText>
    </w:r>
    <w:r w:rsidRPr="00E327F0">
      <w:fldChar w:fldCharType="separate"/>
    </w:r>
    <w:r w:rsidRPr="00E327F0">
      <w:t>Ändrad sammansättning i Arbetsdomstolen i diskrimineringstvister</w:t>
    </w:r>
    <w:r w:rsidRPr="00E327F0">
      <w:fldChar w:fldCharType="end"/>
    </w:r>
  </w:p>
  <w:p w:rsidR="00F505A4" w:rsidRPr="00E327F0" w:rsidRDefault="00F505A4">
    <w:pPr>
      <w:pStyle w:val="Normal00"/>
    </w:pPr>
  </w:p>
  <w:p w:rsidR="00F505A4" w:rsidRPr="00E327F0" w:rsidRDefault="00F505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7235791">
    <w:abstractNumId w:val="8"/>
  </w:num>
  <w:num w:numId="2" w16cid:durableId="969674103">
    <w:abstractNumId w:val="9"/>
  </w:num>
  <w:num w:numId="3" w16cid:durableId="1301036489">
    <w:abstractNumId w:val="8"/>
  </w:num>
  <w:num w:numId="4" w16cid:durableId="231156492">
    <w:abstractNumId w:val="9"/>
  </w:num>
  <w:num w:numId="5" w16cid:durableId="490099508">
    <w:abstractNumId w:val="13"/>
  </w:num>
  <w:num w:numId="6" w16cid:durableId="969558310">
    <w:abstractNumId w:val="10"/>
  </w:num>
  <w:num w:numId="7" w16cid:durableId="2102950446">
    <w:abstractNumId w:val="11"/>
  </w:num>
  <w:num w:numId="8" w16cid:durableId="318536170">
    <w:abstractNumId w:val="12"/>
  </w:num>
  <w:num w:numId="9" w16cid:durableId="1449273925">
    <w:abstractNumId w:val="8"/>
  </w:num>
  <w:num w:numId="10" w16cid:durableId="1623341855">
    <w:abstractNumId w:val="3"/>
  </w:num>
  <w:num w:numId="11" w16cid:durableId="1445035230">
    <w:abstractNumId w:val="2"/>
  </w:num>
  <w:num w:numId="12" w16cid:durableId="322591473">
    <w:abstractNumId w:val="1"/>
  </w:num>
  <w:num w:numId="13" w16cid:durableId="349064681">
    <w:abstractNumId w:val="0"/>
  </w:num>
  <w:num w:numId="14" w16cid:durableId="855576060">
    <w:abstractNumId w:val="9"/>
  </w:num>
  <w:num w:numId="15" w16cid:durableId="597562115">
    <w:abstractNumId w:val="7"/>
  </w:num>
  <w:num w:numId="16" w16cid:durableId="120347508">
    <w:abstractNumId w:val="6"/>
  </w:num>
  <w:num w:numId="17" w16cid:durableId="1150442110">
    <w:abstractNumId w:val="5"/>
  </w:num>
  <w:num w:numId="18" w16cid:durableId="1776366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52110FCA-F9E2-4E09-B0D3-02206356AC15},{CA6150FB-5665-40EF-A0D0-2FA22432C22C}"/>
  </w:docVars>
  <w:rsids>
    <w:rsidRoot w:val="008F7041"/>
    <w:rsid w:val="008F7041"/>
    <w:rsid w:val="00E327F0"/>
    <w:rsid w:val="00F505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BD3258-7715-4086-BB84-868A4A7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3447</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2008-10-07T07:33:00Z</cp:lastPrinted>
  <dcterms:created xsi:type="dcterms:W3CDTF">2025-12-17T14:05:00Z</dcterms:created>
  <dcterms:modified xsi:type="dcterms:W3CDTF">2025-12-17T14:05:00Z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2008/09:4 Ändrad sammansättning i Arbetsdomstolen i diskrimineringstvister</vt:lpwstr>
  </property>
  <property fmtid="{D5CDD505-2E9C-101B-9397-08002B2CF9AE}" pid="11" name="SvarFrasKort">
    <vt:lpwstr>med anledning av prop. 2008/09:4</vt:lpwstr>
  </property>
  <property fmtid="{D5CDD505-2E9C-101B-9397-08002B2CF9AE}" pid="12" name="Svar">
    <vt:lpwstr>Proposition</vt:lpwstr>
  </property>
  <property fmtid="{D5CDD505-2E9C-101B-9397-08002B2CF9AE}" pid="13" name="SvarNr">
    <vt:lpwstr>2008/09:4</vt:lpwstr>
  </property>
  <property fmtid="{D5CDD505-2E9C-101B-9397-08002B2CF9AE}" pid="14" name="RubrikSvar">
    <vt:lpwstr>Ändrad sammansättning i Arbetsdomstolen i diskrimineringstvister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Josefin Brink och Torbjörn Björlund (v)</vt:lpwstr>
  </property>
  <property fmtid="{D5CDD505-2E9C-101B-9397-08002B2CF9AE}" pid="26" name="MotionarLista">
    <vt:lpwstr>Brink, Josefin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A4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20082009000000000118000000060075</vt:lpwstr>
  </property>
  <property fmtid="{D5CDD505-2E9C-101B-9397-08002B2CF9AE}" pid="47" name="datum">
    <vt:lpwstr>081002</vt:lpwstr>
  </property>
  <property fmtid="{D5CDD505-2E9C-101B-9397-08002B2CF9AE}" pid="48" name="avsändar-e-post">
    <vt:lpwstr>maya.ek@riksdagen.se</vt:lpwstr>
  </property>
  <property fmtid="{D5CDD505-2E9C-101B-9397-08002B2CF9AE}" pid="49" name="id">
    <vt:lpwstr>20082009000000000118000000060075</vt:lpwstr>
  </property>
  <property fmtid="{D5CDD505-2E9C-101B-9397-08002B2CF9AE}" pid="50" name="nummer">
    <vt:lpwstr>4</vt:lpwstr>
  </property>
  <property fmtid="{D5CDD505-2E9C-101B-9397-08002B2CF9AE}" pid="51" name="utskottsbeteckning">
    <vt:lpwstr>A</vt:lpwstr>
  </property>
  <property fmtid="{D5CDD505-2E9C-101B-9397-08002B2CF9AE}" pid="52" name="GlobalUID">
    <vt:lpwstr>{18C4F1CE-9CA1-4077-9E28-82B4FC0E6D4C}</vt:lpwstr>
  </property>
  <property fmtid="{D5CDD505-2E9C-101B-9397-08002B2CF9AE}" pid="53" name="Överföringar">
    <vt:i4>0</vt:i4>
  </property>
  <property fmtid="{D5CDD505-2E9C-101B-9397-08002B2CF9AE}" pid="54" name="Checksum">
    <vt:lpwstr>*0019721106175*</vt:lpwstr>
  </property>
  <property fmtid="{D5CDD505-2E9C-101B-9397-08002B2CF9AE}" pid="55" name="skuggnummer">
    <vt:lpwstr/>
  </property>
  <property fmtid="{D5CDD505-2E9C-101B-9397-08002B2CF9AE}" pid="56" name="urixVersion">
    <vt:lpwstr>3.2.4.19</vt:lpwstr>
  </property>
  <property fmtid="{D5CDD505-2E9C-101B-9397-08002B2CF9AE}" pid="57" name="urixOrigin">
    <vt:lpwstr>081007 10:33:09.382</vt:lpwstr>
  </property>
  <property fmtid="{D5CDD505-2E9C-101B-9397-08002B2CF9AE}" pid="58" name="urixGuid">
    <vt:lpwstr>{55D0CDE6-BC87-45B4-A7B7-1F7B2B6F0423}</vt:lpwstr>
  </property>
</Properties>
</file>