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5D3F8D">
        <w:tc>
          <w:tcPr>
            <w:tcW w:w="2268" w:type="dxa"/>
          </w:tcPr>
          <w:p w:rsidR="005D3F8D" w:rsidRDefault="005D3F8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D3F8D" w:rsidRDefault="005D3F8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D3F8D">
        <w:tc>
          <w:tcPr>
            <w:tcW w:w="2268" w:type="dxa"/>
          </w:tcPr>
          <w:p w:rsidR="005D3F8D" w:rsidRDefault="005D3F8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5D3F8D" w:rsidRDefault="005D3F8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5D3F8D">
        <w:trPr>
          <w:trHeight w:val="343"/>
        </w:trPr>
        <w:tc>
          <w:tcPr>
            <w:tcW w:w="3402" w:type="dxa"/>
            <w:gridSpan w:val="2"/>
          </w:tcPr>
          <w:p w:rsidR="005D3F8D" w:rsidRDefault="005D3F8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D3F8D" w:rsidRDefault="005D3F8D">
            <w:pPr>
              <w:framePr w:w="4400" w:h="1644" w:wrap="notBeside" w:vAnchor="page" w:hAnchor="page" w:x="6573" w:y="721"/>
            </w:pPr>
          </w:p>
        </w:tc>
      </w:tr>
      <w:tr w:rsidR="005D3F8D">
        <w:tc>
          <w:tcPr>
            <w:tcW w:w="2268" w:type="dxa"/>
          </w:tcPr>
          <w:p w:rsidR="005D3F8D" w:rsidRDefault="005D3F8D">
            <w:pPr>
              <w:framePr w:w="4400" w:h="1644" w:wrap="notBeside" w:vAnchor="page" w:hAnchor="page" w:x="6573" w:y="721"/>
            </w:pPr>
            <w:r>
              <w:t>2012-12-07</w:t>
            </w:r>
          </w:p>
        </w:tc>
        <w:tc>
          <w:tcPr>
            <w:tcW w:w="2347" w:type="dxa"/>
            <w:gridSpan w:val="2"/>
          </w:tcPr>
          <w:p w:rsidR="005D3F8D" w:rsidRDefault="005D3F8D">
            <w:pPr>
              <w:framePr w:w="4400" w:h="1644" w:wrap="notBeside" w:vAnchor="page" w:hAnchor="page" w:x="6573" w:y="721"/>
            </w:pPr>
          </w:p>
        </w:tc>
      </w:tr>
      <w:tr w:rsidR="005D3F8D">
        <w:tc>
          <w:tcPr>
            <w:tcW w:w="2268" w:type="dxa"/>
          </w:tcPr>
          <w:p w:rsidR="005D3F8D" w:rsidRDefault="005D3F8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D3F8D" w:rsidRDefault="005D3F8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5D3F8D">
        <w:trPr>
          <w:trHeight w:val="2400"/>
        </w:trPr>
        <w:tc>
          <w:tcPr>
            <w:tcW w:w="4911" w:type="dxa"/>
          </w:tcPr>
          <w:p w:rsidR="005D3F8D" w:rsidRDefault="005D3F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5D3F8D" w:rsidRDefault="005D3F8D">
            <w:pPr>
              <w:pStyle w:val="Avsndare"/>
              <w:framePr w:h="2483" w:wrap="notBeside" w:x="1504"/>
            </w:pPr>
          </w:p>
          <w:p w:rsidR="005D3F8D" w:rsidRDefault="005D3F8D">
            <w:pPr>
              <w:pStyle w:val="Avsndare"/>
              <w:framePr w:h="2483" w:wrap="notBeside" w:x="1504"/>
            </w:pPr>
            <w:r>
              <w:t>EU-kansliet</w:t>
            </w:r>
          </w:p>
          <w:p w:rsidR="005D3F8D" w:rsidRDefault="005D3F8D">
            <w:pPr>
              <w:pStyle w:val="Avsndare"/>
              <w:framePr w:h="2483" w:wrap="notBeside" w:x="1504"/>
            </w:pPr>
          </w:p>
          <w:p w:rsidR="005D3F8D" w:rsidRDefault="005D3F8D">
            <w:pPr>
              <w:pStyle w:val="Avsndare"/>
              <w:framePr w:h="2483" w:wrap="notBeside" w:x="1504"/>
            </w:pPr>
          </w:p>
          <w:p w:rsidR="005D3F8D" w:rsidRDefault="005D3F8D">
            <w:pPr>
              <w:pStyle w:val="Avsndare"/>
              <w:framePr w:h="2483" w:wrap="notBeside" w:x="1504"/>
            </w:pPr>
          </w:p>
          <w:p w:rsidR="005D3F8D" w:rsidRDefault="005D3F8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5D3F8D" w:rsidRDefault="005D3F8D">
      <w:pPr>
        <w:framePr w:w="4400" w:h="2523" w:wrap="notBeside" w:vAnchor="page" w:hAnchor="page" w:x="6453" w:y="2445"/>
        <w:ind w:left="142"/>
      </w:pPr>
    </w:p>
    <w:p w:rsidR="005D3F8D" w:rsidRDefault="005D3F8D" w:rsidP="001A3995">
      <w:pPr>
        <w:pStyle w:val="Heading1"/>
        <w:tabs>
          <w:tab w:val="left" w:pos="0"/>
        </w:tabs>
      </w:pPr>
      <w:bookmarkStart w:id="0" w:name="_Toc342657630"/>
      <w:r>
        <w:t>Färdigförhandlad II-punkt från möte i Coreper II 2012-12-05</w:t>
      </w:r>
      <w:r w:rsidRPr="001A3995">
        <w:t xml:space="preserve"> </w:t>
      </w:r>
      <w:r>
        <w:t>som kan tas som A-punkt vid kommande rådsmöte</w:t>
      </w:r>
      <w:bookmarkEnd w:id="0"/>
    </w:p>
    <w:p w:rsidR="005D3F8D" w:rsidRDefault="005D3F8D" w:rsidP="003E72B4">
      <w:pPr>
        <w:pStyle w:val="BodyText"/>
      </w:pPr>
    </w:p>
    <w:p w:rsidR="005D3F8D" w:rsidRDefault="005D3F8D" w:rsidP="003E72B4">
      <w:pPr>
        <w:pStyle w:val="BodyText"/>
      </w:pPr>
      <w:r>
        <w:t xml:space="preserve">Överlämnas för skriftligt samråd vecka 49 till fredagen den 7 november, </w:t>
      </w:r>
    </w:p>
    <w:p w:rsidR="005D3F8D" w:rsidRPr="003E72B4" w:rsidRDefault="005D3F8D" w:rsidP="003E72B4">
      <w:pPr>
        <w:pStyle w:val="BodyText"/>
      </w:pPr>
      <w:r>
        <w:t>kl 19.00</w:t>
      </w:r>
    </w:p>
    <w:p w:rsidR="005D3F8D" w:rsidRDefault="005D3F8D">
      <w:pPr>
        <w:spacing w:line="240" w:lineRule="auto"/>
        <w:rPr>
          <w:b/>
          <w:bCs/>
        </w:rPr>
      </w:pPr>
      <w:bookmarkStart w:id="1" w:name="_Toc31176651"/>
      <w:bookmarkStart w:id="2" w:name="_Toc33517460"/>
      <w:bookmarkStart w:id="3" w:name="_Toc37754403"/>
      <w:bookmarkStart w:id="4" w:name="_Toc40856217"/>
      <w:bookmarkStart w:id="5" w:name="_Toc46314026"/>
      <w:bookmarkStart w:id="6" w:name="_Toc53477857"/>
      <w:bookmarkStart w:id="7" w:name="_Toc56584632"/>
      <w:bookmarkStart w:id="8" w:name="_Toc58313040"/>
      <w:bookmarkStart w:id="9" w:name="_Toc62632328"/>
      <w:bookmarkStart w:id="10" w:name="_Toc65054164"/>
      <w:bookmarkStart w:id="11" w:name="_Toc67391947"/>
      <w:bookmarkStart w:id="12" w:name="_Toc70473240"/>
      <w:bookmarkStart w:id="13" w:name="_Toc72290257"/>
      <w:bookmarkStart w:id="14" w:name="_Toc73258531"/>
      <w:r>
        <w:rPr>
          <w:b/>
          <w:bCs/>
        </w:rPr>
        <w:br w:type="page"/>
      </w:r>
    </w:p>
    <w:p w:rsidR="005D3F8D" w:rsidRDefault="005D3F8D">
      <w:pPr>
        <w:pStyle w:val="RKnormal"/>
        <w:ind w:left="0"/>
        <w:rPr>
          <w:b/>
          <w:bCs/>
        </w:rPr>
      </w:pPr>
    </w:p>
    <w:bookmarkStart w:id="15" w:name="_GoBack"/>
    <w:bookmarkEnd w:id="15"/>
    <w:p w:rsidR="005D3F8D" w:rsidRDefault="005D3F8D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42657630" w:history="1">
        <w:r w:rsidRPr="00757A6E">
          <w:rPr>
            <w:rStyle w:val="Hyperlink"/>
            <w:noProof/>
          </w:rPr>
          <w:t>Färdigförhandlad II-punkt från möte i Coreper II 2012-12-05 som kan tas som A-punkt vid kommande rådsmöte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_Toc342657630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D3F8D" w:rsidRDefault="005D3F8D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42657631" w:history="1">
        <w:r w:rsidRPr="00757A6E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_Toc342657631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D3F8D" w:rsidRDefault="005D3F8D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42657632" w:history="1">
        <w:r w:rsidRPr="00757A6E">
          <w:rPr>
            <w:rStyle w:val="Hyperlink"/>
            <w:noProof/>
          </w:rPr>
          <w:t>Färdigförhandlad II-punkt från möte i Coreper II 2012-12-05 som kan tas som A-punkt vid kommande rådsmöte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_Toc342657632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D3F8D" w:rsidRDefault="005D3F8D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42657633" w:history="1">
        <w:r w:rsidRPr="00757A6E">
          <w:rPr>
            <w:rStyle w:val="Hyperlink"/>
            <w:noProof/>
          </w:rPr>
          <w:t>Relations with Russia – Preparation of the 30th EU-Russia Summit (Brussels, 21 December 2012)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_Toc342657633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D3F8D" w:rsidRDefault="005D3F8D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5D3F8D" w:rsidRDefault="005D3F8D">
      <w:pPr>
        <w:pStyle w:val="Heading1"/>
        <w:tabs>
          <w:tab w:val="clear" w:pos="1134"/>
          <w:tab w:val="left" w:pos="0"/>
        </w:tabs>
      </w:pPr>
      <w:r>
        <w:br w:type="page"/>
      </w:r>
      <w:bookmarkStart w:id="16" w:name="_Toc74025454"/>
      <w:bookmarkStart w:id="17" w:name="_Toc74369297"/>
      <w:bookmarkStart w:id="18" w:name="_Toc76374079"/>
      <w:bookmarkStart w:id="19" w:name="_Toc76376804"/>
      <w:bookmarkStart w:id="20" w:name="_Toc83178390"/>
      <w:bookmarkStart w:id="21" w:name="_Toc83791009"/>
      <w:bookmarkStart w:id="22" w:name="_Toc84329441"/>
      <w:bookmarkStart w:id="23" w:name="_Toc85613233"/>
      <w:bookmarkStart w:id="24" w:name="_Toc86487557"/>
      <w:bookmarkStart w:id="25" w:name="_Toc88295701"/>
      <w:bookmarkStart w:id="26" w:name="_Toc89243342"/>
      <w:bookmarkStart w:id="27" w:name="_Toc89773921"/>
      <w:bookmarkStart w:id="28" w:name="_Toc93308035"/>
      <w:bookmarkStart w:id="29" w:name="_Toc93311799"/>
      <w:bookmarkStart w:id="30" w:name="_Toc93482645"/>
      <w:bookmarkStart w:id="31" w:name="_Toc93991172"/>
      <w:bookmarkStart w:id="32" w:name="_Toc95646802"/>
      <w:bookmarkStart w:id="33" w:name="_Toc97111910"/>
      <w:bookmarkStart w:id="34" w:name="_Toc100567622"/>
      <w:bookmarkStart w:id="35" w:name="_Toc100653979"/>
      <w:bookmarkStart w:id="36" w:name="_Toc100733908"/>
      <w:bookmarkStart w:id="37" w:name="_Toc101081836"/>
      <w:bookmarkStart w:id="38" w:name="_Toc101236322"/>
      <w:bookmarkStart w:id="39" w:name="_Toc102539196"/>
      <w:bookmarkStart w:id="40" w:name="_Toc107297188"/>
      <w:bookmarkStart w:id="41" w:name="_Toc108420766"/>
      <w:bookmarkStart w:id="42" w:name="_Toc113358330"/>
      <w:bookmarkStart w:id="43" w:name="_Toc113951872"/>
      <w:bookmarkStart w:id="44" w:name="_Toc114548315"/>
      <w:bookmarkStart w:id="45" w:name="_Toc115232899"/>
      <w:bookmarkStart w:id="46" w:name="_Toc116372909"/>
      <w:bookmarkStart w:id="47" w:name="_Toc117061714"/>
      <w:bookmarkStart w:id="48" w:name="_Toc119487774"/>
      <w:bookmarkStart w:id="49" w:name="_Toc120606911"/>
      <w:bookmarkStart w:id="50" w:name="_Toc122429206"/>
      <w:bookmarkStart w:id="51" w:name="_Toc127322523"/>
      <w:bookmarkStart w:id="52" w:name="_Toc129590765"/>
      <w:bookmarkStart w:id="53" w:name="_Toc342657631"/>
      <w:r>
        <w:t>Frågor som lösts i förberedande instanser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5D3F8D" w:rsidRDefault="005D3F8D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</w:p>
    <w:p w:rsidR="005D3F8D" w:rsidRDefault="005D3F8D">
      <w:pPr>
        <w:pStyle w:val="Heading1"/>
        <w:spacing w:before="0" w:after="0"/>
      </w:pPr>
      <w:r>
        <w:t xml:space="preserve"> </w:t>
      </w:r>
      <w:bookmarkStart w:id="54" w:name="Punkt"/>
      <w:bookmarkEnd w:id="54"/>
    </w:p>
    <w:p w:rsidR="005D3F8D" w:rsidRDefault="005D3F8D" w:rsidP="001A3995">
      <w:pPr>
        <w:pStyle w:val="Heading1"/>
        <w:tabs>
          <w:tab w:val="left" w:pos="0"/>
        </w:tabs>
      </w:pPr>
      <w:bookmarkStart w:id="55" w:name="_Toc342657632"/>
      <w:r>
        <w:t>Färdigförhandlad II-punkt från möte i Coreper II 2012-12-05</w:t>
      </w:r>
      <w:r w:rsidRPr="001A3995">
        <w:t xml:space="preserve"> </w:t>
      </w:r>
      <w:r>
        <w:t>som kan tas som A-punkt vid kommande rådsmöte</w:t>
      </w:r>
      <w:bookmarkEnd w:id="55"/>
    </w:p>
    <w:p w:rsidR="005D3F8D" w:rsidRDefault="005D3F8D" w:rsidP="002267C5"/>
    <w:p w:rsidR="005D3F8D" w:rsidRDefault="005D3F8D" w:rsidP="001A3995">
      <w:pPr>
        <w:pStyle w:val="Heading2"/>
      </w:pPr>
      <w:bookmarkStart w:id="56" w:name="_Toc342657633"/>
      <w:r>
        <w:t>Relations with Russia – Preparation of the 30th EU-Russia Summit (Brussels, 21 December 2012)</w:t>
      </w:r>
      <w:bookmarkEnd w:id="56"/>
    </w:p>
    <w:p w:rsidR="005D3F8D" w:rsidRDefault="005D3F8D" w:rsidP="001A3995">
      <w:pPr>
        <w:pStyle w:val="RKnormal"/>
        <w:tabs>
          <w:tab w:val="clear" w:pos="1843"/>
          <w:tab w:val="left" w:pos="142"/>
        </w:tabs>
        <w:ind w:left="0"/>
      </w:pPr>
    </w:p>
    <w:p w:rsidR="005D3F8D" w:rsidRDefault="005D3F8D" w:rsidP="001A3995">
      <w:pPr>
        <w:pStyle w:val="RKnormal"/>
        <w:tabs>
          <w:tab w:val="clear" w:pos="1843"/>
          <w:tab w:val="left" w:pos="142"/>
        </w:tabs>
        <w:ind w:left="0"/>
      </w:pPr>
      <w:r>
        <w:t>17084/12</w:t>
      </w:r>
    </w:p>
    <w:p w:rsidR="005D3F8D" w:rsidRDefault="005D3F8D" w:rsidP="001A3995">
      <w:pPr>
        <w:pStyle w:val="RKnormal"/>
        <w:tabs>
          <w:tab w:val="clear" w:pos="1843"/>
          <w:tab w:val="left" w:pos="142"/>
        </w:tabs>
        <w:ind w:left="0"/>
      </w:pPr>
    </w:p>
    <w:p w:rsidR="005D3F8D" w:rsidRDefault="005D3F8D" w:rsidP="001A3995">
      <w:pPr>
        <w:pStyle w:val="RKnormal"/>
        <w:tabs>
          <w:tab w:val="clear" w:pos="1843"/>
          <w:tab w:val="left" w:pos="142"/>
        </w:tabs>
        <w:ind w:left="0"/>
      </w:pPr>
      <w:r>
        <w:t>Ansvarigt departement: Utrikesdepartementet</w:t>
      </w:r>
    </w:p>
    <w:p w:rsidR="005D3F8D" w:rsidRDefault="005D3F8D" w:rsidP="001A3995">
      <w:pPr>
        <w:pStyle w:val="RKnormal"/>
        <w:tabs>
          <w:tab w:val="clear" w:pos="1843"/>
          <w:tab w:val="left" w:pos="142"/>
        </w:tabs>
        <w:ind w:left="0"/>
      </w:pPr>
    </w:p>
    <w:p w:rsidR="005D3F8D" w:rsidRDefault="005D3F8D" w:rsidP="001A3995">
      <w:pPr>
        <w:pStyle w:val="RKnormal"/>
        <w:tabs>
          <w:tab w:val="clear" w:pos="1843"/>
          <w:tab w:val="left" w:pos="142"/>
        </w:tabs>
        <w:ind w:left="0"/>
      </w:pPr>
      <w:r>
        <w:t>Ansvarit statsråd: Carl Bildt</w:t>
      </w:r>
    </w:p>
    <w:p w:rsidR="005D3F8D" w:rsidRDefault="005D3F8D" w:rsidP="00C7234A">
      <w:pPr>
        <w:pStyle w:val="RKnormal"/>
        <w:tabs>
          <w:tab w:val="clear" w:pos="1843"/>
          <w:tab w:val="left" w:pos="142"/>
        </w:tabs>
        <w:ind w:left="0"/>
      </w:pPr>
    </w:p>
    <w:p w:rsidR="005D3F8D" w:rsidRDefault="005D3F8D" w:rsidP="00C7234A">
      <w:pPr>
        <w:pStyle w:val="RKnormal"/>
        <w:ind w:left="0"/>
      </w:pPr>
      <w:r w:rsidRPr="00C7234A">
        <w:t>Avsikt med behandlingen i rådet:</w:t>
      </w:r>
      <w:r w:rsidRPr="00533334">
        <w:rPr>
          <w:b/>
        </w:rPr>
        <w:t xml:space="preserve"> </w:t>
      </w:r>
    </w:p>
    <w:p w:rsidR="005D3F8D" w:rsidRDefault="005D3F8D" w:rsidP="00C7234A">
      <w:pPr>
        <w:pStyle w:val="RKnormal"/>
        <w:ind w:left="0"/>
      </w:pPr>
      <w:r>
        <w:t xml:space="preserve">Rådet förväntas endocera en förberedelsenot som etablerar en grund samt en inriktning för diskussionen under EU-Rysslandstoppmötet den 21 december. </w:t>
      </w:r>
    </w:p>
    <w:p w:rsidR="005D3F8D" w:rsidRDefault="005D3F8D" w:rsidP="00C7234A">
      <w:pPr>
        <w:pStyle w:val="RKnormal"/>
        <w:ind w:left="0"/>
      </w:pPr>
    </w:p>
    <w:p w:rsidR="005D3F8D" w:rsidRDefault="005D3F8D" w:rsidP="00C7234A">
      <w:pPr>
        <w:pStyle w:val="RKnormal"/>
        <w:ind w:left="0"/>
      </w:pPr>
      <w:r w:rsidRPr="00C7234A">
        <w:t>Hur regeringen ställer sig till den blivande A-punkten:</w:t>
      </w:r>
      <w:r>
        <w:rPr>
          <w:b/>
        </w:rPr>
        <w:t xml:space="preserve"> </w:t>
      </w:r>
    </w:p>
    <w:p w:rsidR="005D3F8D" w:rsidRDefault="005D3F8D" w:rsidP="00C7234A">
      <w:pPr>
        <w:pStyle w:val="RKnormal"/>
        <w:ind w:left="0"/>
      </w:pPr>
      <w:r>
        <w:t>Regeringen avser godkänna dokumentet.</w:t>
      </w:r>
    </w:p>
    <w:p w:rsidR="005D3F8D" w:rsidRDefault="005D3F8D" w:rsidP="00C7234A">
      <w:pPr>
        <w:pStyle w:val="RKnormal"/>
        <w:ind w:left="0"/>
        <w:rPr>
          <w:b/>
        </w:rPr>
      </w:pPr>
    </w:p>
    <w:p w:rsidR="005D3F8D" w:rsidRPr="00C7234A" w:rsidRDefault="005D3F8D" w:rsidP="00C7234A">
      <w:pPr>
        <w:pStyle w:val="RKnormal"/>
        <w:ind w:left="0"/>
      </w:pPr>
      <w:r w:rsidRPr="00C7234A">
        <w:t xml:space="preserve">Bakgrund: </w:t>
      </w:r>
    </w:p>
    <w:p w:rsidR="005D3F8D" w:rsidRDefault="005D3F8D" w:rsidP="00C7234A">
      <w:pPr>
        <w:pStyle w:val="RKnormal"/>
        <w:ind w:left="0"/>
      </w:pPr>
      <w:r>
        <w:t xml:space="preserve">Toppmöte mellan EU och Ryssland äger rum två gånger per år. Senaste gången var i S:t Petersburg i juni. Nästa möte är i Bryssel den 21 december. Under de senaste två åren har toppmöten mellan EU och Ryssland hållits i en god atmosfär. Framsteg i relationen har kunnat noteras, inklusive i WTO-frågan, implementering av moderniseringspartnerskapet och en överenskommelse om gemensam ansats till viseringsfrågan. </w:t>
      </w:r>
    </w:p>
    <w:p w:rsidR="005D3F8D" w:rsidRDefault="005D3F8D" w:rsidP="00C7234A">
      <w:pPr>
        <w:pStyle w:val="RKnormal"/>
        <w:ind w:left="0"/>
      </w:pPr>
    </w:p>
    <w:p w:rsidR="005D3F8D" w:rsidRDefault="005D3F8D" w:rsidP="00C7234A">
      <w:pPr>
        <w:pStyle w:val="RKnormal"/>
        <w:ind w:left="0"/>
      </w:pPr>
      <w:r>
        <w:t xml:space="preserve">En förberedelsenot inför toppmötet har godkänts av COREPER II den 5 december. De prioriterade områden som presenterats överensstämmer i stort med svenska prioriteringar. </w:t>
      </w:r>
    </w:p>
    <w:p w:rsidR="005D3F8D" w:rsidRDefault="005D3F8D" w:rsidP="00C7234A">
      <w:pPr>
        <w:pStyle w:val="RKnormal"/>
        <w:ind w:left="0"/>
      </w:pPr>
    </w:p>
    <w:p w:rsidR="005D3F8D" w:rsidRDefault="005D3F8D" w:rsidP="00C7234A">
      <w:pPr>
        <w:pStyle w:val="RKnormal"/>
        <w:ind w:left="0"/>
      </w:pPr>
      <w:r>
        <w:t>Från EU:s sida väntas följande områden stå i fokus vid toppmötet:</w:t>
      </w:r>
    </w:p>
    <w:p w:rsidR="005D3F8D" w:rsidRDefault="005D3F8D" w:rsidP="00C7234A">
      <w:pPr>
        <w:pStyle w:val="RKnormal"/>
        <w:ind w:left="0"/>
      </w:pPr>
    </w:p>
    <w:p w:rsidR="005D3F8D" w:rsidRDefault="005D3F8D" w:rsidP="00C7234A">
      <w:pPr>
        <w:pStyle w:val="RKnormal"/>
        <w:ind w:left="0"/>
      </w:pPr>
      <w:r>
        <w:t>- Rysslands WTO-anslutning och vikten av medföljande åtaganden.</w:t>
      </w:r>
    </w:p>
    <w:p w:rsidR="005D3F8D" w:rsidRDefault="005D3F8D" w:rsidP="00C7234A">
      <w:pPr>
        <w:pStyle w:val="RKnormal"/>
        <w:ind w:left="0"/>
      </w:pPr>
      <w:r>
        <w:t>- Uppmaning att slutföra förhandlingarna om Nya avtalet</w:t>
      </w:r>
    </w:p>
    <w:p w:rsidR="005D3F8D" w:rsidRDefault="005D3F8D" w:rsidP="00C7234A">
      <w:pPr>
        <w:pStyle w:val="RKnormal"/>
        <w:ind w:left="0"/>
      </w:pPr>
      <w:r>
        <w:t>- Implementering av överenskommelsen om transsibiriska överflygningsavgifter</w:t>
      </w:r>
    </w:p>
    <w:p w:rsidR="005D3F8D" w:rsidRDefault="005D3F8D" w:rsidP="00C7234A">
      <w:pPr>
        <w:pStyle w:val="RKnormal"/>
        <w:ind w:left="0"/>
      </w:pPr>
      <w:r>
        <w:t>- Oro över den interna demokratiska utvecklingen i Ryssland</w:t>
      </w:r>
    </w:p>
    <w:p w:rsidR="005D3F8D" w:rsidRDefault="005D3F8D" w:rsidP="00C7234A">
      <w:pPr>
        <w:pStyle w:val="RKnormal"/>
        <w:ind w:left="0"/>
      </w:pPr>
      <w:r>
        <w:t>- Moderniseringspartnerskapet EU-RU som ett nyckelinitiativ för att förbättra investeringsklimatet i Ryssland.</w:t>
      </w:r>
    </w:p>
    <w:p w:rsidR="005D3F8D" w:rsidRDefault="005D3F8D" w:rsidP="00C7234A">
      <w:pPr>
        <w:pStyle w:val="RKnormal"/>
        <w:ind w:left="0"/>
      </w:pPr>
      <w:r>
        <w:t>- ”Common Steps and operational measures” för viseringsfrihet.</w:t>
      </w:r>
    </w:p>
    <w:p w:rsidR="005D3F8D" w:rsidRDefault="005D3F8D" w:rsidP="00C7234A">
      <w:pPr>
        <w:pStyle w:val="RKnormal"/>
        <w:ind w:left="0"/>
      </w:pPr>
      <w:r>
        <w:t>- Energifrågor, särskilt tredje energipaketet.</w:t>
      </w:r>
    </w:p>
    <w:p w:rsidR="005D3F8D" w:rsidRDefault="005D3F8D" w:rsidP="00C7234A">
      <w:pPr>
        <w:pStyle w:val="RKnormal"/>
        <w:ind w:left="0"/>
      </w:pPr>
      <w:r>
        <w:t>- Samarbete på kärnsäkerhetsområde samt om klimatförändringar</w:t>
      </w:r>
    </w:p>
    <w:p w:rsidR="005D3F8D" w:rsidRDefault="005D3F8D" w:rsidP="00C7234A">
      <w:pPr>
        <w:pStyle w:val="RKnormal"/>
        <w:ind w:left="0"/>
      </w:pPr>
      <w:r>
        <w:t>- Främjande av mänskliga rättigheter och rättsstatsprinciper.</w:t>
      </w:r>
    </w:p>
    <w:p w:rsidR="005D3F8D" w:rsidRDefault="005D3F8D" w:rsidP="00C7234A">
      <w:pPr>
        <w:pStyle w:val="RKnormal"/>
        <w:ind w:left="0"/>
      </w:pPr>
      <w:r>
        <w:t>- Regionala och globala frågor, inklusive utveckling av samarbetet kring internationella frågor, det gemensamma närområdet, samarbete på krishanteringsområdet, Arktis, G8/G20</w:t>
      </w:r>
    </w:p>
    <w:p w:rsidR="005D3F8D" w:rsidRPr="001A3995" w:rsidRDefault="005D3F8D" w:rsidP="001A3995">
      <w:pPr>
        <w:pStyle w:val="RKnormal"/>
        <w:tabs>
          <w:tab w:val="clear" w:pos="1843"/>
          <w:tab w:val="left" w:pos="142"/>
        </w:tabs>
        <w:ind w:left="0"/>
      </w:pPr>
    </w:p>
    <w:sectPr w:rsidR="005D3F8D" w:rsidRPr="001A3995" w:rsidSect="00A060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F8D" w:rsidRDefault="005D3F8D">
      <w:r>
        <w:separator/>
      </w:r>
    </w:p>
  </w:endnote>
  <w:endnote w:type="continuationSeparator" w:id="0">
    <w:p w:rsidR="005D3F8D" w:rsidRDefault="005D3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D" w:rsidRDefault="005D3F8D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5D3F8D" w:rsidRDefault="005D3F8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D" w:rsidRDefault="005D3F8D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5D3F8D" w:rsidRDefault="005D3F8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D" w:rsidRDefault="005D3F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F8D" w:rsidRDefault="005D3F8D">
      <w:r>
        <w:separator/>
      </w:r>
    </w:p>
  </w:footnote>
  <w:footnote w:type="continuationSeparator" w:id="0">
    <w:p w:rsidR="005D3F8D" w:rsidRDefault="005D3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D" w:rsidRDefault="005D3F8D">
    <w:pPr>
      <w:pStyle w:val="Header"/>
      <w:framePr w:wrap="around" w:vAnchor="text" w:hAnchor="margin" w:xAlign="right" w:y="1"/>
      <w:rPr>
        <w:rStyle w:val="PageNumber"/>
      </w:rPr>
    </w:pPr>
  </w:p>
  <w:p w:rsidR="005D3F8D" w:rsidRDefault="005D3F8D">
    <w:pPr>
      <w:pStyle w:val="Header"/>
      <w:ind w:right="360"/>
    </w:pPr>
  </w:p>
  <w:p w:rsidR="005D3F8D" w:rsidRDefault="005D3F8D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D" w:rsidRDefault="005D3F8D">
    <w:pPr>
      <w:framePr w:w="2948" w:h="1321" w:hRule="exact" w:wrap="notBeside" w:vAnchor="page" w:hAnchor="page" w:x="1362" w:y="653"/>
    </w:pPr>
    <w:r w:rsidRPr="00430551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6pt;visibility:visible">
          <v:imagedata r:id="rId1" o:title=""/>
        </v:shape>
      </w:pict>
    </w:r>
  </w:p>
  <w:p w:rsidR="005D3F8D" w:rsidRDefault="005D3F8D">
    <w:pPr>
      <w:pStyle w:val="Header"/>
    </w:pPr>
  </w:p>
  <w:p w:rsidR="005D3F8D" w:rsidRDefault="005D3F8D">
    <w:pPr>
      <w:pStyle w:val="Header"/>
      <w:ind w:right="360"/>
    </w:pPr>
  </w:p>
  <w:p w:rsidR="005D3F8D" w:rsidRDefault="005D3F8D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F8D" w:rsidRDefault="005D3F8D">
    <w:pPr>
      <w:framePr w:w="2948" w:h="1321" w:hRule="exact" w:wrap="notBeside" w:vAnchor="page" w:hAnchor="page" w:x="1362" w:y="653"/>
    </w:pPr>
    <w:r w:rsidRPr="00430551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5D3F8D" w:rsidRDefault="005D3F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2265A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0D634CEC"/>
    <w:multiLevelType w:val="hybridMultilevel"/>
    <w:tmpl w:val="2C9CDBEE"/>
    <w:lvl w:ilvl="0" w:tplc="4E40813A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6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9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10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1">
    <w:nsid w:val="6A8E283A"/>
    <w:multiLevelType w:val="hybridMultilevel"/>
    <w:tmpl w:val="321CD5B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3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10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181D90"/>
    <w:rsid w:val="00084813"/>
    <w:rsid w:val="00093807"/>
    <w:rsid w:val="000A4FAF"/>
    <w:rsid w:val="00181D90"/>
    <w:rsid w:val="001A3995"/>
    <w:rsid w:val="002267C5"/>
    <w:rsid w:val="00230E0F"/>
    <w:rsid w:val="002F0ED4"/>
    <w:rsid w:val="003378C0"/>
    <w:rsid w:val="003B4E31"/>
    <w:rsid w:val="003E1A64"/>
    <w:rsid w:val="003E72B4"/>
    <w:rsid w:val="003F6705"/>
    <w:rsid w:val="0040126E"/>
    <w:rsid w:val="00430551"/>
    <w:rsid w:val="004B37FC"/>
    <w:rsid w:val="004D3877"/>
    <w:rsid w:val="00533334"/>
    <w:rsid w:val="005A23F9"/>
    <w:rsid w:val="005C212F"/>
    <w:rsid w:val="005D3F8D"/>
    <w:rsid w:val="005F1820"/>
    <w:rsid w:val="00757A6E"/>
    <w:rsid w:val="00842089"/>
    <w:rsid w:val="00842D92"/>
    <w:rsid w:val="00847B54"/>
    <w:rsid w:val="008A55DA"/>
    <w:rsid w:val="008D0107"/>
    <w:rsid w:val="008F0C86"/>
    <w:rsid w:val="00905A94"/>
    <w:rsid w:val="009216D8"/>
    <w:rsid w:val="00936272"/>
    <w:rsid w:val="00A060F7"/>
    <w:rsid w:val="00A72123"/>
    <w:rsid w:val="00AF0928"/>
    <w:rsid w:val="00B01645"/>
    <w:rsid w:val="00BA6B91"/>
    <w:rsid w:val="00C06332"/>
    <w:rsid w:val="00C6251F"/>
    <w:rsid w:val="00C7234A"/>
    <w:rsid w:val="00CE2015"/>
    <w:rsid w:val="00CE32BA"/>
    <w:rsid w:val="00D6789E"/>
    <w:rsid w:val="00DE56AA"/>
    <w:rsid w:val="00E15599"/>
    <w:rsid w:val="00E25F97"/>
    <w:rsid w:val="00EB2D84"/>
    <w:rsid w:val="00EC3C7C"/>
    <w:rsid w:val="00EC48CA"/>
    <w:rsid w:val="00ED5DCC"/>
    <w:rsid w:val="00EE7152"/>
    <w:rsid w:val="00F056A7"/>
    <w:rsid w:val="00F26EF5"/>
    <w:rsid w:val="00F50A01"/>
    <w:rsid w:val="00F541CF"/>
    <w:rsid w:val="00FA76C8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0F7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A060F7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A060F7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A060F7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A060F7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60F7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67C5"/>
    <w:rPr>
      <w:rFonts w:ascii="TradeGothic" w:hAnsi="TradeGothic" w:cs="Times New Roman"/>
      <w:b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FB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FB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FB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FBC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uiPriority w:val="99"/>
    <w:rsid w:val="00A060F7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A060F7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A060F7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A5FBC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A060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5FBC"/>
    <w:rPr>
      <w:rFonts w:ascii="OrigGarmnd BT" w:hAnsi="OrigGarmnd BT"/>
      <w:sz w:val="24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A060F7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A060F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60F7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A5FBC"/>
    <w:rPr>
      <w:rFonts w:ascii="OrigGarmnd BT" w:hAnsi="OrigGarmnd BT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060F7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FBC"/>
    <w:rPr>
      <w:rFonts w:ascii="OrigGarmnd BT" w:hAnsi="OrigGarmnd BT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A060F7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A060F7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A060F7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A060F7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A060F7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A060F7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A060F7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A060F7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A060F7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A060F7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A060F7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A060F7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A060F7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A060F7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A060F7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A060F7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A060F7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A060F7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A060F7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A060F7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A060F7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A060F7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A060F7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A060F7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A060F7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A060F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A060F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5FBC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A060F7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A060F7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A060F7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A060F7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A060F7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A060F7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A060F7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A060F7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A060F7"/>
    <w:pPr>
      <w:widowControl w:val="0"/>
      <w:numPr>
        <w:numId w:val="11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A060F7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A060F7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A060F7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A060F7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FBC"/>
    <w:rPr>
      <w:rFonts w:ascii="OrigGarmnd BT" w:hAnsi="OrigGarmnd BT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A060F7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A060F7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A060F7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A060F7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A060F7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A060F7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A060F7"/>
    <w:rPr>
      <w:rFonts w:cs="Times New Roman"/>
    </w:rPr>
  </w:style>
  <w:style w:type="paragraph" w:customStyle="1" w:styleId="Brdtexthuvud">
    <w:name w:val="Brödtext huvud"/>
    <w:basedOn w:val="Normal"/>
    <w:uiPriority w:val="99"/>
    <w:rsid w:val="00A060F7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181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81D90"/>
    <w:rPr>
      <w:rFonts w:ascii="Tahoma" w:hAnsi="Tahoma" w:cs="Tahoma"/>
      <w:sz w:val="16"/>
      <w:szCs w:val="16"/>
      <w:lang w:eastAsia="en-US"/>
    </w:rPr>
  </w:style>
  <w:style w:type="paragraph" w:customStyle="1" w:styleId="entemet0">
    <w:name w:val="entemet"/>
    <w:basedOn w:val="Normal"/>
    <w:uiPriority w:val="99"/>
    <w:rsid w:val="002267C5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rsid w:val="00CE2015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E2015"/>
    <w:rPr>
      <w:rFonts w:ascii="Calibri" w:eastAsia="Times New Roman" w:hAnsi="Calibri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9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433</Words>
  <Characters>2761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ha0808ab</cp:lastModifiedBy>
  <cp:revision>3</cp:revision>
  <cp:lastPrinted>2012-11-15T13:42:00Z</cp:lastPrinted>
  <dcterms:created xsi:type="dcterms:W3CDTF">2012-12-07T14:41:00Z</dcterms:created>
  <dcterms:modified xsi:type="dcterms:W3CDTF">2012-12-07T14:41:00Z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0x01010053E1D612BA3F4E21AA250ECD751942B3009C7E30FED4CE7541B6BEEAC5BBDA3952</vt:lpwstr>
  </property>
  <property fmtid="{D5CDD505-2E9C-101B-9397-08002B2CF9AE}" pid="9" name="_dlc_DocIdItemGuid">
    <vt:lpwstr>42efc7f0-4b0f-4d06-b15d-971987a7608d</vt:lpwstr>
  </property>
  <property fmtid="{D5CDD505-2E9C-101B-9397-08002B2CF9AE}" pid="10" name="TaxCatchAll">
    <vt:lpwstr/>
  </property>
  <property fmtid="{D5CDD505-2E9C-101B-9397-08002B2CF9AE}" pid="11" name="Sekretess">
    <vt:lpwstr/>
  </property>
  <property fmtid="{D5CDD505-2E9C-101B-9397-08002B2CF9AE}" pid="12" name="RKOrdnaCheckInComment">
    <vt:lpwstr/>
  </property>
  <property fmtid="{D5CDD505-2E9C-101B-9397-08002B2CF9AE}" pid="13" name="c9cd366cc722410295b9eacffbd73909">
    <vt:lpwstr/>
  </property>
  <property fmtid="{D5CDD505-2E9C-101B-9397-08002B2CF9AE}" pid="14" name="Diarienummer">
    <vt:lpwstr/>
  </property>
  <property fmtid="{D5CDD505-2E9C-101B-9397-08002B2CF9AE}" pid="15" name="k46d94c0acf84ab9a79866a9d8b1905f">
    <vt:lpwstr/>
  </property>
  <property fmtid="{D5CDD505-2E9C-101B-9397-08002B2CF9AE}" pid="16" name="RKOrdnaClass">
    <vt:lpwstr/>
  </property>
  <property fmtid="{D5CDD505-2E9C-101B-9397-08002B2CF9AE}" pid="17" name="_dlc_DocId">
    <vt:lpwstr>JE6N4JFJXNNF-9-52668</vt:lpwstr>
  </property>
  <property fmtid="{D5CDD505-2E9C-101B-9397-08002B2CF9AE}" pid="18" name="_dlc_DocIdUrl">
    <vt:lpwstr>http://rkdhs-sb/enhet/EUKansli/_layouts/DocIdRedir.aspx?ID=JE6N4JFJXNNF-9-52668, JE6N4JFJXNNF-9-52668</vt:lpwstr>
  </property>
</Properties>
</file>