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D91C99" w:rsidRDefault="00D91C99">
            <w:pPr>
              <w:pStyle w:val="HuvudRubrik"/>
            </w:pPr>
            <w:bookmarkStart w:id="0" w:name="BetänkandeRubrik"/>
            <w:bookmarkEnd w:id="0"/>
            <w:r>
              <w:t>Trafikutskottets betänkande</w:t>
            </w:r>
            <w:r w:rsidR="00C9707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6699130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D91C99" w:rsidRDefault="00D91C99">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40120"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D91C99" w:rsidRDefault="00D91C99">
                            <w:pPr>
                              <w:spacing w:before="0" w:line="240" w:lineRule="auto"/>
                              <w:jc w:val="left"/>
                            </w:pPr>
                            <w:r>
                              <w:object w:dxaOrig="840" w:dyaOrig="1545">
                                <v:shape id="_x0000_i1025" type="#_x0000_t75" style="width:41.55pt;height:77.15pt" fillcolor="window">
                                  <v:imagedata r:id="rId6" o:title=""/>
                                </v:shape>
                                <o:OLEObject Type="Embed" ProgID="Word.Picture.8" ShapeID="_x0000_i1025" DrawAspect="Content" ObjectID="_1827340120" r:id="rId8"/>
                              </w:object>
                            </w:r>
                          </w:p>
                        </w:txbxContent>
                      </v:textbox>
                      <w10:wrap anchorx="page" anchory="page"/>
                    </v:shape>
                  </w:pict>
                </mc:Fallback>
              </mc:AlternateContent>
            </w:r>
          </w:p>
          <w:bookmarkStart w:id="15" w:name="BetänkandeNr"/>
          <w:bookmarkEnd w:id="15"/>
          <w:p w:rsidR="00D91C99" w:rsidRDefault="00D91C99">
            <w:pPr>
              <w:pStyle w:val="HuvudRubrikRad2"/>
            </w:pPr>
            <w:r>
              <w:fldChar w:fldCharType="begin" w:fldLock="1"/>
            </w:r>
            <w:r>
              <w:instrText xml:space="preserve"> DOCPROPERTY BetänkandeÅr</w:instrText>
            </w:r>
            <w:r>
              <w:fldChar w:fldCharType="separate"/>
            </w:r>
            <w:r>
              <w:t>1998/99</w:t>
            </w:r>
            <w:r>
              <w:fldChar w:fldCharType="end"/>
            </w:r>
            <w:r>
              <w:t>:</w:t>
            </w:r>
            <w:r>
              <w:fldChar w:fldCharType="begin" w:fldLock="1"/>
            </w:r>
            <w:r>
              <w:instrText xml:space="preserve"> DOCPROPERTY Utskott</w:instrText>
            </w:r>
            <w:r>
              <w:fldChar w:fldCharType="separate"/>
            </w:r>
            <w:r>
              <w:t>TU</w:t>
            </w:r>
            <w:r>
              <w:fldChar w:fldCharType="end"/>
            </w:r>
            <w:r>
              <w:fldChar w:fldCharType="begin" w:fldLock="1"/>
            </w:r>
            <w:r>
              <w:instrText xml:space="preserve"> DOCPROPERTY BetänkandeNr</w:instrText>
            </w:r>
            <w:r>
              <w:fldChar w:fldCharType="separate"/>
            </w:r>
            <w:r>
              <w:t>2</w:t>
            </w:r>
            <w:r>
              <w:fldChar w:fldCharType="end"/>
            </w:r>
          </w:p>
          <w:p w:rsidR="00D91C99" w:rsidRDefault="00D91C99">
            <w:pPr>
              <w:pStyle w:val="BetnkandeRubrik"/>
            </w:pPr>
            <w:bookmarkStart w:id="16" w:name="Huvudrubrik"/>
            <w:bookmarkEnd w:id="16"/>
            <w:r>
              <w:t>Förbud mot laserstörare</w:t>
            </w:r>
          </w:p>
        </w:tc>
        <w:tc>
          <w:tcPr>
            <w:tcW w:w="1559" w:type="dxa"/>
            <w:tcBorders>
              <w:bottom w:val="nil"/>
            </w:tcBorders>
          </w:tcPr>
          <w:p w:rsidR="00D91C99" w:rsidRDefault="00D91C99">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D91C99" w:rsidRDefault="00D91C99">
            <w:pPr>
              <w:spacing w:before="40" w:after="900" w:line="280" w:lineRule="exact"/>
              <w:jc w:val="left"/>
              <w:rPr>
                <w:sz w:val="28"/>
              </w:rPr>
            </w:pPr>
          </w:p>
        </w:tc>
        <w:tc>
          <w:tcPr>
            <w:tcW w:w="1559" w:type="dxa"/>
          </w:tcPr>
          <w:p w:rsidR="00D91C99" w:rsidRDefault="00D91C99">
            <w:pPr>
              <w:pStyle w:val="rtal"/>
            </w:pPr>
            <w:r>
              <w:fldChar w:fldCharType="begin" w:fldLock="1"/>
            </w:r>
            <w:r>
              <w:instrText xml:space="preserve"> DOCPROPERTY BetänkandeÅr</w:instrText>
            </w:r>
            <w:r>
              <w:fldChar w:fldCharType="separate"/>
            </w:r>
            <w:r>
              <w:t>1998/99</w:t>
            </w:r>
            <w:r>
              <w:fldChar w:fldCharType="end"/>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D91C99" w:rsidRDefault="00D91C99">
            <w:pPr>
              <w:spacing w:before="40" w:after="900" w:line="280" w:lineRule="exact"/>
              <w:jc w:val="left"/>
              <w:rPr>
                <w:sz w:val="28"/>
              </w:rPr>
            </w:pPr>
          </w:p>
        </w:tc>
        <w:tc>
          <w:tcPr>
            <w:tcW w:w="1559" w:type="dxa"/>
            <w:tcBorders>
              <w:bottom w:val="single" w:sz="6" w:space="0" w:color="auto"/>
            </w:tcBorders>
          </w:tcPr>
          <w:p w:rsidR="00D91C99" w:rsidRDefault="00D91C99">
            <w:pPr>
              <w:pStyle w:val="rtal"/>
            </w:pPr>
            <w:r>
              <w:fldChar w:fldCharType="begin" w:fldLock="1"/>
            </w:r>
            <w:r>
              <w:instrText xml:space="preserve"> DOCPROPERTY Utskott</w:instrText>
            </w:r>
            <w:r>
              <w:fldChar w:fldCharType="separate"/>
            </w:r>
            <w:r>
              <w:t>TU</w:t>
            </w:r>
            <w:r>
              <w:fldChar w:fldCharType="end"/>
            </w:r>
            <w:r>
              <w:fldChar w:fldCharType="begin" w:fldLock="1"/>
            </w:r>
            <w:r>
              <w:instrText xml:space="preserve"> DOCPROPERTY BetänkandeNr</w:instrText>
            </w:r>
            <w:r>
              <w:fldChar w:fldCharType="separate"/>
            </w:r>
            <w:r>
              <w:t>2</w:t>
            </w:r>
            <w:r>
              <w:fldChar w:fldCharType="end"/>
            </w:r>
          </w:p>
        </w:tc>
      </w:tr>
      <w:tr w:rsidR="00000000">
        <w:tblPrEx>
          <w:tblCellMar>
            <w:top w:w="0" w:type="dxa"/>
            <w:bottom w:w="0" w:type="dxa"/>
          </w:tblCellMar>
        </w:tblPrEx>
        <w:trPr>
          <w:cantSplit/>
          <w:trHeight w:hRule="exact" w:val="660"/>
        </w:trPr>
        <w:tc>
          <w:tcPr>
            <w:tcW w:w="3012" w:type="dxa"/>
          </w:tcPr>
          <w:p w:rsidR="00D91C99" w:rsidRDefault="00D91C99">
            <w:pPr>
              <w:pStyle w:val="StatusSida1"/>
            </w:pPr>
            <w:r>
              <w:fldChar w:fldCharType="begin" w:fldLock="1"/>
            </w:r>
            <w:r>
              <w:instrText xml:space="preserve"> DOCPROPERTY "Status"</w:instrText>
            </w:r>
            <w:r>
              <w:fldChar w:fldCharType="end"/>
            </w:r>
          </w:p>
        </w:tc>
        <w:tc>
          <w:tcPr>
            <w:tcW w:w="3012" w:type="dxa"/>
          </w:tcPr>
          <w:p w:rsidR="00D91C99" w:rsidRDefault="00D91C99">
            <w:pPr>
              <w:pStyle w:val="UtskriftsdatumSida1"/>
              <w:rPr>
                <w:b/>
                <w:sz w:val="28"/>
              </w:rPr>
            </w:pPr>
          </w:p>
        </w:tc>
        <w:tc>
          <w:tcPr>
            <w:tcW w:w="1559" w:type="dxa"/>
          </w:tcPr>
          <w:p w:rsidR="00D91C99" w:rsidRDefault="00D91C99"/>
        </w:tc>
      </w:tr>
    </w:tbl>
    <w:p w:rsidR="00D91C99" w:rsidRDefault="00D91C99">
      <w:pPr>
        <w:pStyle w:val="Rubrik1"/>
        <w:spacing w:before="123"/>
      </w:pPr>
      <w:bookmarkStart w:id="17" w:name="Nästa_Reservation"/>
      <w:bookmarkStart w:id="18" w:name="_Toc431698693"/>
      <w:bookmarkStart w:id="19" w:name="_Toc434131427"/>
      <w:bookmarkEnd w:id="17"/>
      <w:r>
        <w:t>Sammanfattning</w:t>
      </w:r>
      <w:bookmarkEnd w:id="19"/>
    </w:p>
    <w:p w:rsidR="00D91C99" w:rsidRDefault="00D91C99">
      <w:r>
        <w:t>I betänkandet tillstyrker utskottet ett förslag av regeringen i proposition 1997/98:124 Ny körkortslag m.m. om att lagen (1988:15) om förbud mot radar- och laservarnare skall ändras så att den omfattar förbud mot att tillverka, inneha, överlåta eller använda inte bara radar- och laservarnare utan också</w:t>
      </w:r>
      <w:r>
        <w:rPr>
          <w:i/>
        </w:rPr>
        <w:t xml:space="preserve"> laserstörare.</w:t>
      </w:r>
      <w:r>
        <w:t xml:space="preserve"> Därmed förstås enligt lagförslaget ”varje anordning som är konstruerad för att med elektromagnetiska vågor störa funktionen hos en laserhastighetsmätare för vägtr</w:t>
      </w:r>
      <w:r>
        <w:t>a</w:t>
      </w:r>
      <w:r>
        <w:t>fik”. Utskottet föreslår att lagän</w:t>
      </w:r>
      <w:r>
        <w:t>d</w:t>
      </w:r>
      <w:r>
        <w:t xml:space="preserve">ringen träder i kraft den 1 januari 1999.  </w:t>
      </w:r>
    </w:p>
    <w:p w:rsidR="00D91C99" w:rsidRDefault="00D91C99">
      <w:pPr>
        <w:pStyle w:val="Rubrik1"/>
      </w:pPr>
      <w:bookmarkStart w:id="20" w:name="_Toc434131428"/>
      <w:r>
        <w:t>Propositionen</w:t>
      </w:r>
      <w:bookmarkEnd w:id="18"/>
      <w:bookmarkEnd w:id="20"/>
    </w:p>
    <w:p w:rsidR="00D91C99" w:rsidRDefault="00D91C99">
      <w:r>
        <w:t>Regeringen (Kommunikationsdepartementet) föreslår i proposition 1997/98: 124 punkt 6 att riksdagen antar regeringens förslag till lag om ändring i lagen (1988:15) om förbud mot radar- och laservarnare.</w:t>
      </w:r>
    </w:p>
    <w:p w:rsidR="00D91C99" w:rsidRDefault="00D91C99">
      <w:pPr>
        <w:pStyle w:val="Normaltindrag"/>
      </w:pPr>
      <w:r>
        <w:t xml:space="preserve">Lagförslaget finns i  </w:t>
      </w:r>
      <w:r>
        <w:rPr>
          <w:i/>
        </w:rPr>
        <w:t>bilaga</w:t>
      </w:r>
      <w:r>
        <w:t xml:space="preserve"> till betänkandet.</w:t>
      </w:r>
    </w:p>
    <w:p w:rsidR="00D91C99" w:rsidRDefault="00D91C99">
      <w:pPr>
        <w:pStyle w:val="Rubrik1"/>
      </w:pPr>
      <w:bookmarkStart w:id="21" w:name="_Toc431698694"/>
      <w:bookmarkStart w:id="22" w:name="_Toc434131429"/>
      <w:r>
        <w:t>Utskottet</w:t>
      </w:r>
      <w:bookmarkEnd w:id="21"/>
      <w:bookmarkEnd w:id="22"/>
    </w:p>
    <w:p w:rsidR="00D91C99" w:rsidRDefault="00D91C99">
      <w:r>
        <w:t>Regeringens förslag innebär främst att lagen om förbud mot radar- och lase</w:t>
      </w:r>
      <w:r>
        <w:t>r</w:t>
      </w:r>
      <w:r>
        <w:t xml:space="preserve">varnare skall ändras så att den omfattar förbud mot att tillverka, inneha, överlåta eller använda inte bara radarvarnare och laservarnare utan också </w:t>
      </w:r>
      <w:r>
        <w:rPr>
          <w:i/>
        </w:rPr>
        <w:t xml:space="preserve">laserstörare. </w:t>
      </w:r>
      <w:r>
        <w:t>Därmed förstås enligt lagförslaget ”varje anordning som är konstruerad för att med elektromagnetiska vågor störa funktionen hos en laserha</w:t>
      </w:r>
      <w:r>
        <w:t>s</w:t>
      </w:r>
      <w:r>
        <w:t>tighetsmätare för vägtrafik”. Som en följd av detta förslag bör lagens rubrik enligt regeringen ändras så att den lyder Lag om förbud mot vissa radar- och laserinstrument.</w:t>
      </w:r>
    </w:p>
    <w:p w:rsidR="00D91C99" w:rsidRDefault="00D91C99">
      <w:pPr>
        <w:pStyle w:val="Normaltindrag"/>
      </w:pPr>
      <w:r>
        <w:t>Utskottet behandlade lagförslaget i s</w:t>
      </w:r>
      <w:r>
        <w:t>itt av riksdagen i maj 1998 godkända betänkande 1997/98:TU11 Ny körkortslag m.m. (prop. 1997/98:124, rskr. 1997/98:259). Utskottet erinrade därvid om förordningen (1994:2029) om tekniska regler. I denna föreskrivs att sådana tekniska regler som avses i förordningen skall anmälas till EG-kommissionen enligt ett närmare beskr</w:t>
      </w:r>
      <w:r>
        <w:t>i</w:t>
      </w:r>
      <w:r>
        <w:t>vet förfarande. Detta anmälningsförfarande, som bygger på rådets direktiv 83/189/EEG av den 28 mars 1983 om ett informationsförfarande beträffande tekniska standarder och föreskrifter, s</w:t>
      </w:r>
      <w:r>
        <w:t xml:space="preserve">kall vara avslutat innan </w:t>
      </w:r>
      <w:r>
        <w:lastRenderedPageBreak/>
        <w:t>beslut  fattas om det förslag till regler som anmälningen till kommi</w:t>
      </w:r>
      <w:r>
        <w:t>s</w:t>
      </w:r>
      <w:r>
        <w:t xml:space="preserve">sionen omfattar. </w:t>
      </w:r>
    </w:p>
    <w:p w:rsidR="00D91C99" w:rsidRDefault="00D91C99">
      <w:pPr>
        <w:pStyle w:val="Normaltindrag"/>
      </w:pPr>
      <w:r>
        <w:t>Utskottet framhöll i det nämnda betänkandet att det under hand hade up</w:t>
      </w:r>
      <w:r>
        <w:t>p</w:t>
      </w:r>
      <w:r>
        <w:t>lysts om att ett av Regeringskansliet inlett anmälningsförfarande beträffande ifrågavarande förslag till lagändringar ännu inte hade avslutats.  Riksdagsb</w:t>
      </w:r>
      <w:r>
        <w:t>e</w:t>
      </w:r>
      <w:r>
        <w:t>handlingen av lagförslaget borde därför uppskjutas till nästa riksmöte, då anmälning</w:t>
      </w:r>
      <w:r>
        <w:t>s</w:t>
      </w:r>
      <w:r>
        <w:t xml:space="preserve">förfarandet kunde väntas ha avslutats. </w:t>
      </w:r>
    </w:p>
    <w:p w:rsidR="00D91C99" w:rsidRDefault="00D91C99">
      <w:pPr>
        <w:pStyle w:val="Normaltindrag"/>
      </w:pPr>
      <w:r>
        <w:t xml:space="preserve"> Anmälningsförfarandet har numera avslutats, enligt uppgift i en skrivelse från Regeringskansliet till utskottet. Lagförslaget föranleder ingen annan erinran från utskottets sida än att tidpunkten för ikraftträdandet bör ändras frå</w:t>
      </w:r>
      <w:r>
        <w:t xml:space="preserve">n den 1 oktober 1998 till den 1 januari 1999.     </w:t>
      </w:r>
    </w:p>
    <w:p w:rsidR="00D91C99" w:rsidRDefault="00D91C99">
      <w:pPr>
        <w:pStyle w:val="Rubrik2"/>
      </w:pPr>
      <w:bookmarkStart w:id="23" w:name="_Toc431698695"/>
      <w:bookmarkStart w:id="24" w:name="_Toc434131430"/>
      <w:r>
        <w:t>Hemställan</w:t>
      </w:r>
      <w:bookmarkEnd w:id="23"/>
      <w:bookmarkEnd w:id="24"/>
    </w:p>
    <w:p w:rsidR="00D91C99" w:rsidRDefault="00D91C99">
      <w:r>
        <w:t>Utskottet hemställer</w:t>
      </w:r>
    </w:p>
    <w:p w:rsidR="00D91C99" w:rsidRDefault="00D91C99">
      <w:pPr>
        <w:pStyle w:val="hembetr"/>
        <w:rPr>
          <w:i/>
        </w:rPr>
      </w:pPr>
      <w:r>
        <w:t>beträffande</w:t>
      </w:r>
      <w:r>
        <w:rPr>
          <w:i/>
        </w:rPr>
        <w:t xml:space="preserve"> förbud mot laserstörare</w:t>
      </w:r>
    </w:p>
    <w:p w:rsidR="00D91C99" w:rsidRDefault="00D91C99">
      <w:pPr>
        <w:pStyle w:val="hemtext"/>
      </w:pPr>
      <w:r>
        <w:t>att riksdagen  antar det i proposition 1997/98:124 framlagda förslaget till lag om ändring i lagen (1988:15) om förbud mot radar- och lase</w:t>
      </w:r>
      <w:r>
        <w:t>r</w:t>
      </w:r>
      <w:r>
        <w:t xml:space="preserve">varnare med den ändringen att tidpunkten för ikraftträdandet bestäms till den 1 januari 1999.      </w:t>
      </w:r>
      <w:bookmarkStart w:id="25" w:name="RESPARTI001"/>
      <w:bookmarkEnd w:id="25"/>
    </w:p>
    <w:p w:rsidR="00D91C99" w:rsidRDefault="00D91C99">
      <w:pPr>
        <w:pStyle w:val="hemtext"/>
      </w:pPr>
      <w:bookmarkStart w:id="26" w:name="Nästa_Hpunkt"/>
      <w:bookmarkEnd w:id="26"/>
    </w:p>
    <w:p w:rsidR="00D91C99" w:rsidRDefault="00D91C99">
      <w:pPr>
        <w:pStyle w:val="Stockholm"/>
      </w:pPr>
      <w:r>
        <w:t>Stockholm den 10 november 1998</w:t>
      </w:r>
    </w:p>
    <w:p w:rsidR="00D91C99" w:rsidRDefault="00D91C99">
      <w:pPr>
        <w:pStyle w:val="Vgnar"/>
      </w:pPr>
      <w:r>
        <w:t>På trafikutskottets vägnar</w:t>
      </w:r>
    </w:p>
    <w:p w:rsidR="00D91C99" w:rsidRDefault="00D91C99">
      <w:pPr>
        <w:pStyle w:val="Ordfnamn"/>
      </w:pPr>
      <w:bookmarkStart w:id="27" w:name="Ordförande"/>
      <w:bookmarkEnd w:id="27"/>
      <w:r>
        <w:t xml:space="preserve">Monica Öhman </w:t>
      </w:r>
    </w:p>
    <w:p w:rsidR="00D91C99" w:rsidRDefault="00D91C99">
      <w:pPr>
        <w:pStyle w:val="Deltagare"/>
      </w:pPr>
      <w:bookmarkStart w:id="28" w:name="Deltagare"/>
      <w:bookmarkEnd w:id="28"/>
      <w:r>
        <w:t>I beslutet har deltagit: Monica Öhman (s), Sven Bergström (c), Per-Richard Molén (m), Jarl Lander (s), Hans Stenberg (s), Karin Svensson Smith (v), Johnny Gylling (kd), Tom Heyman (m), Krister Örnfjäder (s), Lars Björkman (m), Monica Green (s), Inger Segelström (s), Stig Eriksson (v), Tuve Skånberg (kd), Mikael Johansson (mp), Kenth Skårvik (fp) och Jan-Evert Rådhström (m).</w:t>
      </w:r>
    </w:p>
    <w:p w:rsidR="00D91C99" w:rsidRDefault="00D91C99">
      <w:pPr>
        <w:pStyle w:val="Rubrik1"/>
        <w:sectPr w:rsidR="00000000">
          <w:headerReference w:type="default" r:id="rId9"/>
          <w:footerReference w:type="default" r:id="rId10"/>
          <w:pgSz w:w="11906" w:h="16838" w:code="9"/>
          <w:pgMar w:top="567" w:right="4876" w:bottom="4508" w:left="1134" w:header="227" w:footer="227" w:gutter="0"/>
          <w:cols w:space="720"/>
        </w:sectPr>
      </w:pPr>
      <w:bookmarkStart w:id="29" w:name="_Toc431698696"/>
      <w:bookmarkStart w:id="30" w:name="_Toc434131431"/>
    </w:p>
    <w:p w:rsidR="00D91C99" w:rsidRDefault="00D91C99">
      <w:pPr>
        <w:pStyle w:val="Rubrik1"/>
      </w:pPr>
      <w:r>
        <w:t>Propositionens lagförslag</w:t>
      </w:r>
      <w:bookmarkEnd w:id="29"/>
      <w:bookmarkEnd w:id="30"/>
    </w:p>
    <w:p w:rsidR="00D91C99" w:rsidRDefault="00D91C99">
      <w:pPr>
        <w:pStyle w:val="Rubrik2"/>
      </w:pPr>
      <w:bookmarkStart w:id="31" w:name="_Toc431698697"/>
      <w:bookmarkStart w:id="32" w:name="_Toc434131432"/>
      <w:r>
        <w:t>Förslag till lag om ändring i lagen (1988:15) om förbud mot radar- och laservarnare</w:t>
      </w:r>
      <w:bookmarkEnd w:id="31"/>
      <w:bookmarkEnd w:id="32"/>
    </w:p>
    <w:p w:rsidR="00D91C99" w:rsidRDefault="00D91C99">
      <w:pPr>
        <w:sectPr w:rsidR="00000000">
          <w:headerReference w:type="default" r:id="rId11"/>
          <w:footerReference w:type="default" r:id="rId12"/>
          <w:pgSz w:w="11906" w:h="16838" w:code="9"/>
          <w:pgMar w:top="567" w:right="4876" w:bottom="4508" w:left="1134" w:header="227" w:footer="227" w:gutter="0"/>
          <w:cols w:space="720"/>
        </w:sectPr>
      </w:pPr>
    </w:p>
    <w:p w:rsidR="00D91C99" w:rsidRDefault="00D91C99"/>
    <w:sectPr w:rsidR="00D91C99">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1C99" w:rsidRDefault="00D91C99">
      <w:pPr>
        <w:spacing w:before="0" w:line="240" w:lineRule="auto"/>
      </w:pPr>
      <w:r>
        <w:separator/>
      </w:r>
    </w:p>
  </w:endnote>
  <w:endnote w:type="continuationSeparator" w:id="0">
    <w:p w:rsidR="00D91C99" w:rsidRDefault="00D91C9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C99" w:rsidRDefault="00D91C99">
    <w:pPr>
      <w:pStyle w:val="SidfotH"/>
      <w:framePr w:wrap="around"/>
    </w:pPr>
    <w:r>
      <w:fldChar w:fldCharType="begin" w:fldLock="1"/>
    </w:r>
    <w:r>
      <w:instrText xml:space="preserve"> PAGE </w:instrText>
    </w:r>
    <w:r>
      <w:fldChar w:fldCharType="separate"/>
    </w:r>
    <w:r>
      <w:rPr>
        <w:noProof/>
      </w:rPr>
      <w:t>2</w:t>
    </w:r>
    <w:r>
      <w:fldChar w:fldCharType="end"/>
    </w:r>
  </w:p>
  <w:p w:rsidR="00D91C99" w:rsidRDefault="00D91C9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C99" w:rsidRDefault="00D91C99">
    <w:pPr>
      <w:pStyle w:val="SidfotH"/>
      <w:framePr w:wrap="around"/>
    </w:pPr>
    <w:r>
      <w:fldChar w:fldCharType="begin" w:fldLock="1"/>
    </w:r>
    <w:r>
      <w:instrText xml:space="preserve"> PAGE </w:instrText>
    </w:r>
    <w:r>
      <w:fldChar w:fldCharType="separate"/>
    </w:r>
    <w:r>
      <w:rPr>
        <w:noProof/>
      </w:rPr>
      <w:t>3</w:t>
    </w:r>
    <w:r>
      <w:fldChar w:fldCharType="end"/>
    </w:r>
  </w:p>
  <w:p w:rsidR="00D91C99" w:rsidRDefault="00D91C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1C99" w:rsidRDefault="00D91C99">
      <w:pPr>
        <w:spacing w:before="0" w:line="240" w:lineRule="auto"/>
      </w:pPr>
      <w:r>
        <w:separator/>
      </w:r>
    </w:p>
  </w:footnote>
  <w:footnote w:type="continuationSeparator" w:id="0">
    <w:p w:rsidR="00D91C99" w:rsidRDefault="00D91C9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C99" w:rsidRDefault="00D91C99">
    <w:pPr>
      <w:pStyle w:val="SidhuvudKant"/>
      <w:framePr w:w="1985" w:h="2743" w:hRule="exact" w:wrap="around" w:vAnchor="page" w:hAnchor="page" w:x="7372" w:y="568" w:anchorLock="0"/>
    </w:pPr>
    <w:r>
      <w:fldChar w:fldCharType="begin" w:fldLock="1"/>
    </w:r>
    <w:r>
      <w:instrText xml:space="preserve"> if </w:instrText>
    </w:r>
    <w:r>
      <w:fldChar w:fldCharType="begin" w:fldLock="1"/>
    </w:r>
    <w:r>
      <w:instrText xml:space="preserve"> page</w:instrText>
    </w:r>
    <w:r>
      <w:fldChar w:fldCharType="separate"/>
    </w:r>
    <w:r w:rsidR="00C9707B">
      <w:rPr>
        <w:noProof/>
      </w:rPr>
      <w:instrText>1</w:instrText>
    </w:r>
    <w:r>
      <w:fldChar w:fldCharType="end"/>
    </w:r>
    <w:r>
      <w:instrText xml:space="preserve"> &gt; 1 "</w:instrText>
    </w:r>
    <w:r>
      <w:fldChar w:fldCharType="begin" w:fldLock="1"/>
    </w:r>
    <w:r>
      <w:instrText xml:space="preserve"> DOCPROPERTY BetänkandeÅr</w:instrText>
    </w:r>
    <w:r>
      <w:fldChar w:fldCharType="separate"/>
    </w:r>
    <w:r>
      <w:instrText>1998/99</w:instrText>
    </w:r>
    <w:r>
      <w:fldChar w:fldCharType="end"/>
    </w:r>
    <w:r>
      <w:instrText>:</w:instrText>
    </w:r>
    <w:r>
      <w:fldChar w:fldCharType="begin" w:fldLock="1"/>
    </w:r>
    <w:r>
      <w:instrText xml:space="preserve"> DOCPROPERTY Utskott</w:instrText>
    </w:r>
    <w:r>
      <w:fldChar w:fldCharType="separate"/>
    </w:r>
    <w:r>
      <w:instrText>TU</w:instrText>
    </w:r>
    <w:r>
      <w:fldChar w:fldCharType="end"/>
    </w:r>
    <w:r>
      <w:fldChar w:fldCharType="begin" w:fldLock="1"/>
    </w:r>
    <w:r>
      <w:instrText xml:space="preserve"> DOCPROPERTY BetänkandeNr</w:instrText>
    </w:r>
    <w:r>
      <w:fldChar w:fldCharType="separate"/>
    </w:r>
    <w:r>
      <w:instrText>2</w:instrText>
    </w:r>
    <w:r>
      <w:fldChar w:fldCharType="end"/>
    </w:r>
  </w:p>
  <w:p w:rsidR="00D91C99" w:rsidRDefault="00D91C99">
    <w:pPr>
      <w:pStyle w:val="SidhuvudKantBilaga"/>
      <w:framePr w:w="1985" w:h="2743" w:hRule="exact" w:wrap="around" w:vAnchor="page" w:hAnchor="page" w:x="7372" w:y="568" w:anchorLock="0"/>
    </w:pPr>
  </w:p>
  <w:p w:rsidR="00D91C99" w:rsidRDefault="00D91C99">
    <w:pPr>
      <w:pStyle w:val="SidhuvudKant"/>
      <w:framePr w:w="1985" w:h="2743" w:hRule="exact" w:wrap="around" w:vAnchor="page" w:hAnchor="page" w:x="7372" w:y="568" w:anchorLock="0"/>
    </w:pPr>
    <w:r>
      <w:fldChar w:fldCharType="begin" w:fldLock="1"/>
    </w:r>
    <w:r>
      <w:instrText xml:space="preserve"> DOCPROPERTY Status </w:instrText>
    </w:r>
    <w:r>
      <w:fldChar w:fldCharType="end"/>
    </w:r>
    <w:r>
      <w:instrText>"</w:instrText>
    </w:r>
    <w:r>
      <w:fldChar w:fldCharType="end"/>
    </w:r>
  </w:p>
  <w:p w:rsidR="00D91C99" w:rsidRDefault="00D91C9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C99" w:rsidRDefault="00D91C99">
    <w:pPr>
      <w:pStyle w:val="SidhuvudKant"/>
      <w:framePr w:w="1985" w:h="2743" w:hRule="exact" w:wrap="around" w:vAnchor="page" w:hAnchor="page" w:x="7372" w:y="568" w:anchorLock="0"/>
    </w:pPr>
    <w:r>
      <w:fldChar w:fldCharType="begin" w:fldLock="1"/>
    </w:r>
    <w:r>
      <w:instrText xml:space="preserve"> if </w:instrText>
    </w:r>
    <w:r>
      <w:fldChar w:fldCharType="begin" w:fldLock="1"/>
    </w:r>
    <w:r>
      <w:instrText xml:space="preserve"> page</w:instrText>
    </w:r>
    <w:r>
      <w:fldChar w:fldCharType="separate"/>
    </w:r>
    <w:r>
      <w:rPr>
        <w:noProof/>
      </w:rPr>
      <w:instrText>3</w:instrText>
    </w:r>
    <w:r>
      <w:fldChar w:fldCharType="end"/>
    </w:r>
    <w:r>
      <w:instrText xml:space="preserve"> &gt; 1 "</w:instrText>
    </w:r>
    <w:r>
      <w:fldChar w:fldCharType="begin" w:fldLock="1"/>
    </w:r>
    <w:r>
      <w:instrText xml:space="preserve"> DOCPROPERTY BetänkandeÅr</w:instrText>
    </w:r>
    <w:r>
      <w:fldChar w:fldCharType="separate"/>
    </w:r>
    <w:r>
      <w:instrText>1998/99</w:instrText>
    </w:r>
    <w:r>
      <w:fldChar w:fldCharType="end"/>
    </w:r>
    <w:r>
      <w:instrText>:</w:instrText>
    </w:r>
    <w:r>
      <w:fldChar w:fldCharType="begin" w:fldLock="1"/>
    </w:r>
    <w:r>
      <w:instrText xml:space="preserve"> DOCPROPERTY Utskott</w:instrText>
    </w:r>
    <w:r>
      <w:fldChar w:fldCharType="separate"/>
    </w:r>
    <w:r>
      <w:instrText>TU</w:instrText>
    </w:r>
    <w:r>
      <w:fldChar w:fldCharType="end"/>
    </w:r>
    <w:r>
      <w:fldChar w:fldCharType="begin" w:fldLock="1"/>
    </w:r>
    <w:r>
      <w:instrText xml:space="preserve"> DOCPROPERTY BetänkandeNr</w:instrText>
    </w:r>
    <w:r>
      <w:fldChar w:fldCharType="separate"/>
    </w:r>
    <w:r>
      <w:instrText>2</w:instrText>
    </w:r>
    <w:r>
      <w:fldChar w:fldCharType="end"/>
    </w:r>
  </w:p>
  <w:p w:rsidR="00D91C99" w:rsidRDefault="00D91C99">
    <w:pPr>
      <w:pStyle w:val="SidhuvudKantBilaga"/>
      <w:framePr w:w="1985" w:h="2743" w:hRule="exact" w:wrap="around" w:vAnchor="page" w:hAnchor="page" w:x="7372" w:y="568" w:anchorLock="0"/>
    </w:pPr>
    <w:r>
      <w:instrText>Bilaga</w:instrText>
    </w:r>
  </w:p>
  <w:p w:rsidR="00D91C99" w:rsidRDefault="00D91C99">
    <w:pPr>
      <w:pStyle w:val="SidhuvudKant"/>
      <w:framePr w:w="1985" w:h="2743" w:hRule="exact" w:wrap="around" w:vAnchor="page" w:hAnchor="page" w:x="7372" w:y="568" w:anchorLock="0"/>
      <w:rPr>
        <w:noProof/>
      </w:rPr>
    </w:pPr>
    <w:r>
      <w:fldChar w:fldCharType="begin" w:fldLock="1"/>
    </w:r>
    <w:r>
      <w:instrText xml:space="preserve"> DOCPROPERTY Status </w:instrText>
    </w:r>
    <w:r>
      <w:fldChar w:fldCharType="end"/>
    </w:r>
    <w:r>
      <w:instrText>"</w:instrText>
    </w:r>
    <w:r>
      <w:fldChar w:fldCharType="separate"/>
    </w:r>
    <w:r>
      <w:rPr>
        <w:noProof/>
      </w:rPr>
      <w:fldChar w:fldCharType="begin" w:fldLock="1"/>
    </w:r>
    <w:r>
      <w:rPr>
        <w:noProof/>
      </w:rPr>
      <w:instrText xml:space="preserve"> DOCPROPERTY BetänkandeÅr</w:instrText>
    </w:r>
    <w:r>
      <w:rPr>
        <w:noProof/>
      </w:rPr>
      <w:fldChar w:fldCharType="separate"/>
    </w:r>
    <w:r>
      <w:rPr>
        <w:noProof/>
      </w:rPr>
      <w:t>1998/99</w:t>
    </w:r>
    <w:r>
      <w:rPr>
        <w:noProof/>
      </w:rPr>
      <w:fldChar w:fldCharType="end"/>
    </w:r>
    <w:r>
      <w:rPr>
        <w:noProof/>
      </w:rPr>
      <w:t>:</w:t>
    </w:r>
    <w:r>
      <w:rPr>
        <w:noProof/>
      </w:rPr>
      <w:fldChar w:fldCharType="begin" w:fldLock="1"/>
    </w:r>
    <w:r>
      <w:rPr>
        <w:noProof/>
      </w:rPr>
      <w:instrText xml:space="preserve"> DOCPROPERTY Utskott</w:instrText>
    </w:r>
    <w:r>
      <w:rPr>
        <w:noProof/>
      </w:rPr>
      <w:fldChar w:fldCharType="separate"/>
    </w:r>
    <w:r>
      <w:rPr>
        <w:noProof/>
      </w:rPr>
      <w:t>TU</w:t>
    </w:r>
    <w:r>
      <w:rPr>
        <w:noProof/>
      </w:rPr>
      <w:fldChar w:fldCharType="end"/>
    </w:r>
    <w:r>
      <w:rPr>
        <w:noProof/>
      </w:rPr>
      <w:fldChar w:fldCharType="begin" w:fldLock="1"/>
    </w:r>
    <w:r>
      <w:rPr>
        <w:noProof/>
      </w:rPr>
      <w:instrText xml:space="preserve"> DOCPROPERTY BetänkandeNr</w:instrText>
    </w:r>
    <w:r>
      <w:rPr>
        <w:noProof/>
      </w:rPr>
      <w:fldChar w:fldCharType="separate"/>
    </w:r>
    <w:r>
      <w:rPr>
        <w:noProof/>
      </w:rPr>
      <w:t>2</w:t>
    </w:r>
    <w:r>
      <w:rPr>
        <w:noProof/>
      </w:rPr>
      <w:fldChar w:fldCharType="end"/>
    </w:r>
  </w:p>
  <w:p w:rsidR="00D91C99" w:rsidRDefault="00D91C99">
    <w:pPr>
      <w:pStyle w:val="SidhuvudKantBilaga"/>
      <w:framePr w:w="1985" w:h="2743" w:hRule="exact" w:wrap="around" w:vAnchor="page" w:hAnchor="page" w:x="7372" w:y="568" w:anchorLock="0"/>
      <w:rPr>
        <w:noProof/>
      </w:rPr>
    </w:pPr>
    <w:r>
      <w:rPr>
        <w:noProof/>
      </w:rPr>
      <w:t>Bilaga</w:t>
    </w:r>
  </w:p>
  <w:p w:rsidR="00D91C99" w:rsidRDefault="00D91C99">
    <w:pPr>
      <w:pStyle w:val="SidhuvudKant"/>
      <w:framePr w:w="1985" w:h="2743" w:hRule="exact" w:wrap="around" w:vAnchor="page" w:hAnchor="page" w:x="7372" w:y="568" w:anchorLock="0"/>
    </w:pPr>
    <w:r>
      <w:fldChar w:fldCharType="end"/>
    </w:r>
  </w:p>
  <w:p w:rsidR="00D91C99" w:rsidRDefault="00D91C99">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attachedTemplate r:id="rId1"/>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9899"/>
  </w:docVars>
  <w:rsids>
    <w:rsidRoot w:val="00DB161C"/>
    <w:rsid w:val="00C9707B"/>
    <w:rsid w:val="00D91C99"/>
    <w:rsid w:val="00DB161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AB6A1D-BBB4-4A78-B4E2-70161FCC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outlineLvl w:val="0"/>
    </w:pPr>
    <w:rPr>
      <w:sz w:val="28"/>
    </w:rPr>
  </w:style>
  <w:style w:type="paragraph" w:styleId="Rubrik2">
    <w:name w:val="heading 2"/>
    <w:basedOn w:val="Rubrik1"/>
    <w:next w:val="Normal"/>
    <w:qFormat/>
    <w:pPr>
      <w:spacing w:before="360" w:line="256" w:lineRule="exact"/>
      <w:jc w:val="left"/>
      <w:outlineLvl w:val="1"/>
    </w:pPr>
    <w:rPr>
      <w:sz w:val="23"/>
    </w:rPr>
  </w:style>
  <w:style w:type="paragraph" w:styleId="Rubrik3">
    <w:name w:val="heading 3"/>
    <w:basedOn w:val="Rubrik1"/>
    <w:next w:val="Normal"/>
    <w:qFormat/>
    <w:pPr>
      <w:spacing w:before="398" w:line="214" w:lineRule="exact"/>
      <w:jc w:val="lef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jc w:val="left"/>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jc w:val="left"/>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98.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Bet98.dot</Template>
  <TotalTime>0</TotalTime>
  <Pages>2</Pages>
  <Words>523</Words>
  <Characters>3306</Characters>
  <Application>Microsoft Office Word</Application>
  <DocSecurity>4</DocSecurity>
  <Lines>80</Lines>
  <Paragraphs>30</Paragraphs>
  <ScaleCrop>false</ScaleCrop>
  <HeadingPairs>
    <vt:vector size="2" baseType="variant">
      <vt:variant>
        <vt:lpstr>Title</vt:lpstr>
      </vt:variant>
      <vt:variant>
        <vt:i4>1</vt:i4>
      </vt:variant>
    </vt:vector>
  </HeadingPairs>
  <TitlesOfParts>
    <vt:vector size="1" baseType="lpstr">
      <vt:lpstr>Trafikutskottets betänkande</vt:lpstr>
    </vt:vector>
  </TitlesOfParts>
  <Company>Riksdagen</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1998-11-12T15:25:00Z</cp:lastPrinted>
  <dcterms:created xsi:type="dcterms:W3CDTF">2025-12-15T20:42:00Z</dcterms:created>
  <dcterms:modified xsi:type="dcterms:W3CDTF">2025-12-15T20:42:00Z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TU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