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559"/>
      </w:tblGrid>
      <w:tr w:rsidR="00000000" w:rsidRPr="00000E4F">
        <w:tblPrEx>
          <w:tblCellMar>
            <w:top w:w="0" w:type="dxa"/>
            <w:bottom w:w="0" w:type="dxa"/>
          </w:tblCellMar>
        </w:tblPrEx>
        <w:trPr>
          <w:cantSplit/>
          <w:trHeight w:hRule="exact" w:val="1260"/>
        </w:trPr>
        <w:tc>
          <w:tcPr>
            <w:tcW w:w="6024" w:type="dxa"/>
            <w:gridSpan w:val="2"/>
            <w:vMerge w:val="restart"/>
          </w:tcPr>
          <w:p w:rsidR="00866CF7" w:rsidRPr="00000E4F" w:rsidRDefault="00866CF7">
            <w:pPr>
              <w:pStyle w:val="HuvudRubrik"/>
            </w:pPr>
            <w:r w:rsidRPr="00000E4F">
              <w:t>Arbetsmarknadsutskottets betänkande</w:t>
            </w:r>
            <w:r w:rsidR="00000E4F" w:rsidRPr="00000E4F">
              <w:rPr>
                <w:noProof/>
              </w:rPr>
              <mc:AlternateContent>
                <mc:Choice Requires="wps">
                  <w:drawing>
                    <wp:anchor distT="0" distB="0" distL="114300" distR="114300" simplePos="0" relativeHeight="251657216" behindDoc="0" locked="0" layoutInCell="0" allowOverlap="1">
                      <wp:simplePos x="0" y="0"/>
                      <wp:positionH relativeFrom="page">
                        <wp:posOffset>4608830</wp:posOffset>
                      </wp:positionH>
                      <wp:positionV relativeFrom="page">
                        <wp:posOffset>198120</wp:posOffset>
                      </wp:positionV>
                      <wp:extent cx="1150620" cy="981075"/>
                      <wp:effectExtent l="0" t="0" r="0" b="0"/>
                      <wp:wrapNone/>
                      <wp:docPr id="40913446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0620"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bookmarkStart w:id="0" w:name="_MON_929452563"/>
                                <w:bookmarkStart w:id="1" w:name="_MON_929529912"/>
                                <w:bookmarkStart w:id="2" w:name="_MON_932818888"/>
                                <w:bookmarkStart w:id="3" w:name="_MON_947076358"/>
                                <w:bookmarkStart w:id="4" w:name="_MON_947165881"/>
                                <w:bookmarkStart w:id="5" w:name="_MON_968067888"/>
                                <w:bookmarkStart w:id="6" w:name="_MON_968068624"/>
                                <w:bookmarkStart w:id="7" w:name="_MON_973953492"/>
                                <w:bookmarkEnd w:id="0"/>
                                <w:bookmarkEnd w:id="1"/>
                                <w:bookmarkEnd w:id="2"/>
                                <w:bookmarkEnd w:id="3"/>
                                <w:bookmarkEnd w:id="4"/>
                                <w:bookmarkEnd w:id="5"/>
                                <w:bookmarkEnd w:id="6"/>
                                <w:bookmarkEnd w:id="7"/>
                                <w:p w:rsidR="00866CF7" w:rsidRDefault="00866CF7">
                                  <w:pPr>
                                    <w:pStyle w:val="Logo"/>
                                  </w:pPr>
                                  <w:r>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0.45pt;height:77.15pt" fillcolor="window">
                                        <v:imagedata r:id="rId7" o:title="" cropright="-75835f"/>
                                      </v:shape>
                                      <o:OLEObject Type="Embed" ProgID="Word.Picture.8" ShapeID="_x0000_i1025" DrawAspect="Content" ObjectID="_1827341589" r:id="rId8"/>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62.9pt;margin-top:15.6pt;width:90.6pt;height:77.2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" o:allowincell="f" stroked="f">
                      <v:textbox inset="0,0,0,0">
                        <w:txbxContent>
                          <w:bookmarkStart w:id="8" w:name="_MON_929452563"/>
                          <w:bookmarkStart w:id="9" w:name="_MON_929529912"/>
                          <w:bookmarkStart w:id="10" w:name="_MON_932818888"/>
                          <w:bookmarkStart w:id="11" w:name="_MON_947076358"/>
                          <w:bookmarkStart w:id="12" w:name="_MON_947165881"/>
                          <w:bookmarkStart w:id="13" w:name="_MON_968067888"/>
                          <w:bookmarkStart w:id="14" w:name="_MON_968068624"/>
                          <w:bookmarkStart w:id="15" w:name="_MON_973953492"/>
                          <w:bookmarkEnd w:id="8"/>
                          <w:bookmarkEnd w:id="9"/>
                          <w:bookmarkEnd w:id="10"/>
                          <w:bookmarkEnd w:id="11"/>
                          <w:bookmarkEnd w:id="12"/>
                          <w:bookmarkEnd w:id="13"/>
                          <w:bookmarkEnd w:id="14"/>
                          <w:bookmarkEnd w:id="15"/>
                          <w:p w:rsidR="00866CF7" w:rsidRDefault="00866CF7">
                            <w:pPr>
                              <w:pStyle w:val="Logo"/>
                            </w:pPr>
                            <w:r>
                              <w:object w:dxaOrig="840" w:dyaOrig="1545">
                                <v:shape id="_x0000_i1025" type="#_x0000_t75" style="width:90.45pt;height:77.15pt" fillcolor="window">
                                  <v:imagedata r:id="rId7" o:title="" cropright="-75835f"/>
                                </v:shape>
                                <o:OLEObject Type="Embed" ProgID="Word.Picture.8" ShapeID="_x0000_i1025" DrawAspect="Content" ObjectID="_1827341589" r:id="rId9"/>
                              </w:object>
                            </w:r>
                          </w:p>
                        </w:txbxContent>
                      </v:textbox>
                      <w10:wrap anchorx="page" anchory="page"/>
                    </v:shape>
                  </w:pict>
                </mc:Fallback>
              </mc:AlternateContent>
            </w:r>
          </w:p>
          <w:p w:rsidR="00866CF7" w:rsidRPr="00000E4F" w:rsidRDefault="00866CF7">
            <w:pPr>
              <w:pStyle w:val="HuvudRubrikRad2"/>
            </w:pPr>
            <w:bookmarkStart w:id="16" w:name="BetänkandeNr"/>
            <w:bookmarkEnd w:id="16"/>
            <w:r w:rsidRPr="00000E4F">
              <w:t>1999/2000:AU5</w:t>
            </w:r>
          </w:p>
          <w:p w:rsidR="00866CF7" w:rsidRPr="00000E4F" w:rsidRDefault="00866CF7">
            <w:pPr>
              <w:pStyle w:val="BetnkandeRubrik"/>
            </w:pPr>
            <w:bookmarkStart w:id="17" w:name="Huvudrubrik"/>
            <w:bookmarkEnd w:id="17"/>
            <w:r w:rsidRPr="00000E4F">
              <w:t>Lönebildning och arbetsrätt</w:t>
            </w:r>
          </w:p>
        </w:tc>
        <w:tc>
          <w:tcPr>
            <w:tcW w:w="1559" w:type="dxa"/>
            <w:tcBorders>
              <w:bottom w:val="nil"/>
            </w:tcBorders>
          </w:tcPr>
          <w:p w:rsidR="00866CF7" w:rsidRPr="00000E4F" w:rsidRDefault="00866CF7">
            <w:pPr>
              <w:spacing w:before="0" w:line="230" w:lineRule="auto"/>
              <w:rPr>
                <w:sz w:val="24"/>
              </w:rPr>
            </w:pPr>
          </w:p>
        </w:tc>
      </w:tr>
      <w:tr w:rsidR="00000000" w:rsidRPr="00000E4F">
        <w:tblPrEx>
          <w:tblCellMar>
            <w:top w:w="0" w:type="dxa"/>
            <w:bottom w:w="0" w:type="dxa"/>
          </w:tblCellMar>
        </w:tblPrEx>
        <w:trPr>
          <w:cantSplit/>
          <w:trHeight w:hRule="exact" w:val="240"/>
        </w:trPr>
        <w:tc>
          <w:tcPr>
            <w:tcW w:w="6024" w:type="dxa"/>
            <w:gridSpan w:val="2"/>
            <w:vMerge/>
            <w:tcBorders>
              <w:top w:val="nil"/>
              <w:bottom w:val="nil"/>
            </w:tcBorders>
          </w:tcPr>
          <w:p w:rsidR="00866CF7" w:rsidRPr="00000E4F" w:rsidRDefault="00866CF7">
            <w:pPr>
              <w:spacing w:before="40" w:after="900" w:line="280" w:lineRule="exact"/>
              <w:jc w:val="left"/>
              <w:rPr>
                <w:sz w:val="28"/>
              </w:rPr>
            </w:pPr>
          </w:p>
        </w:tc>
        <w:tc>
          <w:tcPr>
            <w:tcW w:w="1559" w:type="dxa"/>
          </w:tcPr>
          <w:p w:rsidR="00866CF7" w:rsidRPr="00000E4F" w:rsidRDefault="00866CF7">
            <w:pPr>
              <w:pStyle w:val="rtal"/>
            </w:pPr>
            <w:r w:rsidRPr="00000E4F">
              <w:t>1999/2000</w:t>
            </w:r>
          </w:p>
        </w:tc>
      </w:tr>
      <w:tr w:rsidR="00000000" w:rsidRPr="00000E4F">
        <w:tblPrEx>
          <w:tblCellMar>
            <w:top w:w="0" w:type="dxa"/>
            <w:bottom w:w="0" w:type="dxa"/>
          </w:tblCellMar>
        </w:tblPrEx>
        <w:trPr>
          <w:cantSplit/>
          <w:trHeight w:val="560"/>
        </w:trPr>
        <w:tc>
          <w:tcPr>
            <w:tcW w:w="6024" w:type="dxa"/>
            <w:gridSpan w:val="2"/>
            <w:vMerge/>
            <w:tcBorders>
              <w:top w:val="nil"/>
              <w:bottom w:val="single" w:sz="6" w:space="0" w:color="auto"/>
            </w:tcBorders>
          </w:tcPr>
          <w:p w:rsidR="00866CF7" w:rsidRPr="00000E4F" w:rsidRDefault="00866CF7">
            <w:pPr>
              <w:spacing w:before="40" w:after="900" w:line="280" w:lineRule="exact"/>
              <w:jc w:val="left"/>
              <w:rPr>
                <w:sz w:val="28"/>
              </w:rPr>
            </w:pPr>
          </w:p>
        </w:tc>
        <w:tc>
          <w:tcPr>
            <w:tcW w:w="1559" w:type="dxa"/>
            <w:tcBorders>
              <w:bottom w:val="single" w:sz="6" w:space="0" w:color="auto"/>
            </w:tcBorders>
          </w:tcPr>
          <w:p w:rsidR="00866CF7" w:rsidRPr="00000E4F" w:rsidRDefault="00866CF7">
            <w:pPr>
              <w:pStyle w:val="rtal"/>
            </w:pPr>
            <w:r w:rsidRPr="00000E4F">
              <w:t>AU5</w:t>
            </w:r>
          </w:p>
        </w:tc>
      </w:tr>
      <w:tr w:rsidR="00000000" w:rsidRPr="00000E4F">
        <w:tblPrEx>
          <w:tblCellMar>
            <w:top w:w="0" w:type="dxa"/>
            <w:bottom w:w="0" w:type="dxa"/>
          </w:tblCellMar>
        </w:tblPrEx>
        <w:trPr>
          <w:cantSplit/>
          <w:trHeight w:hRule="exact" w:val="660"/>
        </w:trPr>
        <w:tc>
          <w:tcPr>
            <w:tcW w:w="3012" w:type="dxa"/>
          </w:tcPr>
          <w:p w:rsidR="00866CF7" w:rsidRPr="00000E4F" w:rsidRDefault="00866CF7">
            <w:pPr>
              <w:pStyle w:val="StatusSida1"/>
            </w:pPr>
          </w:p>
        </w:tc>
        <w:tc>
          <w:tcPr>
            <w:tcW w:w="3012" w:type="dxa"/>
          </w:tcPr>
          <w:p w:rsidR="00866CF7" w:rsidRPr="00000E4F" w:rsidRDefault="00866CF7">
            <w:pPr>
              <w:pStyle w:val="UtskriftsdatumSida1"/>
              <w:rPr>
                <w:b/>
                <w:sz w:val="18"/>
              </w:rPr>
            </w:pPr>
          </w:p>
        </w:tc>
        <w:tc>
          <w:tcPr>
            <w:tcW w:w="1559" w:type="dxa"/>
          </w:tcPr>
          <w:p w:rsidR="00866CF7" w:rsidRPr="00000E4F" w:rsidRDefault="00866CF7"/>
        </w:tc>
      </w:tr>
    </w:tbl>
    <w:p w:rsidR="00866CF7" w:rsidRPr="00000E4F" w:rsidRDefault="00866CF7">
      <w:pPr>
        <w:pStyle w:val="Rubrik1"/>
        <w:spacing w:before="0"/>
      </w:pPr>
      <w:bookmarkStart w:id="18" w:name="_Toc477140330"/>
      <w:r w:rsidRPr="00000E4F">
        <w:t>Sammanfattning</w:t>
      </w:r>
      <w:bookmarkEnd w:id="18"/>
    </w:p>
    <w:p w:rsidR="00866CF7" w:rsidRPr="00000E4F" w:rsidRDefault="00866CF7">
      <w:bookmarkStart w:id="19" w:name="Textstart"/>
      <w:bookmarkEnd w:id="19"/>
      <w:r w:rsidRPr="00000E4F">
        <w:t>Detta betänkandet är uppdelat i två huvudavsnitt. Del I Lönebildningen avser regeringens förslag i proposition 1999/2000:32 Lönebildning för full sysse</w:t>
      </w:r>
      <w:r w:rsidRPr="00000E4F">
        <w:t>l</w:t>
      </w:r>
      <w:r w:rsidRPr="00000E4F">
        <w:t xml:space="preserve">sättning och anknytande motioner, Del II avser motioner som väckts under den allmänna motionstiden och avser arbetsrätten i övrigt, men undantag för motioner om turordningen vid uppsägning på grund av arbetsbrist, vilka skjuts upp till behandling vid senare tillfälle. </w:t>
      </w:r>
    </w:p>
    <w:p w:rsidR="00866CF7" w:rsidRPr="00000E4F" w:rsidRDefault="00866CF7">
      <w:pPr>
        <w:pStyle w:val="R3"/>
      </w:pPr>
      <w:r w:rsidRPr="00000E4F">
        <w:t>Del I</w:t>
      </w:r>
    </w:p>
    <w:p w:rsidR="00866CF7" w:rsidRPr="00000E4F" w:rsidRDefault="00866CF7">
      <w:r w:rsidRPr="00000E4F">
        <w:t>Förslagen i propositionen syftar till att främja en lönebildning i samhällsek</w:t>
      </w:r>
      <w:r w:rsidRPr="00000E4F">
        <w:t>o</w:t>
      </w:r>
      <w:r w:rsidRPr="00000E4F">
        <w:t>nomisk balans som tål de påfrestningar som en långvarigt ökad arbetskraf</w:t>
      </w:r>
      <w:r w:rsidRPr="00000E4F">
        <w:t>t</w:t>
      </w:r>
      <w:r w:rsidRPr="00000E4F">
        <w:t>sefterfrågan medför så att det blir möjligt att kombinera höjda reallöner med låg arbetslöshet och stabila priser. Förslagen innebär ingen begränsning i arbetsmarknadens parters möjligheter och ansvar för hur avtalslösningar utformas. En ny myndighet, Medlingsinstitutet, skall ha till uppgift att medla i arbetstvister och verka för en väl fungerande lönebildning. Medlingsinst</w:t>
      </w:r>
      <w:r w:rsidRPr="00000E4F">
        <w:t>i</w:t>
      </w:r>
      <w:r w:rsidRPr="00000E4F">
        <w:t>tutet skall agera tidigt bl.a. genom att kalla parterna til</w:t>
      </w:r>
      <w:r w:rsidRPr="00000E4F">
        <w:t>l överläggningar eller på annat sätt informera sig om kommande eller pågående avtalsförhandlin</w:t>
      </w:r>
      <w:r w:rsidRPr="00000E4F">
        <w:t>g</w:t>
      </w:r>
      <w:r w:rsidRPr="00000E4F">
        <w:t>ar. Efter samtycke från parterna kan Medlingsinstitutet utse förhandlingsl</w:t>
      </w:r>
      <w:r w:rsidRPr="00000E4F">
        <w:t>e</w:t>
      </w:r>
      <w:r w:rsidRPr="00000E4F">
        <w:t>dare eller medlare. Om det finns risk för stridsåtgärder eller om sådana redan har påbörjats skall institutet kunna utse medlare även utan samtycke från parterna. Det gäller dock inte om parterna är bundna av ett registrerat avtal liknande det s.k. Industriavtalet. Varseltiden för stridsåtgärder förlängs från sju dagar till sju arbetsdagar.</w:t>
      </w:r>
      <w:r w:rsidRPr="00000E4F">
        <w:t xml:space="preserve"> Om det främjar en god lösning av tvisten får Medlingsinstitutet skjuta upp varslade stridsåtgärder i högst 14 dagar. En part som underlåter att varsla kan bli skyldig att betala en varselavgift  till staten om minst 30 000 kronor och högst 100 000 kronor. En part som vidtar en stridsåtgärd i strid mot institutets beslut kan tvingas betala förhöjd varsela</w:t>
      </w:r>
      <w:r w:rsidRPr="00000E4F">
        <w:t>v</w:t>
      </w:r>
      <w:r w:rsidRPr="00000E4F">
        <w:t>gift om lägst 300 000 kronor och högst 1 000 000 kronor. Lagändringarna föreslås träda i kraft den 1 juni 2000. Utskottet tillstyrker de föreslagna än</w:t>
      </w:r>
      <w:r w:rsidRPr="00000E4F">
        <w:t>d</w:t>
      </w:r>
      <w:r w:rsidRPr="00000E4F">
        <w:t>rin</w:t>
      </w:r>
      <w:r w:rsidRPr="00000E4F">
        <w:t>garna i medbestämmandelagen. – I övrigt redovisar regeringen vissa fö</w:t>
      </w:r>
      <w:r w:rsidRPr="00000E4F">
        <w:t>r</w:t>
      </w:r>
      <w:r w:rsidRPr="00000E4F">
        <w:t xml:space="preserve">slag och bedömningar. Medlingsinstitutet skall årligen publicera en rapport om löneutvecklingen och blir ansvarigt för den officiella lönestatistiken från den 1 januari 2001. Konjunkturinstitutet skall svara för en årlig rapport om </w:t>
      </w:r>
      <w:r w:rsidRPr="00000E4F">
        <w:lastRenderedPageBreak/>
        <w:t xml:space="preserve">de samhällsekonomiska förutsättningarna för löneförhandlingarna. Utskottet avstyrker ett antal motionsyrkanden i dessa delar. </w:t>
      </w:r>
    </w:p>
    <w:p w:rsidR="00866CF7" w:rsidRPr="00000E4F" w:rsidRDefault="00866CF7">
      <w:pPr>
        <w:pStyle w:val="Normaltindrag"/>
      </w:pPr>
      <w:r w:rsidRPr="00000E4F">
        <w:t>I propositionen föreslås inte några ändringar i fråga om rätten att vidta stridsåtg</w:t>
      </w:r>
      <w:r w:rsidRPr="00000E4F">
        <w:t>ärder. En utskottsmajoritet bestående av företrädarna för Moderate</w:t>
      </w:r>
      <w:r w:rsidRPr="00000E4F">
        <w:t>r</w:t>
      </w:r>
      <w:r w:rsidRPr="00000E4F">
        <w:t>na, Kristdemokraterna, Centerpartiet, Folkpartiet och Miljöpartiet anser att ett förbud bör införas mot stridsåtgärder mot enmans- och familjeföretag motsvarande vad som gällde under år 1994. Utskottet föreslår därför att riksdagen antar vissa ändringar i bl.a. medbestämmandelagen i enlighet med detta. Även dessa lagregler föreslås träda i kraft den 1 juni i år. - Företräda</w:t>
      </w:r>
      <w:r w:rsidRPr="00000E4F">
        <w:t>r</w:t>
      </w:r>
      <w:r w:rsidRPr="00000E4F">
        <w:t>na för Socialdemokraterna och Vänsterpartiet reserverar sig mot förs</w:t>
      </w:r>
      <w:r w:rsidRPr="00000E4F">
        <w:t xml:space="preserve">laget.  </w:t>
      </w:r>
    </w:p>
    <w:p w:rsidR="00866CF7" w:rsidRPr="00000E4F" w:rsidRDefault="00866CF7">
      <w:pPr>
        <w:pStyle w:val="Normaltindrag"/>
      </w:pPr>
      <w:r w:rsidRPr="00000E4F">
        <w:t>I övriga reservationer kritiserar Moderaterna, Kristdemokraterna, Folkpa</w:t>
      </w:r>
      <w:r w:rsidRPr="00000E4F">
        <w:t>r</w:t>
      </w:r>
      <w:r w:rsidRPr="00000E4F">
        <w:t>tiet och Centerpartiet propositionen från olika utgångspunkter. Moderaterna anser att förslaget om ett  Medlingsinstitut bör avslås.</w:t>
      </w:r>
    </w:p>
    <w:p w:rsidR="00866CF7" w:rsidRPr="00000E4F" w:rsidRDefault="00866CF7">
      <w:pPr>
        <w:pStyle w:val="R3"/>
      </w:pPr>
      <w:r w:rsidRPr="00000E4F">
        <w:t xml:space="preserve">Del II </w:t>
      </w:r>
    </w:p>
    <w:p w:rsidR="00866CF7" w:rsidRPr="00000E4F" w:rsidRDefault="00866CF7">
      <w:r w:rsidRPr="00000E4F">
        <w:t>I avsnittet behandlas ett antal motioner som gäller krav på allmänna förän</w:t>
      </w:r>
      <w:r w:rsidRPr="00000E4F">
        <w:t>d</w:t>
      </w:r>
      <w:r w:rsidRPr="00000E4F">
        <w:t>ringar av arbetsrätten och en översyn av denna. Vidare lämnas i motionerna förslag om ändringar i centrala delar av de arbetsrättsliga lagarna. Även vissa enskilda frågor tas upp. Samtliga motioner avstyrks. - Utskottet föreslår att regeringen får i uppdrag att göra en översyn av den arbetsrättsliga lagstif</w:t>
      </w:r>
      <w:r w:rsidRPr="00000E4F">
        <w:t>t</w:t>
      </w:r>
      <w:r w:rsidRPr="00000E4F">
        <w:t>ningen. Det skall ankomma på regeringen att bestämma formerna för och omfattningen av denna översyn.. – Reservationer har i denna del av betä</w:t>
      </w:r>
      <w:r w:rsidRPr="00000E4F">
        <w:t>n</w:t>
      </w:r>
      <w:r w:rsidRPr="00000E4F">
        <w:t>kandet lämnats av företrädarna för Moderaterna, Vänsterparti</w:t>
      </w:r>
      <w:r w:rsidRPr="00000E4F">
        <w:t>et, Kristdem</w:t>
      </w:r>
      <w:r w:rsidRPr="00000E4F">
        <w:t>o</w:t>
      </w:r>
      <w:r w:rsidRPr="00000E4F">
        <w:t>kraterna, Centerpartiet, Folkpartiet och Miljöpartiet</w:t>
      </w:r>
    </w:p>
    <w:p w:rsidR="00866CF7" w:rsidRPr="00000E4F" w:rsidRDefault="00866CF7">
      <w:pPr>
        <w:pStyle w:val="Rubrik1"/>
      </w:pPr>
      <w:bookmarkStart w:id="20" w:name="_Toc477140331"/>
      <w:r w:rsidRPr="00000E4F">
        <w:t>Propositionen</w:t>
      </w:r>
      <w:bookmarkEnd w:id="20"/>
    </w:p>
    <w:p w:rsidR="00866CF7" w:rsidRPr="00000E4F" w:rsidRDefault="00866CF7">
      <w:r w:rsidRPr="00000E4F">
        <w:t>1999/2000:32 vari yrkas</w:t>
      </w:r>
    </w:p>
    <w:p w:rsidR="00866CF7" w:rsidRPr="00000E4F" w:rsidRDefault="00866CF7">
      <w:pPr>
        <w:pStyle w:val="Normaltindrag"/>
      </w:pPr>
      <w:r w:rsidRPr="00000E4F">
        <w:t>1. att riksdagen antar regeringens förslag till lag om ändring i lagen (1976:580) om medbestämmande i arbetslivet,</w:t>
      </w:r>
    </w:p>
    <w:p w:rsidR="00866CF7" w:rsidRPr="00000E4F" w:rsidRDefault="00866CF7">
      <w:pPr>
        <w:pStyle w:val="Normaltindrag"/>
      </w:pPr>
      <w:r w:rsidRPr="00000E4F">
        <w:t>2. att riksdagen antar regeringens förslag till lag om ändring i sekretessl</w:t>
      </w:r>
      <w:r w:rsidRPr="00000E4F">
        <w:t>a</w:t>
      </w:r>
      <w:r w:rsidRPr="00000E4F">
        <w:t>gen (1980:100).</w:t>
      </w:r>
    </w:p>
    <w:p w:rsidR="00866CF7" w:rsidRPr="00000E4F" w:rsidRDefault="00866CF7">
      <w:pPr>
        <w:pStyle w:val="Rubrik1"/>
      </w:pPr>
      <w:bookmarkStart w:id="21" w:name="_Toc477140332"/>
      <w:r w:rsidRPr="00000E4F">
        <w:t>Motionerna</w:t>
      </w:r>
      <w:bookmarkEnd w:id="21"/>
    </w:p>
    <w:p w:rsidR="00866CF7" w:rsidRPr="00000E4F" w:rsidRDefault="00866CF7">
      <w:pPr>
        <w:pStyle w:val="R2"/>
        <w:spacing w:before="123"/>
      </w:pPr>
      <w:r w:rsidRPr="00000E4F">
        <w:t>Motioner väckta med anledning av propositionen</w:t>
      </w:r>
    </w:p>
    <w:p w:rsidR="00866CF7" w:rsidRPr="00000E4F" w:rsidRDefault="00866CF7">
      <w:r w:rsidRPr="00000E4F">
        <w:t>1999/2000:A6 av Mikael Odenberg m.fl. (m) vari yrkas</w:t>
      </w:r>
    </w:p>
    <w:p w:rsidR="00866CF7" w:rsidRPr="00000E4F" w:rsidRDefault="00866CF7">
      <w:pPr>
        <w:pStyle w:val="Normaltindrag"/>
      </w:pPr>
      <w:r w:rsidRPr="00000E4F">
        <w:t>1. att riksdagen som sin mening ger regeringen till känna vad i motionen anförts om att lönebildningen bör ske så decen</w:t>
      </w:r>
      <w:r w:rsidRPr="00000E4F">
        <w:t>t</w:t>
      </w:r>
      <w:r w:rsidRPr="00000E4F">
        <w:t>raliserat som möjligt,</w:t>
      </w:r>
    </w:p>
    <w:p w:rsidR="00866CF7" w:rsidRPr="00000E4F" w:rsidRDefault="00866CF7">
      <w:pPr>
        <w:pStyle w:val="Normaltindrag"/>
      </w:pPr>
      <w:r w:rsidRPr="00000E4F">
        <w:t>2. att riksdagen som sin mening ger regeringen till känna vad i motionen anförts om de ökade kraven på lokal och individuell anpassning i lönebil</w:t>
      </w:r>
      <w:r w:rsidRPr="00000E4F">
        <w:t>d</w:t>
      </w:r>
      <w:r w:rsidRPr="00000E4F">
        <w:t>ningen på morgondagens arbetsmarknad,</w:t>
      </w:r>
    </w:p>
    <w:p w:rsidR="00866CF7" w:rsidRPr="00000E4F" w:rsidRDefault="00866CF7">
      <w:pPr>
        <w:pStyle w:val="Normaltindrag"/>
      </w:pPr>
      <w:r w:rsidRPr="00000E4F">
        <w:t>3. att riksdagen som sin mening ger regeringen till känna vad i motionen anförts om statsmakternas ansvar för lönebil</w:t>
      </w:r>
      <w:r w:rsidRPr="00000E4F">
        <w:t>d</w:t>
      </w:r>
      <w:r w:rsidRPr="00000E4F">
        <w:t>ningen,</w:t>
      </w:r>
    </w:p>
    <w:p w:rsidR="00866CF7" w:rsidRPr="00000E4F" w:rsidRDefault="00866CF7">
      <w:pPr>
        <w:pStyle w:val="Normaltindrag"/>
      </w:pPr>
      <w:r w:rsidRPr="00000E4F">
        <w:t>4. att riksdagen som sin mening ger regeringen till känna vad i motionen anförts om behovet av sänkta skatter för att u</w:t>
      </w:r>
      <w:r w:rsidRPr="00000E4F">
        <w:t>n</w:t>
      </w:r>
      <w:r w:rsidRPr="00000E4F">
        <w:t>derlätta en sund lönebildning,</w:t>
      </w:r>
    </w:p>
    <w:p w:rsidR="00866CF7" w:rsidRPr="00000E4F" w:rsidRDefault="00866CF7">
      <w:pPr>
        <w:pStyle w:val="Normaltindrag"/>
      </w:pPr>
      <w:r w:rsidRPr="00000E4F">
        <w:t>5. att riksdagen som sin mening ger regeringen till känna vad i motionen anförts om lönespridning och kompetensutveckling,</w:t>
      </w:r>
    </w:p>
    <w:p w:rsidR="00866CF7" w:rsidRPr="00000E4F" w:rsidRDefault="00866CF7">
      <w:pPr>
        <w:pStyle w:val="Normaltindrag"/>
      </w:pPr>
      <w:r w:rsidRPr="00000E4F">
        <w:t>6. att riksdagen som sin mening ger regeringen till känna vad i motionen anförts om behovet av sänkta reservationslöner,</w:t>
      </w:r>
    </w:p>
    <w:p w:rsidR="00866CF7" w:rsidRPr="00000E4F" w:rsidRDefault="00866CF7">
      <w:pPr>
        <w:pStyle w:val="Normaltindrag"/>
      </w:pPr>
      <w:r w:rsidRPr="00000E4F">
        <w:t>7. att riksdagen hos regeringen begär förslag om en bortre parentes i a</w:t>
      </w:r>
      <w:r w:rsidRPr="00000E4F">
        <w:t>r</w:t>
      </w:r>
      <w:r w:rsidRPr="00000E4F">
        <w:t>betslöshetsförsäkringen i enlighet med vad som anförts i motionen,</w:t>
      </w:r>
    </w:p>
    <w:p w:rsidR="00866CF7" w:rsidRPr="00000E4F" w:rsidRDefault="00866CF7">
      <w:pPr>
        <w:pStyle w:val="Normaltindrag"/>
      </w:pPr>
      <w:r w:rsidRPr="00000E4F">
        <w:t>8. att riksdagen hos regeringen begär förslag om införande av en propo</w:t>
      </w:r>
      <w:r w:rsidRPr="00000E4F">
        <w:t>r</w:t>
      </w:r>
      <w:r w:rsidRPr="00000E4F">
        <w:t>tionalitetsregel i lagen (1976:580) om medbestämmande i arbetslivet i enli</w:t>
      </w:r>
      <w:r w:rsidRPr="00000E4F">
        <w:t>g</w:t>
      </w:r>
      <w:r w:rsidRPr="00000E4F">
        <w:t>het med vad som anförts i motionen,</w:t>
      </w:r>
    </w:p>
    <w:p w:rsidR="00866CF7" w:rsidRPr="00000E4F" w:rsidRDefault="00866CF7">
      <w:pPr>
        <w:pStyle w:val="Normaltindrag"/>
      </w:pPr>
      <w:r w:rsidRPr="00000E4F">
        <w:t>9. att riksdagen antar det till denna motion fogade förslaget till lag om än</w:t>
      </w:r>
      <w:r w:rsidRPr="00000E4F">
        <w:t>d</w:t>
      </w:r>
      <w:r w:rsidRPr="00000E4F">
        <w:t>ring i lagen (1976:580) om medbestämmande i arbetslivet,</w:t>
      </w:r>
    </w:p>
    <w:p w:rsidR="00866CF7" w:rsidRPr="00000E4F" w:rsidRDefault="00866CF7">
      <w:pPr>
        <w:pStyle w:val="Normaltindrag"/>
      </w:pPr>
      <w:r w:rsidRPr="00000E4F">
        <w:t>10. att riksdagen hos regeringen begär förslag om införande av förbud mot sympatiåtgärder i lagen (1976:580) om medbestämmande i arbetslivet i enlighet med vad som anförts i motionen,</w:t>
      </w:r>
    </w:p>
    <w:p w:rsidR="00866CF7" w:rsidRPr="00000E4F" w:rsidRDefault="00866CF7">
      <w:pPr>
        <w:pStyle w:val="Normaltindrag"/>
      </w:pPr>
      <w:r w:rsidRPr="00000E4F">
        <w:t>11. att riksdagen avslår regeringens förslag om inrättande av en ny me</w:t>
      </w:r>
      <w:r w:rsidRPr="00000E4F">
        <w:t>d</w:t>
      </w:r>
      <w:r w:rsidRPr="00000E4F">
        <w:t>lingsmyndighet,</w:t>
      </w:r>
    </w:p>
    <w:p w:rsidR="00866CF7" w:rsidRPr="00000E4F" w:rsidRDefault="00866CF7">
      <w:pPr>
        <w:pStyle w:val="Normaltindrag"/>
      </w:pPr>
      <w:r w:rsidRPr="00000E4F">
        <w:t>12. att riksdagen beslutar om ändring av Statens Förlikningsmannaexped</w:t>
      </w:r>
      <w:r w:rsidRPr="00000E4F">
        <w:t>i</w:t>
      </w:r>
      <w:r w:rsidRPr="00000E4F">
        <w:t>tions namn till Medlingsi</w:t>
      </w:r>
      <w:r w:rsidRPr="00000E4F">
        <w:t>n</w:t>
      </w:r>
      <w:r w:rsidRPr="00000E4F">
        <w:t>stitutet fr. o. m. den 1 juli 2000,</w:t>
      </w:r>
    </w:p>
    <w:p w:rsidR="00866CF7" w:rsidRPr="00000E4F" w:rsidRDefault="00866CF7">
      <w:pPr>
        <w:pStyle w:val="Normaltindrag"/>
      </w:pPr>
      <w:r w:rsidRPr="00000E4F">
        <w:t>13. att riksdagen som sin mening ger regeringen till känna vad i motionen anförts om att Medlingsinstitutet inte skall tilldelas någon normbildande roll eller något övergripande ansvar för lön</w:t>
      </w:r>
      <w:r w:rsidRPr="00000E4F">
        <w:t>e</w:t>
      </w:r>
      <w:r w:rsidRPr="00000E4F">
        <w:t>bildningen,</w:t>
      </w:r>
    </w:p>
    <w:p w:rsidR="00866CF7" w:rsidRPr="00000E4F" w:rsidRDefault="00866CF7">
      <w:pPr>
        <w:pStyle w:val="Normaltindrag"/>
      </w:pPr>
      <w:r w:rsidRPr="00000E4F">
        <w:t>14. att riksdagen avslår regeringens förslag att göra Medlingsinstitutet till statistikansvarig myndighet för den offic</w:t>
      </w:r>
      <w:r w:rsidRPr="00000E4F">
        <w:t>i</w:t>
      </w:r>
      <w:r w:rsidRPr="00000E4F">
        <w:t>ella lönestatistiken,</w:t>
      </w:r>
    </w:p>
    <w:p w:rsidR="00866CF7" w:rsidRPr="00000E4F" w:rsidRDefault="00866CF7">
      <w:pPr>
        <w:pStyle w:val="Normaltindrag"/>
      </w:pPr>
      <w:r w:rsidRPr="00000E4F">
        <w:t>15. att riksdagen hos regeringen begär förslag om förlängning av varselt</w:t>
      </w:r>
      <w:r w:rsidRPr="00000E4F">
        <w:t>i</w:t>
      </w:r>
      <w:r w:rsidRPr="00000E4F">
        <w:t>den till 14 dagar,</w:t>
      </w:r>
    </w:p>
    <w:p w:rsidR="00866CF7" w:rsidRPr="00000E4F" w:rsidRDefault="00866CF7">
      <w:pPr>
        <w:pStyle w:val="Normaltindrag"/>
      </w:pPr>
      <w:r w:rsidRPr="00000E4F">
        <w:t>16. att riksdagen hos regeringen begär förslag till sådan ändring i lagen (1976:580) om medbestämmande i arbetslivet att Medlingsinstitutet kan avbryta icke varslade stridsåtgärder,</w:t>
      </w:r>
    </w:p>
    <w:p w:rsidR="00866CF7" w:rsidRPr="00000E4F" w:rsidRDefault="00866CF7">
      <w:pPr>
        <w:pStyle w:val="Normaltindrag"/>
      </w:pPr>
      <w:r w:rsidRPr="00000E4F">
        <w:t>17. att riksdagen beslutar om sådan ändring i lagen (1976:580) om medb</w:t>
      </w:r>
      <w:r w:rsidRPr="00000E4F">
        <w:t>e</w:t>
      </w:r>
      <w:r w:rsidRPr="00000E4F">
        <w:t>stämmande i arbetslivet att en konflikt som påbörjats i strid mot varselregle</w:t>
      </w:r>
      <w:r w:rsidRPr="00000E4F">
        <w:t>r</w:t>
      </w:r>
      <w:r w:rsidRPr="00000E4F">
        <w:t>na därmed anses vara olovlig,</w:t>
      </w:r>
    </w:p>
    <w:p w:rsidR="00866CF7" w:rsidRPr="00000E4F" w:rsidRDefault="00866CF7">
      <w:pPr>
        <w:pStyle w:val="Normaltindrag"/>
      </w:pPr>
      <w:r w:rsidRPr="00000E4F">
        <w:t>18. att riksdagen antar propositionens förslag till lag om ändring i sekr</w:t>
      </w:r>
      <w:r w:rsidRPr="00000E4F">
        <w:t>e</w:t>
      </w:r>
      <w:r w:rsidRPr="00000E4F">
        <w:t>tesslagen.</w:t>
      </w:r>
    </w:p>
    <w:p w:rsidR="00866CF7" w:rsidRPr="00000E4F" w:rsidRDefault="00866CF7">
      <w:r w:rsidRPr="00000E4F">
        <w:t>1999/2000:A7 av Barbro Feltzing m.fl. (mp) vari yrkas</w:t>
      </w:r>
    </w:p>
    <w:p w:rsidR="00866CF7" w:rsidRPr="00000E4F" w:rsidRDefault="00866CF7">
      <w:pPr>
        <w:pStyle w:val="Normaltindrag"/>
      </w:pPr>
      <w:r w:rsidRPr="00000E4F">
        <w:t>1. att riksdagen beslutar att i lagen (1976:580) om medbestämmande i a</w:t>
      </w:r>
      <w:r w:rsidRPr="00000E4F">
        <w:t>r</w:t>
      </w:r>
      <w:r w:rsidRPr="00000E4F">
        <w:t>betslivet skall införas en ny paragraf, 41 b §, med lydelse enligt bilaga 1,</w:t>
      </w:r>
    </w:p>
    <w:p w:rsidR="00866CF7" w:rsidRPr="00000E4F" w:rsidRDefault="00866CF7">
      <w:pPr>
        <w:pStyle w:val="Normaltindrag"/>
      </w:pPr>
      <w:r w:rsidRPr="00000E4F">
        <w:t>2. att riksdagen beslutar om ändring i 2 kap. 1 § lagen (1974:371) om rä</w:t>
      </w:r>
      <w:r w:rsidRPr="00000E4F">
        <w:t>t</w:t>
      </w:r>
      <w:r w:rsidRPr="00000E4F">
        <w:t>tegången i arbetstvister i enlighet med bilaga 2.</w:t>
      </w:r>
    </w:p>
    <w:p w:rsidR="00866CF7" w:rsidRPr="00000E4F" w:rsidRDefault="00866CF7">
      <w:r w:rsidRPr="00000E4F">
        <w:t>1999/2000:A8 av Stefan Attefall m.fl. (kd) vari yrkas</w:t>
      </w:r>
    </w:p>
    <w:p w:rsidR="00866CF7" w:rsidRPr="00000E4F" w:rsidRDefault="00866CF7">
      <w:pPr>
        <w:pStyle w:val="Normaltindrag"/>
      </w:pPr>
      <w:r w:rsidRPr="00000E4F">
        <w:t>1. att riksdagen som sin mening ger regeringen till känna vad i motionen anförts om en ekonomisk politik som främjar en sund lönebildning,</w:t>
      </w:r>
    </w:p>
    <w:p w:rsidR="00866CF7" w:rsidRPr="00000E4F" w:rsidRDefault="00866CF7">
      <w:pPr>
        <w:pStyle w:val="Normaltindrag"/>
      </w:pPr>
      <w:r w:rsidRPr="00000E4F">
        <w:t>2. att riksdagen som sin mening ger regeringen till känna vad i motionen anförts om Medlingsinstitutets arbetsuppgifter och roll i lönebildningen,</w:t>
      </w:r>
    </w:p>
    <w:p w:rsidR="00866CF7" w:rsidRPr="00000E4F" w:rsidRDefault="00866CF7">
      <w:pPr>
        <w:pStyle w:val="Normaltindrag"/>
      </w:pPr>
      <w:r w:rsidRPr="00000E4F">
        <w:t>3. att riksdagen som sin mening ger regeringen till känna vad i motionen anförts om ansvaret för lönestatistiken,</w:t>
      </w:r>
    </w:p>
    <w:p w:rsidR="00866CF7" w:rsidRPr="00000E4F" w:rsidRDefault="00866CF7">
      <w:pPr>
        <w:pStyle w:val="Normaltindrag"/>
      </w:pPr>
      <w:r w:rsidRPr="00000E4F">
        <w:t>4. att riksdagen som sin mening ger regeringen till känna vad i motionen anförts om jämställdhet och diskriminering,</w:t>
      </w:r>
    </w:p>
    <w:p w:rsidR="00866CF7" w:rsidRPr="00000E4F" w:rsidRDefault="00866CF7">
      <w:pPr>
        <w:pStyle w:val="Normaltindrag"/>
      </w:pPr>
      <w:r w:rsidRPr="00000E4F">
        <w:t>5. att riksdagen hos regeringen begär en lag om att stridsåtgärder skall vara proportionerliga,</w:t>
      </w:r>
    </w:p>
    <w:p w:rsidR="00866CF7" w:rsidRPr="00000E4F" w:rsidRDefault="00866CF7">
      <w:pPr>
        <w:pStyle w:val="Normaltindrag"/>
      </w:pPr>
      <w:r w:rsidRPr="00000E4F">
        <w:t>6. att riksdagen hos regeringen begär en lag om att sympatiåtgärder inte tillåts som instrument vid arbetsmarknadskonfli</w:t>
      </w:r>
      <w:r w:rsidRPr="00000E4F">
        <w:t>k</w:t>
      </w:r>
      <w:r w:rsidRPr="00000E4F">
        <w:t>ter,</w:t>
      </w:r>
    </w:p>
    <w:p w:rsidR="00866CF7" w:rsidRPr="00000E4F" w:rsidRDefault="00866CF7">
      <w:pPr>
        <w:pStyle w:val="Normaltindrag"/>
      </w:pPr>
      <w:r w:rsidRPr="00000E4F">
        <w:t>7. att riksdagen beslutar att 41 b § lagen om medbestämmande i arbetslivet (1976:580) ges följande lydelse: Arbetstagare får inte vidta eller delta i stridsåtgärd som har till ändamål att kollektivavtal skall träffas med ett för</w:t>
      </w:r>
      <w:r w:rsidRPr="00000E4F">
        <w:t>e</w:t>
      </w:r>
      <w:r w:rsidRPr="00000E4F">
        <w:t>tag som inte har några arbetstagare eller där bara företagaren eller företag</w:t>
      </w:r>
      <w:r w:rsidRPr="00000E4F">
        <w:t>a</w:t>
      </w:r>
      <w:r w:rsidRPr="00000E4F">
        <w:t>rens familjemedlemmar är arbetstagare och ensamma ägare. Detsamma gä</w:t>
      </w:r>
      <w:r w:rsidRPr="00000E4F">
        <w:t>l</w:t>
      </w:r>
      <w:r w:rsidRPr="00000E4F">
        <w:t>ler när stridsåtgärd har till ändamål att stödja någon som vill träffa kollekt</w:t>
      </w:r>
      <w:r w:rsidRPr="00000E4F">
        <w:t>i</w:t>
      </w:r>
      <w:r w:rsidRPr="00000E4F">
        <w:t>v</w:t>
      </w:r>
      <w:r w:rsidRPr="00000E4F">
        <w:softHyphen/>
        <w:t>avtal med ett sådant företag. Vad som nu sagts hindrar inte arbetstagare från att delta i en anställningsblockad som riktar sig mot ett sådant företag och som har beslutats i behörig ordning av en arbetstagarorganisation. Stridså</w:t>
      </w:r>
      <w:r w:rsidRPr="00000E4F">
        <w:t>t</w:t>
      </w:r>
      <w:r w:rsidRPr="00000E4F">
        <w:t>gärder som har vidtagits i strid mot första stycket är</w:t>
      </w:r>
      <w:r w:rsidRPr="00000E4F">
        <w:t xml:space="preserve"> att anse som olovliga. Förändringar i anställnings- eller ägarförhållanden som har inträffat sedan en stridsåtgärd har varslats eller inletts skall inte beaktas vid bedömningen av om en stridsåtgärd är att anse som olovlig enligt första stycket.</w:t>
      </w:r>
    </w:p>
    <w:p w:rsidR="00866CF7" w:rsidRPr="00000E4F" w:rsidRDefault="00866CF7">
      <w:r w:rsidRPr="00000E4F">
        <w:t>1999/2000:A9 av Margareta Andersson m.fl. (c) vari yrkas</w:t>
      </w:r>
    </w:p>
    <w:p w:rsidR="00866CF7" w:rsidRPr="00000E4F" w:rsidRDefault="00866CF7">
      <w:pPr>
        <w:pStyle w:val="Normaltindrag"/>
      </w:pPr>
      <w:r w:rsidRPr="00000E4F">
        <w:t>1. att riksdagen avslår propositionens förslag att Medlingsinstitutet blir statistikansvarig myndighet,</w:t>
      </w:r>
    </w:p>
    <w:p w:rsidR="00866CF7" w:rsidRPr="00000E4F" w:rsidRDefault="00866CF7">
      <w:pPr>
        <w:pStyle w:val="Normaltindrag"/>
      </w:pPr>
      <w:r w:rsidRPr="00000E4F">
        <w:t>2. att riksdagen beslutar om en ny 41 b § i lagen (1976:580) om medb</w:t>
      </w:r>
      <w:r w:rsidRPr="00000E4F">
        <w:t>e</w:t>
      </w:r>
      <w:r w:rsidRPr="00000E4F">
        <w:t>stämmande i arbetslivet med följande lydelse: En arbetstagare får inte vidta eller delta i en stridsåtgärd som har till ändamål att kollektivavtal skall träffas med ett företag som inte har några arbetstagare eller där bara företagaren eller företagarens familjemedlemmar är arbetstagare och ensamma ägare. Detsamma gäller när en stridsåtgärd har till ändamål att stödja någon som vill träffa kollektivavtal med ett sådant företag och som har beslutats i b</w:t>
      </w:r>
      <w:r w:rsidRPr="00000E4F">
        <w:t>e</w:t>
      </w:r>
      <w:r w:rsidRPr="00000E4F">
        <w:t xml:space="preserve">hörig ordning av en arbetstagarorganisation. </w:t>
      </w:r>
    </w:p>
    <w:p w:rsidR="00866CF7" w:rsidRPr="00000E4F" w:rsidRDefault="00866CF7">
      <w:pPr>
        <w:pStyle w:val="Normaltindrag"/>
      </w:pPr>
      <w:r w:rsidRPr="00000E4F">
        <w:t>Stridsåt</w:t>
      </w:r>
      <w:r w:rsidRPr="00000E4F">
        <w:t>gärder som har vidtagits i strid mot första stycket är att anse som olovliga. Förändringar i anställnings- eller ägarförhållanden som har inträffat sedan en stridsåtgärd varslats eller inletts skall inte beaktas vid bedömningen av om en stridsåtgärd är att anse som olovlig enligt första stycket.,</w:t>
      </w:r>
    </w:p>
    <w:p w:rsidR="00866CF7" w:rsidRPr="00000E4F" w:rsidRDefault="00866CF7">
      <w:pPr>
        <w:pStyle w:val="Normaltindrag"/>
      </w:pPr>
      <w:r w:rsidRPr="00000E4F">
        <w:t>3. att riksdagen, under förutsättning av bifall till yrkande 2, beslutar om sådan ändring av 2 kap. 1 § fjärde stycket lagen (1974:371) om rättegången i arbetstvister att Arbetsdomstolen blir behörig att som första</w:t>
      </w:r>
      <w:r w:rsidRPr="00000E4F">
        <w:t xml:space="preserve"> domstol ta upp och avgöra en tvist om stridsåtgärd som avses i 41 b § lagen (1976:580) om medbestämmande i arbetslivet,</w:t>
      </w:r>
    </w:p>
    <w:p w:rsidR="00866CF7" w:rsidRPr="00000E4F" w:rsidRDefault="00866CF7">
      <w:pPr>
        <w:pStyle w:val="Normaltindrag"/>
      </w:pPr>
      <w:r w:rsidRPr="00000E4F">
        <w:t>4. att riksdagen, under förutsättning av bifall till yrkande 2, beslutar om sådan ändring av 4 § andra stycket lagen (1976:580) om medbestämmande i arbetslivet att 41 b § omfattas av möjligheten att i kollektivavtal föreskriva längre gående fredsplikt eller ett längre gående skadeståndsansvar,</w:t>
      </w:r>
    </w:p>
    <w:p w:rsidR="00866CF7" w:rsidRPr="00000E4F" w:rsidRDefault="00866CF7">
      <w:pPr>
        <w:pStyle w:val="Normaltindrag"/>
      </w:pPr>
      <w:r w:rsidRPr="00000E4F">
        <w:t>5. att riksdagen beslutar om en ny 41 c § i lagen (1976:580) om medb</w:t>
      </w:r>
      <w:r w:rsidRPr="00000E4F">
        <w:t>e</w:t>
      </w:r>
      <w:r w:rsidRPr="00000E4F">
        <w:t xml:space="preserve">stämmande i arbetslivet med följande lydelse: För stridsåtgärder som vidtas i samband med avtalsförhandlingar mellan parter som är eller brukar vara bundna av kollektivavtal i förhållande till varandra skall följande gälla. </w:t>
      </w:r>
    </w:p>
    <w:p w:rsidR="00866CF7" w:rsidRPr="00000E4F" w:rsidRDefault="00866CF7">
      <w:pPr>
        <w:pStyle w:val="Normaltindrag"/>
      </w:pPr>
      <w:r w:rsidRPr="00000E4F">
        <w:t>Om en part har varslat om en stridsåtgärd som är partiell eller på ett annat sätt begränsad och åtgärden kan förväntas leda till skada eller annan oläge</w:t>
      </w:r>
      <w:r w:rsidRPr="00000E4F">
        <w:t>n</w:t>
      </w:r>
      <w:r w:rsidRPr="00000E4F">
        <w:t>het som står i uppenbart missförhållande till åtgärdens omfattning, kan åtgä</w:t>
      </w:r>
      <w:r w:rsidRPr="00000E4F">
        <w:t>r</w:t>
      </w:r>
      <w:r w:rsidRPr="00000E4F">
        <w:t xml:space="preserve">den förklaras olovlig. </w:t>
      </w:r>
    </w:p>
    <w:p w:rsidR="00866CF7" w:rsidRPr="00000E4F" w:rsidRDefault="00866CF7">
      <w:pPr>
        <w:pStyle w:val="Normaltindrag"/>
      </w:pPr>
      <w:r w:rsidRPr="00000E4F">
        <w:t>En stridsåtgärd som har varslats som svar på en annan stridsåtgärd kan också förklaras olovlig, om den är väsentligt mer omfattande än vad som är rimligt med hänsyn till den åtgärd som orsakat svarsåtgärden.</w:t>
      </w:r>
    </w:p>
    <w:p w:rsidR="00866CF7" w:rsidRPr="00000E4F" w:rsidRDefault="00866CF7">
      <w:pPr>
        <w:pStyle w:val="Normaltindrag"/>
      </w:pPr>
      <w:r w:rsidRPr="00000E4F">
        <w:t>Även en sympatiåtgärd som har varslats till stöd för en part i en tvist me</w:t>
      </w:r>
      <w:r w:rsidRPr="00000E4F">
        <w:t>l</w:t>
      </w:r>
      <w:r w:rsidRPr="00000E4F">
        <w:t>lan parter, som är eller brukar vara bundna av kollektivavtal i förhållande till varandra kan förklaras olovlig. Det kan ske om den varslade sympatiåtgärden kan förväntas leda till skada eller annan olägenhet som står i ett uppenbart missförhållande till åtgärdens eller primäråtgärdens omfattning.</w:t>
      </w:r>
    </w:p>
    <w:p w:rsidR="00866CF7" w:rsidRPr="00000E4F" w:rsidRDefault="00866CF7">
      <w:pPr>
        <w:pStyle w:val="Normaltindrag"/>
      </w:pPr>
      <w:r w:rsidRPr="00000E4F">
        <w:t>Talan om olovligförklaring enligt andra, tredje och fjärde styckena kan e</w:t>
      </w:r>
      <w:r w:rsidRPr="00000E4F">
        <w:t>n</w:t>
      </w:r>
      <w:r w:rsidRPr="00000E4F">
        <w:t>dast föras av den arbetsgivare eller organisation mot vilken åtgärden riktas. Med stöd av bestämmelserna i andra, tredje och fjärde styckena kan en stridsåtgärd interimistiskt förklaras olovlig för tiden fram till dess ett slutligt avgörande föreligger.</w:t>
      </w:r>
    </w:p>
    <w:p w:rsidR="00866CF7" w:rsidRPr="00000E4F" w:rsidRDefault="00866CF7">
      <w:pPr>
        <w:pStyle w:val="Normaltindrag"/>
      </w:pPr>
      <w:r w:rsidRPr="00000E4F">
        <w:t>Yrkande om olovligförklaring enligt andra, tredje och fjärde styckena och yrkande om interimistisk prövning enligt femte stycket skall framställas inom sju dagar från den dag då varsel lämnades till motparten enligt 45 § första stycket. Försummas det får så</w:t>
      </w:r>
      <w:r w:rsidRPr="00000E4F">
        <w:t>dana yrkanden inte framställas.,</w:t>
      </w:r>
    </w:p>
    <w:p w:rsidR="00866CF7" w:rsidRPr="00000E4F" w:rsidRDefault="00866CF7">
      <w:pPr>
        <w:pStyle w:val="Normaltindrag"/>
      </w:pPr>
      <w:r w:rsidRPr="00000E4F">
        <w:t xml:space="preserve">6. att riksdagen, under förutsättning av bifall till yrkande 5, beslutar om sådan ändring av 2 kap. 1 § fjärde stycket lagen (1974:371) om rättegången i arbetstvister att arbetsdomstolen blir behörig att som första domstol ta upp och avgöra en tvist om stridsåtgärd som avses i 41 c § lagen (1976:580) om medbestämmande i arbetslivet, </w:t>
      </w:r>
    </w:p>
    <w:p w:rsidR="00866CF7" w:rsidRPr="00000E4F" w:rsidRDefault="00866CF7">
      <w:pPr>
        <w:pStyle w:val="Normaltindrag"/>
      </w:pPr>
      <w:r w:rsidRPr="00000E4F">
        <w:t>7. att riksdagen, under förutsättning av bifall till yrkande 5, beslutar om sådan ändring av 4 § första stycket lagen (1976:580) om medbestämmande i arbetslivet att 41 c § omfattas av möjligheten att göra undantag genom ko</w:t>
      </w:r>
      <w:r w:rsidRPr="00000E4F">
        <w:t>l</w:t>
      </w:r>
      <w:r w:rsidRPr="00000E4F">
        <w:t>lektivavtal.</w:t>
      </w:r>
    </w:p>
    <w:p w:rsidR="00866CF7" w:rsidRPr="00000E4F" w:rsidRDefault="00866CF7">
      <w:r w:rsidRPr="00000E4F">
        <w:t>1999/2000:A10 av Lars Leijonborg m.fl. (fp) vari yrkas</w:t>
      </w:r>
    </w:p>
    <w:p w:rsidR="00866CF7" w:rsidRPr="00000E4F" w:rsidRDefault="00866CF7">
      <w:pPr>
        <w:pStyle w:val="Normaltindrag"/>
      </w:pPr>
      <w:r w:rsidRPr="00000E4F">
        <w:t>1. att riksdagen som sin mening ger regeringen till känna vad i motionen anförts om reformering av arbetsmarknadslagarna så att en bättre balans mellan parterna uppnås,</w:t>
      </w:r>
    </w:p>
    <w:p w:rsidR="00866CF7" w:rsidRPr="00000E4F" w:rsidRDefault="00866CF7">
      <w:pPr>
        <w:pStyle w:val="Normaltindrag"/>
      </w:pPr>
      <w:r w:rsidRPr="00000E4F">
        <w:t>2. att riksdagen som sin mening ger regeringen till känna vad i motionen anförts om principerna för en förbättrad lön</w:t>
      </w:r>
      <w:r w:rsidRPr="00000E4F">
        <w:t>e</w:t>
      </w:r>
      <w:r w:rsidRPr="00000E4F">
        <w:t>bildning,</w:t>
      </w:r>
    </w:p>
    <w:p w:rsidR="00866CF7" w:rsidRPr="00000E4F" w:rsidRDefault="00866CF7">
      <w:pPr>
        <w:pStyle w:val="Normaltindrag"/>
      </w:pPr>
      <w:r w:rsidRPr="00000E4F">
        <w:t>3. att riksdagen som sin mening ger regeringen till känna vad i motionen anförts om behovet av en utvärdering av me</w:t>
      </w:r>
      <w:r w:rsidRPr="00000E4F">
        <w:t>d</w:t>
      </w:r>
      <w:r w:rsidRPr="00000E4F">
        <w:t>lingsinstitutet,</w:t>
      </w:r>
    </w:p>
    <w:p w:rsidR="00866CF7" w:rsidRPr="00000E4F" w:rsidRDefault="00866CF7">
      <w:pPr>
        <w:pStyle w:val="Normaltindrag"/>
      </w:pPr>
      <w:r w:rsidRPr="00000E4F">
        <w:t>4. att riksdagen som sin mening ger regeringen till känna vad i motionen anförts om behovet av ett tidigt agerande i lön</w:t>
      </w:r>
      <w:r w:rsidRPr="00000E4F">
        <w:t>e</w:t>
      </w:r>
      <w:r w:rsidRPr="00000E4F">
        <w:t>förhandlingarna,</w:t>
      </w:r>
    </w:p>
    <w:p w:rsidR="00866CF7" w:rsidRPr="00000E4F" w:rsidRDefault="00866CF7">
      <w:pPr>
        <w:pStyle w:val="Normaltindrag"/>
      </w:pPr>
      <w:r w:rsidRPr="00000E4F">
        <w:t>5. att riksdagen avvisar regeringens förslag om att göra ett nytt me</w:t>
      </w:r>
      <w:r w:rsidRPr="00000E4F">
        <w:t>d</w:t>
      </w:r>
      <w:r w:rsidRPr="00000E4F">
        <w:t>lingsinstitut till statistikansvarig myndighet för lönestatistik,</w:t>
      </w:r>
    </w:p>
    <w:p w:rsidR="00866CF7" w:rsidRPr="00000E4F" w:rsidRDefault="00866CF7">
      <w:pPr>
        <w:pStyle w:val="Normaltindrag"/>
      </w:pPr>
      <w:r w:rsidRPr="00000E4F">
        <w:t>6. att riksdagen som sin mening ger regeringen till känna vad i motionen anförts om behovet av och ansvaret för löneanal</w:t>
      </w:r>
      <w:r w:rsidRPr="00000E4F">
        <w:t>y</w:t>
      </w:r>
      <w:r w:rsidRPr="00000E4F">
        <w:t>ser,</w:t>
      </w:r>
    </w:p>
    <w:p w:rsidR="00866CF7" w:rsidRPr="00000E4F" w:rsidRDefault="00866CF7">
      <w:pPr>
        <w:pStyle w:val="Normaltindrag"/>
      </w:pPr>
      <w:r w:rsidRPr="00000E4F">
        <w:t>7. att riksdagen som sin mening ger regeringen till känna vad i motionen anförts om möjlighet att utse medlare även om stridsåtgärder inte hotar,</w:t>
      </w:r>
    </w:p>
    <w:p w:rsidR="00866CF7" w:rsidRPr="00000E4F" w:rsidRDefault="00866CF7">
      <w:pPr>
        <w:pStyle w:val="Normaltindrag"/>
      </w:pPr>
      <w:r w:rsidRPr="00000E4F">
        <w:t>8. att riksdagen som sin mening ger regeringen till känna vad i motionen anförts om en partssammansatt nämnd med opartisk ordförande för att avg</w:t>
      </w:r>
      <w:r w:rsidRPr="00000E4F">
        <w:t>ö</w:t>
      </w:r>
      <w:r w:rsidRPr="00000E4F">
        <w:t>ra konflikters samhällsfarlighet,</w:t>
      </w:r>
    </w:p>
    <w:p w:rsidR="00866CF7" w:rsidRPr="00000E4F" w:rsidRDefault="00866CF7">
      <w:pPr>
        <w:pStyle w:val="Normaltindrag"/>
      </w:pPr>
      <w:r w:rsidRPr="00000E4F">
        <w:t>9. att riksdagen beslutar att återinföra tidigare gällande förbud mot stridsåtgärder riktade mot enmans- eller familjeföretag utifrån det lagförslag som angetts i motionen,</w:t>
      </w:r>
    </w:p>
    <w:p w:rsidR="00866CF7" w:rsidRPr="00000E4F" w:rsidRDefault="00866CF7">
      <w:pPr>
        <w:pStyle w:val="Normaltindrag"/>
      </w:pPr>
      <w:r w:rsidRPr="00000E4F">
        <w:t>10. att riksdagen beslutar att införa proportionalitetskrav för stridsåtgärder i enlighet med vad i motionen a</w:t>
      </w:r>
      <w:r w:rsidRPr="00000E4F">
        <w:t>n</w:t>
      </w:r>
      <w:r w:rsidRPr="00000E4F">
        <w:t>förts.</w:t>
      </w:r>
    </w:p>
    <w:p w:rsidR="00866CF7" w:rsidRPr="00000E4F" w:rsidRDefault="00866CF7">
      <w:pPr>
        <w:pStyle w:val="R2"/>
      </w:pPr>
      <w:r w:rsidRPr="00000E4F">
        <w:t>Motioner väckta under den allmänna motionstiden</w:t>
      </w:r>
    </w:p>
    <w:p w:rsidR="00866CF7" w:rsidRPr="00000E4F" w:rsidRDefault="00866CF7">
      <w:r w:rsidRPr="00000E4F">
        <w:t>1999/2000:A219 av Gudrun Schyman m.fl. (v) vari yrkas</w:t>
      </w:r>
    </w:p>
    <w:p w:rsidR="00866CF7" w:rsidRPr="00000E4F" w:rsidRDefault="00866CF7">
      <w:pPr>
        <w:pStyle w:val="Normaltindrag"/>
      </w:pPr>
      <w:r w:rsidRPr="00000E4F">
        <w:t>1. att riksdagen som sin mening ger regeringen till känna vad i motionen anförts om behovet av en modernisering av arbetsrätten för att stärka anstäl</w:t>
      </w:r>
      <w:r w:rsidRPr="00000E4F">
        <w:t>l</w:t>
      </w:r>
      <w:r w:rsidRPr="00000E4F">
        <w:t>ningstryggheten och begränsa floran av visstidsanställningar,</w:t>
      </w:r>
    </w:p>
    <w:p w:rsidR="00866CF7" w:rsidRPr="00000E4F" w:rsidRDefault="00866CF7">
      <w:r w:rsidRPr="00000E4F">
        <w:t>1999/2000:A220 av Lennart Daléus m.fl. (c) vari yrkas</w:t>
      </w:r>
    </w:p>
    <w:p w:rsidR="00866CF7" w:rsidRPr="00000E4F" w:rsidRDefault="00866CF7">
      <w:pPr>
        <w:pStyle w:val="Normaltindrag"/>
      </w:pPr>
      <w:r w:rsidRPr="00000E4F">
        <w:t>21. att riksdagen som sin mening ger regeringen till känna vad i motionen anförts om en utredning för att se över hur dagens regelverk för arbetsmar</w:t>
      </w:r>
      <w:r w:rsidRPr="00000E4F">
        <w:t>k</w:t>
      </w:r>
      <w:r w:rsidRPr="00000E4F">
        <w:t>naden bör förändras för att skapa stö</w:t>
      </w:r>
      <w:r w:rsidRPr="00000E4F">
        <w:t>r</w:t>
      </w:r>
      <w:r w:rsidRPr="00000E4F">
        <w:t>re trygghet, flexibilitet och tillväxt,</w:t>
      </w:r>
    </w:p>
    <w:p w:rsidR="00866CF7" w:rsidRPr="00000E4F" w:rsidRDefault="00866CF7">
      <w:pPr>
        <w:pStyle w:val="Normaltindrag"/>
      </w:pPr>
      <w:r w:rsidRPr="00000E4F">
        <w:t>22. att riksdagen som sin mening ger regeringen till känna vad i motionen anförts om att dispositiviteten i arbetsrätten bör öka,</w:t>
      </w:r>
    </w:p>
    <w:p w:rsidR="00866CF7" w:rsidRPr="00000E4F" w:rsidRDefault="00866CF7">
      <w:r w:rsidRPr="00000E4F">
        <w:t>1999/2000:A231 av Elver Jonsson m.fl. (fp) vari yrkas</w:t>
      </w:r>
    </w:p>
    <w:p w:rsidR="00866CF7" w:rsidRPr="00000E4F" w:rsidRDefault="00866CF7">
      <w:pPr>
        <w:pStyle w:val="Normaltindrag"/>
      </w:pPr>
      <w:r w:rsidRPr="00000E4F">
        <w:t>17. att riksdagen beslutar om förändringar i arbetsrätten i enlighet med vad som i motionen anförts,</w:t>
      </w:r>
    </w:p>
    <w:p w:rsidR="00866CF7" w:rsidRPr="00000E4F" w:rsidRDefault="00866CF7">
      <w:pPr>
        <w:pStyle w:val="Normaltindrag"/>
      </w:pPr>
      <w:r w:rsidRPr="00000E4F">
        <w:t>18. att riksdagen hos regeringen begär att en parlamentarisk utredning om arbetsrätten tillsätts,</w:t>
      </w:r>
    </w:p>
    <w:p w:rsidR="00866CF7" w:rsidRPr="00000E4F" w:rsidRDefault="00866CF7">
      <w:r w:rsidRPr="00000E4F">
        <w:t>1999/2000:A240 av Lena Sandlin och Ingemar Josefsson (s) vari yrkas att riksdagen som sin mening ger regeringen till känna vad i motionen anförts om åtgärder mot ofrivilliga tillfälliga anstäl</w:t>
      </w:r>
      <w:r w:rsidRPr="00000E4F">
        <w:t>l</w:t>
      </w:r>
      <w:r w:rsidRPr="00000E4F">
        <w:t>ningar.</w:t>
      </w:r>
    </w:p>
    <w:p w:rsidR="00866CF7" w:rsidRPr="00000E4F" w:rsidRDefault="00866CF7">
      <w:r w:rsidRPr="00000E4F">
        <w:t>1999/2000:A254 av Stefan Attefall m.fl. (kd) vari yrkas</w:t>
      </w:r>
    </w:p>
    <w:p w:rsidR="00866CF7" w:rsidRPr="00000E4F" w:rsidRDefault="00866CF7">
      <w:pPr>
        <w:pStyle w:val="Normaltindrag"/>
      </w:pPr>
      <w:r w:rsidRPr="00000E4F">
        <w:t>24. att riksdagen som sin mening ger regeringen till känna vad i motionen anförts om lönebildningen,</w:t>
      </w:r>
    </w:p>
    <w:p w:rsidR="00866CF7" w:rsidRPr="00000E4F" w:rsidRDefault="00866CF7">
      <w:pPr>
        <w:pStyle w:val="Normaltindrag"/>
      </w:pPr>
      <w:r w:rsidRPr="00000E4F">
        <w:t>25. att riksdagen som sin mening ger regeringen till känna vad i motionen anförts om en moderniserad arbetsrätt,</w:t>
      </w:r>
    </w:p>
    <w:p w:rsidR="00866CF7" w:rsidRPr="00000E4F" w:rsidRDefault="00866CF7">
      <w:pPr>
        <w:pStyle w:val="Normaltindrag"/>
      </w:pPr>
      <w:r w:rsidRPr="00000E4F">
        <w:t>27. att riksdagen som sin mening ger regeringen till känna vad i motionen anförts om att fackets vetorätt vid entreprenader avskaffas,</w:t>
      </w:r>
    </w:p>
    <w:p w:rsidR="00866CF7" w:rsidRPr="00000E4F" w:rsidRDefault="00866CF7">
      <w:pPr>
        <w:pStyle w:val="Normaltindrag"/>
      </w:pPr>
      <w:r w:rsidRPr="00000E4F">
        <w:t>28. att riksdagen som sin mening ger regeringen till känna vad i motionen anförts om förbud mot blockad av enmans- och familjeföretag samt mot företag som inte har kollektivavtal därför att ingen av de anställda är medlem i någon fackförening eller vill ha kolle</w:t>
      </w:r>
      <w:r w:rsidRPr="00000E4F">
        <w:t>k</w:t>
      </w:r>
      <w:r w:rsidRPr="00000E4F">
        <w:t>tivavtal,</w:t>
      </w:r>
    </w:p>
    <w:p w:rsidR="00866CF7" w:rsidRPr="00000E4F" w:rsidRDefault="00866CF7">
      <w:pPr>
        <w:pStyle w:val="Normaltindrag"/>
      </w:pPr>
      <w:r w:rsidRPr="00000E4F">
        <w:t>29. att riksdagen som sin mening ger regeringen till känna vad i motionen anförts om att möjligheten till provanställning förlängs till tolv månader,</w:t>
      </w:r>
    </w:p>
    <w:p w:rsidR="00866CF7" w:rsidRPr="00000E4F" w:rsidRDefault="00866CF7">
      <w:pPr>
        <w:pStyle w:val="Normaltindrag"/>
      </w:pPr>
      <w:r w:rsidRPr="00000E4F">
        <w:t>30. att riksdagen som sin mening ger regeringen till känna vad i motionen anförts om att ändra skyldigheten för arbetsgivare att återanställa till sex månader,</w:t>
      </w:r>
    </w:p>
    <w:p w:rsidR="00866CF7" w:rsidRPr="00000E4F" w:rsidRDefault="00866CF7">
      <w:pPr>
        <w:pStyle w:val="Normaltindrag"/>
      </w:pPr>
      <w:r w:rsidRPr="00000E4F">
        <w:t>31. att riksdagen som sin mening ger regeringen till känna vad i motionen anförts om att visstidsanställning vid arbetsanhopning bör tillåtas upp till två år,</w:t>
      </w:r>
    </w:p>
    <w:p w:rsidR="00866CF7" w:rsidRPr="00000E4F" w:rsidRDefault="00866CF7">
      <w:pPr>
        <w:pStyle w:val="Normaltindrag"/>
      </w:pPr>
      <w:r w:rsidRPr="00000E4F">
        <w:t>32. att riksdagen som sin mening ger regeringen till känna vad i motionen anförts om behovet av ökad information om gällande regler på arbetsrättens område,</w:t>
      </w:r>
    </w:p>
    <w:p w:rsidR="00866CF7" w:rsidRPr="00000E4F" w:rsidRDefault="00866CF7">
      <w:r w:rsidRPr="00000E4F">
        <w:t>1999/2000:A602 av Lars Elinderson (m) vari yrkas</w:t>
      </w:r>
    </w:p>
    <w:p w:rsidR="00866CF7" w:rsidRPr="00000E4F" w:rsidRDefault="00866CF7">
      <w:pPr>
        <w:pStyle w:val="Normaltindrag"/>
      </w:pPr>
      <w:r w:rsidRPr="00000E4F">
        <w:t>1. att riksdagen som sin mening ger regeringen till känna vad i motionen anförts om SPV:s affärsidé vad avser den konkurrensutsatta (kommunala) pensionsmarknaden,</w:t>
      </w:r>
    </w:p>
    <w:p w:rsidR="00866CF7" w:rsidRPr="00000E4F" w:rsidRDefault="00866CF7">
      <w:pPr>
        <w:pStyle w:val="Normaltindrag"/>
      </w:pPr>
      <w:r w:rsidRPr="00000E4F">
        <w:t>2. att riksdagen som sin mening ger regeringen till känna vad i motionen anförts om att marknaden för administration av statliga tjänstepensioner skall utsättas för konkurrens.</w:t>
      </w:r>
    </w:p>
    <w:p w:rsidR="00866CF7" w:rsidRPr="00000E4F" w:rsidRDefault="00866CF7">
      <w:r w:rsidRPr="00000E4F">
        <w:t>1999/2000:A701 av Karin Falkmer och Tomas Högström (m) vari yrkas att riksdagen beslutar att förbjuda sympatiåtgärder och blockad mot småför</w:t>
      </w:r>
      <w:r w:rsidRPr="00000E4F">
        <w:t>e</w:t>
      </w:r>
      <w:r w:rsidRPr="00000E4F">
        <w:t>tag.</w:t>
      </w:r>
    </w:p>
    <w:p w:rsidR="00866CF7" w:rsidRPr="00000E4F" w:rsidRDefault="00866CF7">
      <w:r w:rsidRPr="00000E4F">
        <w:t>1999/2000:A704 av Inger Strömbom m.fl. (kd, m, c, fp) vari yrkas att rik</w:t>
      </w:r>
      <w:r w:rsidRPr="00000E4F">
        <w:t>s</w:t>
      </w:r>
      <w:r w:rsidRPr="00000E4F">
        <w:t>dagen som sin mening ger regeringen till känna vad i motionen anförts om behovet av att minska arbetsgivarens ansvar för semesterlön vid arbetstag</w:t>
      </w:r>
      <w:r w:rsidRPr="00000E4F">
        <w:t>a</w:t>
      </w:r>
      <w:r w:rsidRPr="00000E4F">
        <w:t>rens frånvaro i Kunskapslyftet.</w:t>
      </w:r>
    </w:p>
    <w:p w:rsidR="00866CF7" w:rsidRPr="00000E4F" w:rsidRDefault="00866CF7">
      <w:r w:rsidRPr="00000E4F">
        <w:t>1999/2000:A705 av Inger Strömbom m.fl. (kd, m, fp) vari yrkas att riksd</w:t>
      </w:r>
      <w:r w:rsidRPr="00000E4F">
        <w:t>a</w:t>
      </w:r>
      <w:r w:rsidRPr="00000E4F">
        <w:t>gen som sin mening ger regeringen till känna vad i motionen anförts om behovet av att utvärdera lagen om ledighet för att driva näringsverksamhet.</w:t>
      </w:r>
    </w:p>
    <w:p w:rsidR="00866CF7" w:rsidRPr="00000E4F" w:rsidRDefault="00866CF7">
      <w:r w:rsidRPr="00000E4F">
        <w:t>1999/2000:A706 av Ola Karlsson m.fl. (m, kd, c, fp) vari yrkas att riksdagen som sin mening ger regeringen till känna vad i motionen anförts om b</w:t>
      </w:r>
      <w:r w:rsidRPr="00000E4F">
        <w:t>e</w:t>
      </w:r>
      <w:r w:rsidRPr="00000E4F">
        <w:t>gränsning av blockadrätten mot småföretagare.</w:t>
      </w:r>
    </w:p>
    <w:p w:rsidR="00866CF7" w:rsidRPr="00000E4F" w:rsidRDefault="00866CF7">
      <w:r w:rsidRPr="00000E4F">
        <w:t>1999/2000:A708 av Bengt Silfverstrand och Ronny Olander (s) vari yrkas att riksdagen som sin mening ger regeringen till känna vad i motionen anförts om rätten till politisk information och opinion</w:t>
      </w:r>
      <w:r w:rsidRPr="00000E4F">
        <w:t>s</w:t>
      </w:r>
      <w:r w:rsidRPr="00000E4F">
        <w:t>bildning på arbetsplatsen.</w:t>
      </w:r>
    </w:p>
    <w:p w:rsidR="00866CF7" w:rsidRPr="00000E4F" w:rsidRDefault="00866CF7">
      <w:r w:rsidRPr="00000E4F">
        <w:t>1999/2000:A709 av Bengt Silfverstrand (s) vari yrkas att riksdagen som sin mening ger regeringen till känna vad i motionen anförts om delgivningsre</w:t>
      </w:r>
      <w:r w:rsidRPr="00000E4F">
        <w:t>g</w:t>
      </w:r>
      <w:r w:rsidRPr="00000E4F">
        <w:t>lerna i 30 § medbestämmandelagen.</w:t>
      </w:r>
    </w:p>
    <w:p w:rsidR="00866CF7" w:rsidRPr="00000E4F" w:rsidRDefault="00866CF7">
      <w:r w:rsidRPr="00000E4F">
        <w:t>1999/2000:A710 av Bengt Silfverstrand (s) vari yrkas att riksdagen som sin mening ger regeringen till känna vad i motionen anförts om rätt till ledighet för föreningsuppdrag inom handikappfö</w:t>
      </w:r>
      <w:r w:rsidRPr="00000E4F">
        <w:t>r</w:t>
      </w:r>
      <w:r w:rsidRPr="00000E4F">
        <w:t>bund.</w:t>
      </w:r>
    </w:p>
    <w:p w:rsidR="00866CF7" w:rsidRPr="00000E4F" w:rsidRDefault="00866CF7">
      <w:r w:rsidRPr="00000E4F">
        <w:t>1999/2000:A712 av Margit Gennser (m) vari yrkas att riksdagen som sin mening ger regeringen till känna vad i motionen anförts om behovet av stoppregler gällande kollektivavtal för att hindra att kollektivavtal tillämpas på ett uppenbart diskriminerande sätt.</w:t>
      </w:r>
    </w:p>
    <w:p w:rsidR="00866CF7" w:rsidRPr="00000E4F" w:rsidRDefault="00866CF7">
      <w:r w:rsidRPr="00000E4F">
        <w:t>1999/2000:A713 av Margit Gennser (m) vari yrkas</w:t>
      </w:r>
    </w:p>
    <w:p w:rsidR="00866CF7" w:rsidRPr="00000E4F" w:rsidRDefault="00866CF7">
      <w:pPr>
        <w:pStyle w:val="Normaltindrag"/>
      </w:pPr>
      <w:r w:rsidRPr="00000E4F">
        <w:t>1. att riksdagen som sin mening ger regeringen till känna vad i motionen anförts om LAS-reglerna,</w:t>
      </w:r>
    </w:p>
    <w:p w:rsidR="00866CF7" w:rsidRPr="00000E4F" w:rsidRDefault="00866CF7">
      <w:r w:rsidRPr="00000E4F">
        <w:t>1999/2000:A714 av Jan Backman (m) vari yrkas att riksdagen som sin m</w:t>
      </w:r>
      <w:r w:rsidRPr="00000E4F">
        <w:t>e</w:t>
      </w:r>
      <w:r w:rsidRPr="00000E4F">
        <w:t>ning ger regeringen till känna vad i motionen anförts om behovet av en öve</w:t>
      </w:r>
      <w:r w:rsidRPr="00000E4F">
        <w:t>r</w:t>
      </w:r>
      <w:r w:rsidRPr="00000E4F">
        <w:t>syn av stuverimonopolet.</w:t>
      </w:r>
    </w:p>
    <w:p w:rsidR="00866CF7" w:rsidRPr="00000E4F" w:rsidRDefault="00866CF7">
      <w:r w:rsidRPr="00000E4F">
        <w:br w:type="page"/>
        <w:t>1999/2000:A715 av Mikael Odenberg m.fl. (m) vari yrkas</w:t>
      </w:r>
    </w:p>
    <w:p w:rsidR="00866CF7" w:rsidRPr="00000E4F" w:rsidRDefault="00866CF7">
      <w:pPr>
        <w:pStyle w:val="Normaltindrag"/>
      </w:pPr>
      <w:r w:rsidRPr="00000E4F">
        <w:t>5. att riksdagen som sin mening ger regeringen till känna vad i motionen anförts om avskaffandet av Arbetsdomstolen.</w:t>
      </w:r>
    </w:p>
    <w:p w:rsidR="00866CF7" w:rsidRPr="00000E4F" w:rsidRDefault="00866CF7">
      <w:r w:rsidRPr="00000E4F">
        <w:t>1999/2000:A723 av Gudrun Schyman m.fl. (v) vari yrkas</w:t>
      </w:r>
    </w:p>
    <w:p w:rsidR="00866CF7" w:rsidRPr="00000E4F" w:rsidRDefault="00866CF7">
      <w:pPr>
        <w:pStyle w:val="Normaltindrag"/>
      </w:pPr>
      <w:r w:rsidRPr="00000E4F">
        <w:t>1. att riksdagen som sin mening ger regeringen till känna vad i motionen anförts om tillsättandet av en parlamentarisk utredning för att utveckla a</w:t>
      </w:r>
      <w:r w:rsidRPr="00000E4F">
        <w:t>r</w:t>
      </w:r>
      <w:r w:rsidRPr="00000E4F">
        <w:t>betsrätten,</w:t>
      </w:r>
    </w:p>
    <w:p w:rsidR="00866CF7" w:rsidRPr="00000E4F" w:rsidRDefault="00866CF7">
      <w:pPr>
        <w:pStyle w:val="Normaltindrag"/>
      </w:pPr>
      <w:r w:rsidRPr="00000E4F">
        <w:t>2. att riksdagen beslutar att återinföra hänvisning till central arbetstagaro</w:t>
      </w:r>
      <w:r w:rsidRPr="00000E4F">
        <w:t>r</w:t>
      </w:r>
      <w:r w:rsidRPr="00000E4F">
        <w:t>ganisation i lagen om anställningsskydd i enlighet med vad som anförts i motionen,</w:t>
      </w:r>
    </w:p>
    <w:p w:rsidR="00866CF7" w:rsidRPr="00000E4F" w:rsidRDefault="00866CF7">
      <w:pPr>
        <w:pStyle w:val="Normaltindrag"/>
      </w:pPr>
      <w:r w:rsidRPr="00000E4F">
        <w:t>3. att riksdagen hos regeringen begär förslag till ändring av visstidsanstäl</w:t>
      </w:r>
      <w:r w:rsidRPr="00000E4F">
        <w:t>l</w:t>
      </w:r>
      <w:r w:rsidRPr="00000E4F">
        <w:t>ning enligt vad i motionen a</w:t>
      </w:r>
      <w:r w:rsidRPr="00000E4F">
        <w:t>n</w:t>
      </w:r>
      <w:r w:rsidRPr="00000E4F">
        <w:t>förts,</w:t>
      </w:r>
    </w:p>
    <w:p w:rsidR="00866CF7" w:rsidRPr="00000E4F" w:rsidRDefault="00866CF7">
      <w:pPr>
        <w:pStyle w:val="Normaltindrag"/>
      </w:pPr>
      <w:r w:rsidRPr="00000E4F">
        <w:t>4. att riksdagen beslutar att företrädesrätten till återanställning skall vara 12 månader i enlighet med vad som anförts i motionen,</w:t>
      </w:r>
    </w:p>
    <w:p w:rsidR="00866CF7" w:rsidRPr="00000E4F" w:rsidRDefault="00866CF7">
      <w:pPr>
        <w:pStyle w:val="Normaltindrag"/>
      </w:pPr>
      <w:r w:rsidRPr="00000E4F">
        <w:t>5. att riksdagen hos regeringen begär förslag till ändring i företrädesrätten för deltidsanställda i enlighet med vad som anförts i motionen,</w:t>
      </w:r>
    </w:p>
    <w:p w:rsidR="00866CF7" w:rsidRPr="00000E4F" w:rsidRDefault="00866CF7">
      <w:pPr>
        <w:pStyle w:val="Normaltindrag"/>
      </w:pPr>
      <w:r w:rsidRPr="00000E4F">
        <w:t>9. att riksdagen hos regeringen begär förslag till ändring i LAS 39 § i e</w:t>
      </w:r>
      <w:r w:rsidRPr="00000E4F">
        <w:t>n</w:t>
      </w:r>
      <w:r w:rsidRPr="00000E4F">
        <w:t>lighet med vad som anförts i motionen,</w:t>
      </w:r>
    </w:p>
    <w:p w:rsidR="00866CF7" w:rsidRPr="00000E4F" w:rsidRDefault="00866CF7">
      <w:r w:rsidRPr="00000E4F">
        <w:t>1999/2000:A727 av Lena Sandlin och Ingemar Josefsson (s) vari yrkas att riksdagen som sin mening ger regeringen till känna vad i motionen anförts om föräldraledighetslagen.</w:t>
      </w:r>
    </w:p>
    <w:p w:rsidR="00866CF7" w:rsidRPr="00000E4F" w:rsidRDefault="00866CF7">
      <w:r w:rsidRPr="00000E4F">
        <w:t>1999/2000:A811 av Barbro Feltzing m.fl. (mp) vari yrkas</w:t>
      </w:r>
    </w:p>
    <w:p w:rsidR="00866CF7" w:rsidRPr="00000E4F" w:rsidRDefault="00866CF7">
      <w:pPr>
        <w:pStyle w:val="Normaltindrag"/>
      </w:pPr>
      <w:r w:rsidRPr="00000E4F">
        <w:t>1. att riksdagen som sin mening ger regeringen till känna vad i motionen anförts om en parlamentarisk utredning för att komma till rätta med tystn</w:t>
      </w:r>
      <w:r w:rsidRPr="00000E4F">
        <w:t>a</w:t>
      </w:r>
      <w:r w:rsidRPr="00000E4F">
        <w:t>den på våra arbetsplatser,</w:t>
      </w:r>
    </w:p>
    <w:p w:rsidR="00866CF7" w:rsidRPr="00000E4F" w:rsidRDefault="00866CF7">
      <w:pPr>
        <w:pStyle w:val="Normaltindrag"/>
      </w:pPr>
      <w:r w:rsidRPr="00000E4F">
        <w:t>2. att riksdagen som sin mening ger regeringen till känna vad i motionen anförts om en utredning om en ändring i medb</w:t>
      </w:r>
      <w:r w:rsidRPr="00000E4F">
        <w:t>e</w:t>
      </w:r>
      <w:r w:rsidRPr="00000E4F">
        <w:t>stämmandelagen.</w:t>
      </w:r>
    </w:p>
    <w:p w:rsidR="00866CF7" w:rsidRPr="00000E4F" w:rsidRDefault="00866CF7">
      <w:r w:rsidRPr="00000E4F">
        <w:t>1999/2000:A818 av Gudrun Schyman m.fl. (v) vari yrkas</w:t>
      </w:r>
    </w:p>
    <w:p w:rsidR="00866CF7" w:rsidRPr="00000E4F" w:rsidRDefault="00866CF7">
      <w:pPr>
        <w:pStyle w:val="Normaltindrag"/>
      </w:pPr>
      <w:r w:rsidRPr="00000E4F">
        <w:t>13. att riksdagen hos regeringen begär förslag till sådan ändring i föräl</w:t>
      </w:r>
      <w:r w:rsidRPr="00000E4F">
        <w:t>d</w:t>
      </w:r>
      <w:r w:rsidRPr="00000E4F">
        <w:t xml:space="preserve">raledighetslagen att arbetsgivare åläggs bevisbördan i 16 och 17 §§ för att samband saknas mellan den negativa åtgärden och föräldraledigheten. </w:t>
      </w:r>
    </w:p>
    <w:p w:rsidR="00866CF7" w:rsidRPr="00000E4F" w:rsidRDefault="00866CF7">
      <w:r w:rsidRPr="00000E4F">
        <w:t>1999/2000:A819 av Birger Schlaug m.fl. (mp) vari yrkas</w:t>
      </w:r>
    </w:p>
    <w:p w:rsidR="00866CF7" w:rsidRPr="00000E4F" w:rsidRDefault="00866CF7">
      <w:pPr>
        <w:pStyle w:val="Normaltindrag"/>
      </w:pPr>
      <w:r w:rsidRPr="00000E4F">
        <w:t>15. att riksdagen som sin mening ger regeringen till känna vad i motionen anförts om förändring av 16 och 17 §§ föräldral</w:t>
      </w:r>
      <w:r w:rsidRPr="00000E4F">
        <w:t>e</w:t>
      </w:r>
      <w:r w:rsidRPr="00000E4F">
        <w:t>dighetslagen,</w:t>
      </w:r>
    </w:p>
    <w:p w:rsidR="00866CF7" w:rsidRPr="00000E4F" w:rsidRDefault="00866CF7">
      <w:r w:rsidRPr="00000E4F">
        <w:t>1999/2000:K351 av Inger Strömbom (kd) vari yrkas</w:t>
      </w:r>
    </w:p>
    <w:p w:rsidR="00866CF7" w:rsidRPr="00000E4F" w:rsidRDefault="00866CF7">
      <w:pPr>
        <w:pStyle w:val="Normaltindrag"/>
      </w:pPr>
      <w:r w:rsidRPr="00000E4F">
        <w:t>2. att riksdagen som sin mening ger regeringen till känna vad i motionen anförts om att arbetsrätten behöver förenklas och moderniseras för att bättre anpassas till småföretag och deras vil</w:t>
      </w:r>
      <w:r w:rsidRPr="00000E4F">
        <w:t>l</w:t>
      </w:r>
      <w:r w:rsidRPr="00000E4F">
        <w:t>kor.</w:t>
      </w:r>
    </w:p>
    <w:p w:rsidR="00866CF7" w:rsidRPr="00000E4F" w:rsidRDefault="00866CF7">
      <w:r w:rsidRPr="00000E4F">
        <w:t>1999/2000:Fi211 av Lennart Daléus m.fl. (c) vari yrkas</w:t>
      </w:r>
    </w:p>
    <w:p w:rsidR="00866CF7" w:rsidRPr="00000E4F" w:rsidRDefault="00866CF7">
      <w:pPr>
        <w:pStyle w:val="Normaltindrag"/>
      </w:pPr>
      <w:r w:rsidRPr="00000E4F">
        <w:t>8. att riksdagen begär att regeringen snarast återkommer med förslag till förändringar av konfliktreglerna enligt vad som anförts i motionen.</w:t>
      </w:r>
    </w:p>
    <w:p w:rsidR="00866CF7" w:rsidRPr="00000E4F" w:rsidRDefault="00866CF7">
      <w:r w:rsidRPr="00000E4F">
        <w:t>1999/2000:Sk692 av Bo Lundgren m.fl. (m) vari yrkas</w:t>
      </w:r>
    </w:p>
    <w:p w:rsidR="00866CF7" w:rsidRPr="00000E4F" w:rsidRDefault="00866CF7">
      <w:pPr>
        <w:pStyle w:val="Normaltindrag"/>
      </w:pPr>
      <w:r w:rsidRPr="00000E4F">
        <w:t>21. att riksdagen hos regeringen begär förslag till en förändring av arbet</w:t>
      </w:r>
      <w:r w:rsidRPr="00000E4F">
        <w:t>s</w:t>
      </w:r>
      <w:r w:rsidRPr="00000E4F">
        <w:t>rätten i enlighet med vad som anförts i motionen,</w:t>
      </w:r>
    </w:p>
    <w:p w:rsidR="00866CF7" w:rsidRPr="00000E4F" w:rsidRDefault="00866CF7">
      <w:pPr>
        <w:pStyle w:val="Normaltindrag"/>
      </w:pPr>
      <w:r w:rsidRPr="00000E4F">
        <w:t>22. att riksdagen hos regeringen begär förslag till förändringar av lagen om anställningsskydd i enlighet med vad som a</w:t>
      </w:r>
      <w:r w:rsidRPr="00000E4F">
        <w:t>n</w:t>
      </w:r>
      <w:r w:rsidRPr="00000E4F">
        <w:t>förts i motionen,</w:t>
      </w:r>
    </w:p>
    <w:p w:rsidR="00866CF7" w:rsidRPr="00000E4F" w:rsidRDefault="00866CF7">
      <w:pPr>
        <w:pStyle w:val="Normaltindrag"/>
      </w:pPr>
      <w:r w:rsidRPr="00000E4F">
        <w:t>23. att riksdagen hos regeringen begär förslag till förändringar av formerna för att utlösa konfliktåtgärder, sympatiåtgärder och möjligheter att försätta enmansföretagare i blockad i enli</w:t>
      </w:r>
      <w:r w:rsidRPr="00000E4F">
        <w:t>g</w:t>
      </w:r>
      <w:r w:rsidRPr="00000E4F">
        <w:t>het med vad som anförts i motionen,</w:t>
      </w:r>
    </w:p>
    <w:p w:rsidR="00866CF7" w:rsidRPr="00000E4F" w:rsidRDefault="00866CF7">
      <w:pPr>
        <w:pStyle w:val="Normaltindrag"/>
      </w:pPr>
      <w:r w:rsidRPr="00000E4F">
        <w:t>24. att riksdagen som sin mening ger regeringen till känna vad i motionen anförts om en flexiblare lönebildning,</w:t>
      </w:r>
    </w:p>
    <w:p w:rsidR="00866CF7" w:rsidRPr="00000E4F" w:rsidRDefault="00866CF7">
      <w:r w:rsidRPr="00000E4F">
        <w:t>1999/2000:Fö206 av Eva Flyborg (fp) vari yrkas att riksdagen som sin m</w:t>
      </w:r>
      <w:r w:rsidRPr="00000E4F">
        <w:t>e</w:t>
      </w:r>
      <w:r w:rsidRPr="00000E4F">
        <w:t>ning ger regeringen till känna vad i motionen anförts om lagstadgad rätt till ledighet för deltagande i utbildning och tjänstgöring inom frivilligförsvaret.</w:t>
      </w:r>
    </w:p>
    <w:p w:rsidR="00866CF7" w:rsidRPr="00000E4F" w:rsidRDefault="00866CF7">
      <w:pPr>
        <w:pStyle w:val="Citat"/>
        <w:spacing w:before="120" w:line="245" w:lineRule="exact"/>
      </w:pPr>
      <w:r w:rsidRPr="00000E4F">
        <w:t>1999/2000:Sf302 av Alf Svensson m.fl. (kd) vari yrkas</w:t>
      </w:r>
    </w:p>
    <w:p w:rsidR="00866CF7" w:rsidRPr="00000E4F" w:rsidRDefault="00866CF7">
      <w:pPr>
        <w:pStyle w:val="Normaltindrag"/>
      </w:pPr>
      <w:r w:rsidRPr="00000E4F">
        <w:t>9. att riksdagen som sin mening ger regeringen till känna vad i motionen anförts om rätten till tre års tjänstledighet i samband med barns födelse,</w:t>
      </w:r>
    </w:p>
    <w:p w:rsidR="00866CF7" w:rsidRPr="00000E4F" w:rsidRDefault="00866CF7">
      <w:r w:rsidRPr="00000E4F">
        <w:t>1999/2000:Sf304 av Sven-Erik Sjöstrand m.fl. (v) vari yrkas</w:t>
      </w:r>
    </w:p>
    <w:p w:rsidR="00866CF7" w:rsidRPr="00000E4F" w:rsidRDefault="00866CF7">
      <w:pPr>
        <w:pStyle w:val="Normaltindrag"/>
      </w:pPr>
      <w:r w:rsidRPr="00000E4F">
        <w:t>9. att riksdagen som sin mening ger regeringen till känna vad i motionen anförts om att en ny arbetsrättsutredning bör se över anställningsskyddet vid rehabilitering,</w:t>
      </w:r>
    </w:p>
    <w:p w:rsidR="00866CF7" w:rsidRPr="00000E4F" w:rsidRDefault="00866CF7">
      <w:r w:rsidRPr="00000E4F">
        <w:t>1999/2000:So332 av Rosita Runegrund m.fl. (kd) vari yrkas</w:t>
      </w:r>
    </w:p>
    <w:p w:rsidR="00866CF7" w:rsidRPr="00000E4F" w:rsidRDefault="00866CF7">
      <w:pPr>
        <w:pStyle w:val="Normaltindrag"/>
      </w:pPr>
      <w:r w:rsidRPr="00000E4F">
        <w:t>7. att riksdagen som sin mening ger regeringen till känna vad i motionen anförts om rätten till tjänstledighet för vård av anhörig.</w:t>
      </w:r>
    </w:p>
    <w:p w:rsidR="00866CF7" w:rsidRPr="00000E4F" w:rsidRDefault="00866CF7">
      <w:r w:rsidRPr="00000E4F">
        <w:t>1999/2000:T209 av Kenth Skårvik och Elver Jon</w:t>
      </w:r>
      <w:r w:rsidRPr="00000E4F">
        <w:t>s</w:t>
      </w:r>
      <w:r w:rsidRPr="00000E4F">
        <w:t>son (fp) vari yrkas</w:t>
      </w:r>
    </w:p>
    <w:p w:rsidR="00866CF7" w:rsidRPr="00000E4F" w:rsidRDefault="00866CF7">
      <w:pPr>
        <w:pStyle w:val="Normaltindrag"/>
      </w:pPr>
      <w:r w:rsidRPr="00000E4F">
        <w:t>14. att riksdagen beslutar påbörja en avveckling av stuverimonopolet,</w:t>
      </w:r>
    </w:p>
    <w:p w:rsidR="00866CF7" w:rsidRPr="00000E4F" w:rsidRDefault="00866CF7">
      <w:r w:rsidRPr="00000E4F">
        <w:t>1999/2000:T210 av Johnny Gylling m.fl. (kd) vari yrkas</w:t>
      </w:r>
    </w:p>
    <w:p w:rsidR="00866CF7" w:rsidRPr="00000E4F" w:rsidRDefault="00866CF7">
      <w:pPr>
        <w:pStyle w:val="Normaltindrag"/>
      </w:pPr>
      <w:r w:rsidRPr="00000E4F">
        <w:t>27. att riksdagen som sin mening ger regeringen till känna vad i motionen anförts om stuverimonopolet,</w:t>
      </w:r>
    </w:p>
    <w:p w:rsidR="00866CF7" w:rsidRPr="00000E4F" w:rsidRDefault="00866CF7">
      <w:r w:rsidRPr="00000E4F">
        <w:t>1999/2000:T616 av Per-Richard Molén m.fl. (m) vari yrkas</w:t>
      </w:r>
    </w:p>
    <w:p w:rsidR="00866CF7" w:rsidRPr="00000E4F" w:rsidRDefault="00866CF7">
      <w:pPr>
        <w:pStyle w:val="Normaltindrag"/>
      </w:pPr>
      <w:r w:rsidRPr="00000E4F">
        <w:t>2. att riksdagen som sin mening ger regeringen till känna vad i motionen anförts om slopandet av stuverimonopolet,</w:t>
      </w:r>
    </w:p>
    <w:p w:rsidR="00866CF7" w:rsidRPr="00000E4F" w:rsidRDefault="00866CF7">
      <w:pPr>
        <w:pStyle w:val="Normaltindrag"/>
      </w:pPr>
      <w:r w:rsidRPr="00000E4F">
        <w:t>3. att riksdagen som sin mening ger regeringen till känna vad i motionen anförts om upphävandet av ILO-konvention 137,</w:t>
      </w:r>
    </w:p>
    <w:p w:rsidR="00866CF7" w:rsidRPr="00000E4F" w:rsidRDefault="00866CF7">
      <w:pPr>
        <w:pStyle w:val="Normaltindrag"/>
      </w:pPr>
      <w:r w:rsidRPr="00000E4F">
        <w:t>10. att riksdagen som sin mening ger regeringen till känna vad i motionen anförts om sjöfarten och den svenska arbetsmar</w:t>
      </w:r>
      <w:r w:rsidRPr="00000E4F">
        <w:t>k</w:t>
      </w:r>
      <w:r w:rsidRPr="00000E4F">
        <w:t>naden,</w:t>
      </w:r>
    </w:p>
    <w:p w:rsidR="00866CF7" w:rsidRPr="00000E4F" w:rsidRDefault="00866CF7">
      <w:r w:rsidRPr="00000E4F">
        <w:t>1999/2000:N387 av Eskil Erlandsson m.fl. (c) vari yrkas</w:t>
      </w:r>
    </w:p>
    <w:p w:rsidR="00866CF7" w:rsidRPr="00000E4F" w:rsidRDefault="00866CF7">
      <w:pPr>
        <w:pStyle w:val="Normaltindrag"/>
      </w:pPr>
      <w:r w:rsidRPr="00000E4F">
        <w:t>5. att riksdagen som sin mening ger regeringen till känna vad i motionen anförts om att tillsätta en utredning som ser över semesterlagen i syfte att förenkla för småföretagen,</w:t>
      </w:r>
    </w:p>
    <w:p w:rsidR="00866CF7" w:rsidRPr="00000E4F" w:rsidRDefault="00866CF7">
      <w:r w:rsidRPr="00000E4F">
        <w:t>1999/2000:N389 av Sven Bergström m.fl. (c) vari yrkas</w:t>
      </w:r>
    </w:p>
    <w:p w:rsidR="00866CF7" w:rsidRPr="00000E4F" w:rsidRDefault="00866CF7">
      <w:pPr>
        <w:pStyle w:val="Normaltindrag"/>
      </w:pPr>
      <w:r w:rsidRPr="00000E4F">
        <w:t>3. att riksdagen som sin mening ger regeringen till känna vad i motionen anförts om en mindre reglerad, mer flexibel a</w:t>
      </w:r>
      <w:r w:rsidRPr="00000E4F">
        <w:t>r</w:t>
      </w:r>
      <w:r w:rsidRPr="00000E4F">
        <w:t>betsmarknad,</w:t>
      </w:r>
    </w:p>
    <w:p w:rsidR="00866CF7" w:rsidRPr="00000E4F" w:rsidRDefault="00866CF7">
      <w:pPr>
        <w:pStyle w:val="Rubrik1"/>
      </w:pPr>
      <w:bookmarkStart w:id="22" w:name="_Toc477140333"/>
      <w:r w:rsidRPr="00000E4F">
        <w:t>UTSKOTTET</w:t>
      </w:r>
      <w:bookmarkEnd w:id="22"/>
    </w:p>
    <w:p w:rsidR="00866CF7" w:rsidRPr="00000E4F" w:rsidRDefault="00866CF7">
      <w:r w:rsidRPr="00000E4F">
        <w:t>I del I av detta betänkande behandlas regeringens proposition 1999/2000:32 Lönebildning för full sysselsättning och de fem (m, kd, c, fp, mp) parti- resp. kommittémotioner som väckts med anledning av propositionen liksom m</w:t>
      </w:r>
      <w:r w:rsidRPr="00000E4F">
        <w:t>o</w:t>
      </w:r>
      <w:r w:rsidRPr="00000E4F">
        <w:t>tioner från den allmänna motionstiden hösten 1999 som har anknytning till de frågor som propositionen rör. I del II av betänkandet behandlas även övriga motioner om arbetsrätt som väckts under den allmänna motionstiden hösten 1999.</w:t>
      </w:r>
    </w:p>
    <w:p w:rsidR="00866CF7" w:rsidRPr="00000E4F" w:rsidRDefault="00866CF7">
      <w:pPr>
        <w:pStyle w:val="Normaltindrag"/>
      </w:pPr>
      <w:r w:rsidRPr="00000E4F">
        <w:t>Motionerna anges i det följande utan angivande av årtal (1999/2000).</w:t>
      </w:r>
    </w:p>
    <w:p w:rsidR="00866CF7" w:rsidRPr="00000E4F" w:rsidRDefault="00866CF7">
      <w:pPr>
        <w:pStyle w:val="Rubrik1"/>
      </w:pPr>
      <w:bookmarkStart w:id="23" w:name="_Toc477140334"/>
      <w:r w:rsidRPr="00000E4F">
        <w:t>DEL I LÖNEBILDNINGEN</w:t>
      </w:r>
      <w:bookmarkEnd w:id="23"/>
      <w:r w:rsidRPr="00000E4F">
        <w:t xml:space="preserve"> </w:t>
      </w:r>
    </w:p>
    <w:p w:rsidR="00866CF7" w:rsidRPr="00000E4F" w:rsidRDefault="00866CF7">
      <w:pPr>
        <w:pStyle w:val="Rubrik1"/>
        <w:spacing w:before="123"/>
      </w:pPr>
      <w:bookmarkStart w:id="24" w:name="_Toc477140335"/>
      <w:r w:rsidRPr="00000E4F">
        <w:t>1 Bakgrund</w:t>
      </w:r>
      <w:bookmarkEnd w:id="24"/>
    </w:p>
    <w:p w:rsidR="00866CF7" w:rsidRPr="00000E4F" w:rsidRDefault="00866CF7">
      <w:r w:rsidRPr="00000E4F">
        <w:t>I april 1997 uppdrog regeringen åt en särskild utredare, generaldirektören Svante Öberg, att i syfte att förbättra förutsättningarna för en väl fungerande lönebildning lämna förslag om ett förstärkt förlikningsmannainstitut. I up</w:t>
      </w:r>
      <w:r w:rsidRPr="00000E4F">
        <w:t>p</w:t>
      </w:r>
      <w:r w:rsidRPr="00000E4F">
        <w:t>draget ingick att lämna förslag om det nya förlikningsmannainstitutets org</w:t>
      </w:r>
      <w:r w:rsidRPr="00000E4F">
        <w:t>a</w:t>
      </w:r>
      <w:r w:rsidRPr="00000E4F">
        <w:t>nisation, resurser och arbetsformer, en förbättrad lönestatistik m.m. och andra förslag som kan leda till en bättre fungerande lönebildning. Ett delb</w:t>
      </w:r>
      <w:r w:rsidRPr="00000E4F">
        <w:t>e</w:t>
      </w:r>
      <w:r w:rsidRPr="00000E4F">
        <w:t>tänkande, Medlingsinstitut och lönestatistik (SOU 1997:164), överlämnades i november 1997. Slutbetänkandet Medling och lönebildning (SOU 1998:141) överlämnades till regeringen i november 1998. Såväl delbetänkandet som slutbetänkandet har remissbehandlats.</w:t>
      </w:r>
    </w:p>
    <w:p w:rsidR="00866CF7" w:rsidRPr="00000E4F" w:rsidRDefault="00866CF7">
      <w:pPr>
        <w:pStyle w:val="Normaltindrag"/>
      </w:pPr>
      <w:r w:rsidRPr="00000E4F">
        <w:t xml:space="preserve">I januari 1999 gav regeringen </w:t>
      </w:r>
      <w:r w:rsidRPr="00000E4F">
        <w:t>förre statsministern Ingvar Carlsson och den förutnämnde Svante Öberg i uppdrag att i egenskap av s.k. samsynsmän utreda möjligheterna för arbetsmarknadens parter att komma överens om spelreglerna kring lönebildningen. Uppdraget redovisades i en rapport till regeringen i mars 1999. I rapporten konstaterades att det finns betydande motsättningar mellan parterna i synen på spelreglerna kring lönebildningen. Det konstaterades emellertid också att det finns gemensamma uppfattningar om principer för lönebildning</w:t>
      </w:r>
      <w:r w:rsidRPr="00000E4F">
        <w:t>en på ett antal punkter. Det var även samsyn</w:t>
      </w:r>
      <w:r w:rsidRPr="00000E4F">
        <w:t>s</w:t>
      </w:r>
      <w:r w:rsidRPr="00000E4F">
        <w:t>männens bedömning att det finns områden där det råder en bred samsyn mellan centralorganisationerna, samtidigt som det finns viktiga frågor där organisationerna kommer att fortsätta att driva sina intresseståndpunkter. Samsynsmännen noterade också att det är skillnad mellan hur långt och i vilket tempo man vill driva förändringar i olika frågor. Parterna hade under samtalen med samsynsmännen deklarerat att ett gemensamt mål för cen</w:t>
      </w:r>
      <w:r w:rsidRPr="00000E4F">
        <w:t>t</w:t>
      </w:r>
      <w:r w:rsidRPr="00000E4F">
        <w:t>ralorganisationerna är tillväxt</w:t>
      </w:r>
      <w:r w:rsidRPr="00000E4F">
        <w:t xml:space="preserve"> och nya jobb i Sverige. Samsynsmännen kunde med den utgångspunkten konstatera att det fanns en vilja till samarbete i konkreta frågor. Rapporten avslutas med en uppmaning till parterna att vara aktiva i dessa frågor för att nå snabba resultat.</w:t>
      </w:r>
    </w:p>
    <w:p w:rsidR="00866CF7" w:rsidRPr="00000E4F" w:rsidRDefault="00866CF7">
      <w:pPr>
        <w:pStyle w:val="Normaltindrag"/>
      </w:pPr>
      <w:r w:rsidRPr="00000E4F">
        <w:t>Under den förutnämnda utredningens arbete har det hållits seminarier om lönebildningen med bl.a. företrädare för arbetsmarknadens parter och a</w:t>
      </w:r>
      <w:r w:rsidRPr="00000E4F">
        <w:t>r</w:t>
      </w:r>
      <w:r w:rsidRPr="00000E4F">
        <w:t>betsmarknadsutskottets ledamöter som inbjudna. Även efter det att utre</w:t>
      </w:r>
      <w:r w:rsidRPr="00000E4F">
        <w:t>d</w:t>
      </w:r>
      <w:r w:rsidRPr="00000E4F">
        <w:t>ningen lagt fram sina förslag har det hållits seminarier. Bl.a. kan nämnas en seminarieserie hösten 1999 arrangerad av Arbetslivsinstitutet på temat Fö</w:t>
      </w:r>
      <w:r w:rsidRPr="00000E4F">
        <w:t>r</w:t>
      </w:r>
      <w:r w:rsidRPr="00000E4F">
        <w:t xml:space="preserve">handling och medling på arbetsmarknaden i Sverige inför 2000-talet. </w:t>
      </w:r>
    </w:p>
    <w:p w:rsidR="00866CF7" w:rsidRPr="00000E4F" w:rsidRDefault="00866CF7">
      <w:pPr>
        <w:pStyle w:val="Normaltindrag"/>
      </w:pPr>
      <w:r w:rsidRPr="00000E4F">
        <w:t xml:space="preserve">I utskottets ärende har det kommit in en skrivelse från SAF och SACO gemensamt med synpunkter på regeringens beredning av förslagen. </w:t>
      </w:r>
    </w:p>
    <w:p w:rsidR="00866CF7" w:rsidRPr="00000E4F" w:rsidRDefault="00866CF7">
      <w:pPr>
        <w:pStyle w:val="Rubrik1"/>
      </w:pPr>
      <w:bookmarkStart w:id="25" w:name="_Toc477140336"/>
      <w:r w:rsidRPr="00000E4F">
        <w:t>2 Propositionen i huvuddrag</w:t>
      </w:r>
      <w:bookmarkEnd w:id="25"/>
    </w:p>
    <w:p w:rsidR="00866CF7" w:rsidRPr="00000E4F" w:rsidRDefault="00866CF7">
      <w:r w:rsidRPr="00000E4F">
        <w:t>Propositionen, som innehåller förslag om ändringar i medbestämmandelagen och följdändringar i sekretesslagen, syftar till att främja en lönebildning i samhällsekonomisk balans. En ny myndighet, Medlingsinstitutet, skall i</w:t>
      </w:r>
      <w:r w:rsidRPr="00000E4F">
        <w:t>n</w:t>
      </w:r>
      <w:r w:rsidRPr="00000E4F">
        <w:t>rättas och ha till uppgift att medla i arbetstvister och verka för en väl fung</w:t>
      </w:r>
      <w:r w:rsidRPr="00000E4F">
        <w:t>e</w:t>
      </w:r>
      <w:r w:rsidRPr="00000E4F">
        <w:t>rande lönebildning. Medlingsinstitutet skall kalla parter till överläggningar eller på annat sätt informera sig om kommande eller pågående avtalsfö</w:t>
      </w:r>
      <w:r w:rsidRPr="00000E4F">
        <w:t>r</w:t>
      </w:r>
      <w:r w:rsidRPr="00000E4F">
        <w:t>handlingar. Institutet föreslås bli statistik</w:t>
      </w:r>
      <w:r w:rsidRPr="00000E4F">
        <w:softHyphen/>
        <w:t>ansvarig myndighet för den offic</w:t>
      </w:r>
      <w:r w:rsidRPr="00000E4F">
        <w:t>i</w:t>
      </w:r>
      <w:r w:rsidRPr="00000E4F">
        <w:t>ella lönestatistiken från den 1 januari 2001. Medlingsinstitutet skall årligen svara för att det publiceras en rapport om löneutvecklingen, medan Ko</w:t>
      </w:r>
      <w:r w:rsidRPr="00000E4F">
        <w:t>n</w:t>
      </w:r>
      <w:r w:rsidRPr="00000E4F">
        <w:t>junkturinstitutet föreslås svara för en årlig rapport om</w:t>
      </w:r>
      <w:r w:rsidRPr="00000E4F">
        <w:t xml:space="preserve"> de samhällsekonomi</w:t>
      </w:r>
      <w:r w:rsidRPr="00000E4F">
        <w:t>s</w:t>
      </w:r>
      <w:r w:rsidRPr="00000E4F">
        <w:t>ka förutsättningarna för löneförhandlinga</w:t>
      </w:r>
      <w:r w:rsidRPr="00000E4F">
        <w:t>r</w:t>
      </w:r>
      <w:r w:rsidRPr="00000E4F">
        <w:t>na.</w:t>
      </w:r>
    </w:p>
    <w:p w:rsidR="00866CF7" w:rsidRPr="00000E4F" w:rsidRDefault="00866CF7">
      <w:pPr>
        <w:pStyle w:val="Normaltindrag"/>
      </w:pPr>
      <w:r w:rsidRPr="00000E4F">
        <w:t>Efter samtycke från parter som förhandlar om kollektivavtal kan Me</w:t>
      </w:r>
      <w:r w:rsidRPr="00000E4F">
        <w:t>d</w:t>
      </w:r>
      <w:r w:rsidRPr="00000E4F">
        <w:t>lingsinstitutet utse en eller flera förhandlingsledare eller medlare. Om det föreligger risk för stridsåtgärder eller om stridsåtgärder redan har påbörjats skall institutet ha rätt att utse medlare även utan parternas samtycke. Detta gäller dock inte om parterna är bundna av ett registrerat avtal om förhan</w:t>
      </w:r>
      <w:r w:rsidRPr="00000E4F">
        <w:t>d</w:t>
      </w:r>
      <w:r w:rsidRPr="00000E4F">
        <w:t>lingsordning med regler om bl.a. medling liknande det s.k. Industriavtalet.</w:t>
      </w:r>
    </w:p>
    <w:p w:rsidR="00866CF7" w:rsidRPr="00000E4F" w:rsidRDefault="00866CF7">
      <w:pPr>
        <w:pStyle w:val="Normaltindrag"/>
      </w:pPr>
      <w:r w:rsidRPr="00000E4F">
        <w:t>Varseltiden i fråga om stridsåtgärder förlängs från sju dagar till sju arbet</w:t>
      </w:r>
      <w:r w:rsidRPr="00000E4F">
        <w:t>s</w:t>
      </w:r>
      <w:r w:rsidRPr="00000E4F">
        <w:t xml:space="preserve">dagar. En part som underlåter att varsla Medlingsinstitutet kan bli skyldig att betala en varselavgift till staten om lägst 30 000 kr och högst 100 000 kr.  </w:t>
      </w:r>
    </w:p>
    <w:p w:rsidR="00866CF7" w:rsidRPr="00000E4F" w:rsidRDefault="00866CF7">
      <w:pPr>
        <w:pStyle w:val="Normaltindrag"/>
      </w:pPr>
      <w:r w:rsidRPr="00000E4F">
        <w:t>Om det främjar en god lösning av tvisten får Medlingsinstitutet på medl</w:t>
      </w:r>
      <w:r w:rsidRPr="00000E4F">
        <w:t>a</w:t>
      </w:r>
      <w:r w:rsidRPr="00000E4F">
        <w:t>rens begäran besluta att en part skall skjuta upp varslade stridsåtgärder i högst 14 dagar. Den som vidtar en stridsåtgärd i strid mot beslutet kan bli skyldig att betala en förhöjd varselavgift till staten om lägst 300 000 kr och högst 1 000 000 kr.</w:t>
      </w:r>
    </w:p>
    <w:p w:rsidR="00866CF7" w:rsidRPr="00000E4F" w:rsidRDefault="00866CF7">
      <w:pPr>
        <w:pStyle w:val="Normaltindrag"/>
      </w:pPr>
      <w:r w:rsidRPr="00000E4F">
        <w:t>Lagändringarna föreslås träda i kraft den 1 juni 2000.</w:t>
      </w:r>
    </w:p>
    <w:p w:rsidR="00866CF7" w:rsidRPr="00000E4F" w:rsidRDefault="00866CF7">
      <w:pPr>
        <w:pStyle w:val="Rubrik1"/>
      </w:pPr>
      <w:bookmarkStart w:id="26" w:name="_Toc477140337"/>
      <w:r w:rsidRPr="00000E4F">
        <w:t>3 Utgångspunkter för förslagen m.m., statens resp. parternas roll och ansvar för lönebildningen</w:t>
      </w:r>
      <w:bookmarkEnd w:id="26"/>
    </w:p>
    <w:p w:rsidR="00866CF7" w:rsidRPr="00000E4F" w:rsidRDefault="00866CF7">
      <w:pPr>
        <w:pStyle w:val="R3"/>
        <w:spacing w:before="123"/>
      </w:pPr>
      <w:r w:rsidRPr="00000E4F">
        <w:t>Propositionen</w:t>
      </w:r>
    </w:p>
    <w:p w:rsidR="00866CF7" w:rsidRPr="00000E4F" w:rsidRDefault="00866CF7">
      <w:r w:rsidRPr="00000E4F">
        <w:t>Regeringens politik är inriktad på rättvisa, full sysselsättning och ökat vä</w:t>
      </w:r>
      <w:r w:rsidRPr="00000E4F">
        <w:t>l</w:t>
      </w:r>
      <w:r w:rsidRPr="00000E4F">
        <w:t>stånd genom en god och uthållig tillväxt. En viktig förutsättning för att nå dessa mål är att lönebildningen fungerar väl. Lönebildningen måste fungera så att det blir  möjligt att kombinera höjda reallöner med låg arbetslöshet och stabila priser. Med lönebildning avses i propositionen den samlade arbet</w:t>
      </w:r>
      <w:r w:rsidRPr="00000E4F">
        <w:t>s</w:t>
      </w:r>
      <w:r w:rsidRPr="00000E4F">
        <w:t>kraftskostnadsutvecklingen för arbetsmarknaden i dess helhet. Lönebildnin</w:t>
      </w:r>
      <w:r w:rsidRPr="00000E4F">
        <w:t>g</w:t>
      </w:r>
      <w:r w:rsidRPr="00000E4F">
        <w:t>en avgör löneutvecklingen och fördelningen av inkomster mellan individer, grupper och olika sektorer i ekonomin. Lönebildningen best</w:t>
      </w:r>
      <w:r w:rsidRPr="00000E4F">
        <w:t>ämmer i stor utsträckning pris- och kostnadsutvecklingen för det svenska näringslivet och den offentliga sektorn och påverkar därmed hur snabbt sysselsättningen kan öka. Möjligheterna för långtidsarbetslösa och andra grupper som står utanför arbetsmarknaden avgörs av hur väl lönebildningen fung</w:t>
      </w:r>
      <w:r w:rsidRPr="00000E4F">
        <w:t>e</w:t>
      </w:r>
      <w:r w:rsidRPr="00000E4F">
        <w:t>rar.</w:t>
      </w:r>
    </w:p>
    <w:p w:rsidR="00866CF7" w:rsidRPr="00000E4F" w:rsidRDefault="00866CF7">
      <w:pPr>
        <w:pStyle w:val="Normaltindrag"/>
      </w:pPr>
      <w:r w:rsidRPr="00000E4F">
        <w:t>En väl fungerande lönebildning är en förutsättning för regeringens höga sysselsättningsambitioner. För att en ökad efterfrågan på arbetskraft skall resultera i en fortsatt god sysselsättningsutveckling måste lön</w:t>
      </w:r>
      <w:r w:rsidRPr="00000E4F">
        <w:t>eökningstakten hållas inom en samhällsekonomiskt hållbar ram också vid en lägre arbetslö</w:t>
      </w:r>
      <w:r w:rsidRPr="00000E4F">
        <w:t>s</w:t>
      </w:r>
      <w:r w:rsidRPr="00000E4F">
        <w:t>het och högre sysselsättningsnivå än i dag.</w:t>
      </w:r>
    </w:p>
    <w:p w:rsidR="00866CF7" w:rsidRPr="00000E4F" w:rsidRDefault="00866CF7">
      <w:pPr>
        <w:pStyle w:val="Normaltindrag"/>
      </w:pPr>
      <w:r w:rsidRPr="00000E4F">
        <w:t>Lönebildningen har under flera decennier inte fungerat tillfredsställande. Ett allt sämre samspel mellan olika delar av arbetsmarknaden i avtalsfö</w:t>
      </w:r>
      <w:r w:rsidRPr="00000E4F">
        <w:t>r</w:t>
      </w:r>
      <w:r w:rsidRPr="00000E4F">
        <w:t>handlingarna, ett svagt institutionellt ramverk och upprepade stabilisering</w:t>
      </w:r>
      <w:r w:rsidRPr="00000E4F">
        <w:t>s</w:t>
      </w:r>
      <w:r w:rsidRPr="00000E4F">
        <w:t>politiska misslyckanden har bidragit till en löneutveckling som på lång sikt inte överensstämmer med produktivitetsutvecklingen. De nominella löneö</w:t>
      </w:r>
      <w:r w:rsidRPr="00000E4F">
        <w:t>k</w:t>
      </w:r>
      <w:r w:rsidRPr="00000E4F">
        <w:t>ningar har varit högre än i omvärlden vilket drivit upp inflationen. Upprep</w:t>
      </w:r>
      <w:r w:rsidRPr="00000E4F">
        <w:t>a</w:t>
      </w:r>
      <w:r w:rsidRPr="00000E4F">
        <w:t>de devalveringar har urholkat reallönerna. Större löneökningar än vad sa</w:t>
      </w:r>
      <w:r w:rsidRPr="00000E4F">
        <w:t>m</w:t>
      </w:r>
      <w:r w:rsidRPr="00000E4F">
        <w:t xml:space="preserve">hällsekonomin tål slår mot sysselsättningen och drabbar i första hand grupper med svag ställning på arbetsmarknaden. </w:t>
      </w:r>
    </w:p>
    <w:p w:rsidR="00866CF7" w:rsidRPr="00000E4F" w:rsidRDefault="00866CF7">
      <w:pPr>
        <w:pStyle w:val="Normaltindrag"/>
      </w:pPr>
      <w:r w:rsidRPr="00000E4F">
        <w:t>Förutsättningarna ha</w:t>
      </w:r>
      <w:r w:rsidRPr="00000E4F">
        <w:t>r ändrats i och med att Sverige inte längre försöker upprätthålla en fast växelkurs för kronan. Det av riksdagen i politisk enighet fastställda inflationsmålet – 2 procent plus/minus en procentenhet – får inte överskridas. Globaliseringen har ökat omvandlingstakten i näringslivet. Beslut i den ekonomiska politiken i enskilda länder framkallar omedelbara räntereaktioner på den internationella marknaden. Marginalen för misstag har dä</w:t>
      </w:r>
      <w:r w:rsidRPr="00000E4F">
        <w:t>r</w:t>
      </w:r>
      <w:r w:rsidRPr="00000E4F">
        <w:t>med krympt.</w:t>
      </w:r>
    </w:p>
    <w:p w:rsidR="00866CF7" w:rsidRPr="00000E4F" w:rsidRDefault="00866CF7">
      <w:pPr>
        <w:pStyle w:val="Normaltindrag"/>
      </w:pPr>
      <w:r w:rsidRPr="00000E4F">
        <w:t xml:space="preserve">Under 1998 års avtalsrörelse inleddes en utveckling som innebar </w:t>
      </w:r>
      <w:r w:rsidRPr="00000E4F">
        <w:t>en a</w:t>
      </w:r>
      <w:r w:rsidRPr="00000E4F">
        <w:t>n</w:t>
      </w:r>
      <w:r w:rsidRPr="00000E4F">
        <w:t>passning av löneökningstakten till den i Sveriges viktigaste konkurrentlä</w:t>
      </w:r>
      <w:r w:rsidRPr="00000E4F">
        <w:t>n</w:t>
      </w:r>
      <w:r w:rsidRPr="00000E4F">
        <w:t xml:space="preserve">der. Enligt regeringen måste denna utveckling fortsätta. </w:t>
      </w:r>
    </w:p>
    <w:p w:rsidR="00866CF7" w:rsidRPr="00000E4F" w:rsidRDefault="00866CF7">
      <w:pPr>
        <w:pStyle w:val="Normaltindrag"/>
        <w:rPr>
          <w:b/>
        </w:rPr>
      </w:pPr>
      <w:r w:rsidRPr="00000E4F">
        <w:t>Om lönebildningen inte skulle kunna hantera ökningen av efterfrågan på arbetskraft kommer den goda sysselsättningsutvecklingen att bromsas upp. Bristen på arbetskraft inom vissa områden kan driva upp löneökningarna för vissa grupper, vilket sedan kan sprida sig till andra grupper. Följden blir ökade produktionskostnader. Möjligheterna att vältra över kostnaderna på ökade p</w:t>
      </w:r>
      <w:r w:rsidRPr="00000E4F">
        <w:t>roduktpriser är små på grund av hårdnande internationell konkurrens och den förda penningpolitiken som syftar till prisstabilitet. Därför finns det numera ett mer direkt samband än tidigare mellan lönebildningen och mö</w:t>
      </w:r>
      <w:r w:rsidRPr="00000E4F">
        <w:t>j</w:t>
      </w:r>
      <w:r w:rsidRPr="00000E4F">
        <w:t>ligh</w:t>
      </w:r>
      <w:r w:rsidRPr="00000E4F">
        <w:t>e</w:t>
      </w:r>
      <w:r w:rsidRPr="00000E4F">
        <w:t xml:space="preserve">ten att pressa ned arbetslösheten.   </w:t>
      </w:r>
    </w:p>
    <w:p w:rsidR="00866CF7" w:rsidRPr="00000E4F" w:rsidRDefault="00866CF7">
      <w:pPr>
        <w:pStyle w:val="Normaltindrag"/>
      </w:pPr>
      <w:r w:rsidRPr="00000E4F">
        <w:t>Hög sysselsättning och låg arbetslöshet skall dock inte nås genom låglön</w:t>
      </w:r>
      <w:r w:rsidRPr="00000E4F">
        <w:t>e</w:t>
      </w:r>
      <w:r w:rsidRPr="00000E4F">
        <w:t>konkurrens. I stället bör det skapas allmänt goda förutsättningar för en for</w:t>
      </w:r>
      <w:r w:rsidRPr="00000E4F">
        <w:t>t</w:t>
      </w:r>
      <w:r w:rsidRPr="00000E4F">
        <w:t>satt stark produktivitetstillväxt som ger utrymme för att kombinera en fortsatt god sysselsättningsutveckling med en god reallöneutveckling. Lönebildnin</w:t>
      </w:r>
      <w:r w:rsidRPr="00000E4F">
        <w:t>g</w:t>
      </w:r>
      <w:r w:rsidRPr="00000E4F">
        <w:t>en måste enligt regeringen medverka till att Sveriges internationella konku</w:t>
      </w:r>
      <w:r w:rsidRPr="00000E4F">
        <w:t>r</w:t>
      </w:r>
      <w:r w:rsidRPr="00000E4F">
        <w:t>renskraft bibehålls även i tider med hög aktivitet i ekonomin och större efte</w:t>
      </w:r>
      <w:r w:rsidRPr="00000E4F">
        <w:t>r</w:t>
      </w:r>
      <w:r w:rsidRPr="00000E4F">
        <w:t>frågan på a</w:t>
      </w:r>
      <w:r w:rsidRPr="00000E4F">
        <w:t>r</w:t>
      </w:r>
      <w:r w:rsidRPr="00000E4F">
        <w:t>betskraft.</w:t>
      </w:r>
    </w:p>
    <w:p w:rsidR="00866CF7" w:rsidRPr="00000E4F" w:rsidRDefault="00866CF7">
      <w:pPr>
        <w:pStyle w:val="Normaltindrag"/>
      </w:pPr>
      <w:r w:rsidRPr="00000E4F">
        <w:t>Med stärkta spelregler för lönebildningen får parterna ett bättre stöd att träffa avtal som leder till f</w:t>
      </w:r>
      <w:r w:rsidRPr="00000E4F">
        <w:t>ler jobb, goda reallöner och stärkt välfärd. Styrkan och tydligheten i spelreglerna skall bidra till att hävda de svagares ställning på arbetsmarknaden.</w:t>
      </w:r>
    </w:p>
    <w:p w:rsidR="00866CF7" w:rsidRPr="00000E4F" w:rsidRDefault="00866CF7">
      <w:pPr>
        <w:pStyle w:val="Normaltindrag"/>
      </w:pPr>
      <w:r w:rsidRPr="00000E4F">
        <w:t>Enligt regeringen visar erfarenheten att osäkerhet och bristande inform</w:t>
      </w:r>
      <w:r w:rsidRPr="00000E4F">
        <w:t>a</w:t>
      </w:r>
      <w:r w:rsidRPr="00000E4F">
        <w:t>tion om andra gruppers avtal kan försvåra lönebildningen. Propositionen innebär att informationen inför förhandlingarna skall förbättras – alla parter skall kunna utgå från samma faktaunderlag. Med det medlingsinstitut som föreslås ökar förutsättningarna för ett förbättrat samspel i avtalsrörelserna.  Förlängda varseltider och möjligheten att besluta om uppskjutande av ko</w:t>
      </w:r>
      <w:r w:rsidRPr="00000E4F">
        <w:t>n</w:t>
      </w:r>
      <w:r w:rsidRPr="00000E4F">
        <w:t>flikter skall främja ett konstruktivt förhandlings- och me</w:t>
      </w:r>
      <w:r w:rsidRPr="00000E4F">
        <w:t>d</w:t>
      </w:r>
      <w:r w:rsidRPr="00000E4F">
        <w:t xml:space="preserve">lingsarbete. </w:t>
      </w:r>
    </w:p>
    <w:p w:rsidR="00866CF7" w:rsidRPr="00000E4F" w:rsidRDefault="00866CF7">
      <w:pPr>
        <w:pStyle w:val="R4"/>
      </w:pPr>
      <w:r w:rsidRPr="00000E4F">
        <w:t>Syftet med förslagen</w:t>
      </w:r>
    </w:p>
    <w:p w:rsidR="00866CF7" w:rsidRPr="00000E4F" w:rsidRDefault="00866CF7">
      <w:r w:rsidRPr="00000E4F">
        <w:t>Syftet är att främja en lönebildning i samhällsekonomisk balans som tål de påfrestningar som en långvarigt ökad efterfrågan medför. Förslagen innebär ingen begränsning när det gäller parternas möjligheter och ansvar i fråga om utformningen av a</w:t>
      </w:r>
      <w:r w:rsidRPr="00000E4F">
        <w:t>v</w:t>
      </w:r>
      <w:r w:rsidRPr="00000E4F">
        <w:t>talslösningar.</w:t>
      </w:r>
    </w:p>
    <w:p w:rsidR="00866CF7" w:rsidRPr="00000E4F" w:rsidRDefault="00866CF7">
      <w:pPr>
        <w:rPr>
          <w:sz w:val="28"/>
        </w:rPr>
      </w:pPr>
      <w:r w:rsidRPr="00000E4F">
        <w:t>Förslagen innebär att</w:t>
      </w:r>
    </w:p>
    <w:p w:rsidR="00866CF7" w:rsidRPr="00000E4F" w:rsidRDefault="00866CF7">
      <w:pPr>
        <w:numPr>
          <w:ilvl w:val="0"/>
          <w:numId w:val="55"/>
        </w:numPr>
        <w:spacing w:before="120"/>
      </w:pPr>
      <w:r w:rsidRPr="00000E4F">
        <w:t>utvecklingen av arbetskraftskostnaderna och dess följder för den samhäll</w:t>
      </w:r>
      <w:r w:rsidRPr="00000E4F">
        <w:t>s</w:t>
      </w:r>
      <w:r w:rsidRPr="00000E4F">
        <w:t>ekonomiska utvecklingen görs tydligare genom förbättrad lönestatistik och mer regelbundna analyser av hur lönebildningen fungerar; på det sättet motverkas att olika grupper på arbetsmarknaden driver upp löneökninga</w:t>
      </w:r>
      <w:r w:rsidRPr="00000E4F">
        <w:t>r</w:t>
      </w:r>
      <w:r w:rsidRPr="00000E4F">
        <w:t xml:space="preserve">na i konkurrens med varandra  </w:t>
      </w:r>
    </w:p>
    <w:p w:rsidR="00866CF7" w:rsidRPr="00000E4F" w:rsidRDefault="00866CF7">
      <w:pPr>
        <w:numPr>
          <w:ilvl w:val="0"/>
          <w:numId w:val="53"/>
        </w:numPr>
        <w:spacing w:before="120"/>
      </w:pPr>
      <w:r w:rsidRPr="00000E4F">
        <w:t>ansvarsfördelningen mellan arbetsmarknadens parter och staten tydli</w:t>
      </w:r>
      <w:r w:rsidRPr="00000E4F">
        <w:t>g</w:t>
      </w:r>
      <w:r w:rsidRPr="00000E4F">
        <w:t xml:space="preserve">görs  </w:t>
      </w:r>
    </w:p>
    <w:p w:rsidR="00866CF7" w:rsidRPr="00000E4F" w:rsidRDefault="00866CF7">
      <w:pPr>
        <w:numPr>
          <w:ilvl w:val="0"/>
          <w:numId w:val="53"/>
        </w:numPr>
        <w:spacing w:before="120"/>
      </w:pPr>
      <w:r w:rsidRPr="00000E4F">
        <w:t>fördelen med avtal för reglering av förhandlingsordningar och av vidt</w:t>
      </w:r>
      <w:r w:rsidRPr="00000E4F">
        <w:t>a</w:t>
      </w:r>
      <w:r w:rsidRPr="00000E4F">
        <w:t>gande av stridsåtgärder framhålls; för de fall där avtalslösningar inte kan nås förstärks lagstiftningen genom att vägen till konflikt görs trögare och genom att ett kraftfull</w:t>
      </w:r>
      <w:r w:rsidRPr="00000E4F">
        <w:t>a</w:t>
      </w:r>
      <w:r w:rsidRPr="00000E4F">
        <w:t>re konfliktlösningssystem tillhandahålls.</w:t>
      </w:r>
    </w:p>
    <w:p w:rsidR="00866CF7" w:rsidRPr="00000E4F" w:rsidRDefault="00866CF7">
      <w:pPr>
        <w:pStyle w:val="R4"/>
      </w:pPr>
      <w:r w:rsidRPr="00000E4F">
        <w:t>Statens resp. parternas roll och ansvar vid lön</w:t>
      </w:r>
      <w:r w:rsidRPr="00000E4F">
        <w:t>e</w:t>
      </w:r>
      <w:r w:rsidRPr="00000E4F">
        <w:t>bildningen</w:t>
      </w:r>
    </w:p>
    <w:p w:rsidR="00866CF7" w:rsidRPr="00000E4F" w:rsidRDefault="00866CF7">
      <w:r w:rsidRPr="00000E4F">
        <w:t xml:space="preserve">En viktig utgångspunkt för utformningen av förslagen är att </w:t>
      </w:r>
      <w:r w:rsidRPr="00000E4F">
        <w:rPr>
          <w:i/>
        </w:rPr>
        <w:t>arbetsmarkn</w:t>
      </w:r>
      <w:r w:rsidRPr="00000E4F">
        <w:rPr>
          <w:i/>
        </w:rPr>
        <w:t>a</w:t>
      </w:r>
      <w:r w:rsidRPr="00000E4F">
        <w:rPr>
          <w:i/>
        </w:rPr>
        <w:t xml:space="preserve">dens parter </w:t>
      </w:r>
      <w:r w:rsidRPr="00000E4F">
        <w:t>har en självklar rätt att hävda sina intressen. Löneökningarnas storlek och fördelningen mellan olika löntagargrupper skall avgöras i fö</w:t>
      </w:r>
      <w:r w:rsidRPr="00000E4F">
        <w:t>r</w:t>
      </w:r>
      <w:r w:rsidRPr="00000E4F">
        <w:t>handlingar mellan arbetsmarknadens parter. Den fria förhandlingsrätten är en grundsten på svensk arbetsmarknad. Rätten till strejk och lockout är inskr</w:t>
      </w:r>
      <w:r w:rsidRPr="00000E4F">
        <w:t>i</w:t>
      </w:r>
      <w:r w:rsidRPr="00000E4F">
        <w:t>ven i grundlagen. Arbetsgivarna har legitima vinstkrav för sin verksamhet samtidigt som arbetstagarna för en legitim kamp för sin andel av produ</w:t>
      </w:r>
      <w:r w:rsidRPr="00000E4F">
        <w:t>k</w:t>
      </w:r>
      <w:r w:rsidRPr="00000E4F">
        <w:t>tionsresultatet och sitt relativa löneläge. Utveckling</w:t>
      </w:r>
      <w:r w:rsidRPr="00000E4F">
        <w:t>en av relativlönerna för olika grupper samt lönenivåer och allmänna anställningsvillkor är frågor som ankommer på parterna liksom fördelningen av reallöneutrymmet. Även samhällsintresset måste dock tillgodoses i lönebildningen. Summan av pa</w:t>
      </w:r>
      <w:r w:rsidRPr="00000E4F">
        <w:t>r</w:t>
      </w:r>
      <w:r w:rsidRPr="00000E4F">
        <w:t xml:space="preserve">ternas ståndpunkter får inte bli löneinflation och färre jobb. Kollektivavtalen skall respekteras under den självklara förutsättningen att de inte innebär lönediskriminering. </w:t>
      </w:r>
    </w:p>
    <w:p w:rsidR="00866CF7" w:rsidRPr="00000E4F" w:rsidRDefault="00866CF7">
      <w:pPr>
        <w:pStyle w:val="Normaltindrag"/>
      </w:pPr>
      <w:r w:rsidRPr="00000E4F">
        <w:t>Enligt propositionen ligger ansvaret för lönebildningen kvar på arbet</w:t>
      </w:r>
      <w:r w:rsidRPr="00000E4F">
        <w:t>s</w:t>
      </w:r>
      <w:r w:rsidRPr="00000E4F">
        <w:t>marknadens parter även i fortsättningen. Formerna för lönebildningen är också i första hand en fråga för parterna. Avtalslösningar för förhandling</w:t>
      </w:r>
      <w:r w:rsidRPr="00000E4F">
        <w:t>s</w:t>
      </w:r>
      <w:r w:rsidRPr="00000E4F">
        <w:t>ordningar och begränsningar av rätten att vidta stridsåtgärder är att föredra framför lagstiftning.</w:t>
      </w:r>
    </w:p>
    <w:p w:rsidR="00866CF7" w:rsidRPr="00000E4F" w:rsidRDefault="00866CF7">
      <w:pPr>
        <w:pStyle w:val="Normaltindrag"/>
      </w:pPr>
      <w:r w:rsidRPr="00000E4F">
        <w:rPr>
          <w:i/>
        </w:rPr>
        <w:t xml:space="preserve">Staten </w:t>
      </w:r>
      <w:r w:rsidRPr="00000E4F">
        <w:t xml:space="preserve">har ett </w:t>
      </w:r>
      <w:r w:rsidRPr="00000E4F">
        <w:rPr>
          <w:i/>
        </w:rPr>
        <w:t xml:space="preserve">övergripande samhällsansvar </w:t>
      </w:r>
      <w:r w:rsidRPr="00000E4F">
        <w:t>för att lönebildningen fungerar så att den inte leder till ökad arbetslöshet och därmed hotar välfärdsutvec</w:t>
      </w:r>
      <w:r w:rsidRPr="00000E4F">
        <w:t>k</w:t>
      </w:r>
      <w:r w:rsidRPr="00000E4F">
        <w:t>lingen. Staten kan i första hand använda sig av de stabiliseringspolitiska instrumenten, finans- och penningpolitiken understödd av en effektiv a</w:t>
      </w:r>
      <w:r w:rsidRPr="00000E4F">
        <w:t>r</w:t>
      </w:r>
      <w:r w:rsidRPr="00000E4F">
        <w:t>betsmarknads- och utbildningspolitik. Även indirekt påverkar riksdag och regering förutsättningarna för det som parterna har ansvar för genom utfor</w:t>
      </w:r>
      <w:r w:rsidRPr="00000E4F">
        <w:t>m</w:t>
      </w:r>
      <w:r w:rsidRPr="00000E4F">
        <w:t>ningen av den ekonomiska politiken, utbildningssystemet, lagstiftningen om</w:t>
      </w:r>
      <w:r w:rsidRPr="00000E4F">
        <w:t xml:space="preserve"> stridsåtgärder och medling, arbetslöshetsförsäkringen och skyddslagstif</w:t>
      </w:r>
      <w:r w:rsidRPr="00000E4F">
        <w:t>t</w:t>
      </w:r>
      <w:r w:rsidRPr="00000E4F">
        <w:t>ningen för arbetstagarna. I statens övergripande ansvar ingår att tillvarata alla samhällsmedborgares legitima intresse av en väl fungerande lönebildning.  Staten skall däremot vara neutral till hur parterna fördelar löneutrymmet, till vilken nivå parterna väljer att förlägga sina förhandlingar, hur goda arbetsi</w:t>
      </w:r>
      <w:r w:rsidRPr="00000E4F">
        <w:t>n</w:t>
      </w:r>
      <w:r w:rsidRPr="00000E4F">
        <w:t>satser skall premieras, hur löneformer och anställningsvillkor kan anpassas till arbet</w:t>
      </w:r>
      <w:r w:rsidRPr="00000E4F">
        <w:t>s</w:t>
      </w:r>
      <w:r w:rsidRPr="00000E4F">
        <w:t>marknaden m.m.</w:t>
      </w:r>
    </w:p>
    <w:p w:rsidR="00866CF7" w:rsidRPr="00000E4F" w:rsidRDefault="00866CF7">
      <w:pPr>
        <w:pStyle w:val="Normaltindrag"/>
      </w:pPr>
      <w:r w:rsidRPr="00000E4F">
        <w:t>Staten och arbetsmarkna</w:t>
      </w:r>
      <w:r w:rsidRPr="00000E4F">
        <w:t xml:space="preserve">dens parter har i mer allmänna termer ett </w:t>
      </w:r>
      <w:r w:rsidRPr="00000E4F">
        <w:rPr>
          <w:i/>
        </w:rPr>
        <w:t>geme</w:t>
      </w:r>
      <w:r w:rsidRPr="00000E4F">
        <w:rPr>
          <w:i/>
        </w:rPr>
        <w:t>n</w:t>
      </w:r>
      <w:r w:rsidRPr="00000E4F">
        <w:rPr>
          <w:i/>
        </w:rPr>
        <w:t xml:space="preserve">samt ansvar </w:t>
      </w:r>
      <w:r w:rsidRPr="00000E4F">
        <w:t xml:space="preserve"> för att en tillräcklig, snabb och stabil tillväxt av det totala rea</w:t>
      </w:r>
      <w:r w:rsidRPr="00000E4F">
        <w:t>l</w:t>
      </w:r>
      <w:r w:rsidRPr="00000E4F">
        <w:t xml:space="preserve">löneutrymmet kommer till stånd. </w:t>
      </w:r>
    </w:p>
    <w:p w:rsidR="00866CF7" w:rsidRPr="00000E4F" w:rsidRDefault="00866CF7">
      <w:pPr>
        <w:pStyle w:val="R3"/>
      </w:pPr>
      <w:r w:rsidRPr="00000E4F">
        <w:t>Motioner</w:t>
      </w:r>
    </w:p>
    <w:p w:rsidR="00866CF7" w:rsidRPr="00000E4F" w:rsidRDefault="00866CF7">
      <w:r w:rsidRPr="00000E4F">
        <w:rPr>
          <w:i/>
        </w:rPr>
        <w:t xml:space="preserve">Moderaterna </w:t>
      </w:r>
      <w:r w:rsidRPr="00000E4F">
        <w:t>anser, enligt sin kommittémotion A6, det som uppenbart att den nödvändiga flexibiliteten och anpassningsförmågan saknas i den svenska lönebildningen, även om inflationen i löner och priser brutits. Trots att reg</w:t>
      </w:r>
      <w:r w:rsidRPr="00000E4F">
        <w:t>e</w:t>
      </w:r>
      <w:r w:rsidRPr="00000E4F">
        <w:t>ringen säger sig ha insikten om lönebildningens avgörande betydelse för en god tillväxt och för att de som i dag utestängs från arbetsmarknaden skall få arbete läggs det inte fram några förslag som förbättrar situationen. Regerin</w:t>
      </w:r>
      <w:r w:rsidRPr="00000E4F">
        <w:t>g</w:t>
      </w:r>
      <w:r w:rsidRPr="00000E4F">
        <w:t>en anlägger i stället en både centralistisk och snäv syn som nästan ut</w:t>
      </w:r>
      <w:r w:rsidRPr="00000E4F">
        <w:t>esluta</w:t>
      </w:r>
      <w:r w:rsidRPr="00000E4F">
        <w:t>n</w:t>
      </w:r>
      <w:r w:rsidRPr="00000E4F">
        <w:t>de rör själva förhandlingssystemet och hur det skall kunna motverka höga, generella löneökningar. Ett fungerande signalsystem i ekonomin innebär att det skall löna sig att förkovra sig och utveckla kompetensen. En flexibel och väl fungerande lönebildning påverkar relativlönerna och skapar en bättre balans på olika delar av arbetsmarknaden, vilket ger löntagarna en real i</w:t>
      </w:r>
      <w:r w:rsidRPr="00000E4F">
        <w:t>n</w:t>
      </w:r>
      <w:r w:rsidRPr="00000E4F">
        <w:t>komstökning som har sin grund i produktivitet, inte i de centrala organisati</w:t>
      </w:r>
      <w:r w:rsidRPr="00000E4F">
        <w:t>o</w:t>
      </w:r>
      <w:r w:rsidRPr="00000E4F">
        <w:t>nernas antaganden. Enligt Moderaterna är det enbart ök</w:t>
      </w:r>
      <w:r w:rsidRPr="00000E4F">
        <w:t>ad produktivitet som skapar utrymme för löneökningar. Eftersom produktivitetsökningar inte kan fastställas i förväg och varierar mellan branscher och företag måste lönebil</w:t>
      </w:r>
      <w:r w:rsidRPr="00000E4F">
        <w:t>d</w:t>
      </w:r>
      <w:r w:rsidRPr="00000E4F">
        <w:t>ningen ske så decentraliserat som möjligt (yrk. 1). Med en mer decentralis</w:t>
      </w:r>
      <w:r w:rsidRPr="00000E4F">
        <w:t>e</w:t>
      </w:r>
      <w:r w:rsidRPr="00000E4F">
        <w:t>rad lönebildning kan kompetensen bli den dominerande faktorn, vilket riml</w:t>
      </w:r>
      <w:r w:rsidRPr="00000E4F">
        <w:t>i</w:t>
      </w:r>
      <w:r w:rsidRPr="00000E4F">
        <w:t>gen också motverkar ”lön efter kön”. Morgondagens arbetsmarknad kommer att ställa än större krav på lokal och individuell anpassning (yrk. 2).</w:t>
      </w:r>
    </w:p>
    <w:p w:rsidR="00866CF7" w:rsidRPr="00000E4F" w:rsidRDefault="00866CF7">
      <w:r w:rsidRPr="00000E4F">
        <w:t>Enligt Moderaterna är lönebildningsfrågorna bara</w:t>
      </w:r>
      <w:r w:rsidRPr="00000E4F">
        <w:t xml:space="preserve"> en begränsad del av de strukturella problem som måste lösas. I ett antal punkter anger Moderaterna de förändringar som de ser som långt viktigare än själva medlingsfunktionen:</w:t>
      </w:r>
    </w:p>
    <w:p w:rsidR="00866CF7" w:rsidRPr="00000E4F" w:rsidRDefault="00866CF7">
      <w:pPr>
        <w:numPr>
          <w:ilvl w:val="0"/>
          <w:numId w:val="54"/>
        </w:numPr>
        <w:spacing w:before="120"/>
      </w:pPr>
      <w:r w:rsidRPr="00000E4F">
        <w:t>Skattepolitiken. Höga skatter snedvrider prissättningen och incitamenten så att effektiviteten i samhällsekonomin minskar och arbetstillfällen slås ut. Skattereduktion bör införas för hushållsnära tjänster. Värnskatten måste slopas och inkomstskatten sänkas i alla inkomstskikt så att fler kan försörja sig själva (yrk. 4).</w:t>
      </w:r>
    </w:p>
    <w:p w:rsidR="00866CF7" w:rsidRPr="00000E4F" w:rsidRDefault="00866CF7">
      <w:pPr>
        <w:numPr>
          <w:ilvl w:val="0"/>
          <w:numId w:val="54"/>
        </w:numPr>
        <w:spacing w:before="120"/>
      </w:pPr>
      <w:r w:rsidRPr="00000E4F">
        <w:t>Graden av lönespridning och stimulansen till kompetensutveckling. En alltmer sammanpressad lönestruktur har försvagat sambandet mellan ko</w:t>
      </w:r>
      <w:r w:rsidRPr="00000E4F">
        <w:t>m</w:t>
      </w:r>
      <w:r w:rsidRPr="00000E4F">
        <w:t>petens och lön. Lönestrukturen påverkas alltför lite av utbud och efterfr</w:t>
      </w:r>
      <w:r w:rsidRPr="00000E4F">
        <w:t>å</w:t>
      </w:r>
      <w:r w:rsidRPr="00000E4F">
        <w:t>gan, vilket lett till lägre sysselsättning och högre arbetslöshet. Det blir svårt att motivera ungdomar, särskilt dem som kommer från arbetarhem utan studievana, till uppoffrande studier som inte förefaller att löna sig (yrk. 5).</w:t>
      </w:r>
    </w:p>
    <w:p w:rsidR="00866CF7" w:rsidRPr="00000E4F" w:rsidRDefault="00866CF7">
      <w:pPr>
        <w:numPr>
          <w:ilvl w:val="0"/>
          <w:numId w:val="54"/>
        </w:numPr>
        <w:spacing w:before="120"/>
      </w:pPr>
      <w:r w:rsidRPr="00000E4F">
        <w:t>Nivån på reservationslönerna. Alltför höga reservationslöner – dvs. den lönenivå som krävs för att en individ skall uppfatta det som mer lönsamt att arbeta än att inte arbeta – bidrar till en ökning av den s</w:t>
      </w:r>
      <w:r w:rsidRPr="00000E4F">
        <w:t>trukturella a</w:t>
      </w:r>
      <w:r w:rsidRPr="00000E4F">
        <w:t>r</w:t>
      </w:r>
      <w:r w:rsidRPr="00000E4F">
        <w:t>betslösheten och leder till sämre välstånd. Med färre människor i arbete förblir många varor och tjänster oproducerade trots att de är efterfrågade (yrk. 6).</w:t>
      </w:r>
    </w:p>
    <w:p w:rsidR="00866CF7" w:rsidRPr="00000E4F" w:rsidRDefault="00866CF7">
      <w:pPr>
        <w:numPr>
          <w:ilvl w:val="0"/>
          <w:numId w:val="71"/>
        </w:numPr>
        <w:spacing w:before="120"/>
      </w:pPr>
      <w:r w:rsidRPr="00000E4F">
        <w:t>Arbetslöshetsförsäkringen. Den har förlorat sin karaktär av omställning</w:t>
      </w:r>
      <w:r w:rsidRPr="00000E4F">
        <w:t>s</w:t>
      </w:r>
      <w:r w:rsidRPr="00000E4F">
        <w:t>försäkring och i stället alltmer blivit en form av medborgarlön och perm</w:t>
      </w:r>
      <w:r w:rsidRPr="00000E4F">
        <w:t>a</w:t>
      </w:r>
      <w:r w:rsidRPr="00000E4F">
        <w:t>nent försörjningskälla för ”insiders” på arbetsmarknaden. En bortre gräns i försäkringen skulle stärka incitamenten att söka och ta arbete, den skulle förkorta arbetslöshetstiderna och ha en positiv inverkan på reservationsl</w:t>
      </w:r>
      <w:r w:rsidRPr="00000E4F">
        <w:t>ö</w:t>
      </w:r>
      <w:r w:rsidRPr="00000E4F">
        <w:t>nerna. Regeringen bör återkomma med ett sådant förslag (yrk. 7).</w:t>
      </w:r>
    </w:p>
    <w:p w:rsidR="00866CF7" w:rsidRPr="00000E4F" w:rsidRDefault="00866CF7">
      <w:pPr>
        <w:numPr>
          <w:ilvl w:val="0"/>
          <w:numId w:val="71"/>
        </w:numPr>
        <w:spacing w:before="120"/>
      </w:pPr>
      <w:r w:rsidRPr="00000E4F">
        <w:t xml:space="preserve"> Balansen i konfliktreglerna. Enligt Moderaterna är konfliktreglerna i flera avseenden förlegade. I syfte att återupprätta en rimlig balans mellan p</w:t>
      </w:r>
      <w:r w:rsidRPr="00000E4F">
        <w:t>a</w:t>
      </w:r>
      <w:r w:rsidRPr="00000E4F">
        <w:t>r</w:t>
      </w:r>
      <w:r w:rsidRPr="00000E4F">
        <w:t>terna och därmed underlätta lönebildningen lägger Moderaterna fram fö</w:t>
      </w:r>
      <w:r w:rsidRPr="00000E4F">
        <w:t>r</w:t>
      </w:r>
      <w:r w:rsidRPr="00000E4F">
        <w:t>slag om en s.k. proportionalitetsregel, om förbud mot stridsåtgärder mot enmans- och familjeföretag och mot sympatiåtgärder. – Utskottet åte</w:t>
      </w:r>
      <w:r w:rsidRPr="00000E4F">
        <w:t>r</w:t>
      </w:r>
      <w:r w:rsidRPr="00000E4F">
        <w:t>kommer till dessa yrkanden.</w:t>
      </w:r>
    </w:p>
    <w:p w:rsidR="00866CF7" w:rsidRPr="00000E4F" w:rsidRDefault="00866CF7">
      <w:r w:rsidRPr="00000E4F">
        <w:t xml:space="preserve">När det gäller </w:t>
      </w:r>
      <w:r w:rsidRPr="00000E4F">
        <w:rPr>
          <w:i/>
        </w:rPr>
        <w:t xml:space="preserve">statsmakternas ansvar för lönebildningen </w:t>
      </w:r>
      <w:r w:rsidRPr="00000E4F">
        <w:t>delar Moderaterna regeringens uppfattning att avtal är bättre än lagstiftning och att statsmakte</w:t>
      </w:r>
      <w:r w:rsidRPr="00000E4F">
        <w:t>r</w:t>
      </w:r>
      <w:r w:rsidRPr="00000E4F">
        <w:t>na har intresse av goda relationer mellan parterna på arbetsmarknaden. Detta får dock inte innebära att lönebildningen skulle vara ett område som staten i princip inte har med att göra. Regering och riksdag har ansvar för att med lagstiftningen ange de grundläggande spelreglerna. Inte heller får det inneb</w:t>
      </w:r>
      <w:r w:rsidRPr="00000E4F">
        <w:t>ä</w:t>
      </w:r>
      <w:r w:rsidRPr="00000E4F">
        <w:t>ra att total konsensus skulle vara förutsättningen för att lagstift</w:t>
      </w:r>
      <w:r w:rsidRPr="00000E4F">
        <w:t>aren ändrar spelreglerna. I motionen sägs att regeringens uppfattning att staten skall vara neutral mellan parterna, en åsikt som Moderaterna delar, rimmar illa med regeringens undfallenhet gentemot LO. Moderaterna, som i motionen hänför sig till den ovan nämnda skrivelsen från SAF och SACO, föreslår ett tillkä</w:t>
      </w:r>
      <w:r w:rsidRPr="00000E4F">
        <w:t>n</w:t>
      </w:r>
      <w:r w:rsidRPr="00000E4F">
        <w:t xml:space="preserve">nagivande om statsmakternas ansvar för lönebildningen (yrk. 3). – Även i partimotionen Sk692 (yrk. 24) från den allmänna motionstiden hösten 1999 betonar Moderaterna vikten av en mer decentraliserad </w:t>
      </w:r>
      <w:r w:rsidRPr="00000E4F">
        <w:t>och flexibel lönebil</w:t>
      </w:r>
      <w:r w:rsidRPr="00000E4F">
        <w:t>d</w:t>
      </w:r>
      <w:r w:rsidRPr="00000E4F">
        <w:t>ning.</w:t>
      </w:r>
    </w:p>
    <w:p w:rsidR="00866CF7" w:rsidRPr="00000E4F" w:rsidRDefault="00866CF7">
      <w:r w:rsidRPr="00000E4F">
        <w:rPr>
          <w:i/>
        </w:rPr>
        <w:t>Kristdemokraterna</w:t>
      </w:r>
      <w:r w:rsidRPr="00000E4F">
        <w:t xml:space="preserve"> utvecklar i kommittémotionen A8 sin syn på hur den ekonomiska politiken kan främja en god lönebildning. Partiet beskriver ett antal ”tillväxtfällor” på den svenska arbetsmarknaden: </w:t>
      </w:r>
    </w:p>
    <w:p w:rsidR="00866CF7" w:rsidRPr="00000E4F" w:rsidRDefault="00866CF7">
      <w:pPr>
        <w:numPr>
          <w:ilvl w:val="0"/>
          <w:numId w:val="56"/>
        </w:numPr>
        <w:spacing w:before="120"/>
      </w:pPr>
      <w:r w:rsidRPr="00000E4F">
        <w:t>Den i internationell jämförelse låga andelen anställda inom den privata sektorn, vilket leder till svag dynamik och undergräver möjligheten till nya sysselsättningstillfällen.</w:t>
      </w:r>
    </w:p>
    <w:p w:rsidR="00866CF7" w:rsidRPr="00000E4F" w:rsidRDefault="00866CF7">
      <w:pPr>
        <w:numPr>
          <w:ilvl w:val="0"/>
          <w:numId w:val="56"/>
        </w:numPr>
        <w:spacing w:before="120"/>
      </w:pPr>
      <w:r w:rsidRPr="00000E4F">
        <w:t>Den låga rörligheten på arbetsmarknaden som resulterar i flaskhalsar och bl.a. orsakas av de höga skattekilarna och den sammanpressade lönestru</w:t>
      </w:r>
      <w:r w:rsidRPr="00000E4F">
        <w:t>k</w:t>
      </w:r>
      <w:r w:rsidRPr="00000E4F">
        <w:t>turen; lönebildningen bör bättre spegla tillgång och efterfrågan.</w:t>
      </w:r>
    </w:p>
    <w:p w:rsidR="00866CF7" w:rsidRPr="00000E4F" w:rsidRDefault="00866CF7">
      <w:pPr>
        <w:numPr>
          <w:ilvl w:val="0"/>
          <w:numId w:val="56"/>
        </w:numPr>
        <w:spacing w:before="120"/>
      </w:pPr>
      <w:r w:rsidRPr="00000E4F">
        <w:t>Det förhållandet att utbildning lönar sig dåligt i Sverige; större hänsyn måste tas till kompetens, kunnande, prestation och ansvar, vilket innebär att lönebildningen i ökad utsträckning bör ske på det lokala planet och vara mer individuellt i</w:t>
      </w:r>
      <w:r w:rsidRPr="00000E4F">
        <w:t>n</w:t>
      </w:r>
      <w:r w:rsidRPr="00000E4F">
        <w:t xml:space="preserve">riktad. </w:t>
      </w:r>
    </w:p>
    <w:p w:rsidR="00866CF7" w:rsidRPr="00000E4F" w:rsidRDefault="00866CF7">
      <w:pPr>
        <w:numPr>
          <w:ilvl w:val="0"/>
          <w:numId w:val="56"/>
        </w:numPr>
        <w:spacing w:before="120"/>
      </w:pPr>
      <w:r w:rsidRPr="00000E4F">
        <w:t>De höga anställningströsklarna, som är ett problem för både individer och företag; för individen innebär det att det ibland inte lönar sig att arbeta, för företagen innebär höga ingångslöner, hög skatt och vissa arbetsrättsliga regler att man drar sig för att anställa personer med låg utbildning och b</w:t>
      </w:r>
      <w:r w:rsidRPr="00000E4F">
        <w:t>e</w:t>
      </w:r>
      <w:r w:rsidRPr="00000E4F">
        <w:t xml:space="preserve">gränsad erfarenhet.   </w:t>
      </w:r>
    </w:p>
    <w:p w:rsidR="00866CF7" w:rsidRPr="00000E4F" w:rsidRDefault="00866CF7">
      <w:r w:rsidRPr="00000E4F">
        <w:t>Kristdemokraterna kritiserar propositionen för att inte beröra lönebildningens betydelse för att skapa dynamik och flexibilitet, och därmed sysselsättning och tillväxt, utan enbart diskutera den totala lönen</w:t>
      </w:r>
      <w:r w:rsidRPr="00000E4F">
        <w:t>i</w:t>
      </w:r>
      <w:r w:rsidRPr="00000E4F">
        <w:t xml:space="preserve">våns utveckling. </w:t>
      </w:r>
    </w:p>
    <w:p w:rsidR="00866CF7" w:rsidRPr="00000E4F" w:rsidRDefault="00866CF7">
      <w:pPr>
        <w:pStyle w:val="Normaltindrag"/>
      </w:pPr>
      <w:r w:rsidRPr="00000E4F">
        <w:t xml:space="preserve">I motionen (yrk. 1) anges de punkter som enligt Kristdemokraterna främjar en sund lönebildning: </w:t>
      </w:r>
    </w:p>
    <w:p w:rsidR="00866CF7" w:rsidRPr="00000E4F" w:rsidRDefault="00866CF7">
      <w:pPr>
        <w:numPr>
          <w:ilvl w:val="0"/>
          <w:numId w:val="57"/>
        </w:numPr>
        <w:spacing w:before="120"/>
      </w:pPr>
      <w:r w:rsidRPr="00000E4F">
        <w:t>Stabila ekonomisk-politiska ramar som främjar ansvar hos parterna, för</w:t>
      </w:r>
      <w:r w:rsidRPr="00000E4F">
        <w:t>e</w:t>
      </w:r>
      <w:r w:rsidRPr="00000E4F">
        <w:t>tagen och de anställda. In</w:t>
      </w:r>
      <w:r w:rsidRPr="00000E4F">
        <w:t>g</w:t>
      </w:r>
      <w:r w:rsidRPr="00000E4F">
        <w:t xml:space="preserve">en statlig inkomstpolitik. </w:t>
      </w:r>
    </w:p>
    <w:p w:rsidR="00866CF7" w:rsidRPr="00000E4F" w:rsidRDefault="00866CF7">
      <w:pPr>
        <w:numPr>
          <w:ilvl w:val="0"/>
          <w:numId w:val="57"/>
        </w:numPr>
        <w:spacing w:before="120"/>
      </w:pPr>
      <w:r w:rsidRPr="00000E4F">
        <w:t>Sänkt skatt på arbete för alla för att uppmuntra arbete, utbildning, komp</w:t>
      </w:r>
      <w:r w:rsidRPr="00000E4F">
        <w:t>e</w:t>
      </w:r>
      <w:r w:rsidRPr="00000E4F">
        <w:t>tensutveckling och ansvar.</w:t>
      </w:r>
    </w:p>
    <w:p w:rsidR="00866CF7" w:rsidRPr="00000E4F" w:rsidRDefault="00866CF7">
      <w:pPr>
        <w:numPr>
          <w:ilvl w:val="0"/>
          <w:numId w:val="57"/>
        </w:numPr>
        <w:spacing w:before="120"/>
      </w:pPr>
      <w:r w:rsidRPr="00000E4F">
        <w:t xml:space="preserve">Obligatorisk arbetslöshetsförsäkring som i högre grad finansieras genom avgifter från de försäkrade. </w:t>
      </w:r>
    </w:p>
    <w:p w:rsidR="00866CF7" w:rsidRPr="00000E4F" w:rsidRDefault="00866CF7">
      <w:pPr>
        <w:numPr>
          <w:ilvl w:val="0"/>
          <w:numId w:val="57"/>
        </w:numPr>
        <w:spacing w:before="120"/>
      </w:pPr>
      <w:r w:rsidRPr="00000E4F">
        <w:t xml:space="preserve">Vinstdelningssystem för de anställda. </w:t>
      </w:r>
    </w:p>
    <w:p w:rsidR="00866CF7" w:rsidRPr="00000E4F" w:rsidRDefault="00866CF7">
      <w:pPr>
        <w:numPr>
          <w:ilvl w:val="0"/>
          <w:numId w:val="57"/>
        </w:numPr>
        <w:spacing w:before="120"/>
      </w:pPr>
      <w:r w:rsidRPr="00000E4F">
        <w:t xml:space="preserve">Bättre löneutveckling inom bristyrken. </w:t>
      </w:r>
    </w:p>
    <w:p w:rsidR="00866CF7" w:rsidRPr="00000E4F" w:rsidRDefault="00866CF7">
      <w:pPr>
        <w:numPr>
          <w:ilvl w:val="0"/>
          <w:numId w:val="57"/>
        </w:numPr>
        <w:spacing w:before="120"/>
      </w:pPr>
      <w:r w:rsidRPr="00000E4F">
        <w:t xml:space="preserve">Översyn av lagregleringen av kollektivavtalen för att öka den enskildes rättigheter. </w:t>
      </w:r>
    </w:p>
    <w:p w:rsidR="00866CF7" w:rsidRPr="00000E4F" w:rsidRDefault="00866CF7">
      <w:pPr>
        <w:numPr>
          <w:ilvl w:val="0"/>
          <w:numId w:val="57"/>
        </w:numPr>
        <w:spacing w:before="120"/>
      </w:pPr>
      <w:r w:rsidRPr="00000E4F">
        <w:t xml:space="preserve">Förbud mot blockad av enmans- och familjeföretag och en lagregel om proportionalitet (utskottet återkommer till detta i det följande). </w:t>
      </w:r>
    </w:p>
    <w:p w:rsidR="00866CF7" w:rsidRPr="00000E4F" w:rsidRDefault="00866CF7">
      <w:pPr>
        <w:numPr>
          <w:ilvl w:val="0"/>
          <w:numId w:val="57"/>
        </w:numPr>
        <w:spacing w:before="120"/>
      </w:pPr>
      <w:r w:rsidRPr="00000E4F">
        <w:t xml:space="preserve">Ökad löneflexibilitet vad avser ungdomar. </w:t>
      </w:r>
    </w:p>
    <w:p w:rsidR="00866CF7" w:rsidRPr="00000E4F" w:rsidRDefault="00866CF7">
      <w:pPr>
        <w:spacing w:before="120"/>
        <w:rPr>
          <w:sz w:val="28"/>
        </w:rPr>
      </w:pPr>
      <w:r w:rsidRPr="00000E4F">
        <w:t xml:space="preserve">Motsvarande synpunkter på lönebildningen framförs i Kristdemokraternas motion A254 (yrk. 24) från den allmänna motionstiden hösten 1999.   </w:t>
      </w:r>
    </w:p>
    <w:p w:rsidR="00866CF7" w:rsidRPr="00000E4F" w:rsidRDefault="00866CF7">
      <w:r w:rsidRPr="00000E4F">
        <w:rPr>
          <w:i/>
        </w:rPr>
        <w:t>Centerpartiet</w:t>
      </w:r>
      <w:r w:rsidRPr="00000E4F">
        <w:t>, i kommittémotion A9, framhåller att ett framtida välfärdssa</w:t>
      </w:r>
      <w:r w:rsidRPr="00000E4F">
        <w:t>m</w:t>
      </w:r>
      <w:r w:rsidRPr="00000E4F">
        <w:t>hälle är beroende av företagens möjligheter att konkurrera i en global ek</w:t>
      </w:r>
      <w:r w:rsidRPr="00000E4F">
        <w:t>o</w:t>
      </w:r>
      <w:r w:rsidRPr="00000E4F">
        <w:t>nomi. Löneutvecklingen måste vara i paritet med utvecklingen i konkurren</w:t>
      </w:r>
      <w:r w:rsidRPr="00000E4F">
        <w:t>t</w:t>
      </w:r>
      <w:r w:rsidRPr="00000E4F">
        <w:t>länderna. Partiet anser att regeringen på ett förtjänstfullt sätt beskrivit pr</w:t>
      </w:r>
      <w:r w:rsidRPr="00000E4F">
        <w:t>o</w:t>
      </w:r>
      <w:r w:rsidRPr="00000E4F">
        <w:t>blemen i den svenska ekonomin i propositionen men att mer långtgående slutsatser borde ha kunnat dras. I motionen läggs det fram förslag om vissa ändringar i konfliktreglerna, till vilket utskottet återkommer nedan. – Cente</w:t>
      </w:r>
      <w:r w:rsidRPr="00000E4F">
        <w:t>r</w:t>
      </w:r>
      <w:r w:rsidRPr="00000E4F">
        <w:t xml:space="preserve">partiet framför även synpunkter på lönebildningen i sin partimotion Fi211 från den allmänna motionstiden hösten 1999. Partiet efterlyser en bättre balans mellan parterna. Tydligare fördröjningsmekanismer behövs vid risk för konflikt. Varsel under pågående medling bör förbjudas. I motionen läggs det också fram förslag om vissa andra inskränkningar i konfliktreglerna. – Utskottet återkommer till dessa frågor nedan.  </w:t>
      </w:r>
    </w:p>
    <w:p w:rsidR="00866CF7" w:rsidRPr="00000E4F" w:rsidRDefault="00866CF7">
      <w:r w:rsidRPr="00000E4F">
        <w:rPr>
          <w:i/>
        </w:rPr>
        <w:t>Folkpartiet</w:t>
      </w:r>
      <w:r w:rsidRPr="00000E4F">
        <w:t xml:space="preserve"> ser, enligt partimotionen A10, propositionen som ytterligare exempel på regeringens oförmåga att reformera lagstiftningen trots de ofta goda förslag som framkommit under utredningsarbetet. Dagens lagreglerin</w:t>
      </w:r>
      <w:r w:rsidRPr="00000E4F">
        <w:t>g</w:t>
      </w:r>
      <w:r w:rsidRPr="00000E4F">
        <w:t>ar bidrar till att cementera arbetslösheten på en högre nivå än nödvändigt och till att skapa problem med lönebildningen, sägs det i motionen. Lönebil</w:t>
      </w:r>
      <w:r w:rsidRPr="00000E4F">
        <w:t>d</w:t>
      </w:r>
      <w:r w:rsidRPr="00000E4F">
        <w:t>ningen och arbetsmarknadslagarna skall vara ett instrument för att skapa balans mellan arbetsgivare och arbetstagare, men det som skett är att organ</w:t>
      </w:r>
      <w:r w:rsidRPr="00000E4F">
        <w:t>i</w:t>
      </w:r>
      <w:r w:rsidRPr="00000E4F">
        <w:t>sat</w:t>
      </w:r>
      <w:r w:rsidRPr="00000E4F">
        <w:t>ionerna på båda sidor fått för stort inflytande. Därför måste lönebildningen och arbetsrätten utformas så att den enskilde arbetstagaren och arbetsgivaren får större inflytande. Likafullt måste det påpekas att det i huvudsak är genom avtal som dessa frågor måste lösas (yrk. 1). Uppgiften är nu att underlätta en konkurrenskraftig lönebildning, men utan att bedriva statlig inkomstpolitik.  Folkpartiet kritiserar regeringen för att vara alltför fixerad vid den geno</w:t>
      </w:r>
      <w:r w:rsidRPr="00000E4F">
        <w:t>m</w:t>
      </w:r>
      <w:r w:rsidRPr="00000E4F">
        <w:t>snittliga löneökningstakten. Minst lika vikti</w:t>
      </w:r>
      <w:r w:rsidRPr="00000E4F">
        <w:t>gt är hur lönestrukturen utvec</w:t>
      </w:r>
      <w:r w:rsidRPr="00000E4F">
        <w:t>k</w:t>
      </w:r>
      <w:r w:rsidRPr="00000E4F">
        <w:t>las, och i den frågan kan en central medlingsfunktion rimligen inte ha någon egentlig uppgift, anför partiet (yrk. 2).</w:t>
      </w:r>
    </w:p>
    <w:p w:rsidR="00866CF7" w:rsidRPr="00000E4F" w:rsidRDefault="00866CF7">
      <w:pPr>
        <w:pStyle w:val="R3"/>
      </w:pPr>
      <w:r w:rsidRPr="00000E4F">
        <w:t>Utskottets ställningstagande</w:t>
      </w:r>
    </w:p>
    <w:p w:rsidR="00866CF7" w:rsidRPr="00000E4F" w:rsidRDefault="00866CF7">
      <w:pPr>
        <w:pStyle w:val="R4"/>
        <w:spacing w:before="123"/>
      </w:pPr>
      <w:r w:rsidRPr="00000E4F">
        <w:t>Allmänna utgångspunkter</w:t>
      </w:r>
    </w:p>
    <w:p w:rsidR="00866CF7" w:rsidRPr="00000E4F" w:rsidRDefault="00866CF7">
      <w:pPr>
        <w:rPr>
          <w:b/>
        </w:rPr>
      </w:pPr>
      <w:r w:rsidRPr="00000E4F">
        <w:t>Begreppet lönebildning brukar användas som</w:t>
      </w:r>
      <w:r w:rsidRPr="00000E4F">
        <w:rPr>
          <w:b/>
        </w:rPr>
        <w:t xml:space="preserve"> </w:t>
      </w:r>
      <w:r w:rsidRPr="00000E4F">
        <w:t>en sammanfattande benämning på de processer och de restriktioner som bestämmer lönerna för enskilda individer, för kollektiv och i genomsnitt för ekonomin i dess helhet. Det är ett vitt begrepp som kan beskrivas på många sätt. Lönebildningen verkar inom en ram som består av den ekonomiska politiken i stort, av arbetsmar</w:t>
      </w:r>
      <w:r w:rsidRPr="00000E4F">
        <w:t>k</w:t>
      </w:r>
      <w:r w:rsidRPr="00000E4F">
        <w:t>nadspolitiken, skatte- och transfereringspolitiken, socialpolitiken m.m. Även om lönebildningen inte ensam ligger bakom framväxten av en gynnsam ekonomisk situation, är den är av central be</w:t>
      </w:r>
      <w:r w:rsidRPr="00000E4F">
        <w:t>tydelse för tillväxt, sysselsättning och konkurrenskraft. När regeringen i propositionen anger vad som känn</w:t>
      </w:r>
      <w:r w:rsidRPr="00000E4F">
        <w:t>e</w:t>
      </w:r>
      <w:r w:rsidRPr="00000E4F">
        <w:t>tecknar en välfungerande lönebildning utgår den från ett lönebildningsb</w:t>
      </w:r>
      <w:r w:rsidRPr="00000E4F">
        <w:t>e</w:t>
      </w:r>
      <w:r w:rsidRPr="00000E4F">
        <w:t>grepp som avser den samlade arbetskraftskostnadsutvecklingen för arbet</w:t>
      </w:r>
      <w:r w:rsidRPr="00000E4F">
        <w:t>s</w:t>
      </w:r>
      <w:r w:rsidRPr="00000E4F">
        <w:t>marknaden i dess helhet. En väl fungerande lönebildning kännetecknas enligt propositionen av att den dels förmår kombinera en god reallöneutveckling med långsiktigt hållbar sysselsättningstillväxt genom att generera en kos</w:t>
      </w:r>
      <w:r w:rsidRPr="00000E4F">
        <w:t>t</w:t>
      </w:r>
      <w:r w:rsidRPr="00000E4F">
        <w:t>nadsutveckling som vid en given produk</w:t>
      </w:r>
      <w:r w:rsidRPr="00000E4F">
        <w:t>tivitetsutvecklingstakt inte överst</w:t>
      </w:r>
      <w:r w:rsidRPr="00000E4F">
        <w:t>i</w:t>
      </w:r>
      <w:r w:rsidRPr="00000E4F">
        <w:t>ger den i våra viktigaste konkurrentländer, dels i så liten utsträckning som möjligt ger upphov till arbetsmarknadskonflikter som orsakar kostnader eller andra negativa effekter för tre</w:t>
      </w:r>
      <w:r w:rsidRPr="00000E4F">
        <w:t>d</w:t>
      </w:r>
      <w:r w:rsidRPr="00000E4F">
        <w:t>je man.</w:t>
      </w:r>
    </w:p>
    <w:p w:rsidR="00866CF7" w:rsidRPr="00000E4F" w:rsidRDefault="00866CF7">
      <w:pPr>
        <w:pStyle w:val="Normaltindrag"/>
      </w:pPr>
      <w:r w:rsidRPr="00000E4F">
        <w:t>Under en stor del av 1980- och 1990-talen har lönebildningen inte fungerat tillfredsställande. Lönerna i Sverige har haft en långsiktig tendens att öka för snabbt i förhållande till lönerna i våra konkurrentländer, samtidigt som de reala timlönerna från 1970-talets mitt till 1998 v</w:t>
      </w:r>
      <w:r w:rsidRPr="00000E4F">
        <w:t>arit i stort sett oförän</w:t>
      </w:r>
      <w:r w:rsidRPr="00000E4F">
        <w:t>d</w:t>
      </w:r>
      <w:r w:rsidRPr="00000E4F">
        <w:t xml:space="preserve">rade. </w:t>
      </w:r>
    </w:p>
    <w:p w:rsidR="00866CF7" w:rsidRPr="00000E4F" w:rsidRDefault="00866CF7">
      <w:pPr>
        <w:pStyle w:val="Normaltindrag"/>
      </w:pPr>
      <w:r w:rsidRPr="00000E4F">
        <w:t>Konsekvenserna av brister i lönebildningen är annorlunda nu mot tidigare.  Med stängd inflationsväg, stabila pris- och löneökningar i omvärlden och internationaliserade kapital- och valutamarknader kommer alltför höga  lönekostnader i förhållande till omvärlden att medföra stigande räntor, ek</w:t>
      </w:r>
      <w:r w:rsidRPr="00000E4F">
        <w:t>o</w:t>
      </w:r>
      <w:r w:rsidRPr="00000E4F">
        <w:t xml:space="preserve">nomisk åtstramning och ökande arbetslöshet. </w:t>
      </w:r>
    </w:p>
    <w:p w:rsidR="00866CF7" w:rsidRPr="00000E4F" w:rsidRDefault="00866CF7">
      <w:pPr>
        <w:pStyle w:val="Normaltindrag"/>
      </w:pPr>
      <w:r w:rsidRPr="00000E4F">
        <w:t>Utskottet vill dock, liksom regeringen, framhålla att det finns positiva i</w:t>
      </w:r>
      <w:r w:rsidRPr="00000E4F">
        <w:t>n</w:t>
      </w:r>
      <w:r w:rsidRPr="00000E4F">
        <w:t>slag i lönebildningen. I internationellt perspektiv har under senare år få a</w:t>
      </w:r>
      <w:r w:rsidRPr="00000E4F">
        <w:t>r</w:t>
      </w:r>
      <w:r w:rsidRPr="00000E4F">
        <w:t>betsdagar gått förlorade på grund av konflikter. På flera områden kännetec</w:t>
      </w:r>
      <w:r w:rsidRPr="00000E4F">
        <w:t>k</w:t>
      </w:r>
      <w:r w:rsidRPr="00000E4F">
        <w:t>nas arbetsmarknaden av en bred samsyn mellan parterna om vad som krävs för en gynnsam utveckling av verksamheten. Större utrymme har skapats för att anpassa kollektivavtalen till de lokala förhållandena. Vid flera tillfällen har parterna visat god förmåga att ta hänsyn till de samhällsekonomiska förutsättningarna. 1998 års avtalsrörelse innebar också en stö</w:t>
      </w:r>
      <w:r w:rsidRPr="00000E4F">
        <w:t>rre anpassning till löneö</w:t>
      </w:r>
      <w:r w:rsidRPr="00000E4F">
        <w:t>k</w:t>
      </w:r>
      <w:r w:rsidRPr="00000E4F">
        <w:t xml:space="preserve">ningstakten i konkurrentländerna. </w:t>
      </w:r>
    </w:p>
    <w:p w:rsidR="00866CF7" w:rsidRPr="00000E4F" w:rsidRDefault="00866CF7">
      <w:pPr>
        <w:pStyle w:val="R4"/>
        <w:rPr>
          <w:b/>
        </w:rPr>
      </w:pPr>
      <w:r w:rsidRPr="00000E4F">
        <w:t>Statsmakternas ansvar</w:t>
      </w:r>
    </w:p>
    <w:p w:rsidR="00866CF7" w:rsidRPr="00000E4F" w:rsidRDefault="00866CF7">
      <w:r w:rsidRPr="00000E4F">
        <w:t>Innan utskottet kommer in på oppositionspartiernas synpunkter på lönebil</w:t>
      </w:r>
      <w:r w:rsidRPr="00000E4F">
        <w:t>d</w:t>
      </w:r>
      <w:r w:rsidRPr="00000E4F">
        <w:t xml:space="preserve">ningen vill utskottet något beröra det som sägs i Moderaternas motion om rollfördelningen och </w:t>
      </w:r>
      <w:r w:rsidRPr="00000E4F">
        <w:rPr>
          <w:i/>
        </w:rPr>
        <w:t>statsmakternas ansvar för lönebildningen</w:t>
      </w:r>
      <w:r w:rsidRPr="00000E4F">
        <w:t>. Eftersom utskottet ur motionen inte kan utläsa någon principiell åsiktsskillnad i sak i förhållande till propositionen uppfattar utskottet begäran om ett tillkännag</w:t>
      </w:r>
      <w:r w:rsidRPr="00000E4F">
        <w:t>i</w:t>
      </w:r>
      <w:r w:rsidRPr="00000E4F">
        <w:t>vande som främst en kritik mot regeringens beredning av ärendet och de ställningstaganden som då gjorts och som Moderaterna inte anser stå i öve</w:t>
      </w:r>
      <w:r w:rsidRPr="00000E4F">
        <w:t>r</w:t>
      </w:r>
      <w:r w:rsidRPr="00000E4F">
        <w:t>ensstämmelse med uppfattningen att staten skall vara neutral mell</w:t>
      </w:r>
      <w:r w:rsidRPr="00000E4F">
        <w:t>an parte</w:t>
      </w:r>
      <w:r w:rsidRPr="00000E4F">
        <w:t>r</w:t>
      </w:r>
      <w:r w:rsidRPr="00000E4F">
        <w:t>na. Utskottet kan inte ansluta sig till den kritiken och avstyrker följaktligen m</w:t>
      </w:r>
      <w:r w:rsidRPr="00000E4F">
        <w:t>o</w:t>
      </w:r>
      <w:r w:rsidRPr="00000E4F">
        <w:t>tion A6 (yrk. 3).</w:t>
      </w:r>
    </w:p>
    <w:p w:rsidR="00866CF7" w:rsidRPr="00000E4F" w:rsidRDefault="00866CF7">
      <w:pPr>
        <w:pStyle w:val="R4"/>
        <w:rPr>
          <w:b/>
        </w:rPr>
      </w:pPr>
      <w:r w:rsidRPr="00000E4F">
        <w:t>Analysen av de bakomliggande problemen</w:t>
      </w:r>
    </w:p>
    <w:p w:rsidR="00866CF7" w:rsidRPr="00000E4F" w:rsidRDefault="00866CF7">
      <w:r w:rsidRPr="00000E4F">
        <w:t>Utskottet övergår nu till oppositionspartiernas syn på lönebildningen.</w:t>
      </w:r>
    </w:p>
    <w:p w:rsidR="00866CF7" w:rsidRPr="00000E4F" w:rsidRDefault="00866CF7">
      <w:pPr>
        <w:pStyle w:val="Normaltindrag"/>
      </w:pPr>
      <w:r w:rsidRPr="00000E4F">
        <w:t>Någon politisk oenighet synes inte föreligga om betydelsen i och för sig av en väl fungerande lönebildning. Analysen av de bakomliggande problemen och uppfattningen om vad som utmärker en välfungerande lönebildning skiljer sig däremot åt. Framför allt Moderaterna och Kristdemokraterna men även Folkpartiet kritiserar regeringen för att gå förbi vissa faktorer som de ser som betydelsefulla. Centerpartiet riktar ingen kritik mot propositionens problembeskrivning men anser, som framgått, att mer långtgående sl</w:t>
      </w:r>
      <w:r w:rsidRPr="00000E4F">
        <w:t xml:space="preserve">utsatser borde kunna dras. </w:t>
      </w:r>
    </w:p>
    <w:p w:rsidR="00866CF7" w:rsidRPr="00000E4F" w:rsidRDefault="00866CF7">
      <w:pPr>
        <w:pStyle w:val="Normaltindrag"/>
      </w:pPr>
      <w:r w:rsidRPr="00000E4F">
        <w:t xml:space="preserve">Moderaterna, Kristdemokraterna och Folkpartiet menar att problemet inte bara ligger i de genomsnittliga generella löneökningarna utan lika mycket eller i än högre grad i lönestrukturen och de relativa lönerna. Moderaterna och Kristdemokraterna pekar också på en lång rad faktorer av strukturell art som de ser som problem i sammanhanget. </w:t>
      </w:r>
    </w:p>
    <w:p w:rsidR="00866CF7" w:rsidRPr="00000E4F" w:rsidRDefault="00866CF7">
      <w:pPr>
        <w:pStyle w:val="Normaltindrag"/>
      </w:pPr>
      <w:r w:rsidRPr="00000E4F">
        <w:t>Det är riktigt att propositionen i sin beskrivning av problemen med lön</w:t>
      </w:r>
      <w:r w:rsidRPr="00000E4F">
        <w:t>e</w:t>
      </w:r>
      <w:r w:rsidRPr="00000E4F">
        <w:t>bildningen i Sverige utgår från de generella löneökningarna. Syftet med förslagen är att en lönebildning i samhällsekonomisk balans skall främjas, vilket innebär att lönebildningen skall klara de påfrestningar som en långv</w:t>
      </w:r>
      <w:r w:rsidRPr="00000E4F">
        <w:t>a</w:t>
      </w:r>
      <w:r w:rsidRPr="00000E4F">
        <w:t>rigt ökad arbetskraftsefterfrågan medför. Förslagen inriktas på att begränsa risken för att lönebildningsprocessen i sin helhet leder till orimliga resultat och löneinflation. Utgångspunkten är att förslagen inte skall begränsa parte</w:t>
      </w:r>
      <w:r w:rsidRPr="00000E4F">
        <w:t>r</w:t>
      </w:r>
      <w:r w:rsidRPr="00000E4F">
        <w:t>nas möjligheter och ansvar. I flera sammanhang betonas</w:t>
      </w:r>
      <w:r w:rsidRPr="00000E4F">
        <w:t xml:space="preserve"> att det är parterna som har ansvaret för avtalslösningar. I detta ligger att parterna även har a</w:t>
      </w:r>
      <w:r w:rsidRPr="00000E4F">
        <w:t>n</w:t>
      </w:r>
      <w:r w:rsidRPr="00000E4F">
        <w:t xml:space="preserve">svaret för fördelningen av löneutrymmet. Utskottet vill starkt understryka att det inte är fråga om att göra några ingrepp i lönestrukturen. </w:t>
      </w:r>
    </w:p>
    <w:p w:rsidR="00866CF7" w:rsidRPr="00000E4F" w:rsidRDefault="00866CF7">
      <w:pPr>
        <w:pStyle w:val="Normaltindrag"/>
      </w:pPr>
      <w:r w:rsidRPr="00000E4F">
        <w:t>När Moderaterna och Kristdemokraterna kritiserar den svenska lönebil</w:t>
      </w:r>
      <w:r w:rsidRPr="00000E4F">
        <w:t>d</w:t>
      </w:r>
      <w:r w:rsidRPr="00000E4F">
        <w:t>ningen för att brista i flexibilitet, vara dåligt anpassad till utbud och efterfr</w:t>
      </w:r>
      <w:r w:rsidRPr="00000E4F">
        <w:t>å</w:t>
      </w:r>
      <w:r w:rsidRPr="00000E4F">
        <w:t>gan och inte tillräckligt decentraliserad och individualiserad, att alltför lite belöna kompetens och utbildning m.m. angriper de i själva verket den modell som vuxit fram i Sverige i ett samspel mellan staten och parterna, där parte</w:t>
      </w:r>
      <w:r w:rsidRPr="00000E4F">
        <w:t>r</w:t>
      </w:r>
      <w:r w:rsidRPr="00000E4F">
        <w:t>na tagit huvudansvaret för lönebildningen och dess resultatet. Det är svårt att undvika reflektionen att dessa partier egentligen efterlyser mer av statlig styrning eftersom de inte tycks accepte</w:t>
      </w:r>
      <w:r w:rsidRPr="00000E4F">
        <w:t>ra det som den svenska lönebil</w:t>
      </w:r>
      <w:r w:rsidRPr="00000E4F">
        <w:t>d</w:t>
      </w:r>
      <w:r w:rsidRPr="00000E4F">
        <w:t>ningsmodellen resulterat i.</w:t>
      </w:r>
    </w:p>
    <w:p w:rsidR="00866CF7" w:rsidRPr="00000E4F" w:rsidRDefault="00866CF7">
      <w:pPr>
        <w:pStyle w:val="Normaltindrag"/>
      </w:pPr>
      <w:r w:rsidRPr="00000E4F">
        <w:t>Det skall inte förnekas att en god ekonomisk utveckling även vad gäller arbetsmarknaden kan nås genom skilda slag av lönebildningssystem. T.ex. har Europas länder och USA lagar, institutioner och procedurer på arbet</w:t>
      </w:r>
      <w:r w:rsidRPr="00000E4F">
        <w:t>s</w:t>
      </w:r>
      <w:r w:rsidRPr="00000E4F">
        <w:t>marknaden som avsevärt skiljer sig från vårt system och även sinsemellan.  Det är också välkänt att lönespridningen på många håll i vår omvärld är avsevärt större än i Sverige. Vad Moderaterna och Kristdemokraterna tycks bortse från är traditionernas och de inarbetade samverkansformernas betyde</w:t>
      </w:r>
      <w:r w:rsidRPr="00000E4F">
        <w:t>l</w:t>
      </w:r>
      <w:r w:rsidRPr="00000E4F">
        <w:t>se för om resultatet av lönebildningsprocessen skall accepteras av organis</w:t>
      </w:r>
      <w:r w:rsidRPr="00000E4F">
        <w:t>a</w:t>
      </w:r>
      <w:r w:rsidRPr="00000E4F">
        <w:t>tionerna på arbetsmarknaden, av företagen, löntagarna och allmänheten. Lönebildningssystemet måste uppfattas som legitimt. Brister det i leg</w:t>
      </w:r>
      <w:r w:rsidRPr="00000E4F">
        <w:t>itimitet kan det leda till kompensationskrav, som i slutändan medför att den totala löneutvecklingen hamnar för högt för att de samhällsekonomiska målen skall nås. En annan och lika viktig aspekt på legitimiteten är att resultat som up</w:t>
      </w:r>
      <w:r w:rsidRPr="00000E4F">
        <w:t>p</w:t>
      </w:r>
      <w:r w:rsidRPr="00000E4F">
        <w:t>fattas som fördelningspolitiskt orimliga kan leda till arbetskonflikter, rivalitet mellan löntaga</w:t>
      </w:r>
      <w:r w:rsidRPr="00000E4F">
        <w:t>r</w:t>
      </w:r>
      <w:r w:rsidRPr="00000E4F">
        <w:t>kategorier och allmän social oro.</w:t>
      </w:r>
    </w:p>
    <w:p w:rsidR="00866CF7" w:rsidRPr="00000E4F" w:rsidRDefault="00866CF7">
      <w:pPr>
        <w:pStyle w:val="Normaltindrag"/>
      </w:pPr>
      <w:r w:rsidRPr="00000E4F">
        <w:t>Både Moderaterna och Kristdemokraterna visar i sina motioner i viss mån ett annat förhållningssätt till lönebildningsfrågorna än vad proposition</w:t>
      </w:r>
      <w:r w:rsidRPr="00000E4F">
        <w:t>en ger uttryck för. Båda partierna för lönepolitiska resonemang om vilka principer som skall vara vägledande vid lönesättningen. De framhåller att utbildning, förkovran och kompetens måste löna sig bättre. Kristdemokraterna talar för vinstdelningssystem, bättre löneutveckling i bristyrken och större flexibilitet i ungdomslönerna. Propositionen avstår från värderingar av detta slag, vilket utskottet ser som konsekvent om man vill upprätthålla ansvarsfördelningen mellan staten och arbetsmarknadens parter. Uts</w:t>
      </w:r>
      <w:r w:rsidRPr="00000E4F">
        <w:t>kottet instämmer med reg</w:t>
      </w:r>
      <w:r w:rsidRPr="00000E4F">
        <w:t>e</w:t>
      </w:r>
      <w:r w:rsidRPr="00000E4F">
        <w:t>ringen i att det bör vara parternas sak att fördela löneutrymmet, att avgöra hur goda arbetsinsatser och kompetens skall premieras m.m. Här skall staten vara neutral.</w:t>
      </w:r>
    </w:p>
    <w:p w:rsidR="00866CF7" w:rsidRPr="00000E4F" w:rsidRDefault="00866CF7">
      <w:pPr>
        <w:pStyle w:val="R4"/>
      </w:pPr>
      <w:r w:rsidRPr="00000E4F">
        <w:t>Frågan om på vilken nivå lönebildningen bör ske</w:t>
      </w:r>
    </w:p>
    <w:p w:rsidR="00866CF7" w:rsidRPr="00000E4F" w:rsidRDefault="00866CF7">
      <w:r w:rsidRPr="00000E4F">
        <w:t>Moderaternas och Kristdemokraternas avvikande förhållningssätt kommer till uttryck även när de anger på vilken nivå de anser att lönerna bör bestä</w:t>
      </w:r>
      <w:r w:rsidRPr="00000E4F">
        <w:t>m</w:t>
      </w:r>
      <w:r w:rsidRPr="00000E4F">
        <w:t>mas – båda anser att lönebildningen bör ske mer decentraliserat än i dag för att man därmed skall kunna ta större hänsyn till individuella förhållanden. I detta ligger inte bara att partierna därmed förespråkar en generellt mer mar</w:t>
      </w:r>
      <w:r w:rsidRPr="00000E4F">
        <w:t>k</w:t>
      </w:r>
      <w:r w:rsidRPr="00000E4F">
        <w:t>nadsmässig lönebildning. De uttalar sig också om sådant som enligt utsko</w:t>
      </w:r>
      <w:r w:rsidRPr="00000E4F">
        <w:t>t</w:t>
      </w:r>
      <w:r w:rsidRPr="00000E4F">
        <w:t>tets mening bör ankomma på parterna att ta ansvar för. Utskottet, som i och för sig kan konstatera att utvecklingen går mot avtal som är mer anpassade till lokala förhållanden, anser att parterna bör tilltr</w:t>
      </w:r>
      <w:r w:rsidRPr="00000E4F">
        <w:t>os förmågan att avgöra var lönebildningen bör ske för att ge ett acceptabelt resultat. Även här bör alltså staten vara neutral.</w:t>
      </w:r>
    </w:p>
    <w:p w:rsidR="00866CF7" w:rsidRPr="00000E4F" w:rsidRDefault="00866CF7">
      <w:pPr>
        <w:pStyle w:val="Normaltindrag"/>
      </w:pPr>
      <w:r w:rsidRPr="00000E4F">
        <w:t>Utskottet kan konstatera att även Folkpartiet tar upp frågan om var lön</w:t>
      </w:r>
      <w:r w:rsidRPr="00000E4F">
        <w:t>e</w:t>
      </w:r>
      <w:r w:rsidRPr="00000E4F">
        <w:t>bildningen bör ske, men från delvis andra utgångspunkter. Folkpartiet menar att den ursprungliga tanken att skydda den svagare parten, den anställde, förfelats genom att organisationerna fått för stort inflytande. Lönebildningen, och även arbetsrätten, bör enligt partiet utformas så att den enskilde arbetst</w:t>
      </w:r>
      <w:r w:rsidRPr="00000E4F">
        <w:t>a</w:t>
      </w:r>
      <w:r w:rsidRPr="00000E4F">
        <w:t>garen och arbetsgivaren får större inflytande. Men partiet påpekar samtidigt att det i huvudsak är i avtal mellan parterna som dessa frågor skall lösas. Utskottet finner det något svårt att bemöta denna</w:t>
      </w:r>
      <w:r w:rsidRPr="00000E4F">
        <w:t xml:space="preserve"> allmänt hållna argument</w:t>
      </w:r>
      <w:r w:rsidRPr="00000E4F">
        <w:t>a</w:t>
      </w:r>
      <w:r w:rsidRPr="00000E4F">
        <w:t>tion som inte anger några exempel på vilka regler som skulle behöva ändras. Allmänt sett syftar kollektivavtalen till en enhetlig reglering av anställning</w:t>
      </w:r>
      <w:r w:rsidRPr="00000E4F">
        <w:t>s</w:t>
      </w:r>
      <w:r w:rsidRPr="00000E4F">
        <w:t>villkoren. Med kollektivavtalet skapas ett slags rättsordning på arbetsmar</w:t>
      </w:r>
      <w:r w:rsidRPr="00000E4F">
        <w:t>k</w:t>
      </w:r>
      <w:r w:rsidRPr="00000E4F">
        <w:t>naden som skall förhindra godtycke. Avtal som träffas kollektivt ger des</w:t>
      </w:r>
      <w:r w:rsidRPr="00000E4F">
        <w:t>s</w:t>
      </w:r>
      <w:r w:rsidRPr="00000E4F">
        <w:t>utom en bättre överblick av det samlade utfallet än en serie individuella avtal. Detta talar till kollektivavtalets fördel i ett samhällsekonomiskt pe</w:t>
      </w:r>
      <w:r w:rsidRPr="00000E4F">
        <w:t>r</w:t>
      </w:r>
      <w:r w:rsidRPr="00000E4F">
        <w:t>spektiv. Utskottet vill dock fram</w:t>
      </w:r>
      <w:r w:rsidRPr="00000E4F">
        <w:t>hålla att det inte finns något allmänt förbud mot individuella anställningsvillkor. Om ett kollektivavtal gäller för anstäl</w:t>
      </w:r>
      <w:r w:rsidRPr="00000E4F">
        <w:t>l</w:t>
      </w:r>
      <w:r w:rsidRPr="00000E4F">
        <w:t xml:space="preserve">ningsförhållandet är det avgörande i stället vad kollektivavtalet i sig självt innebär i frågan om möjligheten att träffa individuella avtal. Utvecklingen går snarare mot ett ökat handlingsutrymme för de enskilda parterna och de lokala kollektivavtalsparterna än motsatsen. </w:t>
      </w:r>
    </w:p>
    <w:p w:rsidR="00866CF7" w:rsidRPr="00000E4F" w:rsidRDefault="00866CF7">
      <w:pPr>
        <w:pStyle w:val="Normaltindrag"/>
      </w:pPr>
      <w:r w:rsidRPr="00000E4F">
        <w:t>Folkpartiet kopplar ihop den ovan berörda frågan om lönestrukturen med de konkreta förslagen såtillvida att parti</w:t>
      </w:r>
      <w:r w:rsidRPr="00000E4F">
        <w:t>et menar att en central medling</w:t>
      </w:r>
      <w:r w:rsidRPr="00000E4F">
        <w:t>s</w:t>
      </w:r>
      <w:r w:rsidRPr="00000E4F">
        <w:t>funktion inte gärna kan ha någon uppgift att fylla på det området. Utskottet kan ge partiet rätt i så måtto att syftet med förslagen i propositionen främst är att åstadkomma en lönebildning som i sin helhet skapar samhällsekonomisk balans. Om ambitionen i stället hade varit att i första hand förändra l</w:t>
      </w:r>
      <w:r w:rsidRPr="00000E4F">
        <w:t>ö</w:t>
      </w:r>
      <w:r w:rsidRPr="00000E4F">
        <w:t>nestrukturer och relativa löneförhållanden skulle förslagen ha sett annorlunda ut. I den mån lönestrukturer bör angripas av jämställdhetsskäl eller därför att de är diskriminer</w:t>
      </w:r>
      <w:r w:rsidRPr="00000E4F">
        <w:t xml:space="preserve">ande är det inte medlingsfunktionen i sig som står i fokus utan andra delar av propositionen såsom förbättringarna av lönestatistiken  och kompletteringen av forskningsdatabasen LINDA – till vilket utskottet återkommer nedan – liksom givetvis den särskilda lagstiftningen på dessa områden. </w:t>
      </w:r>
    </w:p>
    <w:p w:rsidR="00866CF7" w:rsidRPr="00000E4F" w:rsidRDefault="00866CF7">
      <w:pPr>
        <w:pStyle w:val="R4"/>
      </w:pPr>
      <w:r w:rsidRPr="00000E4F">
        <w:t>Lönebildningens roll för inkomstfördelning, tillväxt m.m.</w:t>
      </w:r>
    </w:p>
    <w:p w:rsidR="00866CF7" w:rsidRPr="00000E4F" w:rsidRDefault="00866CF7">
      <w:r w:rsidRPr="00000E4F">
        <w:t>Lönebildningen har en grundläggande uppgift att medverka i fördelningen  av inkomsterna i ekonomin, både mellan arbete och kapital och mellan olika grupper och individer i löntagarkollektivet. Denna inkomstfördelande uppgift är  komplicerad och kontroversiell eftersom flertalet har lönen som den enda eller viktigaste inkomstkällan. Samhällets fördelningspolitiska ambitioner kan teoretiskt tillgodoses inom själva lönebildningsprocessen eller inom de offentliga skatte- och transfereringssystemen. Moderaterna</w:t>
      </w:r>
      <w:r w:rsidRPr="00000E4F">
        <w:t xml:space="preserve"> och Kristdem</w:t>
      </w:r>
      <w:r w:rsidRPr="00000E4F">
        <w:t>o</w:t>
      </w:r>
      <w:r w:rsidRPr="00000E4F">
        <w:t>kraterna riktar som framgått inte bara in sig mot lönebildningen som sådan utan även mot strukturella faktorer som skatterna, arbetslöshetsförsäkringen och regelverket kring kollektivavtal och arbetsmarknadskonflikter. Moder</w:t>
      </w:r>
      <w:r w:rsidRPr="00000E4F">
        <w:t>a</w:t>
      </w:r>
      <w:r w:rsidRPr="00000E4F">
        <w:t>terna tar också särskilt upp de s.k. reservationslönerna, dvs. den lägsta lön som en person är beredd att acceptera i en viss anställning. Dessa partiers ståndpunkter skulle tillspetsat kunna sammanfattas så att det huvudsakliga problemet är att varken lönebildningen eller</w:t>
      </w:r>
      <w:r w:rsidRPr="00000E4F">
        <w:t xml:space="preserve"> den förda politiken skapar til</w:t>
      </w:r>
      <w:r w:rsidRPr="00000E4F">
        <w:t>l</w:t>
      </w:r>
      <w:r w:rsidRPr="00000E4F">
        <w:t>räckligt stor lönespridning, i föreställningen att lönespridning är förutsät</w:t>
      </w:r>
      <w:r w:rsidRPr="00000E4F">
        <w:t>t</w:t>
      </w:r>
      <w:r w:rsidRPr="00000E4F">
        <w:t xml:space="preserve">ningen för den nödvändiga tillväxten. </w:t>
      </w:r>
    </w:p>
    <w:p w:rsidR="00866CF7" w:rsidRPr="00000E4F" w:rsidRDefault="00866CF7">
      <w:pPr>
        <w:pStyle w:val="Normaltindrag"/>
      </w:pPr>
      <w:r w:rsidRPr="00000E4F">
        <w:t>Kristdemokraterna kritiserar även propositionen för att den skulle gå förbi lönebildningens betydelse för dynamik och tillväxt m.m. Utskottet kan inte instämma i den kritiken. Tvärtom framhålls sambandet mellan en väl fung</w:t>
      </w:r>
      <w:r w:rsidRPr="00000E4F">
        <w:t>e</w:t>
      </w:r>
      <w:r w:rsidRPr="00000E4F">
        <w:t>rande lönebildning och målet om en god och uthållig tillväxt. En annan sak är hur man vill definiera en väl fungerande lönebildning, och på den punkten skiljer det sig mellan u</w:t>
      </w:r>
      <w:r w:rsidRPr="00000E4F">
        <w:t>t</w:t>
      </w:r>
      <w:r w:rsidRPr="00000E4F">
        <w:t xml:space="preserve">skottet och Kristdemokraterna.  </w:t>
      </w:r>
    </w:p>
    <w:p w:rsidR="00866CF7" w:rsidRPr="00000E4F" w:rsidRDefault="00866CF7">
      <w:pPr>
        <w:pStyle w:val="Normaltindrag"/>
      </w:pPr>
      <w:r w:rsidRPr="00000E4F">
        <w:t>Inte minst detta ärende illustrerar den grundläggande skillnad som finns mellan utskottet och flera av oppositionspartierna i synen på fördelningspol</w:t>
      </w:r>
      <w:r w:rsidRPr="00000E4F">
        <w:t>i</w:t>
      </w:r>
      <w:r w:rsidRPr="00000E4F">
        <w:t>tiken i vid bemärkelse. Utskottet finner emellertid inte skäl att i detta sa</w:t>
      </w:r>
      <w:r w:rsidRPr="00000E4F">
        <w:t>m</w:t>
      </w:r>
      <w:r w:rsidRPr="00000E4F">
        <w:t>manhang gå närmare in på och bemöta de synpunkter på den ekonomiska politiken och andra strukturella förhållanden som oppositionspartierna tar upp. Skälet är att förslagen i propositionen tar sikte på sådant som mera omedelbart hänger samman med och kan ha betydelse för lönebildningen. Det handlar om att öka förutsättningarna för en samsyn mellan olika delar av arbetsmarknaden, att stärka spelreglerna vid förhandlingar, att bättre</w:t>
      </w:r>
      <w:r w:rsidRPr="00000E4F">
        <w:t xml:space="preserve"> fa</w:t>
      </w:r>
      <w:r w:rsidRPr="00000E4F">
        <w:t>k</w:t>
      </w:r>
      <w:r w:rsidRPr="00000E4F">
        <w:t>taunderlag skall finnas tillgängligt och att skapa ömsesidig öppenheten med ökat informationsutbyte m.m. Utskottet nöjer sig med att konstatera att M</w:t>
      </w:r>
      <w:r w:rsidRPr="00000E4F">
        <w:t>o</w:t>
      </w:r>
      <w:r w:rsidRPr="00000E4F">
        <w:t>deraternas och Kristdemokraternas kritik snarare siktar in sig på analysen av problemen i den svenska lönebildningen än på de konkreta förslag som läggs fram i propos</w:t>
      </w:r>
      <w:r w:rsidRPr="00000E4F">
        <w:t>i</w:t>
      </w:r>
      <w:r w:rsidRPr="00000E4F">
        <w:t xml:space="preserve">tionen. </w:t>
      </w:r>
    </w:p>
    <w:p w:rsidR="00866CF7" w:rsidRPr="00000E4F" w:rsidRDefault="00866CF7">
      <w:pPr>
        <w:pStyle w:val="R4"/>
      </w:pPr>
      <w:r w:rsidRPr="00000E4F">
        <w:t>Avslutande synpunkter</w:t>
      </w:r>
    </w:p>
    <w:p w:rsidR="00866CF7" w:rsidRPr="00000E4F" w:rsidRDefault="00866CF7">
      <w:r w:rsidRPr="00000E4F">
        <w:t>Utskottet kan avslutningsvis i detta avsnitt konstatera att tillväxten i den svenska ekonomin för närvarande är hög. Utvecklingen på arbetsmarknaden är stabil. Detta talar inte för att Moderaterna och Kristdemokraterna har någon särskilt stark grund för sin uppfattning om de strukturella problemen i den svenska ekonomin. De problem som ändå finns rör som utskottet ser det främst de regionala obalanserna, kompetensbehoven på en föränderlig a</w:t>
      </w:r>
      <w:r w:rsidRPr="00000E4F">
        <w:t>r</w:t>
      </w:r>
      <w:r w:rsidRPr="00000E4F">
        <w:t>betsmarknad och den strukturella lönediskrimineringen. För att komma till rätta med detta krävs andra politiska instrument än vad dessa opposition</w:t>
      </w:r>
      <w:r w:rsidRPr="00000E4F">
        <w:t>s</w:t>
      </w:r>
      <w:r w:rsidRPr="00000E4F">
        <w:t xml:space="preserve">partier förespråkar. </w:t>
      </w:r>
    </w:p>
    <w:p w:rsidR="00866CF7" w:rsidRPr="00000E4F" w:rsidRDefault="00866CF7">
      <w:pPr>
        <w:pStyle w:val="Normaltindrag"/>
      </w:pPr>
      <w:r w:rsidRPr="00000E4F">
        <w:t xml:space="preserve">Sammanfattningsvis avstyrker utskottet med det anförda motionerna A6  (yrk. 1, 2, 4–7), A8 (yrk. 1), A10 (yrk. 1 och 2), A254 (yrk. 24) och Sk692 (yrk. 24). </w:t>
      </w:r>
    </w:p>
    <w:p w:rsidR="00866CF7" w:rsidRPr="00000E4F" w:rsidRDefault="00866CF7">
      <w:pPr>
        <w:pStyle w:val="Rubrik1"/>
      </w:pPr>
      <w:bookmarkStart w:id="27" w:name="_Toc477140338"/>
      <w:r w:rsidRPr="00000E4F">
        <w:t>4 Inrättande av Medlingsinstitutet m.m.</w:t>
      </w:r>
      <w:bookmarkEnd w:id="27"/>
    </w:p>
    <w:p w:rsidR="00866CF7" w:rsidRPr="00000E4F" w:rsidRDefault="00866CF7">
      <w:pPr>
        <w:pStyle w:val="R3"/>
        <w:spacing w:before="123"/>
      </w:pPr>
      <w:r w:rsidRPr="00000E4F">
        <w:t>Propositionen</w:t>
      </w:r>
    </w:p>
    <w:p w:rsidR="00866CF7" w:rsidRPr="00000E4F" w:rsidRDefault="00866CF7">
      <w:r w:rsidRPr="00000E4F">
        <w:t>Genom ett medlingsinstitut skapas bättre förutsättningar för att tillvarata samhällsintresset i lönebildningen samtidigt som de avtalsslutande parternas ansvar betonas och resurserna för konfliktlösning stärks. Lönebildningen skall kunna fungera både i tider av hög arbetslöshet och när tillväxten är stark. Utgångspunkten är den ovan beskrivna ansvarsfördelningen mellan parterna och staten.</w:t>
      </w:r>
    </w:p>
    <w:p w:rsidR="00866CF7" w:rsidRPr="00000E4F" w:rsidRDefault="00866CF7">
      <w:pPr>
        <w:pStyle w:val="Normaltindrag"/>
      </w:pPr>
      <w:r w:rsidRPr="00000E4F">
        <w:t>Uppgiften för det medlingsinstitut som föreslås bli inrättat den 1 juni 2000 skall vara att medla i arbetstvister och verka för en väl fungerande lönebil</w:t>
      </w:r>
      <w:r w:rsidRPr="00000E4F">
        <w:t>d</w:t>
      </w:r>
      <w:r w:rsidRPr="00000E4F">
        <w:t>ning (46 § medbestämmandelagen). Medlingsinstitutets roll är att aktivt medverka till att lösa sådana tvister och till att tvisterna kan lösas utan stridsåtgärder. Institutet skall säkerställa att det finns tillgång till kompetenta medlare, skiljemän och andra utomstående som kan medverka till att intre</w:t>
      </w:r>
      <w:r w:rsidRPr="00000E4F">
        <w:t>s</w:t>
      </w:r>
      <w:r w:rsidRPr="00000E4F">
        <w:t>setvister löses. Det skall ha en god överblick av förhållandena på arbet</w:t>
      </w:r>
      <w:r w:rsidRPr="00000E4F">
        <w:t>s</w:t>
      </w:r>
      <w:r w:rsidRPr="00000E4F">
        <w:t>marknaden i Sverige och i omvärlden och ha kompetens i jämställdhets- och diskrimineringsfrågor. Uppgiften är mera långtgående än den</w:t>
      </w:r>
      <w:r w:rsidRPr="00000E4F">
        <w:t xml:space="preserve"> som Förli</w:t>
      </w:r>
      <w:r w:rsidRPr="00000E4F">
        <w:t>k</w:t>
      </w:r>
      <w:r w:rsidRPr="00000E4F">
        <w:t>ningsmannaexpeditionen haft. Medlingsinstitutet skall dock inte ges uppgi</w:t>
      </w:r>
      <w:r w:rsidRPr="00000E4F">
        <w:t>f</w:t>
      </w:r>
      <w:r w:rsidRPr="00000E4F">
        <w:t>ter på områden som parterna har ansvar för och där det inte är sannolikt att allmänintresset skulle gagnas av ett statligt agerande.</w:t>
      </w:r>
    </w:p>
    <w:p w:rsidR="00866CF7" w:rsidRPr="00000E4F" w:rsidRDefault="00866CF7">
      <w:pPr>
        <w:pStyle w:val="Normaltindrag"/>
      </w:pPr>
      <w:r w:rsidRPr="00000E4F">
        <w:t>Genom nya regler i medbestämmandelagen anges att Medlingsinstitutet skall</w:t>
      </w:r>
    </w:p>
    <w:p w:rsidR="00866CF7" w:rsidRPr="00000E4F" w:rsidRDefault="00866CF7">
      <w:pPr>
        <w:numPr>
          <w:ilvl w:val="0"/>
          <w:numId w:val="31"/>
        </w:numPr>
        <w:rPr>
          <w:b/>
        </w:rPr>
      </w:pPr>
      <w:r w:rsidRPr="00000E4F">
        <w:t>genom överläggningar med parter eller på annat sätt informera sig om kommande eller pågående avtalsförhandlingar (47 § första stycket); detta innebär ett förtydligande och en mer uttalad möjlighet för institutet att agera</w:t>
      </w:r>
    </w:p>
    <w:p w:rsidR="00866CF7" w:rsidRPr="00000E4F" w:rsidRDefault="00866CF7">
      <w:pPr>
        <w:numPr>
          <w:ilvl w:val="0"/>
          <w:numId w:val="32"/>
        </w:numPr>
      </w:pPr>
      <w:r w:rsidRPr="00000E4F">
        <w:t xml:space="preserve">kunna förelägga en part vid vite att komma till överläggningar (52 § första stycket)  </w:t>
      </w:r>
    </w:p>
    <w:p w:rsidR="00866CF7" w:rsidRPr="00000E4F" w:rsidRDefault="00866CF7">
      <w:pPr>
        <w:numPr>
          <w:ilvl w:val="0"/>
          <w:numId w:val="33"/>
        </w:numPr>
      </w:pPr>
      <w:r w:rsidRPr="00000E4F">
        <w:t>ge parterna råd och upplysningar om förhandlingar och kollektivavtal (47 § andra stycket).</w:t>
      </w:r>
    </w:p>
    <w:p w:rsidR="00866CF7" w:rsidRPr="00000E4F" w:rsidRDefault="00866CF7">
      <w:r w:rsidRPr="00000E4F">
        <w:t>I förhållande till vad som i dag gäller för Förlikningsmannaexpeditionen får Medlingsinstitutet möjlighet att agera tidigare och på fler sätt. Genom mö</w:t>
      </w:r>
      <w:r w:rsidRPr="00000E4F">
        <w:t>j</w:t>
      </w:r>
      <w:r w:rsidRPr="00000E4F">
        <w:t xml:space="preserve">ligheten att kalla parterna till överläggningar inför kommande eller pågående avtalsförhandlingar stimuleras parterna att komma i gång i så god tid att nya avtal kan träffas innan de gamla löpt ut. </w:t>
      </w:r>
    </w:p>
    <w:p w:rsidR="00866CF7" w:rsidRPr="00000E4F" w:rsidRDefault="00866CF7">
      <w:pPr>
        <w:pStyle w:val="Normaltindrag"/>
      </w:pPr>
      <w:r w:rsidRPr="00000E4F">
        <w:t>En part som träffat kollektivavtal skall på begäran, och ytterst vid vite, til</w:t>
      </w:r>
      <w:r w:rsidRPr="00000E4F">
        <w:t>l</w:t>
      </w:r>
      <w:r w:rsidRPr="00000E4F">
        <w:t xml:space="preserve">ställa Medlingsinstitutet en kopia av kollektivavtal som träffats om löner och allmänna anställningsvillkor (47 § tredje stycket). </w:t>
      </w:r>
    </w:p>
    <w:p w:rsidR="00866CF7" w:rsidRPr="00000E4F" w:rsidRDefault="00866CF7">
      <w:pPr>
        <w:pStyle w:val="Normaltindrag"/>
      </w:pPr>
      <w:r w:rsidRPr="00000E4F">
        <w:t>Ett beslut av Medlingsinstitutet om vitesföreläggande mot en part att komma till överläggningar eller att tillställa institutet ett kollektivavtal skall inte kunna överklagas, men när talan förs vid Arbetsdomstolen om utdöma</w:t>
      </w:r>
      <w:r w:rsidRPr="00000E4F">
        <w:t>n</w:t>
      </w:r>
      <w:r w:rsidRPr="00000E4F">
        <w:t>de av vitet skall domstolen även kunna bedöma vitets lämplighet (52 § tredje och fjärde styckena resp. 53 § andra och tredje styckena).</w:t>
      </w:r>
    </w:p>
    <w:p w:rsidR="00866CF7" w:rsidRPr="00000E4F" w:rsidRDefault="00866CF7">
      <w:pPr>
        <w:pStyle w:val="Normaltindrag"/>
      </w:pPr>
      <w:r w:rsidRPr="00000E4F">
        <w:t>Utan att lägga fram några konkreta förslag om detta anser regeringen att Medlingsinstitutet därutöver bör</w:t>
      </w:r>
    </w:p>
    <w:p w:rsidR="00866CF7" w:rsidRPr="00000E4F" w:rsidRDefault="00866CF7">
      <w:pPr>
        <w:numPr>
          <w:ilvl w:val="0"/>
          <w:numId w:val="34"/>
        </w:numPr>
      </w:pPr>
      <w:r w:rsidRPr="00000E4F">
        <w:t>verka för att parterna upprättar tidsplaner för avtalsförhandlingar som syftar till att nya avtal sluts innan föregående avtalsperiod löper ut och att tidspl</w:t>
      </w:r>
      <w:r w:rsidRPr="00000E4F">
        <w:t>a</w:t>
      </w:r>
      <w:r w:rsidRPr="00000E4F">
        <w:t>nerna även kan samordnas när så är lämpligt</w:t>
      </w:r>
    </w:p>
    <w:p w:rsidR="00866CF7" w:rsidRPr="00000E4F" w:rsidRDefault="00866CF7">
      <w:pPr>
        <w:numPr>
          <w:ilvl w:val="0"/>
          <w:numId w:val="35"/>
        </w:numPr>
      </w:pPr>
      <w:r w:rsidRPr="00000E4F">
        <w:t>samråda med parterna om de samhällsekonomiska förutsättningarna för förhandlingarna samt</w:t>
      </w:r>
    </w:p>
    <w:p w:rsidR="00866CF7" w:rsidRPr="00000E4F" w:rsidRDefault="00866CF7">
      <w:pPr>
        <w:numPr>
          <w:ilvl w:val="0"/>
          <w:numId w:val="36"/>
        </w:numPr>
      </w:pPr>
      <w:r w:rsidRPr="00000E4F">
        <w:t>tillvarata och upprätthålla den breda samsyn som finns på arbetsmar</w:t>
      </w:r>
      <w:r w:rsidRPr="00000E4F">
        <w:t>k</w:t>
      </w:r>
      <w:r w:rsidRPr="00000E4F">
        <w:t>naden om den konkurrensutsatta sektorns lönenormerande roll och, när så är lämpligt, verka för giltighetsperioder för kollektivavtalen som b</w:t>
      </w:r>
      <w:r w:rsidRPr="00000E4F">
        <w:t>e</w:t>
      </w:r>
      <w:r w:rsidRPr="00000E4F">
        <w:t>främjar en väl fungerande lönebildning och att förhandlingarna inom internationellt konkurrensutsatta avtalsområden avslutas först om det förs parallella förhandlingar; dock måste Medlingsinstitutet i sin ver</w:t>
      </w:r>
      <w:r w:rsidRPr="00000E4F">
        <w:t>k</w:t>
      </w:r>
      <w:r w:rsidRPr="00000E4F">
        <w:t>samhet beakta andra sektorers behov av att uppnå balanserade l</w:t>
      </w:r>
      <w:r w:rsidRPr="00000E4F">
        <w:t>ö</w:t>
      </w:r>
      <w:r w:rsidRPr="00000E4F">
        <w:t>nestrukturer exempelvis i syfte att motverka rekryteringsproblem och lönedi</w:t>
      </w:r>
      <w:r w:rsidRPr="00000E4F">
        <w:t>s</w:t>
      </w:r>
      <w:r w:rsidRPr="00000E4F">
        <w:t>kriminering.</w:t>
      </w:r>
    </w:p>
    <w:p w:rsidR="00866CF7" w:rsidRPr="00000E4F" w:rsidRDefault="00866CF7">
      <w:r w:rsidRPr="00000E4F">
        <w:t>Genom att</w:t>
      </w:r>
      <w:r w:rsidRPr="00000E4F">
        <w:t xml:space="preserve"> tidsplaner för förhandlingarna och yrkanden läggs på bordet minskar osäkerheten om hur andra sektorer kommer att agera, vilket enligt regeringens bedömning bör underlätta för parterna att komma fram till ett avtal.  </w:t>
      </w:r>
    </w:p>
    <w:p w:rsidR="00866CF7" w:rsidRPr="00000E4F" w:rsidRDefault="00866CF7">
      <w:pPr>
        <w:pStyle w:val="Normaltindrag"/>
      </w:pPr>
      <w:r w:rsidRPr="00000E4F">
        <w:t>Samrådet med parterna innebär inte att Medlingsinstitutet skall verka för en samordning av avtalens materiella innehåll. Syftet är i stället att försöka skapa en samsyn om de samhällsekonomiska förutsättningarna för förhan</w:t>
      </w:r>
      <w:r w:rsidRPr="00000E4F">
        <w:t>d</w:t>
      </w:r>
      <w:r w:rsidRPr="00000E4F">
        <w:t>lingarna. Underlaget för diskussionerna är de rapporter om löneutveckling m.m. som regeringen anser att institutet bör publicera varje år. Tre expertråd bör inrättas med uppdrag i fråga om lönestatistik, samhällsekonomi resp. avtalsförhandlingar.</w:t>
      </w:r>
    </w:p>
    <w:p w:rsidR="00866CF7" w:rsidRPr="00000E4F" w:rsidRDefault="00866CF7">
      <w:pPr>
        <w:pStyle w:val="R3"/>
      </w:pPr>
      <w:r w:rsidRPr="00000E4F">
        <w:t>Motioner</w:t>
      </w:r>
    </w:p>
    <w:p w:rsidR="00866CF7" w:rsidRPr="00000E4F" w:rsidRDefault="00866CF7">
      <w:r w:rsidRPr="00000E4F">
        <w:rPr>
          <w:i/>
        </w:rPr>
        <w:t xml:space="preserve">Moderaterna </w:t>
      </w:r>
      <w:r w:rsidRPr="00000E4F">
        <w:t>yrkar i motion A6 avslag på förslaget om att inrätta en ny me</w:t>
      </w:r>
      <w:r w:rsidRPr="00000E4F">
        <w:t>d</w:t>
      </w:r>
      <w:r w:rsidRPr="00000E4F">
        <w:t>lingsmyndighet. Partiet ser en uppenbar risk för statlig inkomstpolitik i fö</w:t>
      </w:r>
      <w:r w:rsidRPr="00000E4F">
        <w:t>r</w:t>
      </w:r>
      <w:r w:rsidRPr="00000E4F">
        <w:t>slaget, som enligt motionen innebär att institutet tilldelas dubbla roller. Det föreslagna medlingsväsendet skulle motverka en fri och decentraliserad lönebildning och undergräva parternas tilltro till medlingsväsendet som just medlare (yrk. 11). Moderaterna vill i stället bevara Statens förlikningsma</w:t>
      </w:r>
      <w:r w:rsidRPr="00000E4F">
        <w:t>n</w:t>
      </w:r>
      <w:r w:rsidRPr="00000E4F">
        <w:t>naexpedition som föreslås byta namn till Medlingsinstitutet från den 1</w:t>
      </w:r>
      <w:r w:rsidRPr="00000E4F">
        <w:t xml:space="preserve"> juli i år (yrk. 12). Medlingsinstitutet skall inte tilldelas någon normbildande roll eller något övergripande ansvar för lönebil</w:t>
      </w:r>
      <w:r w:rsidRPr="00000E4F">
        <w:t>d</w:t>
      </w:r>
      <w:r w:rsidRPr="00000E4F">
        <w:t>ningen (yrk. 13 delvis).</w:t>
      </w:r>
    </w:p>
    <w:p w:rsidR="00866CF7" w:rsidRPr="00000E4F" w:rsidRDefault="00866CF7">
      <w:r w:rsidRPr="00000E4F">
        <w:rPr>
          <w:i/>
        </w:rPr>
        <w:t xml:space="preserve">Kristdemokraterna </w:t>
      </w:r>
      <w:r w:rsidRPr="00000E4F">
        <w:t>ställer sig i motion A8 i huvudsak bakom förslaget om ett medlingsinstitut. Inrättandet av ett institutet får dock inte leda till statlig inkomstpolitik. Parterna måste även fortsättningsvis ha huvudansvaret för lönebildningen. Det bör övervägas om inte institutet skulle kunna samverka med någon annan myndighet för att minska de administrativa kostnaderna (yrk. 2).</w:t>
      </w:r>
    </w:p>
    <w:p w:rsidR="00866CF7" w:rsidRPr="00000E4F" w:rsidRDefault="00866CF7">
      <w:r w:rsidRPr="00000E4F">
        <w:rPr>
          <w:i/>
        </w:rPr>
        <w:t>Centerpartiet</w:t>
      </w:r>
      <w:r w:rsidRPr="00000E4F">
        <w:t xml:space="preserve"> har ingen invändning mot att det inrättas ett medlingsinstitut men anser att ytterligare åtgärder behövs. </w:t>
      </w:r>
    </w:p>
    <w:p w:rsidR="00866CF7" w:rsidRPr="00000E4F" w:rsidRDefault="00866CF7">
      <w:pPr>
        <w:rPr>
          <w:i/>
          <w:sz w:val="28"/>
        </w:rPr>
      </w:pPr>
      <w:r w:rsidRPr="00000E4F">
        <w:rPr>
          <w:i/>
        </w:rPr>
        <w:t xml:space="preserve">Folkpartiet </w:t>
      </w:r>
      <w:r w:rsidRPr="00000E4F">
        <w:t>anser enligt sin motion A10 att det i och för sig är bra om me</w:t>
      </w:r>
      <w:r w:rsidRPr="00000E4F">
        <w:t>d</w:t>
      </w:r>
      <w:r w:rsidRPr="00000E4F">
        <w:t>lingsfrågorna ges större tyngd för att förbättra lönebildningen, men uppdr</w:t>
      </w:r>
      <w:r w:rsidRPr="00000E4F">
        <w:t>a</w:t>
      </w:r>
      <w:r w:rsidRPr="00000E4F">
        <w:t>get för Medlingsinstitutet är oklart. Regeringens förslag ger enligt vad som sägs i motionen intryck av att samtidigt innebära både en kraftfull åtgärd och ingen förändring alls. Risk finns enligt Folkpartiet att Medlingsinstitutets uppdrag tolkas som ett klartecken för statlig inkomstpolitik. Med hänvisning till att en väl fungerande lönebildning är viktig accepterar par</w:t>
      </w:r>
      <w:r w:rsidRPr="00000E4F">
        <w:t>tiet ett nytt medlingsinstitut. Verksamheten bör dock utvärderas efter nästa löneförhan</w:t>
      </w:r>
      <w:r w:rsidRPr="00000E4F">
        <w:t>d</w:t>
      </w:r>
      <w:r w:rsidRPr="00000E4F">
        <w:t>lingsomgång (yrk. 3). Folkpartiet har invändningar mot att institutet skall kunna använda sig av vitesmöjlighet för att kalla en part till överläggning för information om t.ex. tidsplaner för förhandlingarna (52 § första stycket). Parterna bör själva kunna lösa problemet med fördröjda förhandlingar. M</w:t>
      </w:r>
      <w:r w:rsidRPr="00000E4F">
        <w:t>o</w:t>
      </w:r>
      <w:r w:rsidRPr="00000E4F">
        <w:t>tionen efterlyser en klarare linje och ser det som en självklarhet att parterna frivilligt informerar myndigheten. Partie</w:t>
      </w:r>
      <w:r w:rsidRPr="00000E4F">
        <w:t>t invänder också mot vad som sägs i propositionen om giltighetsperioder för kollektivavtalen och tidsordningen för förhandlingar på olika avtalsområden. Detta kan enligt motionen i sig bära fröet till tvångsmässigt samordnade förhandlingar. Skall institutet alls kunna accepteras bör det inte ha någon möjlighet att tvångsmässigt samordna förhandlingarna (yrk. 4).</w:t>
      </w:r>
    </w:p>
    <w:p w:rsidR="00866CF7" w:rsidRPr="00000E4F" w:rsidRDefault="00866CF7">
      <w:pPr>
        <w:pStyle w:val="R3"/>
      </w:pPr>
      <w:r w:rsidRPr="00000E4F">
        <w:t>Utskottets ställningstagande</w:t>
      </w:r>
    </w:p>
    <w:p w:rsidR="00866CF7" w:rsidRPr="00000E4F" w:rsidRDefault="00866CF7">
      <w:r w:rsidRPr="00000E4F">
        <w:t xml:space="preserve">Utskottet kan konstatera att det endast är Moderaterna som yrkar avslag på propositionen i denna del. Kristdemokraterna, Centerpartiet och Folkpartiet accepterar förslaget, men med vissa förbehåll. </w:t>
      </w:r>
    </w:p>
    <w:p w:rsidR="00866CF7" w:rsidRPr="00000E4F" w:rsidRDefault="00866CF7">
      <w:pPr>
        <w:pStyle w:val="Normaltindrag"/>
      </w:pPr>
      <w:r w:rsidRPr="00000E4F">
        <w:t>Moderaternas huvudinvändning enligt motion A6 hänför sig till den u</w:t>
      </w:r>
      <w:r w:rsidRPr="00000E4F">
        <w:t>p</w:t>
      </w:r>
      <w:r w:rsidRPr="00000E4F">
        <w:t>penbara risk för statlig inkomstpolitik som de ser i ett Medlingsinstitut av den modell som regeringen föreslår. De anser som framgått att Statens fö</w:t>
      </w:r>
      <w:r w:rsidRPr="00000E4F">
        <w:t>r</w:t>
      </w:r>
      <w:r w:rsidRPr="00000E4F">
        <w:t>likningsmannaexpedition bör finnas kvar i sin nuvarande form men byta namn till Me</w:t>
      </w:r>
      <w:r w:rsidRPr="00000E4F">
        <w:t>d</w:t>
      </w:r>
      <w:r w:rsidRPr="00000E4F">
        <w:t xml:space="preserve">lingsinstitutet. </w:t>
      </w:r>
    </w:p>
    <w:p w:rsidR="00866CF7" w:rsidRPr="00000E4F" w:rsidRDefault="00866CF7">
      <w:pPr>
        <w:pStyle w:val="Normaltindrag"/>
      </w:pPr>
      <w:r w:rsidRPr="00000E4F">
        <w:t>Med anledning av att ett antal remissinstanser uttryckt liknande tankar har regeringen i propositionen betonat att förslaget om ett Medlingsinstitut inte kommer att innebära något ökat inslag av statlig inkomstpolitik. Utgång</w:t>
      </w:r>
      <w:r w:rsidRPr="00000E4F">
        <w:t>s</w:t>
      </w:r>
      <w:r w:rsidRPr="00000E4F">
        <w:t>punkten för förslagen som rör Medlingsinstitutet är den ovan beskrivna a</w:t>
      </w:r>
      <w:r w:rsidRPr="00000E4F">
        <w:t>n</w:t>
      </w:r>
      <w:r w:rsidRPr="00000E4F">
        <w:t>svarsfördelningen mellan parterna och staten. Det framhålls särskilt i prop</w:t>
      </w:r>
      <w:r w:rsidRPr="00000E4F">
        <w:t>o</w:t>
      </w:r>
      <w:r w:rsidRPr="00000E4F">
        <w:t>sitionen att Medlingsinstitutet inte skall ges uppgifter på områden som pa</w:t>
      </w:r>
      <w:r w:rsidRPr="00000E4F">
        <w:t>r</w:t>
      </w:r>
      <w:r w:rsidRPr="00000E4F">
        <w:t>terna har ansvar för. Även utskottet anser att detta bör understr</w:t>
      </w:r>
      <w:r w:rsidRPr="00000E4F">
        <w:t>y</w:t>
      </w:r>
      <w:r w:rsidRPr="00000E4F">
        <w:t xml:space="preserve">kas särskilt.   </w:t>
      </w:r>
    </w:p>
    <w:p w:rsidR="00866CF7" w:rsidRPr="00000E4F" w:rsidRDefault="00866CF7">
      <w:pPr>
        <w:pStyle w:val="Normaltindrag"/>
      </w:pPr>
      <w:r w:rsidRPr="00000E4F">
        <w:t>Som utskottet uppfattar Moderaternas motion handlar den mest om att partiet ser en risk för att institutet skulle motverka den fria och decentralis</w:t>
      </w:r>
      <w:r w:rsidRPr="00000E4F">
        <w:t>e</w:t>
      </w:r>
      <w:r w:rsidRPr="00000E4F">
        <w:t>rade lönebildning som partiet ser som önskvärd. Utskottet anser inte att det finns skäl att som Moderaterna göra en koppling mellan institutet och dess uppgifter och den nivå som kollektivavtalen träffas på. Tvärtom upprepar regeringen i flera sammanhang att det är parterna som avgör den fr</w:t>
      </w:r>
      <w:r w:rsidRPr="00000E4F">
        <w:t>å</w:t>
      </w:r>
      <w:r w:rsidRPr="00000E4F">
        <w:t xml:space="preserve">gan. </w:t>
      </w:r>
    </w:p>
    <w:p w:rsidR="00866CF7" w:rsidRPr="00000E4F" w:rsidRDefault="00866CF7">
      <w:pPr>
        <w:pStyle w:val="Normaltindrag"/>
      </w:pPr>
      <w:r w:rsidRPr="00000E4F">
        <w:t xml:space="preserve">Medlingsinstitutets uppgift är att verka för en väl fungerande lönebildning.  Institutet skall på olika sätt </w:t>
      </w:r>
      <w:r w:rsidRPr="00000E4F">
        <w:rPr>
          <w:i/>
        </w:rPr>
        <w:t xml:space="preserve">underlätta </w:t>
      </w:r>
      <w:r w:rsidRPr="00000E4F">
        <w:t>för parterna att ta samhällsekonomiska hänsyn, men inte självt gripa in i lönebildningen. I konsekvens med uppfat</w:t>
      </w:r>
      <w:r w:rsidRPr="00000E4F">
        <w:t>t</w:t>
      </w:r>
      <w:r w:rsidRPr="00000E4F">
        <w:t xml:space="preserve">ningen att parterna har det fulla ansvaret för relativlönerna läggs det därför inte fram något förslag om att institutet skall verka för en samordning av avtalens materiella innehåll. Det handlar i stället om att skapa öppenhet och att öka informationsutbytet mellan olika delar av arbetsmarknaden. Institutet tillhandahåller förbättrad information och fördjupade analyser och förser på </w:t>
      </w:r>
      <w:r w:rsidRPr="00000E4F">
        <w:t>det sättet parterna med ett bättre beslutsunderlag i deras förhandlingar. Inst</w:t>
      </w:r>
      <w:r w:rsidRPr="00000E4F">
        <w:t>i</w:t>
      </w:r>
      <w:r w:rsidRPr="00000E4F">
        <w:t xml:space="preserve">tutet skall samråda och föra diskussioner med parterna om förutsättningar och tänkbara utfall för att på så sätt förbättra dialogen och samspelet mellan olika avtalsområden. </w:t>
      </w:r>
    </w:p>
    <w:p w:rsidR="00866CF7" w:rsidRPr="00000E4F" w:rsidRDefault="00866CF7">
      <w:pPr>
        <w:pStyle w:val="Normaltindrag"/>
      </w:pPr>
      <w:r w:rsidRPr="00000E4F">
        <w:t>Moderaterna beskriver detta tidiga agerande som att Medlingsinstitutet skulle försöka ”ta ett grepp” om löneförhandlingarna. För utskottet är det mer korrekt att beskriva det så att institutet skall försöka få en överblick av arbetsmarknaden och därmed kunna</w:t>
      </w:r>
      <w:r w:rsidRPr="00000E4F">
        <w:t xml:space="preserve"> verka för ökad samsyn och effektivare förhandlingar så att onödiga konflikter undviks till följd av t.ex. bristande info</w:t>
      </w:r>
      <w:r w:rsidRPr="00000E4F">
        <w:t>r</w:t>
      </w:r>
      <w:r w:rsidRPr="00000E4F">
        <w:t xml:space="preserve">mation. </w:t>
      </w:r>
    </w:p>
    <w:p w:rsidR="00866CF7" w:rsidRPr="00000E4F" w:rsidRDefault="00866CF7">
      <w:pPr>
        <w:pStyle w:val="Normaltindrag"/>
      </w:pPr>
      <w:r w:rsidRPr="00000E4F">
        <w:t>Med den syn som utskottet har på Medlingsinstitutets uppgifter kan u</w:t>
      </w:r>
      <w:r w:rsidRPr="00000E4F">
        <w:t>t</w:t>
      </w:r>
      <w:r w:rsidRPr="00000E4F">
        <w:t>skottet inte dela Moderaternas farhågor att parternas tilltro till institutets uppgift som medlare skulle undergrävas. Utskottet vill hänvisa till vad som sägs i propositionen om medlingsuppgiftens karaktär av förtroendeuppdrag. En viktig grund för förtroendet är att medlaren är fristående och inte agerar på någon annans uppdrag. I konsekvens med detta föreslår regeringen att medlingsverksamheten huvudsakligen skall bedrivas av externa medlare. Det sägs också att institutet bör knyta till sig ett tillräckl</w:t>
      </w:r>
      <w:r w:rsidRPr="00000E4F">
        <w:t>ig stort antal personer som kan åta sig medlingsuppdrag så att parterna får möjlighet att välja me</w:t>
      </w:r>
      <w:r w:rsidRPr="00000E4F">
        <w:t>l</w:t>
      </w:r>
      <w:r w:rsidRPr="00000E4F">
        <w:t>lan olika medlare även under en anhopning av parallella konflikter. Det ligger i sakens natur att medlaren, i avsaknad av starka befogenheter, måste ha förmåga att komma med konstruktiva uppslag som kan bidra till en fra</w:t>
      </w:r>
      <w:r w:rsidRPr="00000E4F">
        <w:t>m</w:t>
      </w:r>
      <w:r w:rsidRPr="00000E4F">
        <w:t>gångsrik lösning av tvisten. Detta förutsätter båda parternas fö</w:t>
      </w:r>
      <w:r w:rsidRPr="00000E4F">
        <w:t>r</w:t>
      </w:r>
      <w:r w:rsidRPr="00000E4F">
        <w:t xml:space="preserve">troende.   </w:t>
      </w:r>
    </w:p>
    <w:p w:rsidR="00866CF7" w:rsidRPr="00000E4F" w:rsidRDefault="00866CF7">
      <w:pPr>
        <w:pStyle w:val="Normaltindrag"/>
      </w:pPr>
      <w:r w:rsidRPr="00000E4F">
        <w:t>Sammanfattningsvis finner utskottet att de argument som Moderaterna framför i motion A6 mot det föreslagna Medlings</w:t>
      </w:r>
      <w:r w:rsidRPr="00000E4F">
        <w:t>institutet inte har bärkraft. Följaktligen bör partiets yrkande om avslag på propositionen i denna del avslås av riksdagen. Detta innebär att även Moderaternas yrkande om ett alternativt medlingsinstitut med motsvarande uppgifter som den nuvarande Förlikningsmannaexpeditionen bör avslås (A6 yrk. 11–13, det senare delvis).</w:t>
      </w:r>
    </w:p>
    <w:p w:rsidR="00866CF7" w:rsidRPr="00000E4F" w:rsidRDefault="00866CF7">
      <w:pPr>
        <w:pStyle w:val="Normaltindrag"/>
      </w:pPr>
      <w:r w:rsidRPr="00000E4F">
        <w:t>Med anledning av vad Kristdemokraterna anfört om att inrättandet av ett medlingsinstitut inte får leda till statlig inkomstpolitik hänvisar utskottet till vad som sagts ovan. Det förtjänar</w:t>
      </w:r>
      <w:r w:rsidRPr="00000E4F">
        <w:t xml:space="preserve"> att upprepas att propositionen inte syftar till ett ökat inslag av statlig inkomstpolitik. De enskilda förslagen har avvägts så att de inte skall utgöra ingrepp i sådant som är parternas ansvar. Enligt utskottets mening innebär propositionen ett välkommet klargörande av rol</w:t>
      </w:r>
      <w:r w:rsidRPr="00000E4F">
        <w:t>l</w:t>
      </w:r>
      <w:r w:rsidRPr="00000E4F">
        <w:t>fördelningen mellan staten och parterna. När det gäller motionens synpunkter om samlokalisering m.m. vill utskottet hänvisa till att sådana frågor bör kunna överlämnas till regeringen eller till institutet självt att avgöra. Utsko</w:t>
      </w:r>
      <w:r w:rsidRPr="00000E4F">
        <w:t>t</w:t>
      </w:r>
      <w:r w:rsidRPr="00000E4F">
        <w:t>tet a</w:t>
      </w:r>
      <w:r w:rsidRPr="00000E4F">
        <w:t>vstyrker motion A8 (yrk. 2 delvis).</w:t>
      </w:r>
    </w:p>
    <w:p w:rsidR="00866CF7" w:rsidRPr="00000E4F" w:rsidRDefault="00866CF7">
      <w:pPr>
        <w:pStyle w:val="Normaltindrag"/>
      </w:pPr>
      <w:r w:rsidRPr="00000E4F">
        <w:t xml:space="preserve">Folkpartiet, som accepterar förslaget om ett medlingsinstitut men samtidigt uppfattar att uppdraget är oklart, invänder som framgått mot att institutet skall kunna använda </w:t>
      </w:r>
      <w:r w:rsidRPr="00000E4F">
        <w:rPr>
          <w:i/>
        </w:rPr>
        <w:t xml:space="preserve">vite </w:t>
      </w:r>
      <w:r w:rsidRPr="00000E4F">
        <w:t xml:space="preserve">för att kalla till </w:t>
      </w:r>
      <w:r w:rsidRPr="00000E4F">
        <w:rPr>
          <w:i/>
        </w:rPr>
        <w:t xml:space="preserve">överläggningar för information </w:t>
      </w:r>
      <w:r w:rsidRPr="00000E4F">
        <w:t>(52 § första stycket) och ser detta som ett exempel på bristande klarhet. Utskottet kan hålla med Folkpartiet om att det bör vara en självklarhet att parterna frivilligt informerar institutet eller hörsammar en kallelse från myndigheten. Utskottet utgår från att denna vitesmöjlighet bara skall behöva tillgripas i mycket speciella undantagsfall och kan därför inte som Folkpartiet se vite</w:t>
      </w:r>
      <w:r w:rsidRPr="00000E4F">
        <w:t>s</w:t>
      </w:r>
      <w:r w:rsidRPr="00000E4F">
        <w:t>möjligheten som att Medlingsinstitutet blandar sig i gällande avtal</w:t>
      </w:r>
      <w:r w:rsidRPr="00000E4F">
        <w:t xml:space="preserve"> om fö</w:t>
      </w:r>
      <w:r w:rsidRPr="00000E4F">
        <w:t>r</w:t>
      </w:r>
      <w:r w:rsidRPr="00000E4F">
        <w:t xml:space="preserve">handlingsordningar. Folkpartiet invänder också mot att institutet skulle ha möjlighet att </w:t>
      </w:r>
      <w:r w:rsidRPr="00000E4F">
        <w:rPr>
          <w:i/>
        </w:rPr>
        <w:t>tvångsmässigt samordna förhandlingarna.</w:t>
      </w:r>
      <w:r w:rsidRPr="00000E4F">
        <w:t xml:space="preserve"> Utskottet har ingen annan uppfattning i den frågan och kan konstatera att något sådant förslag inte läggs fram. Tvärtom sägs det i propositionen att en utifrån påtvingad samordning av avtalsperioderna inte är önskvärd. Liksom regeringen anser utskottet dock att det kan vara av värde att Medlingsinstitutet för diskussi</w:t>
      </w:r>
      <w:r w:rsidRPr="00000E4F">
        <w:t>o</w:t>
      </w:r>
      <w:r w:rsidRPr="00000E4F">
        <w:t>ner med parterna om hur de olika avtalens giltighetstid</w:t>
      </w:r>
      <w:r w:rsidRPr="00000E4F">
        <w:t>er och slutdatum bör utformas. Det är fråga om ett samråd som inte syftar till att alla förhandlingar skall föras parallellt eller att alla avtalsperioder skall vara lika långa eller löpa ut samma datum. Syftet med samrådet är i stället att åstadkomma ökad öppenhet och bättre överblick, så att onödiga konflikter inte behöver up</w:t>
      </w:r>
      <w:r w:rsidRPr="00000E4F">
        <w:t>p</w:t>
      </w:r>
      <w:r w:rsidRPr="00000E4F">
        <w:t>stå.</w:t>
      </w:r>
    </w:p>
    <w:p w:rsidR="00866CF7" w:rsidRPr="00000E4F" w:rsidRDefault="00866CF7">
      <w:pPr>
        <w:pStyle w:val="Normaltindrag"/>
      </w:pPr>
      <w:r w:rsidRPr="00000E4F">
        <w:t xml:space="preserve">Vad slutligen gäller Folkpartiets yrkande om en </w:t>
      </w:r>
      <w:r w:rsidRPr="00000E4F">
        <w:rPr>
          <w:i/>
        </w:rPr>
        <w:t>utvärdering av Me</w:t>
      </w:r>
      <w:r w:rsidRPr="00000E4F">
        <w:rPr>
          <w:i/>
        </w:rPr>
        <w:t>d</w:t>
      </w:r>
      <w:r w:rsidRPr="00000E4F">
        <w:rPr>
          <w:i/>
        </w:rPr>
        <w:t xml:space="preserve">lingsinstitutet </w:t>
      </w:r>
      <w:r w:rsidRPr="00000E4F">
        <w:t>efter nästa löneförhandlingsomgång kan utskottet konstatera att regeringen enligt vad som sägs i propositionen (s. 44) anser att en utvä</w:t>
      </w:r>
      <w:r w:rsidRPr="00000E4F">
        <w:t>r</w:t>
      </w:r>
      <w:r w:rsidRPr="00000E4F">
        <w:t>dering av verksamheten bör ske efter tre år. Utskottet instämmer i regerin</w:t>
      </w:r>
      <w:r w:rsidRPr="00000E4F">
        <w:t>g</w:t>
      </w:r>
      <w:r w:rsidRPr="00000E4F">
        <w:t>ens uppfattning att institutet bör ha stor frihet att verka inom de ramar som fastställts och självt välja sina arbetsformer. Att Medlingsinstitutet får pa</w:t>
      </w:r>
      <w:r w:rsidRPr="00000E4F">
        <w:t>r</w:t>
      </w:r>
      <w:r w:rsidRPr="00000E4F">
        <w:t>ternas förtroende är helt avgörande. Genom en utvärdering kan de praktiska erfarenheterna samlas ihop samtidig</w:t>
      </w:r>
      <w:r w:rsidRPr="00000E4F">
        <w:t xml:space="preserve">t som man kan få en bild av parternas syn på Medlingsinstitutets sätt att fullgöra sitt uppdrag i praktiken. Utskottet värdesätter därför att en utvärdering sker efter viss tid. Utskottet bedömer att en treårsperiod kan vara lagom, men anser inte att det finns skäl att nu binda sig exakt för när denna utvärdering skall ske. Motion A10 (yrk. 3 och 4) avstyrks i den mån den inte tillgodosetts med det anförda. </w:t>
      </w:r>
    </w:p>
    <w:p w:rsidR="00866CF7" w:rsidRPr="00000E4F" w:rsidRDefault="00866CF7">
      <w:pPr>
        <w:pStyle w:val="Rubrik1"/>
      </w:pPr>
      <w:bookmarkStart w:id="28" w:name="_Toc477140339"/>
      <w:r w:rsidRPr="00000E4F">
        <w:t>5 Regler vid avtalsförhandlingar och konflikt</w:t>
      </w:r>
      <w:bookmarkEnd w:id="28"/>
      <w:r w:rsidRPr="00000E4F">
        <w:t xml:space="preserve"> </w:t>
      </w:r>
    </w:p>
    <w:p w:rsidR="00866CF7" w:rsidRPr="00000E4F" w:rsidRDefault="00866CF7">
      <w:pPr>
        <w:pStyle w:val="Rubrik2"/>
        <w:spacing w:before="123"/>
      </w:pPr>
      <w:bookmarkStart w:id="29" w:name="_Toc477140340"/>
      <w:r w:rsidRPr="00000E4F">
        <w:t>5.1 Medling m.m.</w:t>
      </w:r>
      <w:bookmarkEnd w:id="29"/>
    </w:p>
    <w:p w:rsidR="00866CF7" w:rsidRPr="00000E4F" w:rsidRDefault="00866CF7">
      <w:pPr>
        <w:pStyle w:val="R3"/>
        <w:spacing w:before="123"/>
      </w:pPr>
      <w:r w:rsidRPr="00000E4F">
        <w:t xml:space="preserve">Propositionen </w:t>
      </w:r>
    </w:p>
    <w:p w:rsidR="00866CF7" w:rsidRPr="00000E4F" w:rsidRDefault="00866CF7">
      <w:pPr>
        <w:pStyle w:val="R4"/>
        <w:spacing w:before="123"/>
      </w:pPr>
      <w:r w:rsidRPr="00000E4F">
        <w:t>Förhandlingsledare eller medlare mellan parter som förhandlar</w:t>
      </w:r>
    </w:p>
    <w:p w:rsidR="00866CF7" w:rsidRPr="00000E4F" w:rsidRDefault="00866CF7">
      <w:r w:rsidRPr="00000E4F">
        <w:t>Efter samtycke från parter som förhandlar om kollektivavtal skall Me</w:t>
      </w:r>
      <w:r w:rsidRPr="00000E4F">
        <w:t>d</w:t>
      </w:r>
      <w:r w:rsidRPr="00000E4F">
        <w:t>lingsinstitutet kunna utse en eller flera förhandlingsledare eller medlare (47 a §). På det sättet skall institutet kunna bistå parterna effektivare i deras förhandlingsarbete. Institutet kan stimulera parterna att intensifiera förhan</w:t>
      </w:r>
      <w:r w:rsidRPr="00000E4F">
        <w:t>d</w:t>
      </w:r>
      <w:r w:rsidRPr="00000E4F">
        <w:t>lingarna i god tid innan avtalen löper ut, vilket minskar risken för konflikter. Enligt nuvarande regler skall förlikningsman utses först om stridsåtgärd hotar eller har påbörjats.</w:t>
      </w:r>
    </w:p>
    <w:p w:rsidR="00866CF7" w:rsidRPr="00000E4F" w:rsidRDefault="00866CF7">
      <w:pPr>
        <w:pStyle w:val="R4"/>
      </w:pPr>
      <w:r w:rsidRPr="00000E4F">
        <w:t>Tvångsmedling vid risk för stridsåtgärder</w:t>
      </w:r>
    </w:p>
    <w:p w:rsidR="00866CF7" w:rsidRPr="00000E4F" w:rsidRDefault="00866CF7">
      <w:r w:rsidRPr="00000E4F">
        <w:t xml:space="preserve">Om Medlingsinstitutet bedömer att det i en tvist finns risk för stridsåtgärder eller om sådana redan har påbörjats, får institutet utse en eller flera medlare även utan samtycke från parterna (47 b § första stycket). I propositionen framhålls att en stridsåtgärd i regel även berör tredje man. Samhället har därför en uppgift att bevaka följderna.  </w:t>
      </w:r>
    </w:p>
    <w:p w:rsidR="00866CF7" w:rsidRPr="00000E4F" w:rsidRDefault="00866CF7">
      <w:pPr>
        <w:pStyle w:val="R4"/>
      </w:pPr>
      <w:r w:rsidRPr="00000E4F">
        <w:t>Medlarens uppgifter</w:t>
      </w:r>
    </w:p>
    <w:p w:rsidR="00866CF7" w:rsidRPr="00000E4F" w:rsidRDefault="00866CF7">
      <w:r w:rsidRPr="00000E4F">
        <w:t>Medlaren skall försöka få till stånd en överenskommelse mellan parterna och skall för det ändamålet kalla parterna till förhandling eller vidta någon annan lämplig åtgärd. För att främja en god lösning av tvisten kan medlaren lägga fram egna förslag till överenskommelse. Medlaren skall också verka för att en part uppskjuter eller inställer en stridsåtgärd (48 §). Medlingsinstitutet kan på begäran av medlaren förelägga en part vid vite att fullgöra sin förhan</w:t>
      </w:r>
      <w:r w:rsidRPr="00000E4F">
        <w:t>d</w:t>
      </w:r>
      <w:r w:rsidRPr="00000E4F">
        <w:t>lingsskyldighet. Ett sådant beslut skall inte kunna överklagas. På talan av institutet kan Arbetsdomstolen döma ut vitet. Arbetsdomstolen kan då även pröva vitets lämplighet (52 §). I propositionen framhålls att de skärpta b</w:t>
      </w:r>
      <w:r w:rsidRPr="00000E4F">
        <w:t>e</w:t>
      </w:r>
      <w:r w:rsidRPr="00000E4F">
        <w:t>stämmelserna har ett pr</w:t>
      </w:r>
      <w:r w:rsidRPr="00000E4F">
        <w:t>e</w:t>
      </w:r>
      <w:r w:rsidRPr="00000E4F">
        <w:t>ventivt syfte.</w:t>
      </w:r>
    </w:p>
    <w:p w:rsidR="00866CF7" w:rsidRPr="00000E4F" w:rsidRDefault="00866CF7">
      <w:pPr>
        <w:pStyle w:val="R3"/>
      </w:pPr>
      <w:r w:rsidRPr="00000E4F">
        <w:t>Utskottets ställningstagande</w:t>
      </w:r>
    </w:p>
    <w:p w:rsidR="00866CF7" w:rsidRPr="00000E4F" w:rsidRDefault="00866CF7">
      <w:r w:rsidRPr="00000E4F">
        <w:t>Några motionsyrkanden har inte väckts med anledning av dessa delar av propositionen. Utskottet tillstyrker förslagen i sak och återkommer nedan till frågan om antagande av lagförslagen.</w:t>
      </w:r>
    </w:p>
    <w:p w:rsidR="00866CF7" w:rsidRPr="00000E4F" w:rsidRDefault="00866CF7">
      <w:pPr>
        <w:pStyle w:val="Rubrik2"/>
      </w:pPr>
      <w:bookmarkStart w:id="30" w:name="_Toc477140341"/>
      <w:r w:rsidRPr="00000E4F">
        <w:t>5.2 Särregler för parter med förhandlingsordning</w:t>
      </w:r>
      <w:bookmarkEnd w:id="30"/>
    </w:p>
    <w:p w:rsidR="00866CF7" w:rsidRPr="00000E4F" w:rsidRDefault="00866CF7">
      <w:pPr>
        <w:pStyle w:val="R3"/>
        <w:spacing w:before="123"/>
      </w:pPr>
      <w:r w:rsidRPr="00000E4F">
        <w:t>Propositionen</w:t>
      </w:r>
    </w:p>
    <w:p w:rsidR="00866CF7" w:rsidRPr="00000E4F" w:rsidRDefault="00866CF7">
      <w:r w:rsidRPr="00000E4F">
        <w:t>Regeln om tvångsmedling gäller inte för parter som är ense om att de är bundna av ett avtal om förhandlingsordning som innehåller tidsplaner för förhandlingar, tidsramar och regler för tillsättning av medlare, regler om medlarens befogenheter och regler om uppsägning av avtalet. Parter som är bundna av ett sådant avtal kan anmäla avtalet till Medlingsinstitutet för r</w:t>
      </w:r>
      <w:r w:rsidRPr="00000E4F">
        <w:t>e</w:t>
      </w:r>
      <w:r w:rsidRPr="00000E4F">
        <w:t xml:space="preserve">gistrering. När avtalet har registrerats får under dess giltighetstid medlare inte utses utan samtycke från parterna (47 b § tredje stycket). </w:t>
      </w:r>
    </w:p>
    <w:p w:rsidR="00866CF7" w:rsidRPr="00000E4F" w:rsidRDefault="00866CF7">
      <w:pPr>
        <w:pStyle w:val="R3"/>
      </w:pPr>
      <w:r w:rsidRPr="00000E4F">
        <w:t>Motion</w:t>
      </w:r>
    </w:p>
    <w:p w:rsidR="00866CF7" w:rsidRPr="00000E4F" w:rsidRDefault="00866CF7">
      <w:r w:rsidRPr="00000E4F">
        <w:rPr>
          <w:i/>
        </w:rPr>
        <w:t>Folkpartiet</w:t>
      </w:r>
      <w:r w:rsidRPr="00000E4F">
        <w:t>, som enligt sin motion A10 stöder förslagen om medling, tvångsmedling och vite vid förhandlingsvägran, motsätter sig inte heller undantaget från reglerna om tvångsmedling för parter med förhandlingsor</w:t>
      </w:r>
      <w:r w:rsidRPr="00000E4F">
        <w:t>d</w:t>
      </w:r>
      <w:r w:rsidRPr="00000E4F">
        <w:t>ning men ser undantaget som ett exempel på den politiska retoriken i försl</w:t>
      </w:r>
      <w:r w:rsidRPr="00000E4F">
        <w:t>a</w:t>
      </w:r>
      <w:r w:rsidRPr="00000E4F">
        <w:t xml:space="preserve">gen (yrk. 7). </w:t>
      </w:r>
    </w:p>
    <w:p w:rsidR="00866CF7" w:rsidRPr="00000E4F" w:rsidRDefault="00866CF7">
      <w:pPr>
        <w:pStyle w:val="R3"/>
      </w:pPr>
      <w:r w:rsidRPr="00000E4F">
        <w:t>Utskottets ställningstagande</w:t>
      </w:r>
    </w:p>
    <w:p w:rsidR="00866CF7" w:rsidRPr="00000E4F" w:rsidRDefault="00866CF7">
      <w:r w:rsidRPr="00000E4F">
        <w:t>Utskottet har svårt att följa Folkpartiets resonemang när de beskriver denna undantagsregel som en möjlighet att ”komma ur Medlingsinstitutets grepp genom att teckna avtal av Industriavtalets typ”. Propositionen bygger på grundinställningen att avtal är att föredra framför lagstiftning, en uppfattning som  utskottet delar. De förslag som läggs fram har inspirerats av det sama</w:t>
      </w:r>
      <w:r w:rsidRPr="00000E4F">
        <w:t>r</w:t>
      </w:r>
      <w:r w:rsidRPr="00000E4F">
        <w:t>betsavtal om industriell utveckling och lönebildning som träffats mellan ett stort antal organisationer på arbetsmarknaden. Utskottet anser det vara helt följdriktigt att parter som har träffat avtal av detta slag – en precisering om vad avtalet skall innehålla har gjorts i lagtexten och där innefattas bl.a. regler om medling och medlares befogenheter – inte bör underkastas tvångsme</w:t>
      </w:r>
      <w:r w:rsidRPr="00000E4F">
        <w:t>d</w:t>
      </w:r>
      <w:r w:rsidRPr="00000E4F">
        <w:t>ling. Något annat vore både ologiskt och opraktiskt. Utskottet avstyrker motion A10 (yrk. 7).</w:t>
      </w:r>
    </w:p>
    <w:p w:rsidR="00866CF7" w:rsidRPr="00000E4F" w:rsidRDefault="00866CF7">
      <w:pPr>
        <w:pStyle w:val="Rubrik2"/>
      </w:pPr>
      <w:bookmarkStart w:id="31" w:name="_Toc477140342"/>
      <w:r w:rsidRPr="00000E4F">
        <w:t>5.3 Förlängd varseltid</w:t>
      </w:r>
      <w:bookmarkEnd w:id="31"/>
    </w:p>
    <w:p w:rsidR="00866CF7" w:rsidRPr="00000E4F" w:rsidRDefault="00866CF7">
      <w:pPr>
        <w:pStyle w:val="R3"/>
        <w:spacing w:before="123"/>
      </w:pPr>
      <w:r w:rsidRPr="00000E4F">
        <w:t>Propositionen</w:t>
      </w:r>
    </w:p>
    <w:p w:rsidR="00866CF7" w:rsidRPr="00000E4F" w:rsidRDefault="00866CF7">
      <w:r w:rsidRPr="00000E4F">
        <w:t>Enligt nuvarande regler skall en part som avser att vidta en stridsåtgärd eller att utvidga den varsla motparten och Förlikningsmannaexpeditionen sju dagar i förväg. Regeringen föreslår att varseltiden förlängs till sju arbetsd</w:t>
      </w:r>
      <w:r w:rsidRPr="00000E4F">
        <w:t>a</w:t>
      </w:r>
      <w:r w:rsidRPr="00000E4F">
        <w:t>gar (45 §). Samma varseltid skall gälla för både primär- och sympatiåtgärder. Liksom för närvarande skall någon skyldighet att varsla inte gälla om det finns giltigt hinder och inte heller vid indrivningsblockader. Varselreglerna skall vara tvingande. Med en förlängd varseltid ökar förutsättningarna för en avtalslösning utan stridsåtgärder. Medlaren får längre tid att stämma av mö</w:t>
      </w:r>
      <w:r w:rsidRPr="00000E4F">
        <w:t>j</w:t>
      </w:r>
      <w:r w:rsidRPr="00000E4F">
        <w:t>ligheterna till en förhandlingslösning eller för att utarbeta förslag till avtal. Ett annat skäl för förslaget är att den som v</w:t>
      </w:r>
      <w:r w:rsidRPr="00000E4F">
        <w:t>arslet riktas mot får mer tid att förbereda sig för att minska skadever</w:t>
      </w:r>
      <w:r w:rsidRPr="00000E4F">
        <w:t>k</w:t>
      </w:r>
      <w:r w:rsidRPr="00000E4F">
        <w:t xml:space="preserve">ningarna av stridsåtgärden.  </w:t>
      </w:r>
    </w:p>
    <w:p w:rsidR="00866CF7" w:rsidRPr="00000E4F" w:rsidRDefault="00866CF7">
      <w:pPr>
        <w:pStyle w:val="R3"/>
      </w:pPr>
      <w:r w:rsidRPr="00000E4F">
        <w:t>Motion</w:t>
      </w:r>
    </w:p>
    <w:p w:rsidR="00866CF7" w:rsidRPr="00000E4F" w:rsidRDefault="00866CF7">
      <w:r w:rsidRPr="00000E4F">
        <w:rPr>
          <w:i/>
        </w:rPr>
        <w:t xml:space="preserve">Moderaterna </w:t>
      </w:r>
      <w:r w:rsidRPr="00000E4F">
        <w:t>anser enligt motion A6 att varseltiden bör utökas till 14 dagar med motiveringen att en förlängd varseltid skulle kunna kyla ner ett spänt förhandlingsläge och öka utrymmet för olika slag av konfliktlösande insatser (yrk. 15).</w:t>
      </w:r>
    </w:p>
    <w:p w:rsidR="00866CF7" w:rsidRPr="00000E4F" w:rsidRDefault="00866CF7">
      <w:pPr>
        <w:pStyle w:val="R3"/>
      </w:pPr>
      <w:r w:rsidRPr="00000E4F">
        <w:t xml:space="preserve">Utskottets ställningstagande </w:t>
      </w:r>
    </w:p>
    <w:p w:rsidR="00866CF7" w:rsidRPr="00000E4F" w:rsidRDefault="00866CF7">
      <w:r w:rsidRPr="00000E4F">
        <w:t>Utskottet kan konstatera att Moderaternas förslag överensstämmer med u</w:t>
      </w:r>
      <w:r w:rsidRPr="00000E4F">
        <w:t>t</w:t>
      </w:r>
      <w:r w:rsidRPr="00000E4F">
        <w:t>redningens. Utskottet utgår från att motionsyrkandet grundas på samma slag av överväganden som propositionen. Vid bedömningen av vad som är en lämplig tid för varsel bör man emellertid också ha i minnet att en alltför lång tid kan ha sina nackdelar. Det kan ta längre tid innan förhandlingar kommer i gång på allvar. Erfarenheten visar att uppgörelser nås först när varseltiden löper mot sitt slut. En för lång tid kan i sig leda till fler varsel och varsel ”för säkerhets skull”. Det kan också innebära ekonomi</w:t>
      </w:r>
      <w:r w:rsidRPr="00000E4F">
        <w:t>ska nackdelar för vissa slag av verksamheter, t.ex. om flygpassagerare bokar om till andra bolag. U</w:t>
      </w:r>
      <w:r w:rsidRPr="00000E4F">
        <w:t>t</w:t>
      </w:r>
      <w:r w:rsidRPr="00000E4F">
        <w:t xml:space="preserve">skottet anser att den avvägning som ligger bakom regeringens förslag har goda skäl för sig och avstyrker således förslaget om 14 dagars varseltid (yrk. 15). </w:t>
      </w:r>
    </w:p>
    <w:p w:rsidR="00866CF7" w:rsidRPr="00000E4F" w:rsidRDefault="00866CF7">
      <w:pPr>
        <w:pStyle w:val="Normaltindrag"/>
      </w:pPr>
      <w:r w:rsidRPr="00000E4F">
        <w:t xml:space="preserve">Utskottet återkommer till de konkreta lagförslagen nedan. </w:t>
      </w:r>
    </w:p>
    <w:p w:rsidR="00866CF7" w:rsidRPr="00000E4F" w:rsidRDefault="00866CF7">
      <w:pPr>
        <w:pStyle w:val="Normaltindrag"/>
      </w:pPr>
      <w:r w:rsidRPr="00000E4F">
        <w:t>Motion A6 (yrk. 15) avstyrks.</w:t>
      </w:r>
    </w:p>
    <w:p w:rsidR="00866CF7" w:rsidRPr="00000E4F" w:rsidRDefault="00866CF7">
      <w:pPr>
        <w:pStyle w:val="Rubrik2"/>
      </w:pPr>
      <w:bookmarkStart w:id="32" w:name="_Toc477140343"/>
      <w:r w:rsidRPr="00000E4F">
        <w:t>5.4 Varselavgift, uppskjutande av en varslad stridsåtgärd m.m.</w:t>
      </w:r>
      <w:bookmarkEnd w:id="32"/>
    </w:p>
    <w:p w:rsidR="00866CF7" w:rsidRPr="00000E4F" w:rsidRDefault="00866CF7">
      <w:pPr>
        <w:pStyle w:val="R3"/>
        <w:spacing w:before="123"/>
        <w:rPr>
          <w:sz w:val="28"/>
        </w:rPr>
      </w:pPr>
      <w:r w:rsidRPr="00000E4F">
        <w:t>Propositionen</w:t>
      </w:r>
    </w:p>
    <w:p w:rsidR="00866CF7" w:rsidRPr="00000E4F" w:rsidRDefault="00866CF7">
      <w:r w:rsidRPr="00000E4F">
        <w:t>Den som underlåter att varsla Medlingsinstitutet kan bli skyldig att betala en varselavgift till staten om lägst 30 000 kr och högst 100 000 kr. Om det finns särskilda skäl kan avgiften bestämmas till lägre belopp eller helt falla bort (62 a § första stycket). Varselavgift skall kunna utgå även då en part varslar men på ett otillräckligt sätt. De vidgade befogenheterna för Medlingsinstit</w:t>
      </w:r>
      <w:r w:rsidRPr="00000E4F">
        <w:t>u</w:t>
      </w:r>
      <w:r w:rsidRPr="00000E4F">
        <w:t>tet och medlarna gör det än viktigare än tidigare att varselskyldigheten efte</w:t>
      </w:r>
      <w:r w:rsidRPr="00000E4F">
        <w:t>r</w:t>
      </w:r>
      <w:r w:rsidRPr="00000E4F">
        <w:t xml:space="preserve">levs. </w:t>
      </w:r>
    </w:p>
    <w:p w:rsidR="00866CF7" w:rsidRPr="00000E4F" w:rsidRDefault="00866CF7">
      <w:pPr>
        <w:pStyle w:val="Normaltindrag"/>
      </w:pPr>
      <w:r w:rsidRPr="00000E4F">
        <w:t>Om det främjar en god lösning av tvisten får Medlingsinstitutet på medl</w:t>
      </w:r>
      <w:r w:rsidRPr="00000E4F">
        <w:t>a</w:t>
      </w:r>
      <w:r w:rsidRPr="00000E4F">
        <w:t>rens begäran meddela beslut om att en part skall skjuta upp varslade stridså</w:t>
      </w:r>
      <w:r w:rsidRPr="00000E4F">
        <w:t>t</w:t>
      </w:r>
      <w:r w:rsidRPr="00000E4F">
        <w:t>gärder under en sammanhängande tid av högst 14 dagar för varje stridsåtgärd eller utvidgning av en stridsåtgärd. Ett sådant beslut får meddelas endast en gång för varje medlingsuppdrag</w:t>
      </w:r>
      <w:r w:rsidRPr="00000E4F">
        <w:rPr>
          <w:b/>
        </w:rPr>
        <w:t xml:space="preserve"> </w:t>
      </w:r>
      <w:r w:rsidRPr="00000E4F">
        <w:t>(49 §). Motivet är att förhandlingsmöjligh</w:t>
      </w:r>
      <w:r w:rsidRPr="00000E4F">
        <w:t>e</w:t>
      </w:r>
      <w:r w:rsidRPr="00000E4F">
        <w:t>ter skall kunna uttömmas innan en stridsåtgärd bryter ut. Medlaren kan b</w:t>
      </w:r>
      <w:r w:rsidRPr="00000E4F">
        <w:t>e</w:t>
      </w:r>
      <w:r w:rsidRPr="00000E4F">
        <w:t>höva ytterligare tid utöver de sju arbetsdagar som skall utgöra den ordinarie varseltiden. I varje enskilt fall måste det göras en be</w:t>
      </w:r>
      <w:r w:rsidRPr="00000E4F">
        <w:t>dömning av om det är meningsfullt att skjuta upp stridsåtgärden.</w:t>
      </w:r>
      <w:r w:rsidRPr="00000E4F">
        <w:rPr>
          <w:b/>
        </w:rPr>
        <w:t xml:space="preserve"> </w:t>
      </w:r>
      <w:r w:rsidRPr="00000E4F">
        <w:t>Den som vidtar en stridsåtgärd i strid mot Medlingsinstitutets beslut om uppskjutande kan bli skyldig att betala en förhöjd varselavgift till staten om lägst 300 000 kr och högst 1 000 000 kr. Om det finns särskilda skäl kan avgiften bestämmas till lägre belopp eller helt falla bort (62 a § andra stycket). Sådan jämkning skall komma i fråga endast i rena undantagsfall. En stridsåtgärd som vidtas i strid med ett för</w:t>
      </w:r>
      <w:r w:rsidRPr="00000E4F">
        <w:t>e</w:t>
      </w:r>
      <w:r w:rsidRPr="00000E4F">
        <w:t>läggande om att skjuta upp s</w:t>
      </w:r>
      <w:r w:rsidRPr="00000E4F">
        <w:t xml:space="preserve">tridsåtgärden blir inte olovlig. </w:t>
      </w:r>
    </w:p>
    <w:p w:rsidR="00866CF7" w:rsidRPr="00000E4F" w:rsidRDefault="00866CF7">
      <w:pPr>
        <w:pStyle w:val="Normaltindrag"/>
      </w:pPr>
      <w:r w:rsidRPr="00000E4F">
        <w:t xml:space="preserve">Talan om utdömande av varselavgift eller förhöjd varselavgift förs av Medlingsinstitutet i tingsrätt. Avgörandet får överklagas till Arbetsdomstolen (63 § andra stycket). </w:t>
      </w:r>
    </w:p>
    <w:p w:rsidR="00866CF7" w:rsidRPr="00000E4F" w:rsidRDefault="00866CF7">
      <w:pPr>
        <w:pStyle w:val="R3"/>
      </w:pPr>
      <w:r w:rsidRPr="00000E4F">
        <w:t>Utskottets ställningstagande</w:t>
      </w:r>
    </w:p>
    <w:p w:rsidR="00866CF7" w:rsidRPr="00000E4F" w:rsidRDefault="00866CF7">
      <w:r w:rsidRPr="00000E4F">
        <w:t>Några motioner har inte väckts med anledning av dessa delar av propositi</w:t>
      </w:r>
      <w:r w:rsidRPr="00000E4F">
        <w:t>o</w:t>
      </w:r>
      <w:r w:rsidRPr="00000E4F">
        <w:t xml:space="preserve">nen. Utskottet tillstyrker förslagen och återkommer nedan till frågan om antagande av lagförslagen. </w:t>
      </w:r>
    </w:p>
    <w:p w:rsidR="00866CF7" w:rsidRPr="00000E4F" w:rsidRDefault="00866CF7">
      <w:pPr>
        <w:pStyle w:val="Rubrik2"/>
      </w:pPr>
      <w:bookmarkStart w:id="33" w:name="_Toc477140344"/>
      <w:r w:rsidRPr="00000E4F">
        <w:t>5.5 Verkan av uteblivet varsel</w:t>
      </w:r>
      <w:bookmarkEnd w:id="33"/>
      <w:r w:rsidRPr="00000E4F">
        <w:t xml:space="preserve"> </w:t>
      </w:r>
    </w:p>
    <w:p w:rsidR="00866CF7" w:rsidRPr="00000E4F" w:rsidRDefault="00866CF7">
      <w:pPr>
        <w:pStyle w:val="R3"/>
        <w:spacing w:before="123"/>
      </w:pPr>
      <w:r w:rsidRPr="00000E4F">
        <w:t>Propositionen</w:t>
      </w:r>
    </w:p>
    <w:p w:rsidR="00866CF7" w:rsidRPr="00000E4F" w:rsidRDefault="00866CF7">
      <w:r w:rsidRPr="00000E4F">
        <w:t>Reglerna om varsel är formföreskrifter. Någon ändring föreslås inte i detta hänseende. Inte heller föreslås någon rätt för Medlingsinstitutet att avbryta icke varslade stridsåtgärder.</w:t>
      </w:r>
    </w:p>
    <w:p w:rsidR="00866CF7" w:rsidRPr="00000E4F" w:rsidRDefault="00866CF7">
      <w:pPr>
        <w:pStyle w:val="R3"/>
      </w:pPr>
      <w:r w:rsidRPr="00000E4F">
        <w:t>Motion</w:t>
      </w:r>
    </w:p>
    <w:p w:rsidR="00866CF7" w:rsidRPr="00000E4F" w:rsidRDefault="00866CF7">
      <w:r w:rsidRPr="00000E4F">
        <w:rPr>
          <w:i/>
        </w:rPr>
        <w:t xml:space="preserve">Moderaterna </w:t>
      </w:r>
      <w:r w:rsidRPr="00000E4F">
        <w:t>anser enligt motion A6 att Medlingsinstitutet bör ges rätt att avbryta stridsåtgärder som inte har varslats på ett korrekt sätt (yrk. 16). Part</w:t>
      </w:r>
      <w:r w:rsidRPr="00000E4F">
        <w:t>i</w:t>
      </w:r>
      <w:r w:rsidRPr="00000E4F">
        <w:t>et anser också att medbestämmandelagen bör ändras så att brott mot varse</w:t>
      </w:r>
      <w:r w:rsidRPr="00000E4F">
        <w:t>l</w:t>
      </w:r>
      <w:r w:rsidRPr="00000E4F">
        <w:t xml:space="preserve">reglerna medför att själva konflikten blir olovlig. Därigenom kan skadestånd för ekonomisk skada utdömas till motparten (yrk. 17). </w:t>
      </w:r>
    </w:p>
    <w:p w:rsidR="00866CF7" w:rsidRPr="00000E4F" w:rsidRDefault="00866CF7">
      <w:pPr>
        <w:pStyle w:val="R3"/>
      </w:pPr>
      <w:r w:rsidRPr="00000E4F">
        <w:t>Utskottets ställningstagande</w:t>
      </w:r>
    </w:p>
    <w:p w:rsidR="00866CF7" w:rsidRPr="00000E4F" w:rsidRDefault="00866CF7">
      <w:r w:rsidRPr="00000E4F">
        <w:t>Enligt nuvarande lagregler är skyldigheten att varsla motparten om en stridsåtgärd en s.k. formföreskrift. Uteblivet varsel medför inte att en i och för sig tillåten stridsåtgärd skall anses som olovlig. Det grundar därigenom inte heller rätt till ersättning för den ekonomiska skada som tillfogas den andra parten genom stridsåtgärden. Däremot medför underlåtenheten att varsla en skyldighet att betala allmänt skadestånd till motparten. Utredningen hade föreslagit att Medlingsinstitutet skulle få rätt att av</w:t>
      </w:r>
      <w:r w:rsidRPr="00000E4F">
        <w:t xml:space="preserve">bryta icke varslade stridsåtgärder. En stridsåtgärd som vidtogs efter Medlingsinstitutets beslut skulle anses olovlig. </w:t>
      </w:r>
    </w:p>
    <w:p w:rsidR="00866CF7" w:rsidRPr="00000E4F" w:rsidRDefault="00866CF7">
      <w:pPr>
        <w:pStyle w:val="Normaltindrag"/>
      </w:pPr>
      <w:r w:rsidRPr="00000E4F">
        <w:t>Under remissbehandlingen restes det invändningar av rättsligt slag mot förslaget. Medlingsinstitutet skulle få göra bedömningar, enligt utredning</w:t>
      </w:r>
      <w:r w:rsidRPr="00000E4F">
        <w:t>s</w:t>
      </w:r>
      <w:r w:rsidRPr="00000E4F">
        <w:t>förslaget dessutom inte överklagbara, som normalt ankommer på domstol. Även om uppgiften skulle ha anförtrotts Arbetsdomstolen, som då skulle kunna förklara en icke varslad stridsåtgärd olovlig, skulle regeln enligt pr</w:t>
      </w:r>
      <w:r w:rsidRPr="00000E4F">
        <w:t>o</w:t>
      </w:r>
      <w:r w:rsidRPr="00000E4F">
        <w:t>positionen  innebära ett väsentligt ingrepp i n</w:t>
      </w:r>
      <w:r w:rsidRPr="00000E4F">
        <w:t>u</w:t>
      </w:r>
      <w:r w:rsidRPr="00000E4F">
        <w:t>varande bestämmelser.</w:t>
      </w:r>
    </w:p>
    <w:p w:rsidR="00866CF7" w:rsidRPr="00000E4F" w:rsidRDefault="00866CF7">
      <w:pPr>
        <w:pStyle w:val="Normaltindrag"/>
      </w:pPr>
      <w:r w:rsidRPr="00000E4F">
        <w:t>Utskottet kan liksom regeringen konstatera att utredningens förslag inte hade sin grund i uppfattningen att parterna skulle brista i respekt för varse</w:t>
      </w:r>
      <w:r w:rsidRPr="00000E4F">
        <w:t>l</w:t>
      </w:r>
      <w:r w:rsidRPr="00000E4F">
        <w:t>reglerna. Anledningen till förslaget var i stället att det inte skulle vara loc</w:t>
      </w:r>
      <w:r w:rsidRPr="00000E4F">
        <w:t>k</w:t>
      </w:r>
      <w:r w:rsidRPr="00000E4F">
        <w:t>ande för part att låta bli att varsla för att därmed undgå ett beslut från Me</w:t>
      </w:r>
      <w:r w:rsidRPr="00000E4F">
        <w:t>d</w:t>
      </w:r>
      <w:r w:rsidRPr="00000E4F">
        <w:t xml:space="preserve">lingsinstitutet om skyldighet att skjuta upp en varslad stridsåtgärd. Denna möjlighet för institutet är nämligen avsedd att gälla bara i förhållande till varslade konflikter. </w:t>
      </w:r>
    </w:p>
    <w:p w:rsidR="00866CF7" w:rsidRPr="00000E4F" w:rsidRDefault="00866CF7">
      <w:pPr>
        <w:pStyle w:val="Normaltindrag"/>
      </w:pPr>
      <w:r w:rsidRPr="00000E4F">
        <w:t>Utskottet ansluter sig till bedömningen att det inte finns anledning att ge  Medlingsinstitutet möjlighet att avbryta icke varslade konflikter. Vikten av att varselreglerna iakt</w:t>
      </w:r>
      <w:r w:rsidRPr="00000E4F">
        <w:t>tas betonas i stället genom den nya regeln om varsela</w:t>
      </w:r>
      <w:r w:rsidRPr="00000E4F">
        <w:t>v</w:t>
      </w:r>
      <w:r w:rsidRPr="00000E4F">
        <w:t xml:space="preserve">gift. </w:t>
      </w:r>
    </w:p>
    <w:p w:rsidR="00866CF7" w:rsidRPr="00000E4F" w:rsidRDefault="00866CF7">
      <w:pPr>
        <w:pStyle w:val="Normaltindrag"/>
      </w:pPr>
      <w:r w:rsidRPr="00000E4F">
        <w:t>I förhållande till motparten gäller medbestämmandelagens regler om sk</w:t>
      </w:r>
      <w:r w:rsidRPr="00000E4F">
        <w:t>a</w:t>
      </w:r>
      <w:r w:rsidRPr="00000E4F">
        <w:t>destånd. Utredningen avstod från att lägga fram förslag om att en annars lovlig konflikt skulle betraktas som olovlig enbart därför att den inte hade varslats eller varslats på felaktigt sätt. Skälet var bl.a. det skulle kunna leda till en väsentlig ökning av tvister om den formella proceduren för stridså</w:t>
      </w:r>
      <w:r w:rsidRPr="00000E4F">
        <w:t>t</w:t>
      </w:r>
      <w:r w:rsidRPr="00000E4F">
        <w:t>gärder. Enligt utskottets mening skulle även en regel av detta slag vara ett väsentligt ingrepp i konfliktreglerna. Utskottet anser att skadeståndsreglerna är en tillräcklig sanktion. Vid bedömning av ska</w:t>
      </w:r>
      <w:r w:rsidRPr="00000E4F">
        <w:t>deståndet beaktas hur allva</w:t>
      </w:r>
      <w:r w:rsidRPr="00000E4F">
        <w:t>r</w:t>
      </w:r>
      <w:r w:rsidRPr="00000E4F">
        <w:t>ligt åsidosättandet skall anses vara. Med det anförda avstyrks motion A6 (yrk. 16 och 17).</w:t>
      </w:r>
    </w:p>
    <w:p w:rsidR="00866CF7" w:rsidRPr="00000E4F" w:rsidRDefault="00866CF7">
      <w:pPr>
        <w:pStyle w:val="Rubrik2"/>
      </w:pPr>
      <w:bookmarkStart w:id="34" w:name="_Toc477140345"/>
      <w:r w:rsidRPr="00000E4F">
        <w:t>5.6 Skiljeförfarande och skiljenämnd, förlikningsman, förlikningskommission m.m.</w:t>
      </w:r>
      <w:bookmarkEnd w:id="34"/>
      <w:r w:rsidRPr="00000E4F">
        <w:t xml:space="preserve"> </w:t>
      </w:r>
    </w:p>
    <w:p w:rsidR="00866CF7" w:rsidRPr="00000E4F" w:rsidRDefault="00866CF7">
      <w:pPr>
        <w:pStyle w:val="R3"/>
        <w:spacing w:before="123"/>
      </w:pPr>
      <w:r w:rsidRPr="00000E4F">
        <w:t>Propositionen</w:t>
      </w:r>
    </w:p>
    <w:p w:rsidR="00866CF7" w:rsidRPr="00000E4F" w:rsidRDefault="00866CF7">
      <w:pPr>
        <w:rPr>
          <w:b/>
        </w:rPr>
      </w:pPr>
      <w:r w:rsidRPr="00000E4F">
        <w:t>En medlare skall, på samma sätt som i dag gäller för förlikningsman, kunna föreslå parterna att låta en tvist avgöras genom skiljeförfarande. Medlingsi</w:t>
      </w:r>
      <w:r w:rsidRPr="00000E4F">
        <w:t>n</w:t>
      </w:r>
      <w:r w:rsidRPr="00000E4F">
        <w:t>stitutet skall kunna medverka vid utseende av skiljemän. Om stridsåtgärder har påbörjats, skall Medlingsinstitutet kunna uppmana parterna att låta tvi</w:t>
      </w:r>
      <w:r w:rsidRPr="00000E4F">
        <w:t>s</w:t>
      </w:r>
      <w:r w:rsidRPr="00000E4F">
        <w:t>ten avgöras genom skiljeförfarande.</w:t>
      </w:r>
      <w:r w:rsidRPr="00000E4F">
        <w:rPr>
          <w:b/>
        </w:rPr>
        <w:t xml:space="preserve"> </w:t>
      </w:r>
      <w:r w:rsidRPr="00000E4F">
        <w:t>En medlare får inte åta sig skiljemann</w:t>
      </w:r>
      <w:r w:rsidRPr="00000E4F">
        <w:t>a</w:t>
      </w:r>
      <w:r w:rsidRPr="00000E4F">
        <w:t>uppdrag i en arbetstvist, om inte Medlingsinstitutet i särskilt fall medger det (51 §). Någon fast skiljenämnd knuten till Medlingsinstitutet föreslås inte. Inte heller läggs det fram något förslag om en särskild nämnd med uppgift att avg</w:t>
      </w:r>
      <w:r w:rsidRPr="00000E4F">
        <w:t>ö</w:t>
      </w:r>
      <w:r w:rsidRPr="00000E4F">
        <w:t>ra konflikters samhällsfarlighet.</w:t>
      </w:r>
    </w:p>
    <w:p w:rsidR="00866CF7" w:rsidRPr="00000E4F" w:rsidRDefault="00866CF7">
      <w:pPr>
        <w:pStyle w:val="Normaltindrag"/>
      </w:pPr>
      <w:r w:rsidRPr="00000E4F">
        <w:t>Den nuvarand</w:t>
      </w:r>
      <w:r w:rsidRPr="00000E4F">
        <w:t>e rätten för regeringen att utse förlikningsman eller förli</w:t>
      </w:r>
      <w:r w:rsidRPr="00000E4F">
        <w:t>k</w:t>
      </w:r>
      <w:r w:rsidRPr="00000E4F">
        <w:t>ningskommission upphävs.</w:t>
      </w:r>
    </w:p>
    <w:p w:rsidR="00866CF7" w:rsidRPr="00000E4F" w:rsidRDefault="00866CF7">
      <w:pPr>
        <w:pStyle w:val="R3"/>
      </w:pPr>
      <w:r w:rsidRPr="00000E4F">
        <w:t>Motion</w:t>
      </w:r>
    </w:p>
    <w:p w:rsidR="00866CF7" w:rsidRPr="00000E4F" w:rsidRDefault="00866CF7">
      <w:r w:rsidRPr="00000E4F">
        <w:rPr>
          <w:i/>
        </w:rPr>
        <w:t xml:space="preserve">Folkpartiet </w:t>
      </w:r>
      <w:r w:rsidRPr="00000E4F">
        <w:t>accepterar i motion A10 regeringens bedömning att en fast ski</w:t>
      </w:r>
      <w:r w:rsidRPr="00000E4F">
        <w:t>l</w:t>
      </w:r>
      <w:r w:rsidRPr="00000E4F">
        <w:t>jenämnd inte bör inrättas. I sammanhanget vill partiet dock lyfta fram frågan om en partssammansatt nämnd med opartisk ordförande för att avgöra ko</w:t>
      </w:r>
      <w:r w:rsidRPr="00000E4F">
        <w:t>n</w:t>
      </w:r>
      <w:r w:rsidRPr="00000E4F">
        <w:t>flikters samhällsfarlighet</w:t>
      </w:r>
      <w:r w:rsidRPr="00000E4F">
        <w:rPr>
          <w:i/>
        </w:rPr>
        <w:t xml:space="preserve">. – </w:t>
      </w:r>
      <w:r w:rsidRPr="00000E4F">
        <w:t xml:space="preserve">Utskottet återkommer till denna fråga i avsnittet Stridsåtgärders proportionalitet nedan. </w:t>
      </w:r>
    </w:p>
    <w:p w:rsidR="00866CF7" w:rsidRPr="00000E4F" w:rsidRDefault="00866CF7">
      <w:pPr>
        <w:pStyle w:val="R3"/>
      </w:pPr>
      <w:r w:rsidRPr="00000E4F">
        <w:t>Utskottets ställningstagande</w:t>
      </w:r>
    </w:p>
    <w:p w:rsidR="00866CF7" w:rsidRPr="00000E4F" w:rsidRDefault="00866CF7">
      <w:r w:rsidRPr="00000E4F">
        <w:t>Utöver det nyssnämnda förslaget från Folkpartiet har dessa delar av propos</w:t>
      </w:r>
      <w:r w:rsidRPr="00000E4F">
        <w:t>i</w:t>
      </w:r>
      <w:r w:rsidRPr="00000E4F">
        <w:t>tionen inte föranlett några motionsyrkanden.</w:t>
      </w:r>
    </w:p>
    <w:p w:rsidR="00866CF7" w:rsidRPr="00000E4F" w:rsidRDefault="00866CF7">
      <w:pPr>
        <w:pStyle w:val="Normaltindrag"/>
      </w:pPr>
      <w:r w:rsidRPr="00000E4F">
        <w:t xml:space="preserve">Utskottet tillstyrker propositionen i motsvarande delar och återkommer till frågan om antagande av lagförslagen nedan.  </w:t>
      </w:r>
    </w:p>
    <w:p w:rsidR="00866CF7" w:rsidRPr="00000E4F" w:rsidRDefault="00866CF7">
      <w:pPr>
        <w:pStyle w:val="Rubrik1"/>
      </w:pPr>
      <w:bookmarkStart w:id="35" w:name="_Toc477140346"/>
      <w:r w:rsidRPr="00000E4F">
        <w:t>6 Stridsåtgärder</w:t>
      </w:r>
      <w:bookmarkEnd w:id="35"/>
    </w:p>
    <w:p w:rsidR="00866CF7" w:rsidRPr="00000E4F" w:rsidRDefault="00866CF7">
      <w:pPr>
        <w:pStyle w:val="Rubrik2"/>
        <w:spacing w:before="123"/>
      </w:pPr>
      <w:bookmarkStart w:id="36" w:name="_Toc477140347"/>
      <w:r w:rsidRPr="00000E4F">
        <w:t>6.1 Stridsåtgärder mot enmans- och familjeföretag</w:t>
      </w:r>
      <w:bookmarkEnd w:id="36"/>
      <w:r w:rsidRPr="00000E4F">
        <w:t xml:space="preserve">  </w:t>
      </w:r>
    </w:p>
    <w:p w:rsidR="00866CF7" w:rsidRPr="00000E4F" w:rsidRDefault="00866CF7">
      <w:pPr>
        <w:pStyle w:val="R3"/>
        <w:spacing w:before="123"/>
      </w:pPr>
      <w:r w:rsidRPr="00000E4F">
        <w:t>Propositionen</w:t>
      </w:r>
    </w:p>
    <w:p w:rsidR="00866CF7" w:rsidRPr="00000E4F" w:rsidRDefault="00866CF7">
      <w:r w:rsidRPr="00000E4F">
        <w:t>Något förbud mot stridsåtgärder riktade mot enmans- och familjeföretag  föreslås inte, men regeringen säger sig följa utvecklingen noga och vara beredd att åte</w:t>
      </w:r>
      <w:r w:rsidRPr="00000E4F">
        <w:t>r</w:t>
      </w:r>
      <w:r w:rsidRPr="00000E4F">
        <w:t>komma om så krävs.</w:t>
      </w:r>
    </w:p>
    <w:p w:rsidR="00866CF7" w:rsidRPr="00000E4F" w:rsidRDefault="00866CF7">
      <w:pPr>
        <w:pStyle w:val="R3"/>
      </w:pPr>
      <w:r w:rsidRPr="00000E4F">
        <w:t>Motioner</w:t>
      </w:r>
    </w:p>
    <w:p w:rsidR="00866CF7" w:rsidRPr="00000E4F" w:rsidRDefault="00866CF7">
      <w:r w:rsidRPr="00000E4F">
        <w:t>Såväl Moderaterna, Kristdemokraterna, Centerpartiet, Folkpartiet som Mi</w:t>
      </w:r>
      <w:r w:rsidRPr="00000E4F">
        <w:t>l</w:t>
      </w:r>
      <w:r w:rsidRPr="00000E4F">
        <w:t>jöpartiet anser att stridsåtgärder mot enmans- och familjeföretag bör förbj</w:t>
      </w:r>
      <w:r w:rsidRPr="00000E4F">
        <w:t>u</w:t>
      </w:r>
      <w:r w:rsidRPr="00000E4F">
        <w:t>das. Likartade yrkanden finns även i motioner som väckts under den allmä</w:t>
      </w:r>
      <w:r w:rsidRPr="00000E4F">
        <w:t>n</w:t>
      </w:r>
      <w:r w:rsidRPr="00000E4F">
        <w:t xml:space="preserve">na motionstiden hösten 1999. </w:t>
      </w:r>
    </w:p>
    <w:p w:rsidR="00866CF7" w:rsidRPr="00000E4F" w:rsidRDefault="00866CF7">
      <w:pPr>
        <w:rPr>
          <w:b/>
        </w:rPr>
      </w:pPr>
      <w:r w:rsidRPr="00000E4F">
        <w:rPr>
          <w:i/>
        </w:rPr>
        <w:t xml:space="preserve">Moderaterna </w:t>
      </w:r>
      <w:r w:rsidRPr="00000E4F">
        <w:t>anser i motion A6 att ett förbud bör införas med ikraftträdande den 1 juli 2000 och lägger i enlighet med detta fram förslag om en ny par</w:t>
      </w:r>
      <w:r w:rsidRPr="00000E4F">
        <w:t>a</w:t>
      </w:r>
      <w:r w:rsidRPr="00000E4F">
        <w:t>graf, 41 b §, i medbestämmandelagen i överensstämmelse med den regel som gällde under 1994 (yrk. 9). Enligt Moderaterna kan en stridsåtgärd som syftar till att uppnå ett kollektivavtal som i praktiken inte kommer att reglera a</w:t>
      </w:r>
      <w:r w:rsidRPr="00000E4F">
        <w:t>r</w:t>
      </w:r>
      <w:r w:rsidRPr="00000E4F">
        <w:t>betsvillkoren för någon utanför företagarens egen familj inte fylla något rimligt fackligt syfte. Moderaterna pekar på att begränsningar av ko</w:t>
      </w:r>
      <w:r w:rsidRPr="00000E4F">
        <w:t>n</w:t>
      </w:r>
      <w:r w:rsidRPr="00000E4F">
        <w:t>flik</w:t>
      </w:r>
      <w:r w:rsidRPr="00000E4F">
        <w:t>trätten som innebär att stridsåtgärder av det här slaget försvåras eller omöjliggörs finns i andra nordiska länder. De hänvisar även till att utre</w:t>
      </w:r>
      <w:r w:rsidRPr="00000E4F">
        <w:t>d</w:t>
      </w:r>
      <w:r w:rsidRPr="00000E4F">
        <w:t>ningen om ett förstärkt förlikningsmannainstitut ansåg att förbudsregeln borde återinföras. 1994 års regel byggde på ett omsorgsfullt utredningsarb</w:t>
      </w:r>
      <w:r w:rsidRPr="00000E4F">
        <w:t>e</w:t>
      </w:r>
      <w:r w:rsidRPr="00000E4F">
        <w:t>te. Någon ytterligare beredning erfordras därför inte enligt Moderaterna</w:t>
      </w:r>
      <w:r w:rsidRPr="00000E4F">
        <w:rPr>
          <w:b/>
        </w:rPr>
        <w:t>.</w:t>
      </w:r>
    </w:p>
    <w:p w:rsidR="00866CF7" w:rsidRPr="00000E4F" w:rsidRDefault="00866CF7">
      <w:r w:rsidRPr="00000E4F">
        <w:t xml:space="preserve">I stort sett identiska lagförslag läggs fram av </w:t>
      </w:r>
      <w:r w:rsidRPr="00000E4F">
        <w:rPr>
          <w:i/>
        </w:rPr>
        <w:t xml:space="preserve">Kristdemokraterna </w:t>
      </w:r>
      <w:r w:rsidRPr="00000E4F">
        <w:rPr>
          <w:b/>
          <w:i/>
        </w:rPr>
        <w:t xml:space="preserve"> </w:t>
      </w:r>
      <w:r w:rsidRPr="00000E4F">
        <w:t xml:space="preserve">i motion A8 (yrk. 7) och av </w:t>
      </w:r>
      <w:r w:rsidRPr="00000E4F">
        <w:rPr>
          <w:i/>
        </w:rPr>
        <w:t xml:space="preserve">Folkpartiet </w:t>
      </w:r>
      <w:r w:rsidRPr="00000E4F">
        <w:t>i motion A10 (yrk. 9). Kristdemokraterna ser det som ett misstag av regeringen att inte lagstifta om detta. Folkpartiet hänvisar till utredningens bedömning att förbudet bör återinföras eftersom stridsåtgä</w:t>
      </w:r>
      <w:r w:rsidRPr="00000E4F">
        <w:t>r</w:t>
      </w:r>
      <w:r w:rsidRPr="00000E4F">
        <w:t>der faktiskt riktats mot enmans- och familjeföretag efter det att förbudet upphävdes.</w:t>
      </w:r>
    </w:p>
    <w:p w:rsidR="00866CF7" w:rsidRPr="00000E4F" w:rsidRDefault="00866CF7">
      <w:r w:rsidRPr="00000E4F">
        <w:rPr>
          <w:i/>
        </w:rPr>
        <w:t>Centerpartiet</w:t>
      </w:r>
      <w:r w:rsidRPr="00000E4F">
        <w:t>, i motion A9, motiverar sitt förslag om förbud med att det är angeläget att värna om möjligheten för enmans- och familjeföretagen utan anställda att faktiskt stå utanför kollektivavtal som saknar relevans för för</w:t>
      </w:r>
      <w:r w:rsidRPr="00000E4F">
        <w:t>e</w:t>
      </w:r>
      <w:r w:rsidRPr="00000E4F">
        <w:t>tagens verksamhet. Åtgärder riktade mot sådana företag fyller ingen annan funktion än att förskjuta maktförhållandena på arbetsmarknaden. Återko</w:t>
      </w:r>
      <w:r w:rsidRPr="00000E4F">
        <w:t>m</w:t>
      </w:r>
      <w:r w:rsidRPr="00000E4F">
        <w:t>mande stridsåtgärder mot dessa företag urholkar förtroendet för förhan</w:t>
      </w:r>
      <w:r w:rsidRPr="00000E4F">
        <w:t>d</w:t>
      </w:r>
      <w:r w:rsidRPr="00000E4F">
        <w:t xml:space="preserve">lingslösningar och fredlig samverkan på arbetsmarknaden. Ett förbud kan därför ha </w:t>
      </w:r>
      <w:r w:rsidRPr="00000E4F">
        <w:t>betydelse för arbetsmarknadens funktionssätt. Det av partiet för</w:t>
      </w:r>
      <w:r w:rsidRPr="00000E4F">
        <w:t>e</w:t>
      </w:r>
      <w:r w:rsidRPr="00000E4F">
        <w:t xml:space="preserve">slagna förbudet hindrar inte att stridsåtgärder träder i kraft så snart företaget nyanställer personal. Förutom förslag om en förbudsregel (yrk. 2) finns det i motionen förslag om en följdändring i lagen om rättegången i arbetstvister (yrk. 3) och om en regel som möjliggör avtal om längre gående fredsplikt (yrk. 4). </w:t>
      </w:r>
    </w:p>
    <w:p w:rsidR="00866CF7" w:rsidRPr="00000E4F" w:rsidRDefault="00866CF7">
      <w:r w:rsidRPr="00000E4F">
        <w:rPr>
          <w:i/>
        </w:rPr>
        <w:t xml:space="preserve">Miljöpartiet </w:t>
      </w:r>
      <w:r w:rsidRPr="00000E4F">
        <w:t>beklagar i sin kommittémotion A7 att regeringen inte följt u</w:t>
      </w:r>
      <w:r w:rsidRPr="00000E4F">
        <w:t>t</w:t>
      </w:r>
      <w:r w:rsidRPr="00000E4F">
        <w:t>redningens förslag om ett lagreglerat förbud. Miljöpartiet hade liksom reg</w:t>
      </w:r>
      <w:r w:rsidRPr="00000E4F">
        <w:t>e</w:t>
      </w:r>
      <w:r w:rsidRPr="00000E4F">
        <w:t>ringen i och för sig gärna sett att parterna själva löst frågan om ett blocka</w:t>
      </w:r>
      <w:r w:rsidRPr="00000E4F">
        <w:t>d</w:t>
      </w:r>
      <w:r w:rsidRPr="00000E4F">
        <w:t>förbud avtalsvägen, men eftersom tillräckliga initiativ inte tagits av parterna bör det förbud som gällde under 1994 återinföras. Efter en beskrivning av rättsläget kommer Miljöpartiet fram till att det inte är rimligt med stridså</w:t>
      </w:r>
      <w:r w:rsidRPr="00000E4F">
        <w:t>t</w:t>
      </w:r>
      <w:r w:rsidRPr="00000E4F">
        <w:t>gärder mot enmans- och familjeföretag med de omfattande skadeverkni</w:t>
      </w:r>
      <w:r w:rsidRPr="00000E4F">
        <w:t>ngar som åtgärderna kan medföra. Stridsåtgärder för att träffa avtal som i prakt</w:t>
      </w:r>
      <w:r w:rsidRPr="00000E4F">
        <w:t>i</w:t>
      </w:r>
      <w:r w:rsidRPr="00000E4F">
        <w:t>ken inte kommer att reglera villkoren för någon utanför företagarens familj fyller inget rimligt fackligt syfte. Miljöpartiet tillbakavisar argumentet att kollektivavtal behövs för det fall att någon skulle anställas i framtiden. Det intresset uppväger inte den skada och det intrång som stridsåtgärden utgör för ett företag som inte har några utomstående arbetstagare när åtgärden faktiskt vidtas. Mot det argumentet kan man enlig</w:t>
      </w:r>
      <w:r w:rsidRPr="00000E4F">
        <w:t>t motionen också invända att de fackliga organisationerna inom större delen av SAF/LO-området och inom hela tjänstesektorn avstår från sådana stridsåtgärder. Miljöpartiet pekar också på att de fackliga organisationerna har möjlighet att vidta stridsåtgä</w:t>
      </w:r>
      <w:r w:rsidRPr="00000E4F">
        <w:t>r</w:t>
      </w:r>
      <w:r w:rsidRPr="00000E4F">
        <w:t>der så snart någon utomstående anställts. Under det år som lagen innehöll ett sådant förbud framkom inte heller några problem med tillämpningen. I m</w:t>
      </w:r>
      <w:r w:rsidRPr="00000E4F">
        <w:t>o</w:t>
      </w:r>
      <w:r w:rsidRPr="00000E4F">
        <w:t>tionen hänvisas till förarbetsuttalandena till 1994 års förbudsregel. Partiet lägger fram ett lagförslag av m</w:t>
      </w:r>
      <w:r w:rsidRPr="00000E4F">
        <w:t xml:space="preserve">otsvarande lydelse med vissa redaktionella ändringar (yrk. 1) och ett förslag till följdändring i lagen om rättegången i arbetstvister (yrk. 2).   </w:t>
      </w:r>
    </w:p>
    <w:p w:rsidR="00866CF7" w:rsidRPr="00000E4F" w:rsidRDefault="00866CF7">
      <w:r w:rsidRPr="00000E4F">
        <w:t xml:space="preserve">Likartade motionsyrkanden finns i A231 yrk. 17 delvis (fp), A254 yrk. 28 (kd), A701 delvis (m), A706 (m, kd, c, fp), Fi211 yrk 8. delvis (c) och Sk692 yrk. 23 delvis (m). </w:t>
      </w:r>
    </w:p>
    <w:p w:rsidR="00866CF7" w:rsidRPr="00000E4F" w:rsidRDefault="00866CF7">
      <w:pPr>
        <w:pStyle w:val="R3"/>
      </w:pPr>
      <w:r w:rsidRPr="00000E4F">
        <w:t xml:space="preserve">Utskottets ställningstagande </w:t>
      </w:r>
    </w:p>
    <w:p w:rsidR="00866CF7" w:rsidRPr="00000E4F" w:rsidRDefault="00866CF7">
      <w:r w:rsidRPr="00000E4F">
        <w:t>Under år 1994 gällde en regel, 41 b §, i medbestämmandelagen som förbjöd stridsåtgärder som hade till ändamål att träffa kollektivavtal med ett företag utan några anställda eller där bara företagaren själv eller företagarens fami</w:t>
      </w:r>
      <w:r w:rsidRPr="00000E4F">
        <w:t>l</w:t>
      </w:r>
      <w:r w:rsidRPr="00000E4F">
        <w:t>jemedlemmar var arbetstagare och ensamma ägare. Förbudet avsåg även sympatiåtgärder riktade mot ett sådant företag. Efter regeringsskiftet hösten 1994 upphävdes regeln med verkan från den 1 januari 1995. Några problem med tillämpningen framkom inte under det år då förbudet var i kraft.</w:t>
      </w:r>
    </w:p>
    <w:p w:rsidR="00866CF7" w:rsidRPr="00000E4F" w:rsidRDefault="00866CF7">
      <w:pPr>
        <w:pStyle w:val="Normaltindrag"/>
      </w:pPr>
      <w:r w:rsidRPr="00000E4F">
        <w:t>Enligt utskottets mening är det inte rimligt att en arbetstagarorganisation skall få anordna stridsåtgärder mot ett företag när syftet är att uppnå ett ko</w:t>
      </w:r>
      <w:r w:rsidRPr="00000E4F">
        <w:t>l</w:t>
      </w:r>
      <w:r w:rsidRPr="00000E4F">
        <w:t>lektivavtal som i praktiken inte direkt kommer att reglera arbetsvillkoren för någon. Om åtgärden riktas mot ett familjeföretag skulle avtalet inte reglera arbetsvillkoren för någon utanför företagarens egen familj. Enligt utskottets mening måste familjeföretagaren ha rätt att utan inblandning bestämma vilka inbördes relationer och förhållanden som skall råda mellan de familjeme</w:t>
      </w:r>
      <w:r w:rsidRPr="00000E4F">
        <w:t>d</w:t>
      </w:r>
      <w:r w:rsidRPr="00000E4F">
        <w:t>lemmar som arbetar i företaget. Samma princip gäller för övrigt även i annan arbetsrättslig lagstiftning – t.ex. omfattar lagen o</w:t>
      </w:r>
      <w:r w:rsidRPr="00000E4F">
        <w:t>m anställningsskydd (LAS) inte arbetstagare som til</w:t>
      </w:r>
      <w:r w:rsidRPr="00000E4F">
        <w:t>l</w:t>
      </w:r>
      <w:r w:rsidRPr="00000E4F">
        <w:t>hör arbetsgivarens familj.</w:t>
      </w:r>
    </w:p>
    <w:p w:rsidR="00866CF7" w:rsidRPr="00000E4F" w:rsidRDefault="00866CF7">
      <w:pPr>
        <w:pStyle w:val="Normaltindrag"/>
      </w:pPr>
      <w:r w:rsidRPr="00000E4F">
        <w:t>Utgångspunkten är således att stridsåtgärder mot företag utan anställda, utöver familjemedlemmarna, inte fyller något rimligt fackligt syfte. Ett fö</w:t>
      </w:r>
      <w:r w:rsidRPr="00000E4F">
        <w:t>r</w:t>
      </w:r>
      <w:r w:rsidRPr="00000E4F">
        <w:t>bud kan enligt utskottets mening inte heller motiveras med att ett kollekt</w:t>
      </w:r>
      <w:r w:rsidRPr="00000E4F">
        <w:t>i</w:t>
      </w:r>
      <w:r w:rsidRPr="00000E4F">
        <w:t>v</w:t>
      </w:r>
      <w:r w:rsidRPr="00000E4F">
        <w:softHyphen/>
        <w:t>avtal behövs för det fall att företaget skulle anställa någon i framtiden. Mot det argumentet skulle man kunna invända att parterna inom större delar av SAF/LO-området och inom tjänstesektorn avstår från sådana stridsåtgärder. Intresset av att företaget har gällande kollektivavtal den dag det till äventyrs anställer någon kan inte uppväga den skada och det intrång som stridsåtgä</w:t>
      </w:r>
      <w:r w:rsidRPr="00000E4F">
        <w:t>r</w:t>
      </w:r>
      <w:r w:rsidRPr="00000E4F">
        <w:t>der utgör. En förbudsregel bör alltså utgå från de f</w:t>
      </w:r>
      <w:r w:rsidRPr="00000E4F">
        <w:t xml:space="preserve">aktiska förhållandena. Så snart någon utomstående anställs har de fackliga organisationerna möjlighet att vidta stridsåtgärder. </w:t>
      </w:r>
    </w:p>
    <w:p w:rsidR="00866CF7" w:rsidRPr="00000E4F" w:rsidRDefault="00866CF7">
      <w:pPr>
        <w:pStyle w:val="Normaltindrag"/>
      </w:pPr>
      <w:r w:rsidRPr="00000E4F">
        <w:t>Stridsåtgärder som vidtas mot enmans- eller familjeföretag skall anses som olovliga. Enligt utskottets mening bör man vid bedömningen av om stridså</w:t>
      </w:r>
      <w:r w:rsidRPr="00000E4F">
        <w:t>t</w:t>
      </w:r>
      <w:r w:rsidRPr="00000E4F">
        <w:t>gärden är olovlig inte beakta sådana förändringar i anställnings- eller äga</w:t>
      </w:r>
      <w:r w:rsidRPr="00000E4F">
        <w:t>r</w:t>
      </w:r>
      <w:r w:rsidRPr="00000E4F">
        <w:t>förhållandena som har inträ</w:t>
      </w:r>
      <w:r w:rsidRPr="00000E4F">
        <w:t>f</w:t>
      </w:r>
      <w:r w:rsidRPr="00000E4F">
        <w:t>fat sedan stridsåtgärden har varslats eller inletts.</w:t>
      </w:r>
    </w:p>
    <w:p w:rsidR="00866CF7" w:rsidRPr="00000E4F" w:rsidRDefault="00866CF7">
      <w:pPr>
        <w:pStyle w:val="Normaltindrag"/>
      </w:pPr>
      <w:r w:rsidRPr="00000E4F">
        <w:t>Utskottet anser att förbudsregeln bör utformas på motsvarande sätt och ha samma innebörd som 1994 års regel. Utskottet hänvisar därför till propos</w:t>
      </w:r>
      <w:r w:rsidRPr="00000E4F">
        <w:t>i</w:t>
      </w:r>
      <w:r w:rsidRPr="00000E4F">
        <w:t>tion 1993/94:67 och till utskottets betänkande 1993/94:AU4.</w:t>
      </w:r>
    </w:p>
    <w:p w:rsidR="00866CF7" w:rsidRPr="00000E4F" w:rsidRDefault="00866CF7">
      <w:pPr>
        <w:pStyle w:val="Normaltindrag"/>
      </w:pPr>
      <w:r w:rsidRPr="00000E4F">
        <w:t>Detta innebär att det bör införas en ny paragraf, 41 b §, i medbestämma</w:t>
      </w:r>
      <w:r w:rsidRPr="00000E4F">
        <w:t>n</w:t>
      </w:r>
      <w:r w:rsidRPr="00000E4F">
        <w:t>delagen i enlighet med den lydelse som framgår av bilaga 2 till detta betä</w:t>
      </w:r>
      <w:r w:rsidRPr="00000E4F">
        <w:t>n</w:t>
      </w:r>
      <w:r w:rsidRPr="00000E4F">
        <w:t>kande. På motsvarande sätt som i 1994 års lag bör det genom ett tillägg till 4 § medbestämmandelagen anges att det i kollektivavtal får föreskrivas län</w:t>
      </w:r>
      <w:r w:rsidRPr="00000E4F">
        <w:t>g</w:t>
      </w:r>
      <w:r w:rsidRPr="00000E4F">
        <w:t>re gående fredsplikt än vad 41 b § anger och längre gående skadestånd</w:t>
      </w:r>
      <w:r w:rsidRPr="00000E4F">
        <w:t>s</w:t>
      </w:r>
      <w:r w:rsidRPr="00000E4F">
        <w:t>ansvar än vad som följer av lagen.</w:t>
      </w:r>
    </w:p>
    <w:p w:rsidR="00866CF7" w:rsidRPr="00000E4F" w:rsidRDefault="00866CF7">
      <w:pPr>
        <w:pStyle w:val="Normaltindrag"/>
      </w:pPr>
      <w:r w:rsidRPr="00000E4F">
        <w:t>I enlighet med förslag i slutbetänkandet från utredningen om ett förstärkt förlikningsmannainstitut (SOU 1998:141) bör det också genom ett tillägg i 2 kap. 1 § lagen om rättegånge</w:t>
      </w:r>
      <w:r w:rsidRPr="00000E4F">
        <w:t>n i arbetstvister klargöras att Arbetsdomstolen alltid är behörig att som första domstol ta upp och avgöra en tvist om stridsåtgärd som avses i  41 b § medbestämmandelagen, vilket även föresl</w:t>
      </w:r>
      <w:r w:rsidRPr="00000E4F">
        <w:t>a</w:t>
      </w:r>
      <w:r w:rsidRPr="00000E4F">
        <w:t>gits i Centerpartiets och Miljöpartiets motioner.</w:t>
      </w:r>
    </w:p>
    <w:p w:rsidR="00866CF7" w:rsidRPr="00000E4F" w:rsidRDefault="00866CF7">
      <w:pPr>
        <w:pStyle w:val="Normaltindrag"/>
        <w:rPr>
          <w:sz w:val="28"/>
        </w:rPr>
      </w:pPr>
      <w:r w:rsidRPr="00000E4F">
        <w:t>De föreslagna lagändringarna bör enligt utskottets mening lämpligen träda i kraft samtidigt med de övriga ändringar i medbestämmandelagen som för</w:t>
      </w:r>
      <w:r w:rsidRPr="00000E4F">
        <w:t>e</w:t>
      </w:r>
      <w:r w:rsidRPr="00000E4F">
        <w:t>slås i detta betänkande, dvs. den 1 juni 2000.</w:t>
      </w:r>
    </w:p>
    <w:p w:rsidR="00866CF7" w:rsidRPr="00000E4F" w:rsidRDefault="00866CF7">
      <w:pPr>
        <w:pStyle w:val="Normaltindrag"/>
      </w:pPr>
      <w:r w:rsidRPr="00000E4F">
        <w:t>Det anförda innebär att utskottet tillstyrker motionerna A6 (yrk. 9), A7 (yrk. 1 och 2), A8 (yrk. 7), A9 (yrk. 2–4), A10 (yrk. 9), A231 (yrk. 17 de</w:t>
      </w:r>
      <w:r w:rsidRPr="00000E4F">
        <w:t>l</w:t>
      </w:r>
      <w:r w:rsidRPr="00000E4F">
        <w:t>vis), A254 (yrk. 28), A701 delvis, A706, Fi211 (yrk. 8 delvis) och Sk692 (yrk. 23 delvis).</w:t>
      </w:r>
    </w:p>
    <w:p w:rsidR="00866CF7" w:rsidRPr="00000E4F" w:rsidRDefault="00866CF7">
      <w:pPr>
        <w:pStyle w:val="Rubrik2"/>
      </w:pPr>
      <w:bookmarkStart w:id="37" w:name="_Toc477140348"/>
      <w:r w:rsidRPr="00000E4F">
        <w:t>6.2 Stridsåtgärders proportionalitet m.m.</w:t>
      </w:r>
      <w:bookmarkEnd w:id="37"/>
    </w:p>
    <w:p w:rsidR="00866CF7" w:rsidRPr="00000E4F" w:rsidRDefault="00866CF7">
      <w:pPr>
        <w:pStyle w:val="R3"/>
        <w:spacing w:before="123"/>
      </w:pPr>
      <w:r w:rsidRPr="00000E4F">
        <w:t>Propositionen</w:t>
      </w:r>
    </w:p>
    <w:p w:rsidR="00866CF7" w:rsidRPr="00000E4F" w:rsidRDefault="00866CF7">
      <w:r w:rsidRPr="00000E4F">
        <w:t>Lagstiftning om att stridsåtgärder skall vara propo</w:t>
      </w:r>
      <w:r w:rsidRPr="00000E4F">
        <w:t>r</w:t>
      </w:r>
      <w:r w:rsidRPr="00000E4F">
        <w:t>tionerliga föreslås inte.</w:t>
      </w:r>
    </w:p>
    <w:p w:rsidR="00866CF7" w:rsidRPr="00000E4F" w:rsidRDefault="00866CF7">
      <w:pPr>
        <w:pStyle w:val="R3"/>
        <w:spacing w:before="123"/>
      </w:pPr>
      <w:r w:rsidRPr="00000E4F">
        <w:t>Motioner</w:t>
      </w:r>
    </w:p>
    <w:p w:rsidR="00866CF7" w:rsidRPr="00000E4F" w:rsidRDefault="00866CF7">
      <w:r w:rsidRPr="00000E4F">
        <w:t>Såväl Moderaterna, Kristdemokraterna, Centerpartiet som Folkpartiet för</w:t>
      </w:r>
      <w:r w:rsidRPr="00000E4F">
        <w:t>e</w:t>
      </w:r>
      <w:r w:rsidRPr="00000E4F">
        <w:t>slår att det införs regler som avser stridsåtgärdernas proportionalitet. Stridsåtgärder som i olika avseenden inte står i rimlig proportion till t.ex. syftet eller effekten bör enligt dessa partier förbjudas genom en ny bestä</w:t>
      </w:r>
      <w:r w:rsidRPr="00000E4F">
        <w:t>m</w:t>
      </w:r>
      <w:r w:rsidRPr="00000E4F">
        <w:t>melse i medbestä</w:t>
      </w:r>
      <w:r w:rsidRPr="00000E4F">
        <w:t>m</w:t>
      </w:r>
      <w:r w:rsidRPr="00000E4F">
        <w:t>mandelagen.</w:t>
      </w:r>
    </w:p>
    <w:p w:rsidR="00866CF7" w:rsidRPr="00000E4F" w:rsidRDefault="00866CF7">
      <w:r w:rsidRPr="00000E4F">
        <w:rPr>
          <w:i/>
        </w:rPr>
        <w:t xml:space="preserve">Moderaterna </w:t>
      </w:r>
      <w:r w:rsidRPr="00000E4F">
        <w:t>anser enligt sin motion A6 att en proportionalitetsregel bör införas som inte bara avser förhållandet mellan stridsåtgärdens omfattning och den skada som drabbar motparten utan även förhållandet mellan åtgä</w:t>
      </w:r>
      <w:r w:rsidRPr="00000E4F">
        <w:t>r</w:t>
      </w:r>
      <w:r w:rsidRPr="00000E4F">
        <w:t>dens omfattning och det syfte som åtgärden har. Moderaterna hänvisar till utredningen, som ansåg att ett krav på proportionalitet skulle ge en rimligare balans mellan parterna på arbetsmarknaden. Reglerna skall enligt motionen omfatta såväl primära stridsåtgärder som svarsåtgärder från motparten. I det f</w:t>
      </w:r>
      <w:r w:rsidRPr="00000E4F">
        <w:t>örstnämnda fallet skulle regeln begränsa möjligheterna till s.k. nålstickså</w:t>
      </w:r>
      <w:r w:rsidRPr="00000E4F">
        <w:t>t</w:t>
      </w:r>
      <w:r w:rsidRPr="00000E4F">
        <w:t>gärder som lamslår motparten. I det senare fallet skulle möjligheten begrä</w:t>
      </w:r>
      <w:r w:rsidRPr="00000E4F">
        <w:t>n</w:t>
      </w:r>
      <w:r w:rsidRPr="00000E4F">
        <w:t>sas att vidta mycket omfattande stridsåtgärder för att uppnå endast begräns</w:t>
      </w:r>
      <w:r w:rsidRPr="00000E4F">
        <w:t>a</w:t>
      </w:r>
      <w:r w:rsidRPr="00000E4F">
        <w:t>de fördelar. Regeringen bör återkomma med ett förslag som läggs fram i sådan tid att regeln kan träda i kraft den 1 januari 2001 (yrk. 8).</w:t>
      </w:r>
    </w:p>
    <w:p w:rsidR="00866CF7" w:rsidRPr="00000E4F" w:rsidRDefault="00866CF7">
      <w:r w:rsidRPr="00000E4F">
        <w:rPr>
          <w:i/>
        </w:rPr>
        <w:t>Kristdemokraterna</w:t>
      </w:r>
      <w:r w:rsidRPr="00000E4F">
        <w:t xml:space="preserve"> pekar i sin motion A8 bl.a. på sådana åtgärder som kostar lite för den som vidtar stridsåtgärden men orsakar stora kostnader för mo</w:t>
      </w:r>
      <w:r w:rsidRPr="00000E4F">
        <w:t>t</w:t>
      </w:r>
      <w:r w:rsidRPr="00000E4F">
        <w:t>parten och tredje man, t.ex. när små nyckelgrupper tas ut i strejk. Ett propo</w:t>
      </w:r>
      <w:r w:rsidRPr="00000E4F">
        <w:t>r</w:t>
      </w:r>
      <w:r w:rsidRPr="00000E4F">
        <w:t>tionalitetskrav bör gälla även vid blockader och andra stridsåtgärder för att förmå företag att ansluta sig till ett redan gällande avtal. Proportionaliteten bör alltså bedömas med utgångspunkt i såväl åtgärden som den skada som vållas. Ett krav på proportionalitet i fråga om stridsåtgärder som rikta</w:t>
      </w:r>
      <w:r w:rsidRPr="00000E4F">
        <w:t xml:space="preserve">s mot oorganiserade företag skulle också innebära ett bättre skydd för den negativa föreningsrätten (yrk. 5). </w:t>
      </w:r>
    </w:p>
    <w:p w:rsidR="00866CF7" w:rsidRPr="00000E4F" w:rsidRDefault="00866CF7">
      <w:r w:rsidRPr="00000E4F">
        <w:rPr>
          <w:i/>
        </w:rPr>
        <w:t xml:space="preserve">Centerpartiet </w:t>
      </w:r>
      <w:r w:rsidRPr="00000E4F">
        <w:t>framhåller i motion A9 att stora obalanser kan bidra till uppg</w:t>
      </w:r>
      <w:r w:rsidRPr="00000E4F">
        <w:t>ö</w:t>
      </w:r>
      <w:r w:rsidRPr="00000E4F">
        <w:t>relser som annars inte skulle godtas. Alltfler arbetstagare har nyckelpositi</w:t>
      </w:r>
      <w:r w:rsidRPr="00000E4F">
        <w:t>o</w:t>
      </w:r>
      <w:r w:rsidRPr="00000E4F">
        <w:t>ner vilket gör det möjligt att genom ”nålsticksåtgärder” till begränsade kos</w:t>
      </w:r>
      <w:r w:rsidRPr="00000E4F">
        <w:t>t</w:t>
      </w:r>
      <w:r w:rsidRPr="00000E4F">
        <w:t>nader vidta stridsåtgärder som medför stor skada för arbetsgivaren eller tredje man, samtidigt som arbetsgivarna till följd av den hårdnande globala marknaden blir alltmer tveksamma till att själva tillgripa stridsåtgärder. Pa</w:t>
      </w:r>
      <w:r w:rsidRPr="00000E4F">
        <w:t>r</w:t>
      </w:r>
      <w:r w:rsidRPr="00000E4F">
        <w:t>tiet lägger fram lagförslag om en proportionalitetsregel som tar sik</w:t>
      </w:r>
      <w:r w:rsidRPr="00000E4F">
        <w:t>te på förhållandet mellan åtgärdens omfattning och skadan för motparten, svarså</w:t>
      </w:r>
      <w:r w:rsidRPr="00000E4F">
        <w:t>t</w:t>
      </w:r>
      <w:r w:rsidRPr="00000E4F">
        <w:t>gärdens omfattning och primäråtgärden resp. mellan sympatiåtgärdens skada och åtgärdens eller primäråtgärdens omfattning (yrk. 5) samt motsvarande följdändringar som i förslaget ovan om förbud mot stridsåtgärder mot e</w:t>
      </w:r>
      <w:r w:rsidRPr="00000E4F">
        <w:t>n</w:t>
      </w:r>
      <w:r w:rsidRPr="00000E4F">
        <w:t>mans- och familjeföretag (yrk. 6 och 7). Yrkande om en proportionalitetsr</w:t>
      </w:r>
      <w:r w:rsidRPr="00000E4F">
        <w:t>e</w:t>
      </w:r>
      <w:r w:rsidRPr="00000E4F">
        <w:t xml:space="preserve">gel framställs också i partimotionen F211 (yrk. 8 delvis). </w:t>
      </w:r>
    </w:p>
    <w:p w:rsidR="00866CF7" w:rsidRPr="00000E4F" w:rsidRDefault="00866CF7">
      <w:r w:rsidRPr="00000E4F">
        <w:rPr>
          <w:i/>
        </w:rPr>
        <w:t xml:space="preserve">Folkpartiet </w:t>
      </w:r>
      <w:r w:rsidRPr="00000E4F">
        <w:t>föreslår i motion A10 en proportionalitetsregel av motsvarande innehåll som den i Cente</w:t>
      </w:r>
      <w:r w:rsidRPr="00000E4F">
        <w:t>r</w:t>
      </w:r>
      <w:r w:rsidRPr="00000E4F">
        <w:t xml:space="preserve">partiets motion (yrk.10) . </w:t>
      </w:r>
    </w:p>
    <w:p w:rsidR="00866CF7" w:rsidRPr="00000E4F" w:rsidRDefault="00866CF7">
      <w:pPr>
        <w:pStyle w:val="R3"/>
      </w:pPr>
      <w:r w:rsidRPr="00000E4F">
        <w:t>Utskottets ställningstagande</w:t>
      </w:r>
    </w:p>
    <w:p w:rsidR="00866CF7" w:rsidRPr="00000E4F" w:rsidRDefault="00866CF7">
      <w:r w:rsidRPr="00000E4F">
        <w:t>Inledningsvis kan konstateras att utredningen, som framgått ovan, lade fram ett förslag om krav på stridsåtgärders proportionalitet. Förslaget tog sikte på tre olika situationer, nämligen när en stridsåtgärd</w:t>
      </w:r>
    </w:p>
    <w:p w:rsidR="00866CF7" w:rsidRPr="00000E4F" w:rsidRDefault="00866CF7">
      <w:pPr>
        <w:numPr>
          <w:ilvl w:val="0"/>
          <w:numId w:val="58"/>
        </w:numPr>
        <w:spacing w:before="120"/>
      </w:pPr>
      <w:r w:rsidRPr="00000E4F">
        <w:t>som är partiell eller på annat sätt begränsad kan förväntas leda till skada eller annan olägenhet, som står i uppenbart missförhållande till åtgärdens omfat</w:t>
      </w:r>
      <w:r w:rsidRPr="00000E4F">
        <w:t>t</w:t>
      </w:r>
      <w:r w:rsidRPr="00000E4F">
        <w:t xml:space="preserve">ning  </w:t>
      </w:r>
    </w:p>
    <w:p w:rsidR="00866CF7" w:rsidRPr="00000E4F" w:rsidRDefault="00866CF7">
      <w:pPr>
        <w:numPr>
          <w:ilvl w:val="0"/>
          <w:numId w:val="58"/>
        </w:numPr>
        <w:spacing w:before="120"/>
      </w:pPr>
      <w:r w:rsidRPr="00000E4F">
        <w:t>som har varslats som svar på en annan stridsåtgärd och som är väsentligt mer omfattande än vad som är rimligt med hänsyn till den åtgärd som har ors</w:t>
      </w:r>
      <w:r w:rsidRPr="00000E4F">
        <w:t>a</w:t>
      </w:r>
      <w:r w:rsidRPr="00000E4F">
        <w:t>kat svarsåtgärden</w:t>
      </w:r>
    </w:p>
    <w:p w:rsidR="00866CF7" w:rsidRPr="00000E4F" w:rsidRDefault="00866CF7">
      <w:pPr>
        <w:numPr>
          <w:ilvl w:val="0"/>
          <w:numId w:val="58"/>
        </w:numPr>
        <w:spacing w:before="120"/>
      </w:pPr>
      <w:r w:rsidRPr="00000E4F">
        <w:t>som har varslats som stöd för en part i dennes tvist om förnyande av ko</w:t>
      </w:r>
      <w:r w:rsidRPr="00000E4F">
        <w:t>l</w:t>
      </w:r>
      <w:r w:rsidRPr="00000E4F">
        <w:t>lektivavtal kan förväntas leda till skada eller olägenhet, som står i ett u</w:t>
      </w:r>
      <w:r w:rsidRPr="00000E4F">
        <w:t>p</w:t>
      </w:r>
      <w:r w:rsidRPr="00000E4F">
        <w:t>penbart missförhållande till åtgärdens eller primäråtgärdens omfat</w:t>
      </w:r>
      <w:r w:rsidRPr="00000E4F">
        <w:t>t</w:t>
      </w:r>
      <w:r w:rsidRPr="00000E4F">
        <w:t>ning.</w:t>
      </w:r>
    </w:p>
    <w:p w:rsidR="00866CF7" w:rsidRPr="00000E4F" w:rsidRDefault="00866CF7">
      <w:r w:rsidRPr="00000E4F">
        <w:t>En sådan stridsåtgärd skulle enligt utredningens förslag kunna förklaras olovlig av Arbetsdomstolen på yrkande av den part som åtgärden riktas mot. Förslaget skulle enligt utredningen skapa en rimligare balans mellan parte</w:t>
      </w:r>
      <w:r w:rsidRPr="00000E4F">
        <w:t>r</w:t>
      </w:r>
      <w:r w:rsidRPr="00000E4F">
        <w:t>na. Det skulle förhindra förhandlingstekniken att använda stridsåtgärder som inte kostar mycket för den egna konfliktfonden men som leder till negativa effekter för samhällsekonomin. Ett tredje skäl för utredningen var det faktum att flera europeiska länder har regler av liknande slag.</w:t>
      </w:r>
    </w:p>
    <w:p w:rsidR="00866CF7" w:rsidRPr="00000E4F" w:rsidRDefault="00866CF7">
      <w:pPr>
        <w:pStyle w:val="Normaltindrag"/>
      </w:pPr>
      <w:r w:rsidRPr="00000E4F">
        <w:t>Vid remissbehandlingen mötte förslaget invändningar av flera olika slag.  För att vara på den säkra sidan skulle en facklig organisation tvingas ta ut samtliga arbetstagare på avtalsområdet i total strejk. En proportionalite</w:t>
      </w:r>
      <w:r w:rsidRPr="00000E4F">
        <w:t>tsregel skulle därmed försvåra, fördyra och försena förhandlingsprocessen. Stor energi skulle behöva läggas ned på juridiska formalia och inte på den ba</w:t>
      </w:r>
      <w:r w:rsidRPr="00000E4F">
        <w:t>k</w:t>
      </w:r>
      <w:r w:rsidRPr="00000E4F">
        <w:t>omliggande tvisten. Tveksamhet skulle råda om förslagets förenlighet med Europarådets sociala stadga. Det skulle vara tveksamt att lägga på en do</w:t>
      </w:r>
      <w:r w:rsidRPr="00000E4F">
        <w:t>m</w:t>
      </w:r>
      <w:r w:rsidRPr="00000E4F">
        <w:t>stol att göra de lämplighetsprövningar som det skulle vara fråga om. Regle</w:t>
      </w:r>
      <w:r w:rsidRPr="00000E4F">
        <w:t>r</w:t>
      </w:r>
      <w:r w:rsidRPr="00000E4F">
        <w:t>na skulle bli svårtillämpade; t.ex. ansåg Arbetsdomstolen att regler av detta slag måste förses med vägledande uttalanden om tillämpningen</w:t>
      </w:r>
      <w:r w:rsidRPr="00000E4F">
        <w:t>.</w:t>
      </w:r>
    </w:p>
    <w:p w:rsidR="00866CF7" w:rsidRPr="00000E4F" w:rsidRDefault="00866CF7">
      <w:pPr>
        <w:pStyle w:val="Normaltindrag"/>
      </w:pPr>
      <w:r w:rsidRPr="00000E4F">
        <w:t>Det fanns också en rad remissinstanser som stödde förslaget, och det fanns de som ansåg att förslaget borde utvidgas.</w:t>
      </w:r>
    </w:p>
    <w:p w:rsidR="00866CF7" w:rsidRPr="00000E4F" w:rsidRDefault="00866CF7">
      <w:pPr>
        <w:pStyle w:val="Normaltindrag"/>
      </w:pPr>
      <w:r w:rsidRPr="00000E4F">
        <w:t>Utskottet anser med hänvisning inte minst till vad som framkommit vid remissbehandlingen att det finns starka skäl som talar mot proportionalitet</w:t>
      </w:r>
      <w:r w:rsidRPr="00000E4F">
        <w:t>s</w:t>
      </w:r>
      <w:r w:rsidRPr="00000E4F">
        <w:t>regler av det nu berörda slaget. Det bör samtidigt uppmärksammas att reg</w:t>
      </w:r>
      <w:r w:rsidRPr="00000E4F">
        <w:t>e</w:t>
      </w:r>
      <w:r w:rsidRPr="00000E4F">
        <w:t>ringen skall ge Medlingsinstitutet i uppdrag att i sina årliga rapporter redog</w:t>
      </w:r>
      <w:r w:rsidRPr="00000E4F">
        <w:t>ö</w:t>
      </w:r>
      <w:r w:rsidRPr="00000E4F">
        <w:t>ra för hur konflikter på arbetsmarknaden genomförts och vilka konsekvenser de fått. Utskottet noterar att regeringen har för avsikt att noga följa utvec</w:t>
      </w:r>
      <w:r w:rsidRPr="00000E4F">
        <w:t>k</w:t>
      </w:r>
      <w:r w:rsidRPr="00000E4F">
        <w:t xml:space="preserve">lingen på området.  </w:t>
      </w:r>
    </w:p>
    <w:p w:rsidR="00866CF7" w:rsidRPr="00000E4F" w:rsidRDefault="00866CF7">
      <w:pPr>
        <w:pStyle w:val="Normaltindrag"/>
      </w:pPr>
      <w:r w:rsidRPr="00000E4F">
        <w:t xml:space="preserve">Med det anförda avstyrks motionerna A6 (yrk. 8), A8 (yrk. 5), A9 (yrk. 5–7), A10 (yrk. 10) och Fi211 (yrk. 8 delvis). </w:t>
      </w:r>
    </w:p>
    <w:p w:rsidR="00866CF7" w:rsidRPr="00000E4F" w:rsidRDefault="00866CF7">
      <w:pPr>
        <w:pStyle w:val="Normaltindrag"/>
      </w:pPr>
      <w:r w:rsidRPr="00000E4F">
        <w:t>Utskottet tar i detta sammanhang även upp Folkpartiets förslag i motion A10 (yrk. 8) om en partssammansatt nämnd för att avgöra konflikters sa</w:t>
      </w:r>
      <w:r w:rsidRPr="00000E4F">
        <w:t>m</w:t>
      </w:r>
      <w:r w:rsidRPr="00000E4F">
        <w:t>hällsfarlighet. Partiet hänvisar till rapporten Spelreglerna på arbetsmarkn</w:t>
      </w:r>
      <w:r w:rsidRPr="00000E4F">
        <w:t>a</w:t>
      </w:r>
      <w:r w:rsidRPr="00000E4F">
        <w:t>den (SOU 1991:13) från den s.k. Löneförhandlingsutredningen. Denna u</w:t>
      </w:r>
      <w:r w:rsidRPr="00000E4F">
        <w:t>t</w:t>
      </w:r>
      <w:r w:rsidRPr="00000E4F">
        <w:t>redning lade fram ett förslag om att en sådan nämnd skulle inrättas för hela arbetsmarknaden. Nämnden skulle på en parts begäran kunna pröva om en konflikt var samhällsfarlig. Om nämnden skulle finna att så var fallet skulle nämnden uppmana den varslande parten att återkalla varslet eller att upphöra med stridså</w:t>
      </w:r>
      <w:r w:rsidRPr="00000E4F">
        <w:t>t</w:t>
      </w:r>
      <w:r w:rsidRPr="00000E4F">
        <w:t xml:space="preserve">gärden. </w:t>
      </w:r>
    </w:p>
    <w:p w:rsidR="00866CF7" w:rsidRPr="00000E4F" w:rsidRDefault="00866CF7">
      <w:pPr>
        <w:pStyle w:val="Normaltindrag"/>
      </w:pPr>
      <w:r w:rsidRPr="00000E4F">
        <w:t xml:space="preserve">Frågan berördes även av Utredningen om ett </w:t>
      </w:r>
      <w:r w:rsidRPr="00000E4F">
        <w:t>förstärkt förlikningsmannai</w:t>
      </w:r>
      <w:r w:rsidRPr="00000E4F">
        <w:t>n</w:t>
      </w:r>
      <w:r w:rsidRPr="00000E4F">
        <w:t>stitut som konstaterade att det kan finnas ett intresse bland parterna att inrätta egna nämnder för att bedöma vilka stridsåtgärder som bör förekomma. Pa</w:t>
      </w:r>
      <w:r w:rsidRPr="00000E4F">
        <w:t>r</w:t>
      </w:r>
      <w:r w:rsidRPr="00000E4F">
        <w:t>terna i kollektivavtalet kan ge nämnden i uppdrag att fatta tvingande beslut. Det finns därmed möjlighet att anpassa prövningen till de förutsättningar och traditioner som gäller för den egna branschen. Som konstateras av utrednin</w:t>
      </w:r>
      <w:r w:rsidRPr="00000E4F">
        <w:t>g</w:t>
      </w:r>
      <w:r w:rsidRPr="00000E4F">
        <w:t>en finns sådana avtal i viss utsträckning redan i dag. Utskottet finner inte skäl att åter ta upp f</w:t>
      </w:r>
      <w:r w:rsidRPr="00000E4F">
        <w:t xml:space="preserve">rågan om en sådan nämnd och avstyrker följaktligen motion A10 (yrk. 8). </w:t>
      </w:r>
    </w:p>
    <w:p w:rsidR="00866CF7" w:rsidRPr="00000E4F" w:rsidRDefault="00866CF7">
      <w:pPr>
        <w:pStyle w:val="Rubrik2"/>
      </w:pPr>
      <w:bookmarkStart w:id="38" w:name="_Toc477140349"/>
      <w:r w:rsidRPr="00000E4F">
        <w:t>6.3 Sympatiåtgärder</w:t>
      </w:r>
      <w:bookmarkEnd w:id="38"/>
    </w:p>
    <w:p w:rsidR="00866CF7" w:rsidRPr="00000E4F" w:rsidRDefault="00866CF7">
      <w:pPr>
        <w:pStyle w:val="R3"/>
        <w:spacing w:before="123"/>
      </w:pPr>
      <w:r w:rsidRPr="00000E4F">
        <w:t>Propositionen</w:t>
      </w:r>
    </w:p>
    <w:p w:rsidR="00866CF7" w:rsidRPr="00000E4F" w:rsidRDefault="00866CF7">
      <w:r w:rsidRPr="00000E4F">
        <w:t>Frågan om ett förbud mot sympatiåtgärder berörs inte särskilt i propositi</w:t>
      </w:r>
      <w:r w:rsidRPr="00000E4F">
        <w:t>o</w:t>
      </w:r>
      <w:r w:rsidRPr="00000E4F">
        <w:t xml:space="preserve">nen. </w:t>
      </w:r>
    </w:p>
    <w:p w:rsidR="00866CF7" w:rsidRPr="00000E4F" w:rsidRDefault="00866CF7">
      <w:pPr>
        <w:pStyle w:val="R3"/>
      </w:pPr>
      <w:r w:rsidRPr="00000E4F">
        <w:t>Motioner</w:t>
      </w:r>
    </w:p>
    <w:p w:rsidR="00866CF7" w:rsidRPr="00000E4F" w:rsidRDefault="00866CF7">
      <w:r w:rsidRPr="00000E4F">
        <w:rPr>
          <w:i/>
        </w:rPr>
        <w:t>Moderaterna</w:t>
      </w:r>
      <w:r w:rsidRPr="00000E4F">
        <w:t xml:space="preserve"> ser i motion A6 sympatiåtgärderna som ytterligare ett exempel på att balansen förändrats mellan parterna. Företagen anser i regel att en lockout kostar dem för mycket. Det är därmed inte längre något verksamt konfliktmedel för arbetsgivarsidan. Det är svårt att motivera en rätt till sy</w:t>
      </w:r>
      <w:r w:rsidRPr="00000E4F">
        <w:t>m</w:t>
      </w:r>
      <w:r w:rsidRPr="00000E4F">
        <w:t>patiåtgärder eftersom det inte behöver föreligga ens den minsta intresseg</w:t>
      </w:r>
      <w:r w:rsidRPr="00000E4F">
        <w:t>e</w:t>
      </w:r>
      <w:r w:rsidRPr="00000E4F">
        <w:t>menskap mellan den part som vidtar sympatiåtgärden och parten i primä</w:t>
      </w:r>
      <w:r w:rsidRPr="00000E4F">
        <w:t>r</w:t>
      </w:r>
      <w:r w:rsidRPr="00000E4F">
        <w:t xml:space="preserve">konflikten. Vid sympatiåtgärder har de stridande parterna träffat avtal, och då </w:t>
      </w:r>
      <w:r w:rsidRPr="00000E4F">
        <w:t>bör dessa också hållas. Det är inte rimligt att en utanförstående part, som kanske har träffat kollektivavtal efter stridsåtgärder i de egna förhandlinga</w:t>
      </w:r>
      <w:r w:rsidRPr="00000E4F">
        <w:t>r</w:t>
      </w:r>
      <w:r w:rsidRPr="00000E4F">
        <w:t>na, sedan helt oförskyllt skall drabbas av sympatiåtgärder på grund av en intressekonflikt vid ett helt annat företag. Regeringen bör återkomma med ett förslag om förbud mot sympatiåtgärder i sådan tid att lagändringen kan träda i kraft den 1 januari 2001 (yrk. 10). – Yrkanden om förbud mot sympatiå</w:t>
      </w:r>
      <w:r w:rsidRPr="00000E4F">
        <w:t>t</w:t>
      </w:r>
      <w:r w:rsidRPr="00000E4F">
        <w:t>gärder framställs även i Moderaternas partimotion Sk692 (</w:t>
      </w:r>
      <w:r w:rsidRPr="00000E4F">
        <w:t xml:space="preserve">yrk. 23 delvis) och i motion A701 (delvis) av Karin Falkmer och Tomas Högström (båda m).  </w:t>
      </w:r>
    </w:p>
    <w:p w:rsidR="00866CF7" w:rsidRPr="00000E4F" w:rsidRDefault="00866CF7">
      <w:r w:rsidRPr="00000E4F">
        <w:rPr>
          <w:i/>
        </w:rPr>
        <w:t xml:space="preserve">Kristdemokraterna </w:t>
      </w:r>
      <w:r w:rsidRPr="00000E4F">
        <w:t>anser inte heller, enligt sin motion A8, att sympatiåtgä</w:t>
      </w:r>
      <w:r w:rsidRPr="00000E4F">
        <w:t>r</w:t>
      </w:r>
      <w:r w:rsidRPr="00000E4F">
        <w:t>der bör tillåtas som instrument vid konflikter. Vid en primärkonflikt finns inget avtal mellan parterna, vilket är anledningen till att parterna kan tvinga fram ett avtal genom stridsåtgärder. Vid sympatiåtgärder däremot är de str</w:t>
      </w:r>
      <w:r w:rsidRPr="00000E4F">
        <w:t>i</w:t>
      </w:r>
      <w:r w:rsidRPr="00000E4F">
        <w:t xml:space="preserve">dande parterna bundna av avtal. Avtalsbundna parter bör rimligen hålla sina avtal. Partiet ser också sympatiåtgärderna som en fråga om proportionalitet. Företagen är alltmer känsliga när tekniskt kompetenta arbetstagare tas </w:t>
      </w:r>
      <w:r w:rsidRPr="00000E4F">
        <w:t xml:space="preserve">ut i strejk (yrk. 6). </w:t>
      </w:r>
    </w:p>
    <w:p w:rsidR="00866CF7" w:rsidRPr="00000E4F" w:rsidRDefault="00866CF7">
      <w:pPr>
        <w:pStyle w:val="R3"/>
      </w:pPr>
      <w:r w:rsidRPr="00000E4F">
        <w:t>Utskottets ställningstagande</w:t>
      </w:r>
    </w:p>
    <w:p w:rsidR="00866CF7" w:rsidRPr="00000E4F" w:rsidRDefault="00866CF7">
      <w:r w:rsidRPr="00000E4F">
        <w:t>Även frågan om sympatiåtgärder togs upp av Utredningen om ett förstärkt förlikningsmannainstitut. Frågan hade inte varit nämnd i utredningens dire</w:t>
      </w:r>
      <w:r w:rsidRPr="00000E4F">
        <w:t>k</w:t>
      </w:r>
      <w:r w:rsidRPr="00000E4F">
        <w:t>tiv. Utredningen ansåg inte att rätten till sympatiåtgärder borde tas bort. Skälet var att denna rätt är en del i en nordisk tradition och en väsentlig grundval för kollektivavtalssystemet. Utredningen bedömde det därför som omöjligt att få en bred uppbackning för ett paket med åtgärder som inklud</w:t>
      </w:r>
      <w:r w:rsidRPr="00000E4F">
        <w:t>e</w:t>
      </w:r>
      <w:r w:rsidRPr="00000E4F">
        <w:t>rade ett borttagande av rätten till sympatiåtgärder. Dessutom skulle en sådan inskränkning kunna komma i konflikt med Europarådets sociala stadga. Utredningen ansåg dock att ett borttagande skulle kunna leda till</w:t>
      </w:r>
      <w:r w:rsidRPr="00000E4F">
        <w:t xml:space="preserve"> en mer dämpad löneutveckling och en ökad lönespridning, vilket skulle vara gyn</w:t>
      </w:r>
      <w:r w:rsidRPr="00000E4F">
        <w:t>n</w:t>
      </w:r>
      <w:r w:rsidRPr="00000E4F">
        <w:t>samt ur en snävt samhällsekonomisk synvinkel.</w:t>
      </w:r>
    </w:p>
    <w:p w:rsidR="00866CF7" w:rsidRPr="00000E4F" w:rsidRDefault="00866CF7">
      <w:pPr>
        <w:pStyle w:val="Normaltindrag"/>
      </w:pPr>
      <w:r w:rsidRPr="00000E4F">
        <w:t>Utskottet ansluter sig till utredningens bedömning att rätten till sympatiå</w:t>
      </w:r>
      <w:r w:rsidRPr="00000E4F">
        <w:t>t</w:t>
      </w:r>
      <w:r w:rsidRPr="00000E4F">
        <w:t>gärder inte bör tas bort. I sammanhanget bör påpekas att förslaget om fö</w:t>
      </w:r>
      <w:r w:rsidRPr="00000E4F">
        <w:t>r</w:t>
      </w:r>
      <w:r w:rsidRPr="00000E4F">
        <w:t>längd varseltid och om möjlighet att skjuta upp varslade stridsåtgärder, som utskottet ställt sig bakom ovan, kan innebära vissa begränsningar av möjli</w:t>
      </w:r>
      <w:r w:rsidRPr="00000E4F">
        <w:t>g</w:t>
      </w:r>
      <w:r w:rsidRPr="00000E4F">
        <w:t>heten till sympatiåtgä</w:t>
      </w:r>
      <w:r w:rsidRPr="00000E4F">
        <w:t>r</w:t>
      </w:r>
      <w:r w:rsidRPr="00000E4F">
        <w:t>der.</w:t>
      </w:r>
    </w:p>
    <w:p w:rsidR="00866CF7" w:rsidRPr="00000E4F" w:rsidRDefault="00866CF7">
      <w:pPr>
        <w:pStyle w:val="Normaltindrag"/>
      </w:pPr>
      <w:r w:rsidRPr="00000E4F">
        <w:t>Med det anförda avstyrks motionerna A6 (yrk. 10), A8 (yrk. 6), A701 (delvis) och Sk692 (yrk. 23 delvis).</w:t>
      </w:r>
    </w:p>
    <w:p w:rsidR="00866CF7" w:rsidRPr="00000E4F" w:rsidRDefault="00866CF7">
      <w:pPr>
        <w:pStyle w:val="Rubrik1"/>
      </w:pPr>
      <w:bookmarkStart w:id="39" w:name="_Toc477140350"/>
      <w:r w:rsidRPr="00000E4F">
        <w:t>7 Andra ändringar</w:t>
      </w:r>
      <w:bookmarkEnd w:id="39"/>
      <w:r w:rsidRPr="00000E4F">
        <w:t xml:space="preserve"> </w:t>
      </w:r>
    </w:p>
    <w:p w:rsidR="00866CF7" w:rsidRPr="00000E4F" w:rsidRDefault="00866CF7">
      <w:pPr>
        <w:pStyle w:val="R3"/>
        <w:spacing w:before="123"/>
      </w:pPr>
      <w:r w:rsidRPr="00000E4F">
        <w:t>Propositionen</w:t>
      </w:r>
    </w:p>
    <w:p w:rsidR="00866CF7" w:rsidRPr="00000E4F" w:rsidRDefault="00866CF7">
      <w:r w:rsidRPr="00000E4F">
        <w:t xml:space="preserve">I ett särskilt avsnitt om lönestatistik redovisas vissa förändringar som inte omfattas av propositionens förslag till riksdagsbeslut. </w:t>
      </w:r>
    </w:p>
    <w:p w:rsidR="00866CF7" w:rsidRPr="00000E4F" w:rsidRDefault="00866CF7">
      <w:r w:rsidRPr="00000E4F">
        <w:rPr>
          <w:b/>
        </w:rPr>
        <w:t xml:space="preserve">– </w:t>
      </w:r>
      <w:r w:rsidRPr="00000E4F">
        <w:t>Medlingsinstitutet blir statistikansvarig myndighet för den officiella l</w:t>
      </w:r>
      <w:r w:rsidRPr="00000E4F">
        <w:t>ö</w:t>
      </w:r>
      <w:r w:rsidRPr="00000E4F">
        <w:t>nestatistiken från den 1 januari 2001</w:t>
      </w:r>
    </w:p>
    <w:p w:rsidR="00866CF7" w:rsidRPr="00000E4F" w:rsidRDefault="00866CF7">
      <w:pPr>
        <w:rPr>
          <w:b/>
        </w:rPr>
      </w:pPr>
      <w:r w:rsidRPr="00000E4F">
        <w:t>Statistiska centralbyrån (SCB) är i dag statistikansvarig myndighet i enlighet med principen att SCB skall svara för officiell statistik som griper över flera sektorer, som saknar entydig huvudanvändare eller där det påtagligt gagnar förtroendet för statistiken. Medlingsinstitutet får ett samlat ansvar för att följa och analysera svensk lönebildning och får en funktion som inte motsvaras av verksam</w:t>
      </w:r>
      <w:r w:rsidRPr="00000E4F">
        <w:t>heten vid någon i dag existerande myndighet. Institutet kommer därmed att framstå som en huvudanvändare av lönestatistiken. Statist</w:t>
      </w:r>
      <w:r w:rsidRPr="00000E4F">
        <w:t>i</w:t>
      </w:r>
      <w:r w:rsidRPr="00000E4F">
        <w:t xml:space="preserve">kansvaret bör enligt propositionen avse både den månadsvisa och den årsvisa lönestatistiken. Som nämnts ovan kommer Medlingsinstitutet att få i uppgift att inrätta ett expertråd för lönestatistik. </w:t>
      </w:r>
    </w:p>
    <w:p w:rsidR="00866CF7" w:rsidRPr="00000E4F" w:rsidRDefault="00866CF7">
      <w:r w:rsidRPr="00000E4F">
        <w:rPr>
          <w:b/>
        </w:rPr>
        <w:t xml:space="preserve">– </w:t>
      </w:r>
      <w:r w:rsidRPr="00000E4F">
        <w:t xml:space="preserve">Lönestatistiken förbättras på olika sätt </w:t>
      </w:r>
    </w:p>
    <w:p w:rsidR="00866CF7" w:rsidRPr="00000E4F" w:rsidRDefault="00866CF7">
      <w:r w:rsidRPr="00000E4F">
        <w:t>SCB skall ges i uppdrag att förbättra den månadsvisa statistiken som bör produceras för alla sektorer i ekonomin. Utförligare redovisning bör ske av retroaktiva löneutbetalningar. Statistiken bör också redovisas snabbare än i dag. Medlingsinstitutet bör svara för att en samlad månadsvis publicering sker. Statistiken bör redovisas för ett 50-tal områden eller branscher</w:t>
      </w:r>
      <w:r w:rsidRPr="00000E4F">
        <w:rPr>
          <w:b/>
        </w:rPr>
        <w:t xml:space="preserve"> </w:t>
      </w:r>
      <w:r w:rsidRPr="00000E4F">
        <w:t>med fördelning på kön och på arbetare och tjänstemän.</w:t>
      </w:r>
    </w:p>
    <w:p w:rsidR="00866CF7" w:rsidRPr="00000E4F" w:rsidRDefault="00866CF7">
      <w:pPr>
        <w:pStyle w:val="Normaltindrag"/>
      </w:pPr>
      <w:r w:rsidRPr="00000E4F">
        <w:t>Medlingsinstitutet bör även svara för att årsstatistiken publiceras i form av en årlig rapport, som även innefattar analyser. SCB skall få i uppdrag att producera löpande statistik över vakanser och arbet</w:t>
      </w:r>
      <w:r w:rsidRPr="00000E4F">
        <w:t>s</w:t>
      </w:r>
      <w:r w:rsidRPr="00000E4F">
        <w:t>konflikter.</w:t>
      </w:r>
    </w:p>
    <w:p w:rsidR="00866CF7" w:rsidRPr="00000E4F" w:rsidRDefault="00866CF7">
      <w:pPr>
        <w:pStyle w:val="Normaltindrag"/>
      </w:pPr>
      <w:r w:rsidRPr="00000E4F">
        <w:t>Förbättringen av såväl den årsvisa som månadsvisa statistiken bör geno</w:t>
      </w:r>
      <w:r w:rsidRPr="00000E4F">
        <w:t>m</w:t>
      </w:r>
      <w:r w:rsidRPr="00000E4F">
        <w:t>föras redan år 2000, bl.a. med hänvisning till behovet av jämförbar statistik när nästa avtalsrörelse analyseras.</w:t>
      </w:r>
    </w:p>
    <w:p w:rsidR="00866CF7" w:rsidRPr="00000E4F" w:rsidRDefault="00866CF7">
      <w:pPr>
        <w:pStyle w:val="Normaltindrag"/>
      </w:pPr>
      <w:r w:rsidRPr="00000E4F">
        <w:t>Forskningens behov skall tillgodoses genom komplettering av individdat</w:t>
      </w:r>
      <w:r w:rsidRPr="00000E4F">
        <w:t>a</w:t>
      </w:r>
      <w:r w:rsidRPr="00000E4F">
        <w:t>basen LINDA med individuppgifter om löner från SCB:s årsvisa lönestati</w:t>
      </w:r>
      <w:r w:rsidRPr="00000E4F">
        <w:t>s</w:t>
      </w:r>
      <w:r w:rsidRPr="00000E4F">
        <w:t>tik.</w:t>
      </w:r>
    </w:p>
    <w:p w:rsidR="00866CF7" w:rsidRPr="00000E4F" w:rsidRDefault="00866CF7">
      <w:pPr>
        <w:pStyle w:val="Odefinierat"/>
      </w:pPr>
      <w:r w:rsidRPr="00000E4F">
        <w:t xml:space="preserve">– Rapporter om samhällsekonomin </w:t>
      </w:r>
    </w:p>
    <w:p w:rsidR="00866CF7" w:rsidRPr="00000E4F" w:rsidRDefault="00866CF7">
      <w:r w:rsidRPr="00000E4F">
        <w:t>Konjunkturinstitutet (KI) bör svara för att en årlig rapport tas fram om de samhällsekonomiska förutsättningarna för löneförhandlingarna. Rapporten skall innehålla bedömningar av den ekonomiska utvecklingen under de nä</w:t>
      </w:r>
      <w:r w:rsidRPr="00000E4F">
        <w:t>r</w:t>
      </w:r>
      <w:r w:rsidRPr="00000E4F">
        <w:t>maste åren i Sverige och omvärlden.</w:t>
      </w:r>
    </w:p>
    <w:p w:rsidR="00866CF7" w:rsidRPr="00000E4F" w:rsidRDefault="00866CF7">
      <w:r w:rsidRPr="00000E4F">
        <w:t>– Rapporter om löneutvecklingen m.m.</w:t>
      </w:r>
    </w:p>
    <w:p w:rsidR="00866CF7" w:rsidRPr="00000E4F" w:rsidRDefault="00866CF7">
      <w:r w:rsidRPr="00000E4F">
        <w:t>Medlingsinstitutet bör svara för att det årligen publiceras en rapport om löneutvecklingen m.m. Den skall beskriva betydelsefulla förändringar vad gäller löner, arbetskraftskostnader, produktivitetsutveckling, inkomstförde</w:t>
      </w:r>
      <w:r w:rsidRPr="00000E4F">
        <w:t>l</w:t>
      </w:r>
      <w:r w:rsidRPr="00000E4F">
        <w:t>ning, inkomstutveckling, sysselsättning, avtalskonstruktioner, förhandling</w:t>
      </w:r>
      <w:r w:rsidRPr="00000E4F">
        <w:t>s</w:t>
      </w:r>
      <w:r w:rsidRPr="00000E4F">
        <w:t>system och arbetsmarknadslagstiftning i Sverige och i omvärlden liksom lönebildningens strukturpåverkande effekter. Lönestatistiken behöver redov</w:t>
      </w:r>
      <w:r w:rsidRPr="00000E4F">
        <w:t>i</w:t>
      </w:r>
      <w:r w:rsidRPr="00000E4F">
        <w:t>sas för branscher, yrkesgrupper, uppdelning på kön etc. Rapporten skall även innehålla analyser av hur utvecklingen av arbetskraftskostnader påverkat samhällsekonomin och sysselsättningen. Den skall också innehålla en red</w:t>
      </w:r>
      <w:r w:rsidRPr="00000E4F">
        <w:t>o</w:t>
      </w:r>
      <w:r w:rsidRPr="00000E4F">
        <w:t>visning och analys av stridså</w:t>
      </w:r>
      <w:r w:rsidRPr="00000E4F">
        <w:t>t</w:t>
      </w:r>
      <w:r w:rsidRPr="00000E4F">
        <w:t xml:space="preserve">gärder som förekommit under året. </w:t>
      </w:r>
    </w:p>
    <w:p w:rsidR="00866CF7" w:rsidRPr="00000E4F" w:rsidRDefault="00866CF7">
      <w:r w:rsidRPr="00000E4F">
        <w:rPr>
          <w:b/>
        </w:rPr>
        <w:t xml:space="preserve">– </w:t>
      </w:r>
      <w:r w:rsidRPr="00000E4F">
        <w:t>Redogörelse inför finansutskottet och arbetsmar</w:t>
      </w:r>
      <w:r w:rsidRPr="00000E4F">
        <w:t>k</w:t>
      </w:r>
      <w:r w:rsidRPr="00000E4F">
        <w:t>nadsutskottet</w:t>
      </w:r>
    </w:p>
    <w:p w:rsidR="00866CF7" w:rsidRPr="00000E4F" w:rsidRDefault="00866CF7">
      <w:r w:rsidRPr="00000E4F">
        <w:t>Medlingsinstitutets chef  bör, om riksdagen finner detta lämpligt, årligen inför dessa utskott redogöra för sin syn på hur lönebildningen, arbetskraft</w:t>
      </w:r>
      <w:r w:rsidRPr="00000E4F">
        <w:t>s</w:t>
      </w:r>
      <w:r w:rsidRPr="00000E4F">
        <w:t>kostnaderna och sysselsättningen utvecklats och hur institutet tagit sig an sin uppgift att verka för en väl fungerande lönebildning utan att parterna frånt</w:t>
      </w:r>
      <w:r w:rsidRPr="00000E4F">
        <w:t>a</w:t>
      </w:r>
      <w:r w:rsidRPr="00000E4F">
        <w:t>gits sitt ansvar.</w:t>
      </w:r>
    </w:p>
    <w:p w:rsidR="00866CF7" w:rsidRPr="00000E4F" w:rsidRDefault="00866CF7">
      <w:r w:rsidRPr="00000E4F">
        <w:rPr>
          <w:b/>
        </w:rPr>
        <w:t xml:space="preserve">– </w:t>
      </w:r>
      <w:r w:rsidRPr="00000E4F">
        <w:t>Förbättrade möjligheter att analysera löneutvecklingen för kvinnor och män m.m.</w:t>
      </w:r>
    </w:p>
    <w:p w:rsidR="00866CF7" w:rsidRPr="00000E4F" w:rsidRDefault="00866CF7">
      <w:r w:rsidRPr="00000E4F">
        <w:t>De förbättringar av den årsvisa lönestatistiken och kompletteringen av fors</w:t>
      </w:r>
      <w:r w:rsidRPr="00000E4F">
        <w:t>k</w:t>
      </w:r>
      <w:r w:rsidRPr="00000E4F">
        <w:t>ningsdatabasen LINDA som redovisats ovan kommer enligt regeringens bedömning att förbättra möjligheten att följa och analysera löneutvecklingen för kvinnor och män. Medlingsinstitutets årliga rapport om löneutvecklingen m.m. bör även innehålla ett särskilt kapitel som analyserar löneutvecklingen ur ett jämställdhetsperspektiv. Medlingsinstitutet bör också följa frågan om diskriminering i lönesättningen på andra grunder än kön. Samråd bör ske regelbundet med Ombudsmannen mot etnisk diskriminering, Handikapp</w:t>
      </w:r>
      <w:r w:rsidRPr="00000E4F">
        <w:t>o</w:t>
      </w:r>
      <w:r w:rsidRPr="00000E4F">
        <w:t>m</w:t>
      </w:r>
      <w:r w:rsidRPr="00000E4F">
        <w:t>budsmannen och Ombudsmannen mot diskriminering på grund av sexuell läggning.</w:t>
      </w:r>
    </w:p>
    <w:p w:rsidR="00866CF7" w:rsidRPr="00000E4F" w:rsidRDefault="00866CF7">
      <w:pPr>
        <w:pStyle w:val="R3"/>
      </w:pPr>
      <w:r w:rsidRPr="00000E4F">
        <w:t>Motioner</w:t>
      </w:r>
    </w:p>
    <w:p w:rsidR="00866CF7" w:rsidRPr="00000E4F" w:rsidRDefault="00866CF7">
      <w:r w:rsidRPr="00000E4F">
        <w:rPr>
          <w:i/>
        </w:rPr>
        <w:t xml:space="preserve">Moderaterna </w:t>
      </w:r>
      <w:r w:rsidRPr="00000E4F">
        <w:t>motsätter sig enligt motion A6 förslaget att Medlingsinstitutet skall vara statistikansvarig myndighet (yrk. 14). Ansvaret bör ligga kvar hos SCB. Partiet anser dessutom att dagens lönestatistiska underlag är tillräckligt. Det finns inget behov av en ytterligare aktör. En utvidgad statistikinhämtning innebär en ökad börda på företagen. Om parterna vill ha ytterligare en opa</w:t>
      </w:r>
      <w:r w:rsidRPr="00000E4F">
        <w:t>r</w:t>
      </w:r>
      <w:r w:rsidRPr="00000E4F">
        <w:t xml:space="preserve">tisk instans kan de inrätta ett ekonomiskt råd på motsvarande sätt som enligt industrins samarbetsavtal. Moderaterna anser inte heller </w:t>
      </w:r>
      <w:r w:rsidRPr="00000E4F">
        <w:t>att det skall anko</w:t>
      </w:r>
      <w:r w:rsidRPr="00000E4F">
        <w:t>m</w:t>
      </w:r>
      <w:r w:rsidRPr="00000E4F">
        <w:t xml:space="preserve">ma på Medlingsinstitutet att utarbeta rapporter om löneutvecklingen eller på annat institutionaliserat sätt redogöra för utvecklingen eftersom detta skulle vara en del i den normbildande roll för Medlingsinstitutet som partiet avvisar (yrk. 13 delvis). </w:t>
      </w:r>
    </w:p>
    <w:p w:rsidR="00866CF7" w:rsidRPr="00000E4F" w:rsidRDefault="00866CF7">
      <w:r w:rsidRPr="00000E4F">
        <w:t xml:space="preserve">Även </w:t>
      </w:r>
      <w:r w:rsidRPr="00000E4F">
        <w:rPr>
          <w:i/>
        </w:rPr>
        <w:t>Kristdemokraterna</w:t>
      </w:r>
      <w:r w:rsidRPr="00000E4F">
        <w:t xml:space="preserve"> anser, enligt motion A8, att SCB också fortsät</w:t>
      </w:r>
      <w:r w:rsidRPr="00000E4F">
        <w:t>t</w:t>
      </w:r>
      <w:r w:rsidRPr="00000E4F">
        <w:t>ningsvis bör vara huvudansvarig för lönestatistiken, eftersom det annars finns risk för samordningsproblem i förhållande till den ekonomiska statist</w:t>
      </w:r>
      <w:r w:rsidRPr="00000E4F">
        <w:t>i</w:t>
      </w:r>
      <w:r w:rsidRPr="00000E4F">
        <w:t>ken. Det bör dock vara en viktig uppgift för Medlingsinstitutet att se till att det finns statistik tillgänglig på ett relevant sätt (yrk. 3). Kristdemokraterna är i och för sig positiva till det som redovisas i propositionen vad gäller jä</w:t>
      </w:r>
      <w:r w:rsidRPr="00000E4F">
        <w:t>m</w:t>
      </w:r>
      <w:r w:rsidRPr="00000E4F">
        <w:t>ställdhet och diskriminering, men bedömer det inte som til</w:t>
      </w:r>
      <w:r w:rsidRPr="00000E4F">
        <w:t>lräckligt. I moti</w:t>
      </w:r>
      <w:r w:rsidRPr="00000E4F">
        <w:t>o</w:t>
      </w:r>
      <w:r w:rsidRPr="00000E4F">
        <w:t>nen framhålls att bra former för arbetsvärdering kan vara ett instrument för en mer objektiv lönesättning. Motionärerna poängterar att arbetsvärdering inte behöver stå i motsatsförhållande till individuell lönesättning (yrk. 4).</w:t>
      </w:r>
    </w:p>
    <w:p w:rsidR="00866CF7" w:rsidRPr="00000E4F" w:rsidRDefault="00866CF7">
      <w:r w:rsidRPr="00000E4F">
        <w:rPr>
          <w:i/>
        </w:rPr>
        <w:t>Centerpartiet</w:t>
      </w:r>
      <w:r w:rsidRPr="00000E4F">
        <w:t xml:space="preserve"> yrkar också avslag på propositionen i den del som den förordar att Medlingsinstitutet skall vara statistikansvarig myndighet. Partiet hänvisar i sin motion A9 till vad SCB anfört om den roll som lönestatistiken spelar i många ekonomiska och samhälleliga bedömningar. Ett medlingsinstitut kan inte autom</w:t>
      </w:r>
      <w:r w:rsidRPr="00000E4F">
        <w:t>a</w:t>
      </w:r>
      <w:r w:rsidRPr="00000E4F">
        <w:t>tiskt ha intresse av samtliga sidor av lönestatistiken (yrk. 1).</w:t>
      </w:r>
    </w:p>
    <w:p w:rsidR="00866CF7" w:rsidRPr="00000E4F" w:rsidRDefault="00866CF7">
      <w:r w:rsidRPr="00000E4F">
        <w:t xml:space="preserve">Inte heller </w:t>
      </w:r>
      <w:r w:rsidRPr="00000E4F">
        <w:rPr>
          <w:i/>
        </w:rPr>
        <w:t xml:space="preserve">Folkpartiet </w:t>
      </w:r>
      <w:r w:rsidRPr="00000E4F">
        <w:t>anser, enligt motion A10, att Medlingsinstitutet bör ha statistikansvaret. Ansvaret bör ligga kvar på SCB. Erforderliga analyser därutöver kan utföras av Konjunkturinstitutet (yrk. 5). Partiet motsätter sig inte att lönestatistiken förbättras eftersom det ökar möjligheterna att analys</w:t>
      </w:r>
      <w:r w:rsidRPr="00000E4F">
        <w:t>e</w:t>
      </w:r>
      <w:r w:rsidRPr="00000E4F">
        <w:t>ra löneutvecklingen för kvinnor och män. Partiet har inte heller någon i</w:t>
      </w:r>
      <w:r w:rsidRPr="00000E4F">
        <w:t>n</w:t>
      </w:r>
      <w:r w:rsidRPr="00000E4F">
        <w:t xml:space="preserve">vändning mot att Konjunkturinstitutet skall avge en årlig rapport om de samhällsekonomiska förutsättningarna för lönebildningen. Folkpartiet </w:t>
      </w:r>
      <w:r w:rsidRPr="00000E4F">
        <w:t>varnar dock för en alltför stor tilltro till att statistik eller ekonomiska analyser i sig leder till en bättre lönebildning. För det krävs kännedom om individuella förhållanden som en myndighet inte kan ha (yrk. 6).</w:t>
      </w:r>
    </w:p>
    <w:p w:rsidR="00866CF7" w:rsidRPr="00000E4F" w:rsidRDefault="00866CF7">
      <w:pPr>
        <w:pStyle w:val="R3"/>
      </w:pPr>
      <w:r w:rsidRPr="00000E4F">
        <w:t>Utskottets ställningstagande</w:t>
      </w:r>
    </w:p>
    <w:p w:rsidR="00866CF7" w:rsidRPr="00000E4F" w:rsidRDefault="00866CF7">
      <w:r w:rsidRPr="00000E4F">
        <w:t>En förbättring av lönestatistiken är enligt utskottets mening en väsentlig del i åtgärderna för att förbättra lönebildningen. Utskottet anser det också väsen</w:t>
      </w:r>
      <w:r w:rsidRPr="00000E4F">
        <w:t>t</w:t>
      </w:r>
      <w:r w:rsidRPr="00000E4F">
        <w:t>ligt att parterna har förtroende för lönestatistiken och inte har skäl att ifråg</w:t>
      </w:r>
      <w:r w:rsidRPr="00000E4F">
        <w:t>a</w:t>
      </w:r>
      <w:r w:rsidRPr="00000E4F">
        <w:t>sätta dess kvalitet eller användbarhet. Den sakkunskap och goda beställa</w:t>
      </w:r>
      <w:r w:rsidRPr="00000E4F">
        <w:t>r</w:t>
      </w:r>
      <w:r w:rsidRPr="00000E4F">
        <w:t>kompetens som Medlingsinstitutets anställda kommer att representera bör enligt utskottets bedömning kunna resultera i en ökad användbarhet och ett stärkt förtroende för statistiken. Att överföra huvudansvaret till Medlingsi</w:t>
      </w:r>
      <w:r w:rsidRPr="00000E4F">
        <w:t>n</w:t>
      </w:r>
      <w:r w:rsidRPr="00000E4F">
        <w:t>stitutet är i konsekvens med de allmänna principer som gäller för den offic</w:t>
      </w:r>
      <w:r w:rsidRPr="00000E4F">
        <w:t>i</w:t>
      </w:r>
      <w:r w:rsidRPr="00000E4F">
        <w:t>ella statistiken. Utskottet delar regeringens bedömning a</w:t>
      </w:r>
      <w:r w:rsidRPr="00000E4F">
        <w:t>tt Medlingsinstitutet kommer att framstå som huvudanvändare av lönestatistiken. Institutet ko</w:t>
      </w:r>
      <w:r w:rsidRPr="00000E4F">
        <w:t>m</w:t>
      </w:r>
      <w:r w:rsidRPr="00000E4F">
        <w:t xml:space="preserve">mer att ha ett samlat ansvar för att följa och analysera lönebildningen. </w:t>
      </w:r>
    </w:p>
    <w:p w:rsidR="00866CF7" w:rsidRPr="00000E4F" w:rsidRDefault="00866CF7">
      <w:pPr>
        <w:pStyle w:val="Normaltindrag"/>
      </w:pPr>
      <w:r w:rsidRPr="00000E4F">
        <w:t>Det är enligt utskottets mening inte korrekt att som Moderaterna betrakta ansvaret för statistiken som en del i en normbildande roll. Medlingsinstitutet har i stället en analysfunktion. Institutets roll är att se till att statistiken spe</w:t>
      </w:r>
      <w:r w:rsidRPr="00000E4F">
        <w:t>g</w:t>
      </w:r>
      <w:r w:rsidRPr="00000E4F">
        <w:t>lar den faktiska löneutvecklingen, inte att agera som något slags ”lönepolis”. Utskottet kan inte heller se de andra förslag om uppgifter för Medlingsinst</w:t>
      </w:r>
      <w:r w:rsidRPr="00000E4F">
        <w:t>i</w:t>
      </w:r>
      <w:r w:rsidRPr="00000E4F">
        <w:t>tutet som Moderaterna hänvisar till som uttryck för att institutet skulle ha en normbildande roll.</w:t>
      </w:r>
    </w:p>
    <w:p w:rsidR="00866CF7" w:rsidRPr="00000E4F" w:rsidRDefault="00866CF7">
      <w:pPr>
        <w:pStyle w:val="Normaltindrag"/>
      </w:pPr>
      <w:r w:rsidRPr="00000E4F">
        <w:t>Med anledning av farhågorna för samordningsproblem i förhållande till den övriga ekonomiska statistiken m.m. vill utskottet hänvisa till att reg</w:t>
      </w:r>
      <w:r w:rsidRPr="00000E4F">
        <w:t>e</w:t>
      </w:r>
      <w:r w:rsidRPr="00000E4F">
        <w:t>ringen enligt vad som sägs i propositionen har för avsikt att ge Medlingsi</w:t>
      </w:r>
      <w:r w:rsidRPr="00000E4F">
        <w:t>n</w:t>
      </w:r>
      <w:r w:rsidRPr="00000E4F">
        <w:t>stitutet i uppgift att inrätta ett expertråd för lönestatistik. Detta expertråd är tänkt att fungera som ett organ för att tillvarata andra intressenters behov av utformningen av statistiken. Företrädare för parterna bör ingå i rådet, och Konjunkturinstitutet och SCB bör adjungeras dit. Regeringen trycker också på att det är väsentligt att samråd sker med SCB i frågor som gäller behov av allmäninformativ statistik. Utskottet instämm</w:t>
      </w:r>
      <w:r w:rsidRPr="00000E4F">
        <w:t>er med regeringen att det är särskilt väsentligt att samordningen med den ekonomiska statistiken beaktas. Som sägs i propositionen får inte det faktum att Medlingsinstitutet blir en huvudanvändare innebära att andra användares intressen åsidosätts. Utskottet vill slutligen peka på att regeringen säger sig vara beredd att ompröva sitt förslag om det skulle uppstå en situation där viktiga användares intressen åsidosätts. Därför har regeringen för avsikt att låta utvärdera konsekvenserna när det nya systemet v</w:t>
      </w:r>
      <w:r w:rsidRPr="00000E4F">
        <w:t>erkat en tid.</w:t>
      </w:r>
    </w:p>
    <w:p w:rsidR="00866CF7" w:rsidRPr="00000E4F" w:rsidRDefault="00866CF7">
      <w:pPr>
        <w:pStyle w:val="Normaltindrag"/>
      </w:pPr>
      <w:r w:rsidRPr="00000E4F">
        <w:t>Med hänvisning till det anförda avstyrks dels motion A6 (yrk. 13 delvis), dels motionerna A6 (yrk. 14), A8 (yrk. 3), A9 (yrk. 1) och A10 (yrk. 5 och 6).</w:t>
      </w:r>
    </w:p>
    <w:p w:rsidR="00866CF7" w:rsidRPr="00000E4F" w:rsidRDefault="00866CF7">
      <w:pPr>
        <w:pStyle w:val="Normaltindrag"/>
      </w:pPr>
      <w:r w:rsidRPr="00000E4F">
        <w:t>Allra sist kan utskottet instämma med Kristdemokraterna i att bra former för arbetsvärdering kan vara ett instrument för att nå en mer objektiv lön</w:t>
      </w:r>
      <w:r w:rsidRPr="00000E4F">
        <w:t>e</w:t>
      </w:r>
      <w:r w:rsidRPr="00000E4F">
        <w:t>sättning. En väl utvecklad lönestatistik ökar möjligheten att följa och anal</w:t>
      </w:r>
      <w:r w:rsidRPr="00000E4F">
        <w:t>y</w:t>
      </w:r>
      <w:r w:rsidRPr="00000E4F">
        <w:t>sera löneutvecklingen för kvinnor och män och att bedriva forskning om vad som har betydelse för löneutvecklingen, vilket är nog så viktigt, men det är självfallet inte tillräckligt för att komma till rätta med osakliga löneskilln</w:t>
      </w:r>
      <w:r w:rsidRPr="00000E4F">
        <w:t>a</w:t>
      </w:r>
      <w:r w:rsidRPr="00000E4F">
        <w:t>der. För det krävs insatser på en rad områden. Utskottet vill i detta hänseende hänvisa till den proposition om ändringar i jämställdhetslagen som regerin</w:t>
      </w:r>
      <w:r w:rsidRPr="00000E4F">
        <w:t>g</w:t>
      </w:r>
      <w:r w:rsidRPr="00000E4F">
        <w:t>en har för avsikt att lägga fram senare i vår. M</w:t>
      </w:r>
      <w:r w:rsidRPr="00000E4F">
        <w:t>ed det anförda avstyrks motion A8 (yrk. 4), i den mån den inte kan anses tillgodosedd med vad utskottet anfört.</w:t>
      </w:r>
    </w:p>
    <w:p w:rsidR="00866CF7" w:rsidRPr="00000E4F" w:rsidRDefault="00866CF7">
      <w:pPr>
        <w:pStyle w:val="Rubrik1"/>
      </w:pPr>
      <w:bookmarkStart w:id="40" w:name="_Toc477140351"/>
      <w:r w:rsidRPr="00000E4F">
        <w:t>8 Antagande av propositionens lagförslag m.m.</w:t>
      </w:r>
      <w:bookmarkEnd w:id="40"/>
      <w:r w:rsidRPr="00000E4F">
        <w:t xml:space="preserve"> </w:t>
      </w:r>
    </w:p>
    <w:p w:rsidR="00866CF7" w:rsidRPr="00000E4F" w:rsidRDefault="00866CF7">
      <w:pPr>
        <w:pStyle w:val="Rubrik2"/>
        <w:spacing w:before="123"/>
      </w:pPr>
      <w:bookmarkStart w:id="41" w:name="_Toc477140352"/>
      <w:r w:rsidRPr="00000E4F">
        <w:t>8.1 Ändringar i medbestämmandelagen</w:t>
      </w:r>
      <w:bookmarkEnd w:id="41"/>
    </w:p>
    <w:p w:rsidR="00866CF7" w:rsidRPr="00000E4F" w:rsidRDefault="00866CF7">
      <w:r w:rsidRPr="00000E4F">
        <w:t>Av vad som anförts ovan följer att utskottets ställer sig bakom regeringens förslag till ändringar i medbestämmandelagen. Förslag om antagande av lagändringarna, dock med vissa justeringar, läggs fram i utskottets hemstä</w:t>
      </w:r>
      <w:r w:rsidRPr="00000E4F">
        <w:t>l</w:t>
      </w:r>
      <w:r w:rsidRPr="00000E4F">
        <w:t xml:space="preserve">lan. </w:t>
      </w:r>
    </w:p>
    <w:p w:rsidR="00866CF7" w:rsidRPr="00000E4F" w:rsidRDefault="00866CF7">
      <w:pPr>
        <w:pStyle w:val="Rubrik2"/>
      </w:pPr>
      <w:bookmarkStart w:id="42" w:name="_Toc477140353"/>
      <w:r w:rsidRPr="00000E4F">
        <w:t>8.2 Ändringar i sekretesslagen</w:t>
      </w:r>
      <w:bookmarkEnd w:id="42"/>
    </w:p>
    <w:p w:rsidR="00866CF7" w:rsidRPr="00000E4F" w:rsidRDefault="00866CF7">
      <w:pPr>
        <w:pStyle w:val="R3"/>
        <w:spacing w:before="123"/>
      </w:pPr>
      <w:r w:rsidRPr="00000E4F">
        <w:t>Propositionen</w:t>
      </w:r>
    </w:p>
    <w:p w:rsidR="00866CF7" w:rsidRPr="00000E4F" w:rsidRDefault="00866CF7">
      <w:r w:rsidRPr="00000E4F">
        <w:t>Genom följdändringar i sekretesslagen föreskrivs att sekretess skall  gälla för uppgifter som en part lämnat till en medlare eller till Medlingsinstitutet. Sekretess gäller endast om parten gjort förbehåll om detta (8 kap. 15 § första stycket). Det föreslås också en ny bestämmelse om sekretess för uppgift i kollektivavtal som lämnats till Medlingsinstitutet. Den avser dels en parts  affärs- eller driftförhållanden, dels annans personliga eller ekonomiska fö</w:t>
      </w:r>
      <w:r w:rsidRPr="00000E4F">
        <w:t>r</w:t>
      </w:r>
      <w:r w:rsidRPr="00000E4F">
        <w:t>hållanden, i båda fallen om det kan antas att parten eller personen lider skada eller men om uppgiften röjs (samma paragrafs andra stycke). Att meddela</w:t>
      </w:r>
      <w:r w:rsidRPr="00000E4F">
        <w:t>r</w:t>
      </w:r>
      <w:r w:rsidRPr="00000E4F">
        <w:t>friheten är begränsad för denna typ av uppgifter framgår av 16 kap. 1 § samma lag.</w:t>
      </w:r>
    </w:p>
    <w:p w:rsidR="00866CF7" w:rsidRPr="00000E4F" w:rsidRDefault="00866CF7">
      <w:pPr>
        <w:pStyle w:val="R3"/>
      </w:pPr>
      <w:r w:rsidRPr="00000E4F">
        <w:t xml:space="preserve">Motion </w:t>
      </w:r>
    </w:p>
    <w:p w:rsidR="00866CF7" w:rsidRPr="00000E4F" w:rsidRDefault="00866CF7">
      <w:r w:rsidRPr="00000E4F">
        <w:rPr>
          <w:i/>
        </w:rPr>
        <w:t xml:space="preserve">Moderaterna </w:t>
      </w:r>
      <w:r w:rsidRPr="00000E4F">
        <w:t>ansluter sig i motion A6 till förslagen om ändringar i sekr</w:t>
      </w:r>
      <w:r w:rsidRPr="00000E4F">
        <w:t>e</w:t>
      </w:r>
      <w:r w:rsidRPr="00000E4F">
        <w:t>tesslagen (yrk. 18).</w:t>
      </w:r>
    </w:p>
    <w:p w:rsidR="00866CF7" w:rsidRPr="00000E4F" w:rsidRDefault="00866CF7">
      <w:pPr>
        <w:pStyle w:val="R3"/>
      </w:pPr>
      <w:r w:rsidRPr="00000E4F">
        <w:t>Utskottets ställningstagande</w:t>
      </w:r>
    </w:p>
    <w:p w:rsidR="00866CF7" w:rsidRPr="00000E4F" w:rsidRDefault="00866CF7">
      <w:r w:rsidRPr="00000E4F">
        <w:t>Utskottet tillstyrker ändringarna i sekretesslagen. Förslag om antagande av lagändringarna läggs fram i utskottets hemställan.</w:t>
      </w:r>
    </w:p>
    <w:p w:rsidR="00866CF7" w:rsidRPr="00000E4F" w:rsidRDefault="00866CF7">
      <w:pPr>
        <w:pStyle w:val="Rubrik1"/>
      </w:pPr>
      <w:r w:rsidRPr="00000E4F">
        <w:br w:type="page"/>
      </w:r>
      <w:bookmarkStart w:id="43" w:name="_Toc475783904"/>
      <w:bookmarkStart w:id="44" w:name="_Toc477140354"/>
      <w:r w:rsidRPr="00000E4F">
        <w:t>DEL II ARBETSRÄTTSLIGA MOTIONER</w:t>
      </w:r>
      <w:bookmarkEnd w:id="43"/>
      <w:bookmarkEnd w:id="44"/>
      <w:r w:rsidRPr="00000E4F">
        <w:t xml:space="preserve"> </w:t>
      </w:r>
    </w:p>
    <w:p w:rsidR="00866CF7" w:rsidRPr="00000E4F" w:rsidRDefault="00866CF7">
      <w:pPr>
        <w:pStyle w:val="Rubrik1"/>
        <w:spacing w:before="123"/>
      </w:pPr>
      <w:bookmarkStart w:id="45" w:name="_Toc475783905"/>
      <w:bookmarkStart w:id="46" w:name="_Toc477140355"/>
      <w:r w:rsidRPr="00000E4F">
        <w:t>1 Utredningar m.m.</w:t>
      </w:r>
      <w:bookmarkEnd w:id="45"/>
      <w:bookmarkEnd w:id="46"/>
      <w:r w:rsidRPr="00000E4F">
        <w:t xml:space="preserve"> </w:t>
      </w:r>
    </w:p>
    <w:p w:rsidR="00866CF7" w:rsidRPr="00000E4F" w:rsidRDefault="00866CF7">
      <w:r w:rsidRPr="00000E4F">
        <w:t>Utskottet övergår nu till att behandla motioner som väckts under den allmä</w:t>
      </w:r>
      <w:r w:rsidRPr="00000E4F">
        <w:t>n</w:t>
      </w:r>
      <w:r w:rsidRPr="00000E4F">
        <w:t>na motionstiden och som tar sikte på olika arbetsrättsliga frågor. I detta a</w:t>
      </w:r>
      <w:r w:rsidRPr="00000E4F">
        <w:t>v</w:t>
      </w:r>
      <w:r w:rsidRPr="00000E4F">
        <w:t>snitt kommer utskottet att behandla motioner som innehåller allmänna sy</w:t>
      </w:r>
      <w:r w:rsidRPr="00000E4F">
        <w:t>n</w:t>
      </w:r>
      <w:r w:rsidRPr="00000E4F">
        <w:t>punkter på den arbetsrättsliga lagstiftningen och krav på generella utrednin</w:t>
      </w:r>
      <w:r w:rsidRPr="00000E4F">
        <w:t>g</w:t>
      </w:r>
      <w:r w:rsidRPr="00000E4F">
        <w:t xml:space="preserve">ar. Därefter behandlas motioner som rör olika sakfrågor. Motioner rörande turordningsfrågor kommer att behandlas i samband med behandlingen av den av regeringen aviserade propositionen avseende turordningsbestämmelserna som skall överlämnas till riksdagen maj i 2000. </w:t>
      </w:r>
    </w:p>
    <w:p w:rsidR="00866CF7" w:rsidRPr="00000E4F" w:rsidRDefault="00866CF7">
      <w:pPr>
        <w:pStyle w:val="R3"/>
      </w:pPr>
      <w:r w:rsidRPr="00000E4F">
        <w:t>Motioner</w:t>
      </w:r>
    </w:p>
    <w:p w:rsidR="00866CF7" w:rsidRPr="00000E4F" w:rsidRDefault="00866CF7">
      <w:r w:rsidRPr="00000E4F">
        <w:t xml:space="preserve">I kommittémotion Sk692 hävdar </w:t>
      </w:r>
      <w:r w:rsidRPr="00000E4F">
        <w:rPr>
          <w:i/>
        </w:rPr>
        <w:t>Moderaterna</w:t>
      </w:r>
      <w:r w:rsidRPr="00000E4F">
        <w:t xml:space="preserve"> att arbetslagarna behöver anpassas för att stimulera till byte av arbete och vidareutbildning. Detta skall utgöra ett led i åtgärder för att skapa ett konkurrenskraftigt klimat för indiv</w:t>
      </w:r>
      <w:r w:rsidRPr="00000E4F">
        <w:t>i</w:t>
      </w:r>
      <w:r w:rsidRPr="00000E4F">
        <w:t>der och företag i Sverige. Det behövs bl.a. en ny och mer flexibel arbetsrätt (yrk. 21).</w:t>
      </w:r>
    </w:p>
    <w:p w:rsidR="00866CF7" w:rsidRPr="00000E4F" w:rsidRDefault="00866CF7">
      <w:pPr>
        <w:pStyle w:val="Normaltindrag"/>
      </w:pPr>
      <w:r w:rsidRPr="00000E4F">
        <w:t xml:space="preserve">Många företagare är på grund av anställningsskyddslagen tveksamma till att nyanställa och expandera. Lagen måste omarbetas från grunden. Den bör ge den enskilde arbetstagaren ett grundläggande skydd mot att skiljas från sin </w:t>
      </w:r>
      <w:r w:rsidRPr="00000E4F">
        <w:t>anställning på osakliga grunder. Turordningsreglerna bör slopas helt. La</w:t>
      </w:r>
      <w:r w:rsidRPr="00000E4F">
        <w:t>g</w:t>
      </w:r>
      <w:r w:rsidRPr="00000E4F">
        <w:t>stiftningen på morgondagens arbetsmarknad bör vara mer ”individualiserad”, dvs. den bör tydligt göra den enskilde till bärare av arbetets rättigheter (yrk. 22).</w:t>
      </w:r>
    </w:p>
    <w:p w:rsidR="00866CF7" w:rsidRPr="00000E4F" w:rsidRDefault="00866CF7">
      <w:r w:rsidRPr="00000E4F">
        <w:rPr>
          <w:i/>
        </w:rPr>
        <w:t>Vänsterpartiet</w:t>
      </w:r>
      <w:r w:rsidRPr="00000E4F">
        <w:t xml:space="preserve"> framhåller i partimotion A723 att det behövs en ny och fö</w:t>
      </w:r>
      <w:r w:rsidRPr="00000E4F">
        <w:t>r</w:t>
      </w:r>
      <w:r w:rsidRPr="00000E4F">
        <w:t>stärkt arbetsrätt. Som skäl för ställningstagandet anges de stora förändringar som skett i samhället och näringslivet. Enligt partiet handlar det om förän</w:t>
      </w:r>
      <w:r w:rsidRPr="00000E4F">
        <w:t>d</w:t>
      </w:r>
      <w:r w:rsidRPr="00000E4F">
        <w:t>rade produktions- och organisationsmönster, nya anställningsformer, inte</w:t>
      </w:r>
      <w:r w:rsidRPr="00000E4F">
        <w:t>r</w:t>
      </w:r>
      <w:r w:rsidRPr="00000E4F">
        <w:t>nationalisering av kapitalrörelser och EU-medlemskap. Utvecklingen har också gått i riktning mot ett ökat antal anställningsformer som inte är fasta heltidstjänster, dvs. korta och lösa anställningsformer. Detta drabbar framf</w:t>
      </w:r>
      <w:r w:rsidRPr="00000E4F">
        <w:t>ör allt kvinnor och ungdomar. Vidare har den nya uppsplittringen av arbet</w:t>
      </w:r>
      <w:r w:rsidRPr="00000E4F">
        <w:t>s</w:t>
      </w:r>
      <w:r w:rsidRPr="00000E4F">
        <w:t>marknaden där anställda ”utkontrakteras” och formellt görs till egna föret</w:t>
      </w:r>
      <w:r w:rsidRPr="00000E4F">
        <w:t>a</w:t>
      </w:r>
      <w:r w:rsidRPr="00000E4F">
        <w:t>gare inneburit att vissa hamnar utanför den arbetsrättsliga lagstiftningens skyddsnät.</w:t>
      </w:r>
    </w:p>
    <w:p w:rsidR="00866CF7" w:rsidRPr="00000E4F" w:rsidRDefault="00866CF7">
      <w:pPr>
        <w:pStyle w:val="Normaltindrag"/>
      </w:pPr>
      <w:r w:rsidRPr="00000E4F">
        <w:t>Partiet föreslår att det tillsätts en utredning som skall ha till uppgift att u</w:t>
      </w:r>
      <w:r w:rsidRPr="00000E4F">
        <w:t>t</w:t>
      </w:r>
      <w:r w:rsidRPr="00000E4F">
        <w:t>veckla arbetsrätten inom följande områden. Löntagarnas inflytande måste öka. Vidare måste arbetstagarbegreppet utvidgas så att alla löntagare omfa</w:t>
      </w:r>
      <w:r w:rsidRPr="00000E4F">
        <w:t>t</w:t>
      </w:r>
      <w:r w:rsidRPr="00000E4F">
        <w:t>tas av arbetsrätten. Rätten till kompetensutveckling för alla anställda måste regleras i lagstiftning. I denna skall arbetsgivarnas ansvar för kompetensu</w:t>
      </w:r>
      <w:r w:rsidRPr="00000E4F">
        <w:t>t</w:t>
      </w:r>
      <w:r w:rsidRPr="00000E4F">
        <w:t>veckling tydligt lyftas fram och de fackliga organisationerna skall ha möjli</w:t>
      </w:r>
      <w:r w:rsidRPr="00000E4F">
        <w:t>g</w:t>
      </w:r>
      <w:r w:rsidRPr="00000E4F">
        <w:t>het att påverka. En lagstiftning som garanterar yttrandefriheten för alla a</w:t>
      </w:r>
      <w:r w:rsidRPr="00000E4F">
        <w:t>r</w:t>
      </w:r>
      <w:r w:rsidRPr="00000E4F">
        <w:t>betstagare och som inte tillåter att den inskränks i anst</w:t>
      </w:r>
      <w:r w:rsidRPr="00000E4F">
        <w:t>ällningsavtalet måste införas. Utredningen bör bedrivas skyndsamt och i samarbete med arbet</w:t>
      </w:r>
      <w:r w:rsidRPr="00000E4F">
        <w:t>s</w:t>
      </w:r>
      <w:r w:rsidRPr="00000E4F">
        <w:t>marknadens parter (yrk. 1).</w:t>
      </w:r>
    </w:p>
    <w:p w:rsidR="00866CF7" w:rsidRPr="00000E4F" w:rsidRDefault="00866CF7">
      <w:pPr>
        <w:pStyle w:val="Normaltindrag"/>
      </w:pPr>
      <w:r w:rsidRPr="00000E4F">
        <w:t xml:space="preserve">I kommittémotion Sf304 hävdar </w:t>
      </w:r>
      <w:r w:rsidRPr="00000E4F">
        <w:rPr>
          <w:i/>
        </w:rPr>
        <w:t>Vänsterpartiet</w:t>
      </w:r>
      <w:r w:rsidRPr="00000E4F">
        <w:t xml:space="preserve"> att om man skall förhindra utslagning och förtidspensionering måste anställningsskyddet stärkas i sa</w:t>
      </w:r>
      <w:r w:rsidRPr="00000E4F">
        <w:t>m</w:t>
      </w:r>
      <w:r w:rsidRPr="00000E4F">
        <w:t>band med rehabilitering. Särskilt viktigt är att man på de större arbetsplatse</w:t>
      </w:r>
      <w:r w:rsidRPr="00000E4F">
        <w:t>r</w:t>
      </w:r>
      <w:r w:rsidRPr="00000E4F">
        <w:t>na tar socialt ansvar för arbetstagare som arbetat länge där. Partiet föreslår att ovan nämnda utredning även bör behandla denna fråga (yrk. 9).</w:t>
      </w:r>
    </w:p>
    <w:p w:rsidR="00866CF7" w:rsidRPr="00000E4F" w:rsidRDefault="00866CF7">
      <w:pPr>
        <w:pStyle w:val="Normaltindrag"/>
      </w:pPr>
      <w:r w:rsidRPr="00000E4F">
        <w:t xml:space="preserve">I partimotion A219 framför </w:t>
      </w:r>
      <w:r w:rsidRPr="00000E4F">
        <w:rPr>
          <w:i/>
        </w:rPr>
        <w:t>Vänsterpartiet</w:t>
      </w:r>
      <w:r w:rsidRPr="00000E4F">
        <w:t xml:space="preserve"> krav på en modernisering av arbetsrätten för att stärka anställningstryggheten och begränsa floran av visstidsanställningar så att arbetsgivare inte kan missbruka kvinnors arbet</w:t>
      </w:r>
      <w:r w:rsidRPr="00000E4F">
        <w:t>s</w:t>
      </w:r>
      <w:r w:rsidRPr="00000E4F">
        <w:t>kraft (yrk. 1).</w:t>
      </w:r>
    </w:p>
    <w:p w:rsidR="00866CF7" w:rsidRPr="00000E4F" w:rsidRDefault="00866CF7">
      <w:r w:rsidRPr="00000E4F">
        <w:t xml:space="preserve">Enligt kommittémotion A254 anser </w:t>
      </w:r>
      <w:r w:rsidRPr="00000E4F">
        <w:rPr>
          <w:i/>
        </w:rPr>
        <w:t xml:space="preserve">Kristdemokraterna </w:t>
      </w:r>
      <w:r w:rsidRPr="00000E4F">
        <w:t xml:space="preserve"> att dagens arbetsrätt är anpassad till 1970-talets samhälle med stora varuproducerande företag som förebild. Tron att människor är utbytbara i en produktionskedja präglade tänkandet som ligger bakom dagens arbetsrätt. Förändringstakten i näringsl</w:t>
      </w:r>
      <w:r w:rsidRPr="00000E4F">
        <w:t>i</w:t>
      </w:r>
      <w:r w:rsidRPr="00000E4F">
        <w:t>vet har accelererat sedan dess. Människor är mer välutbildade och svåra att byta ut. De nya jobben skapas i de små företagen. Arbetslivet har förändrats till karaktär och innehåll. Företag med snabb tillväxt och stora företag med hög arbetsrättsl</w:t>
      </w:r>
      <w:r w:rsidRPr="00000E4F">
        <w:t>ig kompetens och stora möjligheter till omdisponeringar av arbetskraften har sällan problem med arbetsrätten. Däremot upplever de  mindre företagen arbetsrätten som ett problem. Arbetsrätten måste därför moderniseras och förenklas. För att arbetsrätten skall bli mer flexibel och bättre anpassad för småföretag bör det genomföras en rad förändringar. De</w:t>
      </w:r>
      <w:r w:rsidRPr="00000E4F">
        <w:t>s</w:t>
      </w:r>
      <w:r w:rsidRPr="00000E4F">
        <w:t>sa rör bl.a.  turordningsreglerna, fackets vetorätt vid entreprenader, reglerna om stridsåtgärder m.m. Partiet anser att dessa förslag kan genomföras utan för</w:t>
      </w:r>
      <w:r w:rsidRPr="00000E4F">
        <w:t>egående utredning (yrk. 25).</w:t>
      </w:r>
    </w:p>
    <w:p w:rsidR="00866CF7" w:rsidRPr="00000E4F" w:rsidRDefault="00866CF7">
      <w:pPr>
        <w:pStyle w:val="Normaltindrag"/>
      </w:pPr>
      <w:r w:rsidRPr="00000E4F">
        <w:t>Vidare anser partiet att en lämplig myndighet bör ta ansvar för att öka i</w:t>
      </w:r>
      <w:r w:rsidRPr="00000E4F">
        <w:t>n</w:t>
      </w:r>
      <w:r w:rsidRPr="00000E4F">
        <w:t xml:space="preserve">formationen om gällande regler på arbetsrättens område. Detta är särskilt viktigt vad gäller de mindre företagen eftersom de oftast saknar kunskap om vilka villkor som gäller (yrk. 32). </w:t>
      </w:r>
    </w:p>
    <w:p w:rsidR="00866CF7" w:rsidRPr="00000E4F" w:rsidRDefault="00866CF7">
      <w:pPr>
        <w:rPr>
          <w:i/>
        </w:rPr>
      </w:pPr>
      <w:r w:rsidRPr="00000E4F">
        <w:rPr>
          <w:i/>
        </w:rPr>
        <w:t xml:space="preserve">Centerpartiet </w:t>
      </w:r>
      <w:r w:rsidRPr="00000E4F">
        <w:t>hävdar i partimotion A220 att trygghet i arbetslivet bäst skapas av konkurrenskraftiga företag. Stelbenta lagar kan vara hinder för företagens utveckling och i sämsta fall hota anställningstryggheten i hela företaget. Nuvarande arbetsrätt utformades i huvudsak i början av 1970-talet och gru</w:t>
      </w:r>
      <w:r w:rsidRPr="00000E4F">
        <w:t>n</w:t>
      </w:r>
      <w:r w:rsidRPr="00000E4F">
        <w:t>dades på erfarenheter av arbetslivet under 1950- och 60-talen. Arbetsrätten är också i huvudsak anpassad till de stora företagens behov och förutsättningar. Ett stort antal människor står utanför arbetsmarknaden eller ha</w:t>
      </w:r>
      <w:r w:rsidRPr="00000E4F">
        <w:t>r svag ankny</w:t>
      </w:r>
      <w:r w:rsidRPr="00000E4F">
        <w:t>t</w:t>
      </w:r>
      <w:r w:rsidRPr="00000E4F">
        <w:t>ning till denna. En fjärdedel av dem som arbetar saknar fast anställning. Till detta kommer att det blir allt svårare att applicera dagens lagstiftning på de nya mönster som växer fram på arbetsmarknaden. Nya anställningsformer växer fram. För att möta denna förändring anser partiet att det är nödvändigt att det tillsätts en utredning med uppdrag att se över hur hela dagens rege</w:t>
      </w:r>
      <w:r w:rsidRPr="00000E4F">
        <w:t>l</w:t>
      </w:r>
      <w:r w:rsidRPr="00000E4F">
        <w:t>verk bör förändras för att skapa bättre trygghet, flexibilitet och tillväxt (yrk. 21).</w:t>
      </w:r>
    </w:p>
    <w:p w:rsidR="00866CF7" w:rsidRPr="00000E4F" w:rsidRDefault="00866CF7">
      <w:r w:rsidRPr="00000E4F">
        <w:rPr>
          <w:i/>
        </w:rPr>
        <w:t>Folkpartiet</w:t>
      </w:r>
      <w:r w:rsidRPr="00000E4F">
        <w:t xml:space="preserve"> anser att ett av de viktigaste områdena när det gäller förnyelse av arbetsmarknaden är arbetsrätten. Partiet framhåller i kommittémotion A231, i likhet med flera av de andra partierna, att den nuvarande arbetsrätten är a</w:t>
      </w:r>
      <w:r w:rsidRPr="00000E4F">
        <w:t>n</w:t>
      </w:r>
      <w:r w:rsidRPr="00000E4F">
        <w:t>passad till 1970-talets behov och arbetsmarknad, där utgångspunkten var att en arbetstagare arbetar hos samma arbetsgivare under hela sitt yrkesver</w:t>
      </w:r>
      <w:r w:rsidRPr="00000E4F">
        <w:t>k</w:t>
      </w:r>
      <w:r w:rsidRPr="00000E4F">
        <w:t>samma liv. Eftersom arbetsmarknaden hela tiden förändras och fler arbetst</w:t>
      </w:r>
      <w:r w:rsidRPr="00000E4F">
        <w:t>a</w:t>
      </w:r>
      <w:r w:rsidRPr="00000E4F">
        <w:t>gare får andra anställningsformer än visstidsanställning brådskar en</w:t>
      </w:r>
      <w:r w:rsidRPr="00000E4F">
        <w:t xml:space="preserve"> fortsatt reformering av arbetsrätten. Inledningsvis bör 1994 års lagstiftning återinf</w:t>
      </w:r>
      <w:r w:rsidRPr="00000E4F">
        <w:t>ö</w:t>
      </w:r>
      <w:r w:rsidRPr="00000E4F">
        <w:t xml:space="preserve">ras. För att på sikt få till stånd en modern arbetsrätt bör det även tillsättas en parlamentarisk utredning (yrk. 18). </w:t>
      </w:r>
    </w:p>
    <w:p w:rsidR="00866CF7" w:rsidRPr="00000E4F" w:rsidRDefault="00866CF7">
      <w:r w:rsidRPr="00000E4F">
        <w:t xml:space="preserve">I kommittémotion A811 tar </w:t>
      </w:r>
      <w:r w:rsidRPr="00000E4F">
        <w:rPr>
          <w:i/>
        </w:rPr>
        <w:t xml:space="preserve">Miljöpartiet </w:t>
      </w:r>
      <w:r w:rsidRPr="00000E4F">
        <w:t>upp det växande problemet med ”tystnaden” på arbetsplatsen. Enligt partiet är rädslan att framföra kritik på arbetsplatsen ett stort och växande arbetsmiljöproblem. Många arbetsgivare anser att lojalitet innebär att arbetstagarna inte skall kritisera dem. Detta gäller i hög grad arbetsgivare inom den offentliga sektorn. Arbetstagare vågar därför inte öppet kritisera arbetsgivare av rädsla för att få problem på arbetsplatsen. Särskilt utsatta är de arbetstagare som har tidsbegränsade anställning</w:t>
      </w:r>
      <w:r w:rsidRPr="00000E4F">
        <w:t xml:space="preserve">ar. För att kunna erhålla tillsvidareanställningar berättar de inte om eventuella missförhållanden. För att komma till rätta med den utbredda ”tystnaden” på arbetsplatsen anser partiet att det bör tillsättas en utredning som ser över denna problematik (yrk. 1). </w:t>
      </w:r>
    </w:p>
    <w:p w:rsidR="00866CF7" w:rsidRPr="00000E4F" w:rsidRDefault="00866CF7">
      <w:pPr>
        <w:pStyle w:val="Normaltindrag"/>
      </w:pPr>
      <w:r w:rsidRPr="00000E4F">
        <w:t>Vidare anser partiet att det bör göras en förändring av medbestämmand</w:t>
      </w:r>
      <w:r w:rsidRPr="00000E4F">
        <w:t>e</w:t>
      </w:r>
      <w:r w:rsidRPr="00000E4F">
        <w:t>lagen. I statliga bolag som privatiserats och i andra privata företag gäller inte personalens yttrandefrihet och det grundlagsstadgade anonymitets- och me</w:t>
      </w:r>
      <w:r w:rsidRPr="00000E4F">
        <w:t>d</w:t>
      </w:r>
      <w:r w:rsidRPr="00000E4F">
        <w:t>bestämmande skyddet. Den som yttrar sig offentligt riskerar disciplinära åtgärder. Partiet föreslår därför att det tillsätts en utredning som ser över medbestämmandelagen i detta hänseende (yrk. 2).</w:t>
      </w:r>
    </w:p>
    <w:p w:rsidR="00866CF7" w:rsidRPr="00000E4F" w:rsidRDefault="00866CF7">
      <w:r w:rsidRPr="00000E4F">
        <w:rPr>
          <w:i/>
        </w:rPr>
        <w:t>Inger Strömbom (kd)</w:t>
      </w:r>
      <w:r w:rsidRPr="00000E4F">
        <w:t xml:space="preserve"> påpekar i motion K351 att nuvarande arbetsrätt skapar ett svårgenomträngligt regelverk för det lilla företaget. Arbetsrätten behöver förenklas och moderniseras så att småföretagare kan följa de regler som finns och ändå driva en lönsam verksamhet (yrk. 2). </w:t>
      </w:r>
    </w:p>
    <w:p w:rsidR="00866CF7" w:rsidRPr="00000E4F" w:rsidRDefault="00866CF7">
      <w:r w:rsidRPr="00000E4F">
        <w:rPr>
          <w:i/>
        </w:rPr>
        <w:t>Sven Bergström m.fl. (c)</w:t>
      </w:r>
      <w:r w:rsidRPr="00000E4F">
        <w:t xml:space="preserve"> anser i motion N389 att en mindre reglerad arbet</w:t>
      </w:r>
      <w:r w:rsidRPr="00000E4F">
        <w:t>s</w:t>
      </w:r>
      <w:r w:rsidRPr="00000E4F">
        <w:t>marknad med större möjligheter till projekt- och visstidsanställningar samt flexiblare och kortare arbetstider leder till att fler människor kan få arbete (yrk. 3).</w:t>
      </w:r>
    </w:p>
    <w:p w:rsidR="00866CF7" w:rsidRPr="00000E4F" w:rsidRDefault="00866CF7">
      <w:pPr>
        <w:pStyle w:val="R3"/>
      </w:pPr>
      <w:r w:rsidRPr="00000E4F">
        <w:t>Utskottets ställningstagande</w:t>
      </w:r>
    </w:p>
    <w:p w:rsidR="00866CF7" w:rsidRPr="00000E4F" w:rsidRDefault="00866CF7">
      <w:r w:rsidRPr="00000E4F">
        <w:t>Under 1970-talet genomfördes ett omfattande arbetsrättsligt reformarbete som rörde tre huvudfrågor: anställningstrygghet, medbestämmanderätt och arbetsmiljö. Detta arbete låg sedan till grund för den nuvarande arbetsrättsl</w:t>
      </w:r>
      <w:r w:rsidRPr="00000E4F">
        <w:t>i</w:t>
      </w:r>
      <w:r w:rsidRPr="00000E4F">
        <w:t>ga lagstiftningen. Under perioden tillkom bl.a. anställningsskyddslagen och medbestämmandelagen. Syftet med dessa lagar var bl.a. att skapa ett skydd för bestående anställningar och att tillförsäkra arbetstagarinflytande. Även om dessa lagar alltjämt är gällande har de under åren varit föremål för olika utredningar som i sin tur lett till olika regelförändringar. Under 1990-talet har arbetsrätten utretts vid ett flertal tillfällen. I utskottets arbetsrättsbetä</w:t>
      </w:r>
      <w:r w:rsidRPr="00000E4F">
        <w:t>n</w:t>
      </w:r>
      <w:r w:rsidRPr="00000E4F">
        <w:t>kanden hösten 1996 och våren 1998 (bet. 1996/9</w:t>
      </w:r>
      <w:r w:rsidRPr="00000E4F">
        <w:t>7:AU4 respektive 1997/98:AU6) har lämnats relativt utförliga redogörelser för detta och för vilka förändringar som geno</w:t>
      </w:r>
      <w:r w:rsidRPr="00000E4F">
        <w:t>m</w:t>
      </w:r>
      <w:r w:rsidRPr="00000E4F">
        <w:t xml:space="preserve">förts under denna period. </w:t>
      </w:r>
    </w:p>
    <w:p w:rsidR="00866CF7" w:rsidRPr="00000E4F" w:rsidRDefault="00866CF7">
      <w:pPr>
        <w:pStyle w:val="Normaltindrag"/>
      </w:pPr>
      <w:r w:rsidRPr="00000E4F">
        <w:t>Även i dagsläget pågår det arbete som syftar till att reformera arbetsrätten. Utskottet kommer att i det följande lämna en kort redogörelse för detta arb</w:t>
      </w:r>
      <w:r w:rsidRPr="00000E4F">
        <w:t>e</w:t>
      </w:r>
      <w:r w:rsidRPr="00000E4F">
        <w:t xml:space="preserve">te. Redogörelsen är dock inte fullständig. </w:t>
      </w:r>
    </w:p>
    <w:p w:rsidR="00866CF7" w:rsidRPr="00000E4F" w:rsidRDefault="00866CF7">
      <w:pPr>
        <w:pStyle w:val="Normaltindrag"/>
        <w:rPr>
          <w:b/>
        </w:rPr>
      </w:pPr>
      <w:r w:rsidRPr="00000E4F">
        <w:t>Regeringen har den 23 september 1999 tillkallat en särskild utredare för att se över behovet av lagstiftning eller andra åtgärder för att stärka skyddet av den enskildes personliga integritet i arbetslivet (dir. 1999:73). Uppdraget skall slutföras senast den 1 april 2001. Vid utskottets behandling av budge</w:t>
      </w:r>
      <w:r w:rsidRPr="00000E4F">
        <w:t>t</w:t>
      </w:r>
      <w:r w:rsidRPr="00000E4F">
        <w:t>propositionen hösten 1999 föreslog utskottet att det skulle göras en översyn av bemanningsföretagens verksamhet. Riksdagen beslutade i enlighet med förslaget (rskr. 1998/99:179). Enligt vad utskottet erfarit vid kontakter med Regeringskansliet pågår för närvarande ett arbete med att utforma direktiv till en kommande utredning i frågan. Under hösten 1999 presenterades en departementspromemoria (Ds 1999:76) som föreslår införandet av en obl</w:t>
      </w:r>
      <w:r w:rsidRPr="00000E4F">
        <w:t>i</w:t>
      </w:r>
      <w:r w:rsidRPr="00000E4F">
        <w:t>gatorisk mammaledighet. Förslaget bygger på ett EU-direktiv (92/85/E</w:t>
      </w:r>
      <w:r w:rsidRPr="00000E4F">
        <w:t>EG) och bereds för närvarande inom Regeringskansliet. Regeringen har aviserat att den kommer att lämna en proposition i frågan den 22 mars 2000. I en annan departementspromemoria (Ds 1999:39) som presenterats 1999 har lämnats förslag till höjd ålder för avgångsskyldighet till 67 år. Förslaget som innebär en ändring av anställningsskyddslagen, bereds för närvarande inom Regeringskansliet. Den s.k. DELTA-utredningens (Utredningen om deltid</w:t>
      </w:r>
      <w:r w:rsidRPr="00000E4F">
        <w:t>s</w:t>
      </w:r>
      <w:r w:rsidRPr="00000E4F">
        <w:t>arbete, tillfälliga jobb och arbetslöshetsersättning) förslag i SOU 19</w:t>
      </w:r>
      <w:r w:rsidRPr="00000E4F">
        <w:t>98:115 bereds för närvarande inom Regeringskansliet. Den s.k. SimpLex-kommissionen fortsätter sitt arbete. Gruppen bildades våren 1999 för att samordna och stödja arbetet med regelförenkling.</w:t>
      </w:r>
    </w:p>
    <w:p w:rsidR="00866CF7" w:rsidRPr="00000E4F" w:rsidRDefault="00866CF7">
      <w:pPr>
        <w:pStyle w:val="Normaltindrag"/>
      </w:pPr>
      <w:r w:rsidRPr="00000E4F">
        <w:t>Som framgår av motionerna framställs mer eller mindre långtgående krav på förändringar av den arbetsrättsliga lagstiftningen. Ett vanligt argument för att ändra den nuvarande lagstiftningen är att den har tillkommit i en annan tid med andra förutsättningar och att den därför inte svarar mot de krav som dagens arbetsmar</w:t>
      </w:r>
      <w:r w:rsidRPr="00000E4F">
        <w:t>knad ställer. Utskottet kan i och för sig instämma i att a</w:t>
      </w:r>
      <w:r w:rsidRPr="00000E4F">
        <w:t>r</w:t>
      </w:r>
      <w:r w:rsidRPr="00000E4F">
        <w:t>betsmarknaden gradvis har genomgått en förändring. Anställningsformerna har delvis förändrats och andelen visstidsanställningar har ökat på bekostnad av tillsvidareanställningar. Denna utveckling är inte önskvärd och kan på sikt innebära minskad trygghet för den enskilde. Utskottet delar inte synsättet att utformningen av nuvarande arbetsrättslagstiftning är sådan att den inte är anpassad för dagens arbetsmarknad. Lagstiftningen tillförsäkrar den en</w:t>
      </w:r>
      <w:r w:rsidRPr="00000E4F">
        <w:t>skilde en trygghet, och förändringarna på arbetsmarknaden pekar snarare på att den i vissa delar behöver förstärkas. Utskottet kan därför inte ställa sig bakom de krav på omfattande förändringar av grundstrukturen på lagstiftningen som framförs i Moderaternas motion Sk692 och Kristdemokraternas motion A254 samt i de enskilda motionerna K351 (kd) och N389 (c), samtliga i berörda delar.</w:t>
      </w:r>
    </w:p>
    <w:p w:rsidR="00866CF7" w:rsidRPr="00000E4F" w:rsidRDefault="00866CF7">
      <w:pPr>
        <w:pStyle w:val="Normaltindrag"/>
      </w:pPr>
      <w:r w:rsidRPr="00000E4F">
        <w:t>Utskottets ställningstagande innebär dock inte att utskottet är avvisande till förändringar av den arbetsrättsliga lagstiftn</w:t>
      </w:r>
      <w:r w:rsidRPr="00000E4F">
        <w:t>ingen. Givetvis måste sådana förändringar övervägas från tid till annan. En utgångspunkt måste då vara att inte förändra lagstiftningens starka karaktär av skyddslagstiftning. Eventuella förändringar bör ske genom reformering av det befintliga systemet. Enligt utskottets mening innebär de stora förändringarna som skett inom samhället och i näringslivet, som påtalats av Vänsterpartiet i motion A723, att föru</w:t>
      </w:r>
      <w:r w:rsidRPr="00000E4F">
        <w:t>t</w:t>
      </w:r>
      <w:r w:rsidRPr="00000E4F">
        <w:t>sättningarna för att uppnå målet om ett rättvisare och tryggare arbetsliv kan ha förändrats. Som tidi</w:t>
      </w:r>
      <w:r w:rsidRPr="00000E4F">
        <w:t>gare påpekats har utvecklingen gått mot kortare och lösare anställningsformer på bekostnad av fasta heltidstjänster. Detta drabbar framför allt kvinnor och ungdomar. En annan utveckling inom arbetslivet är att alltfler inte längre är arbetstagare utan deras tjänster utformas på sådant sätt att de betraktas som företagare. Eftersom den arbetsrättsliga lagstiftnin</w:t>
      </w:r>
      <w:r w:rsidRPr="00000E4F">
        <w:t>g</w:t>
      </w:r>
      <w:r w:rsidRPr="00000E4F">
        <w:t>en bygger på att den som utför arbetet är arbetstagare, innebär denna utvec</w:t>
      </w:r>
      <w:r w:rsidRPr="00000E4F">
        <w:t>k</w:t>
      </w:r>
      <w:r w:rsidRPr="00000E4F">
        <w:t xml:space="preserve">ling att alltfler står utanför lagstiftningen. Därigenom minskar deras </w:t>
      </w:r>
      <w:r w:rsidRPr="00000E4F">
        <w:t>trygghet och möjlighet till inflytande. Utvecklingen innebär också ökat inslag av konsulter och inhyrd arbetskraft. Som påpekats av Vänsterpartiet</w:t>
      </w:r>
      <w:r w:rsidRPr="00000E4F">
        <w:rPr>
          <w:b/>
        </w:rPr>
        <w:t xml:space="preserve"> </w:t>
      </w:r>
      <w:r w:rsidRPr="00000E4F">
        <w:t>i</w:t>
      </w:r>
      <w:r w:rsidRPr="00000E4F">
        <w:rPr>
          <w:b/>
        </w:rPr>
        <w:t xml:space="preserve"> </w:t>
      </w:r>
      <w:r w:rsidRPr="00000E4F">
        <w:t>ovan nämnda motion och av Miljöpartiet i motion A811 blir det också vanligare att arbetstagare inte vågar framföra kritik och synpunkter om förhållandena på arbetsplatsen. En annan tendens är att arbetstagare inte vågar utnyttja sin grundlagsskyddade meddelarfrihet.</w:t>
      </w:r>
    </w:p>
    <w:p w:rsidR="00866CF7" w:rsidRPr="00000E4F" w:rsidRDefault="00866CF7">
      <w:pPr>
        <w:pStyle w:val="Normaltindrag"/>
      </w:pPr>
      <w:r w:rsidRPr="00000E4F">
        <w:t>Mot bakgrund av denna utveckling finns det enligt utskottet skäl att se över den arbetsrättsliga</w:t>
      </w:r>
      <w:r w:rsidRPr="00000E4F">
        <w:t xml:space="preserve"> lagstiftningen så att den uppfyller kraven på trygghet och inflytande för de anställda. Exempel på frågor som skulle kunna bli föremål för översyn är arbetstagarbegreppet, yttrandefriheten för anställda och korttidsanställningarnas inverkan på arbetslivet. Enligt utskottets mening bör en sådan översyn inte ha den inriktning som Centerpartiet och Folkpartiet föreslår. Deras förslag skulle kunna innebära försämringar av den nu gälla</w:t>
      </w:r>
      <w:r w:rsidRPr="00000E4F">
        <w:t>n</w:t>
      </w:r>
      <w:r w:rsidRPr="00000E4F">
        <w:t>de arbetsrätten och därmed att tryggheten för den enskilde arbetstagaren sku</w:t>
      </w:r>
      <w:r w:rsidRPr="00000E4F">
        <w:t xml:space="preserve">lle bli mindre. Utskottet anser att det bör ankomma på regeringen att bestämma formerna för och omfattningen av denna översyn. Vad utskottet anfört bör ges regeringen till känna. </w:t>
      </w:r>
    </w:p>
    <w:p w:rsidR="00866CF7" w:rsidRPr="00000E4F" w:rsidRDefault="00866CF7">
      <w:pPr>
        <w:pStyle w:val="Normaltindrag"/>
      </w:pPr>
      <w:r w:rsidRPr="00000E4F">
        <w:t>Sammanfattningsvis avstyrks motionerna A219 yrkande 1 (v), A220 y</w:t>
      </w:r>
      <w:r w:rsidRPr="00000E4F">
        <w:t>r</w:t>
      </w:r>
      <w:r w:rsidRPr="00000E4F">
        <w:t>kande 21 (c), A231 yrkande 18 (fp), A254 yrkande 25 (kd), A723 yrkande 1 (v), A811 yrkandena 1 och 2 (mp), Sf304 yrkande 9 (v), K351 yrkande 2 (kd), N389 yrkande 3 (c) och Sk692 yrkande 21 och 22 (m) i den mån de inte kan anses tillgod</w:t>
      </w:r>
      <w:r w:rsidRPr="00000E4F">
        <w:t>o</w:t>
      </w:r>
      <w:r w:rsidRPr="00000E4F">
        <w:t>sedda med vad som anförts.</w:t>
      </w:r>
    </w:p>
    <w:p w:rsidR="00866CF7" w:rsidRPr="00000E4F" w:rsidRDefault="00866CF7">
      <w:pPr>
        <w:pStyle w:val="Normaltindrag"/>
      </w:pPr>
      <w:r w:rsidRPr="00000E4F">
        <w:t>Utskottet övergår nu till att behandla Kristdemokraternas förslag att en lämplig myndighet bör ta ansvar för att öka informationen om gällande regler på arbetsrättens område. U</w:t>
      </w:r>
      <w:r w:rsidRPr="00000E4F">
        <w:t>t</w:t>
      </w:r>
      <w:r w:rsidRPr="00000E4F">
        <w:t xml:space="preserve">skottet vill i denna del anföra följande. </w:t>
      </w:r>
    </w:p>
    <w:p w:rsidR="00866CF7" w:rsidRPr="00000E4F" w:rsidRDefault="00866CF7">
      <w:pPr>
        <w:pStyle w:val="Normaltindrag"/>
      </w:pPr>
      <w:r w:rsidRPr="00000E4F">
        <w:t>Småföretagarnas behov av information om olika regler har bl.a. uppmär</w:t>
      </w:r>
      <w:r w:rsidRPr="00000E4F">
        <w:t>k</w:t>
      </w:r>
      <w:r w:rsidRPr="00000E4F">
        <w:t xml:space="preserve">sammats av Småföretagsdelegationen. Delegationen föreslog i betänkande SOU 1998:64 att det bör finnas ett Internetbaserat informationssystem där en företagare när som helst på dygnet skall kunna få fram vilka regler som gäller för olika typer av företag. </w:t>
      </w:r>
    </w:p>
    <w:p w:rsidR="00866CF7" w:rsidRPr="00000E4F" w:rsidRDefault="00866CF7">
      <w:pPr>
        <w:pStyle w:val="Normaltindrag"/>
      </w:pPr>
      <w:r w:rsidRPr="00000E4F">
        <w:t>Regeringen har den 20 december 1999 beslutat att NUTEK skall få disp</w:t>
      </w:r>
      <w:r w:rsidRPr="00000E4F">
        <w:t>o</w:t>
      </w:r>
      <w:r w:rsidRPr="00000E4F">
        <w:t>nera högst 6 miljoner kronor för att i samråd med Närings- och Justitied</w:t>
      </w:r>
      <w:r w:rsidRPr="00000E4F">
        <w:t>e</w:t>
      </w:r>
      <w:r w:rsidRPr="00000E4F">
        <w:t>partementet, Regeringskansliets förvaltningsavdelning, Statskontoret och Länsstyrelsen i Jönköpings län vidareutveckla användningen av Internetbas</w:t>
      </w:r>
      <w:r w:rsidRPr="00000E4F">
        <w:t>e</w:t>
      </w:r>
      <w:r w:rsidRPr="00000E4F">
        <w:t>rade elektroniska tjänster för information och ärendehantering för blivande och befintliga företagare. NUTEK skall senast den 15 februari 2000 till reg</w:t>
      </w:r>
      <w:r w:rsidRPr="00000E4F">
        <w:t>e</w:t>
      </w:r>
      <w:r w:rsidRPr="00000E4F">
        <w:t>ringen lämna en akt</w:t>
      </w:r>
      <w:r w:rsidRPr="00000E4F">
        <w:t>i</w:t>
      </w:r>
      <w:r w:rsidRPr="00000E4F">
        <w:t>vitets- och tidsplan för uppdraget.</w:t>
      </w:r>
    </w:p>
    <w:p w:rsidR="00866CF7" w:rsidRPr="00000E4F" w:rsidRDefault="00866CF7">
      <w:pPr>
        <w:pStyle w:val="Normaltindrag"/>
      </w:pPr>
      <w:r w:rsidRPr="00000E4F">
        <w:t>I syfte att utveckla statliga myndigheters service gentemot enskilda me</w:t>
      </w:r>
      <w:r w:rsidRPr="00000E4F">
        <w:t>d</w:t>
      </w:r>
      <w:r w:rsidRPr="00000E4F">
        <w:t xml:space="preserve">borgare och företag har Statskontoret fått i uppdrag att ta fram kriterier för begreppet 24-timmars myndighet (Ju1999/5808/F). </w:t>
      </w:r>
    </w:p>
    <w:p w:rsidR="00866CF7" w:rsidRPr="00000E4F" w:rsidRDefault="00866CF7">
      <w:pPr>
        <w:pStyle w:val="Normaltindrag"/>
      </w:pPr>
      <w:r w:rsidRPr="00000E4F">
        <w:t>Vidare startades 1997 ett projekt benämnt SverigeDirekt. Syftet med pr</w:t>
      </w:r>
      <w:r w:rsidRPr="00000E4F">
        <w:t>o</w:t>
      </w:r>
      <w:r w:rsidRPr="00000E4F">
        <w:t>jektet är att samla information från den offentliga sektorn under en geme</w:t>
      </w:r>
      <w:r w:rsidRPr="00000E4F">
        <w:t>n</w:t>
      </w:r>
      <w:r w:rsidRPr="00000E4F">
        <w:t>sam ”portal”.</w:t>
      </w:r>
    </w:p>
    <w:p w:rsidR="00866CF7" w:rsidRPr="00000E4F" w:rsidRDefault="00866CF7">
      <w:pPr>
        <w:pStyle w:val="Normaltindrag"/>
      </w:pPr>
      <w:r w:rsidRPr="00000E4F">
        <w:t>Utskottet vill i detta sammanhang också peka på en Internetsatsning kallad Smelink. Smelink är en ”webbplats” som riktar sig till små och medelstora företag. Avsikten med Smelink är att förmedla information inom olika sa</w:t>
      </w:r>
      <w:r w:rsidRPr="00000E4F">
        <w:t>m</w:t>
      </w:r>
      <w:r w:rsidRPr="00000E4F">
        <w:t>hällsområden till företagen. Smelink startades på initiativ av Länsteknikcen</w:t>
      </w:r>
      <w:r w:rsidRPr="00000E4F">
        <w:t>t</w:t>
      </w:r>
      <w:r w:rsidRPr="00000E4F">
        <w:t>rum i Jönköping i mitten på 1980-talet. Numera är Knut och Alice Walle</w:t>
      </w:r>
      <w:r w:rsidRPr="00000E4F">
        <w:t>n</w:t>
      </w:r>
      <w:r w:rsidRPr="00000E4F">
        <w:t>bergs Stiftelse huvudfinansiär för Smelink. Bakom verksamheten står dels en stiftelse, dels ett aktiebolag. Delar av Smelinks verksamhet finansieras av Näringsdepartementet.</w:t>
      </w:r>
    </w:p>
    <w:p w:rsidR="00866CF7" w:rsidRPr="00000E4F" w:rsidRDefault="00866CF7">
      <w:pPr>
        <w:pStyle w:val="Normaltindrag"/>
      </w:pPr>
      <w:r w:rsidRPr="00000E4F">
        <w:t>Som framgår av redogörelsen ovan pågår det redan i dag ett arbete med att utveckla och förbättra möjligheterna för företagare att erhålla en samlad information. Detta arbete bedrivs både på</w:t>
      </w:r>
      <w:r w:rsidRPr="00000E4F">
        <w:t xml:space="preserve"> privat initiativ och på initiativ från det allmänna. Utskottet anser mot denna bakgrund att det inte finns skäl att b</w:t>
      </w:r>
      <w:r w:rsidRPr="00000E4F">
        <w:t>i</w:t>
      </w:r>
      <w:r w:rsidRPr="00000E4F">
        <w:t>falla motion A254 yrkande 32 (kd).</w:t>
      </w:r>
    </w:p>
    <w:p w:rsidR="00866CF7" w:rsidRPr="00000E4F" w:rsidRDefault="00866CF7">
      <w:pPr>
        <w:pStyle w:val="Rubrik1"/>
      </w:pPr>
      <w:bookmarkStart w:id="47" w:name="_Toc475783906"/>
      <w:bookmarkStart w:id="48" w:name="_Toc477140356"/>
      <w:r w:rsidRPr="00000E4F">
        <w:t>2 Anställningsskyddslagen</w:t>
      </w:r>
      <w:bookmarkEnd w:id="47"/>
      <w:bookmarkEnd w:id="48"/>
      <w:r w:rsidRPr="00000E4F">
        <w:t xml:space="preserve"> </w:t>
      </w:r>
    </w:p>
    <w:p w:rsidR="00866CF7" w:rsidRPr="00000E4F" w:rsidRDefault="00866CF7">
      <w:pPr>
        <w:pStyle w:val="Rubrik2"/>
        <w:spacing w:before="123"/>
      </w:pPr>
      <w:bookmarkStart w:id="49" w:name="_Toc475783907"/>
      <w:bookmarkStart w:id="50" w:name="_Toc477140357"/>
      <w:r w:rsidRPr="00000E4F">
        <w:t>2.1 Anställningsformer</w:t>
      </w:r>
      <w:bookmarkEnd w:id="49"/>
      <w:bookmarkEnd w:id="50"/>
    </w:p>
    <w:p w:rsidR="00866CF7" w:rsidRPr="00000E4F" w:rsidRDefault="00866CF7">
      <w:pPr>
        <w:pStyle w:val="R3"/>
        <w:spacing w:before="123"/>
      </w:pPr>
      <w:r w:rsidRPr="00000E4F">
        <w:t>Bakgrund</w:t>
      </w:r>
    </w:p>
    <w:p w:rsidR="00866CF7" w:rsidRPr="00000E4F" w:rsidRDefault="00866CF7">
      <w:r w:rsidRPr="00000E4F">
        <w:t>Som huvudregel gäller enligt anställningsskyddslagen att anställningen skall gälla tills vidare. Tidsbegränsad anställning får dock avtalas för viss tid, viss säsong eller visst arbete om det föranleds av arbetets särskilda beskaffenhet. Visstidsanställning får också användas för vikariat, praktikarbete eller feri</w:t>
      </w:r>
      <w:r w:rsidRPr="00000E4F">
        <w:t>e</w:t>
      </w:r>
      <w:r w:rsidRPr="00000E4F">
        <w:t>arbete eller vid tillfällig arbetsanhopning och vissa andra situationer. Vid tillfällig arbetsanhopning gäller dock att visstidsanställning får avse sa</w:t>
      </w:r>
      <w:r w:rsidRPr="00000E4F">
        <w:t>m</w:t>
      </w:r>
      <w:r w:rsidRPr="00000E4F">
        <w:t>manlagt högst sex månader under två år. Avtal får träffas om provanställning i högst sex månader.</w:t>
      </w:r>
    </w:p>
    <w:p w:rsidR="00866CF7" w:rsidRPr="00000E4F" w:rsidRDefault="00866CF7">
      <w:pPr>
        <w:pStyle w:val="Normaltindrag"/>
      </w:pPr>
      <w:r w:rsidRPr="00000E4F">
        <w:t>Riksdagen beslutade hösten 1996 om en ändring i anställningsskyddslagen som innebar att det infördes en ny anställningsform – överenskommen vi</w:t>
      </w:r>
      <w:r w:rsidRPr="00000E4F">
        <w:t>s</w:t>
      </w:r>
      <w:r w:rsidRPr="00000E4F">
        <w:t>s</w:t>
      </w:r>
      <w:r w:rsidRPr="00000E4F">
        <w:softHyphen/>
        <w:t>tidsanställning. Förändringen trädde i kraft den 1 januari 1997. Anställning</w:t>
      </w:r>
      <w:r w:rsidRPr="00000E4F">
        <w:t>s</w:t>
      </w:r>
      <w:r w:rsidRPr="00000E4F">
        <w:t>formen innebär att en arbetsgivare kan anställa en person på viss tid utan att det krävs några särskilt angivna skäl. För överenskommen visstidsanställning ställer lagen upp vissa tidsgränser.</w:t>
      </w:r>
    </w:p>
    <w:p w:rsidR="00866CF7" w:rsidRPr="00000E4F" w:rsidRDefault="00866CF7">
      <w:pPr>
        <w:pStyle w:val="Normaltindrag"/>
      </w:pPr>
      <w:r w:rsidRPr="00000E4F">
        <w:t>Samtidigt med beslutet om den nya anställningsformen beslutade riksd</w:t>
      </w:r>
      <w:r w:rsidRPr="00000E4F">
        <w:t>a</w:t>
      </w:r>
      <w:r w:rsidRPr="00000E4F">
        <w:t>gen bl.a. om en annan ändring av lagen som rörde vikarier. Förändringen innebär att om en arbetstagare har varit anställd hos arbetsgivaren i sa</w:t>
      </w:r>
      <w:r w:rsidRPr="00000E4F">
        <w:t>m</w:t>
      </w:r>
      <w:r w:rsidRPr="00000E4F">
        <w:t>manlagt mer än tre år under de senaste fem åren övergår anställningen i en tillsvidareanstäl</w:t>
      </w:r>
      <w:r w:rsidRPr="00000E4F">
        <w:t>l</w:t>
      </w:r>
      <w:r w:rsidRPr="00000E4F">
        <w:t>ning. Denna regel trädde i kraft den 1 januari 2000.</w:t>
      </w:r>
    </w:p>
    <w:p w:rsidR="00866CF7" w:rsidRPr="00000E4F" w:rsidRDefault="00866CF7">
      <w:pPr>
        <w:pStyle w:val="R3"/>
      </w:pPr>
      <w:r w:rsidRPr="00000E4F">
        <w:t xml:space="preserve">Motioner </w:t>
      </w:r>
    </w:p>
    <w:p w:rsidR="00866CF7" w:rsidRPr="00000E4F" w:rsidRDefault="00866CF7">
      <w:r w:rsidRPr="00000E4F">
        <w:rPr>
          <w:i/>
        </w:rPr>
        <w:t>Vänsterpartiet</w:t>
      </w:r>
      <w:r w:rsidRPr="00000E4F">
        <w:t xml:space="preserve"> hävdar i sin partimotion A723 att arbetsgivare kan visstidsa</w:t>
      </w:r>
      <w:r w:rsidRPr="00000E4F">
        <w:t>n</w:t>
      </w:r>
      <w:r w:rsidRPr="00000E4F">
        <w:t>ställa i alltför stor omfattning. Visstidsanställningar urholkar enligt partiet arbetstagarnas rättigheter. Visstidsanställda får bl.a. mindre del av persona</w:t>
      </w:r>
      <w:r w:rsidRPr="00000E4F">
        <w:t>l</w:t>
      </w:r>
      <w:r w:rsidRPr="00000E4F">
        <w:t>utbildningen. Det är också svårt för denna grupp att planera sin ekonomi eftersom det i många situationer krävs att man har en tillsvidareanställning för att kunna få lån eller bli hyresgäst. Detta drabbar framför allt kvinnor eftersom andelen kvinnor som har visstidsanställningar är hög. Pa</w:t>
      </w:r>
      <w:r w:rsidRPr="00000E4F">
        <w:t>rtiet anser därför att huvudprincipen för en anställning skall vara tillsvidareanställning och föreslår att en visstidsanställning som pågått längre tid än 18 månader automatiskt skall övergå till en tillsvidareanstäl</w:t>
      </w:r>
      <w:r w:rsidRPr="00000E4F">
        <w:t>l</w:t>
      </w:r>
      <w:r w:rsidRPr="00000E4F">
        <w:t>ning (yrk. 3).</w:t>
      </w:r>
    </w:p>
    <w:p w:rsidR="00866CF7" w:rsidRPr="00000E4F" w:rsidRDefault="00866CF7">
      <w:r w:rsidRPr="00000E4F">
        <w:t xml:space="preserve">Som en del i </w:t>
      </w:r>
      <w:r w:rsidRPr="00000E4F">
        <w:rPr>
          <w:i/>
        </w:rPr>
        <w:t>Kristdemokraternas</w:t>
      </w:r>
      <w:r w:rsidRPr="00000E4F">
        <w:t xml:space="preserve"> förslag att skapa en mer flexibel arbetsrätt föreslår partiet i kommittémotion A254 att möjligheten till provanställning förlängs till 12 månader (yrk. 29). Vidare anser partiet att visstidsanställning vid arbetsanhopning bör tillåtas upp till två år (yrk. 31).</w:t>
      </w:r>
    </w:p>
    <w:p w:rsidR="00866CF7" w:rsidRPr="00000E4F" w:rsidRDefault="00866CF7">
      <w:r w:rsidRPr="00000E4F">
        <w:t xml:space="preserve">I motion A240 föreslår </w:t>
      </w:r>
      <w:r w:rsidRPr="00000E4F">
        <w:rPr>
          <w:i/>
        </w:rPr>
        <w:t xml:space="preserve">Lena Sandlin </w:t>
      </w:r>
      <w:r w:rsidRPr="00000E4F">
        <w:t>och</w:t>
      </w:r>
      <w:r w:rsidRPr="00000E4F">
        <w:rPr>
          <w:i/>
        </w:rPr>
        <w:t xml:space="preserve"> Ingemar Josefsson</w:t>
      </w:r>
      <w:r w:rsidRPr="00000E4F">
        <w:t xml:space="preserve"> </w:t>
      </w:r>
      <w:r w:rsidRPr="00000E4F">
        <w:rPr>
          <w:i/>
        </w:rPr>
        <w:t>(båda s)</w:t>
      </w:r>
      <w:r w:rsidRPr="00000E4F">
        <w:t xml:space="preserve"> att en översyn genomförs för att komma till rätta med den försämring av villkoren på arbetsmarknaden som det ökade antalet behovsanställningar innebär.</w:t>
      </w:r>
    </w:p>
    <w:p w:rsidR="00866CF7" w:rsidRPr="00000E4F" w:rsidRDefault="00866CF7">
      <w:r w:rsidRPr="00000E4F">
        <w:t xml:space="preserve">I motion A712 hävdar </w:t>
      </w:r>
      <w:r w:rsidRPr="00000E4F">
        <w:rPr>
          <w:i/>
        </w:rPr>
        <w:t>Margit Gennser (m)</w:t>
      </w:r>
      <w:r w:rsidRPr="00000E4F">
        <w:t xml:space="preserve"> att vissa kollektivavtal kan vara diskriminerande för projektanställda. Motionären pekar på att kvalifikation</w:t>
      </w:r>
      <w:r w:rsidRPr="00000E4F">
        <w:t>s</w:t>
      </w:r>
      <w:r w:rsidRPr="00000E4F">
        <w:t>tiden för pensionsrättigheter i många kollektivavtal är tolv månader för varje ny anställning. Dessa avtalsvillkor leder till att personer som har projekta</w:t>
      </w:r>
      <w:r w:rsidRPr="00000E4F">
        <w:t>n</w:t>
      </w:r>
      <w:r w:rsidRPr="00000E4F">
        <w:t>ställning kortare tid än tolv månader går miste om pensionsförmåner trots att pensionsavgift betalas för dessa. Liknande effekter uppstår exempelvis när det i kollektivavtal anges en avgångsskyldighet på grund av ålder. Motion</w:t>
      </w:r>
      <w:r w:rsidRPr="00000E4F">
        <w:t>ä</w:t>
      </w:r>
      <w:r w:rsidRPr="00000E4F">
        <w:t>ren föreslår därför att det införs vissa ”stoppregler” i lagstiftningen som undanröjer den här typen av diskrim</w:t>
      </w:r>
      <w:r w:rsidRPr="00000E4F">
        <w:t>i</w:t>
      </w:r>
      <w:r w:rsidRPr="00000E4F">
        <w:t xml:space="preserve">nerande regler. </w:t>
      </w:r>
    </w:p>
    <w:p w:rsidR="00866CF7" w:rsidRPr="00000E4F" w:rsidRDefault="00866CF7">
      <w:pPr>
        <w:pStyle w:val="R3"/>
      </w:pPr>
      <w:r w:rsidRPr="00000E4F">
        <w:t>Utskottets ställningstagande</w:t>
      </w:r>
    </w:p>
    <w:p w:rsidR="00866CF7" w:rsidRPr="00000E4F" w:rsidRDefault="00866CF7">
      <w:r w:rsidRPr="00000E4F">
        <w:t>Utskottet konstaterar att huvudprincipen i anställningsförhållanden är att arbetstagare erhåller en tillsvidareanställning. Som utskottet konstaterat under avsnitt 1 Utredningar m.m. har det dock skett en viss förändring på arbetsmarknaden som innebär att andelen visstidsanställningar har ökat på bekostnad av tillsvidareanställningarna. Det går dock inte att bortse från att det även måste finnas olika former av tidsbegränsade anställningar för att tillgodose arbetsgivares behov av att i olika situationer f</w:t>
      </w:r>
      <w:r w:rsidRPr="00000E4F">
        <w:t>örstärka sin arbet</w:t>
      </w:r>
      <w:r w:rsidRPr="00000E4F">
        <w:t>s</w:t>
      </w:r>
      <w:r w:rsidRPr="00000E4F">
        <w:t xml:space="preserve">styrka, exempelvis vid tillfälliga arbetstoppar, vid tillfälliga vakanser och tjänstledigheter m.m. </w:t>
      </w:r>
    </w:p>
    <w:p w:rsidR="00866CF7" w:rsidRPr="00000E4F" w:rsidRDefault="00866CF7">
      <w:pPr>
        <w:pStyle w:val="Normaltindrag"/>
      </w:pPr>
      <w:r w:rsidRPr="00000E4F">
        <w:t>De förändringar i anställningsskyddslagen som beslutades hösten 1996 syftade bl.a. till att motverka missbruk av visstidsanställningar, att underlätta nyanställningar och att öka deltidsanställdas möjligheter att erhålla he</w:t>
      </w:r>
      <w:r w:rsidRPr="00000E4F">
        <w:t>l</w:t>
      </w:r>
      <w:r w:rsidRPr="00000E4F">
        <w:t>tidstjän</w:t>
      </w:r>
      <w:r w:rsidRPr="00000E4F">
        <w:t>s</w:t>
      </w:r>
      <w:r w:rsidRPr="00000E4F">
        <w:t>ter.</w:t>
      </w:r>
    </w:p>
    <w:p w:rsidR="00866CF7" w:rsidRPr="00000E4F" w:rsidRDefault="00866CF7">
      <w:pPr>
        <w:pStyle w:val="Normaltindrag"/>
      </w:pPr>
      <w:r w:rsidRPr="00000E4F">
        <w:t>En åtgärd för att öka nyanställningar var att införa den ovan beskrivna a</w:t>
      </w:r>
      <w:r w:rsidRPr="00000E4F">
        <w:t>n</w:t>
      </w:r>
      <w:r w:rsidRPr="00000E4F">
        <w:t>ställningsformen överenskommen visstidsanställning (ÖVA). På utskottets begäran tillsattes det inom det förutvarande Arbetsmarknadsdepartementet, nuvarande Näringsdepartementet, en särskild referensgrupp som hade till uppgift att utvärdera anställningsformen. Gruppen, som bestod av tjänstemän från Näringsdepartementet, företrädare för arbetsmarknadens parter och Jämställdhetsombudsmannen (JämO), har avslutat sitt arbete. Den har sa</w:t>
      </w:r>
      <w:r w:rsidRPr="00000E4F">
        <w:t>m</w:t>
      </w:r>
      <w:r w:rsidRPr="00000E4F">
        <w:t xml:space="preserve">manfattat sina erfarenheter i en rapport. Regeringen kommer på grundval av </w:t>
      </w:r>
      <w:r w:rsidRPr="00000E4F">
        <w:t>rapporten att redovisa utfallet av anställningsformen i någon av de propos</w:t>
      </w:r>
      <w:r w:rsidRPr="00000E4F">
        <w:t>i</w:t>
      </w:r>
      <w:r w:rsidRPr="00000E4F">
        <w:t xml:space="preserve">tioner som kommer att överlämnas till riksdagen våren 2000. Utskottet har under hand tagit del av rapporten. Av rapporten framgår bl.a. att ledamöterna vid referensgruppens sammanträden regelbundet har lämnat redogörelser för sina erfarenheter. LO och TCO har även genomfört enkätundersökningar. Under rubriken Slutsatser framgår att referensgruppen anser att det inte går att dra några säkra slutsatser av referensgruppens material vad </w:t>
      </w:r>
      <w:r w:rsidRPr="00000E4F">
        <w:t>gäller omfat</w:t>
      </w:r>
      <w:r w:rsidRPr="00000E4F">
        <w:t>t</w:t>
      </w:r>
      <w:r w:rsidRPr="00000E4F">
        <w:t>ningen av ÖVA och dess tillämpning. Materialet tyder dock på att anstäl</w:t>
      </w:r>
      <w:r w:rsidRPr="00000E4F">
        <w:t>l</w:t>
      </w:r>
      <w:r w:rsidRPr="00000E4F">
        <w:t>ningsformen förekommer men i liten utsträckning samt att den, förutom i några enstaka fall, inte har lett till kringgående av anstäl</w:t>
      </w:r>
      <w:r w:rsidRPr="00000E4F">
        <w:t>l</w:t>
      </w:r>
      <w:r w:rsidRPr="00000E4F">
        <w:t>ningsskyddet.</w:t>
      </w:r>
    </w:p>
    <w:p w:rsidR="00866CF7" w:rsidRPr="00000E4F" w:rsidRDefault="00866CF7">
      <w:pPr>
        <w:pStyle w:val="Normaltindrag"/>
      </w:pPr>
      <w:r w:rsidRPr="00000E4F">
        <w:t>Som påpekats ovan var ett av syftena med förändringarna av anställning</w:t>
      </w:r>
      <w:r w:rsidRPr="00000E4F">
        <w:t>s</w:t>
      </w:r>
      <w:r w:rsidRPr="00000E4F">
        <w:t>skyddslagen att motverka missbruk av visstidsanställningar. Ett sådant mis</w:t>
      </w:r>
      <w:r w:rsidRPr="00000E4F">
        <w:t>s</w:t>
      </w:r>
      <w:r w:rsidRPr="00000E4F">
        <w:t>bruk var användandet av s.k. rullande vikariat. För att komma till rätta med detta problem genomfördes den ovan beskrivna förändringen rörande vikar</w:t>
      </w:r>
      <w:r w:rsidRPr="00000E4F">
        <w:t>i</w:t>
      </w:r>
      <w:r w:rsidRPr="00000E4F">
        <w:t>er. Denna regel kommer med all sannolikhet att gynna kvinnor eftersom det oftast är de som har haft vikariat långa tider.</w:t>
      </w:r>
    </w:p>
    <w:p w:rsidR="00866CF7" w:rsidRPr="00000E4F" w:rsidRDefault="00866CF7">
      <w:pPr>
        <w:pStyle w:val="Normaltindrag"/>
      </w:pPr>
      <w:r w:rsidRPr="00000E4F">
        <w:t>Utskottet anser att det i nuläget inte bör genomföras några ytterligare fö</w:t>
      </w:r>
      <w:r w:rsidRPr="00000E4F">
        <w:t>r</w:t>
      </w:r>
      <w:r w:rsidRPr="00000E4F">
        <w:t>ändringar av anställningsskyddslagen. Utskottet avstyrker därför motionerna A240 (s), A254 yrkandena 29 och 31 (kd) och A723 yrkande 3 (v).</w:t>
      </w:r>
    </w:p>
    <w:p w:rsidR="00866CF7" w:rsidRPr="00000E4F" w:rsidRDefault="00866CF7">
      <w:pPr>
        <w:pStyle w:val="Normaltindrag"/>
      </w:pPr>
      <w:r w:rsidRPr="00000E4F">
        <w:t>När det slutligen gäller den fråga som väckts av Margit Gennser vill u</w:t>
      </w:r>
      <w:r w:rsidRPr="00000E4F">
        <w:t>t</w:t>
      </w:r>
      <w:r w:rsidRPr="00000E4F">
        <w:t xml:space="preserve">skottet erinra om att det 1999 tillkommit ett EU-direktiv som tar sikte på tillfälligt anställda. Direktivet kom till genom att arbetsmarknadsparterna på EU-nivå förhandlade fram en överenskommelse som ministerrådet gjorde till direktiv. Syftet med direktivet är att de som har tidsbegränsade anställningar inte skall diskrimineras och att förhindra missbruk av sådana anställningar. </w:t>
      </w:r>
    </w:p>
    <w:p w:rsidR="00866CF7" w:rsidRPr="00000E4F" w:rsidRDefault="00866CF7">
      <w:pPr>
        <w:pStyle w:val="Normaltindrag"/>
      </w:pPr>
      <w:r w:rsidRPr="00000E4F">
        <w:t>Av en av Näringsdepartementet upprättad faktapromemoria den 17 juni 1999 (EUN1999/3882) framgår att förslaget inte bedöms behö</w:t>
      </w:r>
      <w:r w:rsidRPr="00000E4F">
        <w:t>va medföra några än</w:t>
      </w:r>
      <w:r w:rsidRPr="00000E4F">
        <w:t>d</w:t>
      </w:r>
      <w:r w:rsidRPr="00000E4F">
        <w:t>ringar av lagregler på området.</w:t>
      </w:r>
    </w:p>
    <w:p w:rsidR="00866CF7" w:rsidRPr="00000E4F" w:rsidRDefault="00866CF7">
      <w:pPr>
        <w:pStyle w:val="Normaltindrag"/>
      </w:pPr>
      <w:r w:rsidRPr="00000E4F">
        <w:t>Denna slutsats har ifrågasatts av delar av rättsvetenskapen som anser att lagändringar är nödvändiga. Vidare har det framkommit synpunkter på att vissa kollektivavtal som bl.a. rör pensionsfrågor strider mot direktivet efte</w:t>
      </w:r>
      <w:r w:rsidRPr="00000E4F">
        <w:t>r</w:t>
      </w:r>
      <w:r w:rsidRPr="00000E4F">
        <w:t>som de gör åtskillnad mellan arbetstagare beroende på vilken anställning</w:t>
      </w:r>
      <w:r w:rsidRPr="00000E4F">
        <w:t>s</w:t>
      </w:r>
      <w:r w:rsidRPr="00000E4F">
        <w:t xml:space="preserve">form de har. </w:t>
      </w:r>
    </w:p>
    <w:p w:rsidR="00866CF7" w:rsidRPr="00000E4F" w:rsidRDefault="00866CF7">
      <w:pPr>
        <w:pStyle w:val="Normaltindrag"/>
      </w:pPr>
      <w:r w:rsidRPr="00000E4F">
        <w:t>Enligt vad utskottet erfarit bereds detta direktiv för närvarande inom Reg</w:t>
      </w:r>
      <w:r w:rsidRPr="00000E4F">
        <w:t>e</w:t>
      </w:r>
      <w:r w:rsidRPr="00000E4F">
        <w:t>ringskansliet. Utskottet anser att man bör avvakta detta beredningsarbete och avstyrker därför motion A712 (m). Utskottet vill dock i detta sammanhang betona att det i första hand är parternas sak att lösa frågor som rör anstäl</w:t>
      </w:r>
      <w:r w:rsidRPr="00000E4F">
        <w:t>l</w:t>
      </w:r>
      <w:r w:rsidRPr="00000E4F">
        <w:t>ningsförhållandena och att det krävs mycket starka skäl för att frångå denna princip. Utskottet utgår från att detta inte sker i strid med d</w:t>
      </w:r>
      <w:r w:rsidRPr="00000E4F">
        <w:t>i</w:t>
      </w:r>
      <w:r w:rsidRPr="00000E4F">
        <w:t xml:space="preserve">rektivets anda. </w:t>
      </w:r>
    </w:p>
    <w:p w:rsidR="00866CF7" w:rsidRPr="00000E4F" w:rsidRDefault="00866CF7">
      <w:pPr>
        <w:pStyle w:val="Rubrik2"/>
        <w:rPr>
          <w:b/>
        </w:rPr>
      </w:pPr>
      <w:bookmarkStart w:id="51" w:name="_Toc475783908"/>
      <w:bookmarkStart w:id="52" w:name="_Toc477140358"/>
      <w:r w:rsidRPr="00000E4F">
        <w:t>2.2 Dispositivitet m.m.</w:t>
      </w:r>
      <w:bookmarkEnd w:id="51"/>
      <w:bookmarkEnd w:id="52"/>
      <w:r w:rsidRPr="00000E4F">
        <w:t xml:space="preserve"> </w:t>
      </w:r>
    </w:p>
    <w:p w:rsidR="00866CF7" w:rsidRPr="00000E4F" w:rsidRDefault="00866CF7">
      <w:pPr>
        <w:pStyle w:val="R3"/>
        <w:spacing w:before="123"/>
      </w:pPr>
      <w:r w:rsidRPr="00000E4F">
        <w:t>Bakgrund</w:t>
      </w:r>
    </w:p>
    <w:p w:rsidR="00866CF7" w:rsidRPr="00000E4F" w:rsidRDefault="00866CF7">
      <w:r w:rsidRPr="00000E4F">
        <w:t>Som huvudregel är anställningsskyddslagen tvingande till arbetstagarnas förmån. Vissa bestämmelser får frångås genom kollektivavtal på förbundsn</w:t>
      </w:r>
      <w:r w:rsidRPr="00000E4F">
        <w:t>i</w:t>
      </w:r>
      <w:r w:rsidRPr="00000E4F">
        <w:t>vå. Den 1 juli 1997 trädde en ändring i lagen i kraft som innebär att de b</w:t>
      </w:r>
      <w:r w:rsidRPr="00000E4F">
        <w:t>e</w:t>
      </w:r>
      <w:r w:rsidRPr="00000E4F">
        <w:t>stämmelser som avser tidsbegränsad anställning, turordningar och återa</w:t>
      </w:r>
      <w:r w:rsidRPr="00000E4F">
        <w:t>n</w:t>
      </w:r>
      <w:r w:rsidRPr="00000E4F">
        <w:t>ställningsrätt får frångås genom kollektivavtal utan att avtalet slutits eller godkänts på förbundsnivå. Avsteg kan alltså göras g</w:t>
      </w:r>
      <w:r w:rsidRPr="00000E4F">
        <w:t>e</w:t>
      </w:r>
      <w:r w:rsidRPr="00000E4F">
        <w:t>nom lokalt avtal.</w:t>
      </w:r>
    </w:p>
    <w:p w:rsidR="00866CF7" w:rsidRPr="00000E4F" w:rsidRDefault="00866CF7">
      <w:pPr>
        <w:pStyle w:val="R3"/>
      </w:pPr>
      <w:r w:rsidRPr="00000E4F">
        <w:t>Motioner</w:t>
      </w:r>
    </w:p>
    <w:p w:rsidR="00866CF7" w:rsidRPr="00000E4F" w:rsidRDefault="00866CF7">
      <w:r w:rsidRPr="00000E4F">
        <w:rPr>
          <w:i/>
        </w:rPr>
        <w:t>Vänsterpartiet</w:t>
      </w:r>
      <w:r w:rsidRPr="00000E4F">
        <w:t xml:space="preserve"> anser i partimotion A723 att den gamla huvudprincipen bör återinföras, dvs. att grundskyddet i anställningsskyddslagen inte skall kunna avtalas bort lokalt. Branschanpassningar av vissa bestämmelser skall enbart kunna ske genom överenskommelser på central nivå. Sedan kan förbunden delegera ned förhandlingsrätten till lokal nivå utifrån de lokala organisati</w:t>
      </w:r>
      <w:r w:rsidRPr="00000E4F">
        <w:t>o</w:t>
      </w:r>
      <w:r w:rsidRPr="00000E4F">
        <w:t>nernas styrka och önskemål. Partiet föreslår därför att den tidigare hänvi</w:t>
      </w:r>
      <w:r w:rsidRPr="00000E4F">
        <w:t>s</w:t>
      </w:r>
      <w:r w:rsidRPr="00000E4F">
        <w:t>ningen till central arbetstagarorganisation återinförs (yrk. 2).</w:t>
      </w:r>
    </w:p>
    <w:p w:rsidR="00866CF7" w:rsidRPr="00000E4F" w:rsidRDefault="00866CF7">
      <w:r w:rsidRPr="00000E4F">
        <w:t xml:space="preserve">Enligt </w:t>
      </w:r>
      <w:r w:rsidRPr="00000E4F">
        <w:rPr>
          <w:i/>
        </w:rPr>
        <w:t>Centerpartiet</w:t>
      </w:r>
      <w:r w:rsidRPr="00000E4F">
        <w:t xml:space="preserve"> måste mer av arbetsrätten kunna hanteras lokalt på de enskilda arbetsplatserna. Partiet föreslår i partimotion A220 att dispositivit</w:t>
      </w:r>
      <w:r w:rsidRPr="00000E4F">
        <w:t>e</w:t>
      </w:r>
      <w:r w:rsidRPr="00000E4F">
        <w:t>ten i arbetsrätten skall öka (yrk. 22).</w:t>
      </w:r>
    </w:p>
    <w:p w:rsidR="00866CF7" w:rsidRPr="00000E4F" w:rsidRDefault="00866CF7">
      <w:r w:rsidRPr="00000E4F">
        <w:rPr>
          <w:i/>
        </w:rPr>
        <w:t>Margit Gennser (m)</w:t>
      </w:r>
      <w:r w:rsidRPr="00000E4F">
        <w:t xml:space="preserve"> pekar i motion A713 på att den äldre arbetskraften blir allt mindre attraktiv på arbetsmarknaden. Enligt motionären beror detta på särskilda bestämmelser i anställningsskyddslagen som innebär att äldre a</w:t>
      </w:r>
      <w:r w:rsidRPr="00000E4F">
        <w:t>r</w:t>
      </w:r>
      <w:r w:rsidRPr="00000E4F">
        <w:t>betskraft och arbetskraft med lång anställningstid i ett företag har längre uppsägningstider. Enligt motionären är en lösning att helt avskaffa anstäl</w:t>
      </w:r>
      <w:r w:rsidRPr="00000E4F">
        <w:t>l</w:t>
      </w:r>
      <w:r w:rsidRPr="00000E4F">
        <w:t>ningsskyddslagen. Som en temporär lösning föreslås att äldre arbetskraft som söker nya anställningar skall få rätt att ingå enskilda avtal där de avstår frå</w:t>
      </w:r>
      <w:r w:rsidRPr="00000E4F">
        <w:t xml:space="preserve">n rättigheterna enligt anställningsskyddslagen (yrk. 1). </w:t>
      </w:r>
    </w:p>
    <w:p w:rsidR="00866CF7" w:rsidRPr="00000E4F" w:rsidRDefault="00866CF7">
      <w:pPr>
        <w:pStyle w:val="R3"/>
      </w:pPr>
      <w:r w:rsidRPr="00000E4F">
        <w:t>Utskottets ställningstagande</w:t>
      </w:r>
    </w:p>
    <w:p w:rsidR="00866CF7" w:rsidRPr="00000E4F" w:rsidRDefault="00866CF7">
      <w:r w:rsidRPr="00000E4F">
        <w:t>Vad gäller förslagen att ändra dispositiviteten kan utskottet konstatera att syftet med de ovan angivna ändringarna i anställningsskyddslagen som trä</w:t>
      </w:r>
      <w:r w:rsidRPr="00000E4F">
        <w:t>d</w:t>
      </w:r>
      <w:r w:rsidRPr="00000E4F">
        <w:t>de i kraft den 1 juli 1997 var att anpassa de arbetsrättsliga reglerna till fö</w:t>
      </w:r>
      <w:r w:rsidRPr="00000E4F">
        <w:t>r</w:t>
      </w:r>
      <w:r w:rsidRPr="00000E4F">
        <w:t>ändringarna som skett på arbetsmarknaden. Det som genomfördes var resu</w:t>
      </w:r>
      <w:r w:rsidRPr="00000E4F">
        <w:t>l</w:t>
      </w:r>
      <w:r w:rsidRPr="00000E4F">
        <w:t>tatet av en avvägning mellan arbetstagar- och arbetsgivarintresset. Enligt utsko</w:t>
      </w:r>
      <w:r w:rsidRPr="00000E4F">
        <w:t>t</w:t>
      </w:r>
      <w:r w:rsidRPr="00000E4F">
        <w:t xml:space="preserve">tets mening är de nya reglerna väl avvägda. </w:t>
      </w:r>
    </w:p>
    <w:p w:rsidR="00866CF7" w:rsidRPr="00000E4F" w:rsidRDefault="00866CF7">
      <w:pPr>
        <w:pStyle w:val="Normaltindrag"/>
      </w:pPr>
      <w:r w:rsidRPr="00000E4F">
        <w:t>Med anledning av förslaget i motion A713 att avskaffa anställning</w:t>
      </w:r>
      <w:r w:rsidRPr="00000E4F">
        <w:t>s</w:t>
      </w:r>
      <w:r w:rsidRPr="00000E4F">
        <w:t>skyddslagen kan utskottet konstatera att det är otänkbart för utskottet att ställa sig bakom detta krav. Förutom att förslaget är helt oacceptabelt är det ytterst tveksamt om den äldre arbetskraften skulle vara betjänt av detta. Det är snarare så att de äldre i än högre grad än andra anställda behöver det skydd lagen innebär.</w:t>
      </w:r>
    </w:p>
    <w:p w:rsidR="00866CF7" w:rsidRPr="00000E4F" w:rsidRDefault="00866CF7">
      <w:pPr>
        <w:pStyle w:val="Normaltindrag"/>
      </w:pPr>
      <w:r w:rsidRPr="00000E4F">
        <w:t>Sammanfattningsvis avstyrker utskottet motionerna A220 yrkande 22 (c) och 723 yrkande 2 (v). Vidare avstyrks motion A713 yrkande 1 (m).</w:t>
      </w:r>
    </w:p>
    <w:p w:rsidR="00866CF7" w:rsidRPr="00000E4F" w:rsidRDefault="00866CF7">
      <w:pPr>
        <w:pStyle w:val="Rubrik2"/>
        <w:rPr>
          <w:b/>
        </w:rPr>
      </w:pPr>
      <w:bookmarkStart w:id="53" w:name="_Toc475783909"/>
      <w:bookmarkStart w:id="54" w:name="_Toc477140359"/>
      <w:r w:rsidRPr="00000E4F">
        <w:t>2.3 Företrädesrätt</w:t>
      </w:r>
      <w:bookmarkEnd w:id="53"/>
      <w:bookmarkEnd w:id="54"/>
      <w:r w:rsidRPr="00000E4F">
        <w:t xml:space="preserve"> </w:t>
      </w:r>
    </w:p>
    <w:p w:rsidR="00866CF7" w:rsidRPr="00000E4F" w:rsidRDefault="00866CF7">
      <w:pPr>
        <w:pStyle w:val="R3"/>
        <w:spacing w:before="123"/>
      </w:pPr>
      <w:r w:rsidRPr="00000E4F">
        <w:t>Bakgrund</w:t>
      </w:r>
    </w:p>
    <w:p w:rsidR="00866CF7" w:rsidRPr="00000E4F" w:rsidRDefault="00866CF7">
      <w:r w:rsidRPr="00000E4F">
        <w:t>Den som har sagts upp på grund av arbetsbrist har under nio månader från anställningens upphörande företrädesrätt till återanställning i den verksamhet han eller hon tidigare har varit sysselsatt. Detta gäller under förutsättning att arbetstagaren har varit anställd hos arbetsgivaren i sammanlagt mer än tolv månader under de senaste tre åren och att han eller hon har tillräckliga kval</w:t>
      </w:r>
      <w:r w:rsidRPr="00000E4F">
        <w:t>i</w:t>
      </w:r>
      <w:r w:rsidRPr="00000E4F">
        <w:t>fikationer för den nya anställningen. Andra tidsgränser gäller för säsongsa</w:t>
      </w:r>
      <w:r w:rsidRPr="00000E4F">
        <w:t>n</w:t>
      </w:r>
      <w:r w:rsidRPr="00000E4F">
        <w:t>ställning. Återanställningsregeln ändrades med verkan från den 1 januari 1997. Dessförinnan var tiden för återanställningsrätt tolv månader.</w:t>
      </w:r>
    </w:p>
    <w:p w:rsidR="00866CF7" w:rsidRPr="00000E4F" w:rsidRDefault="00866CF7">
      <w:pPr>
        <w:pStyle w:val="Normaltindrag"/>
      </w:pPr>
      <w:r w:rsidRPr="00000E4F">
        <w:t>Sedan den 1 januari 1997 gäller att en deltidsanställd arbetstagare, som har anmält till sin arbetsgivare att han eller hon vill ha anställning med högre sysselsättningsgrad, har företrädesrätt till sådan anställning. Som en föru</w:t>
      </w:r>
      <w:r w:rsidRPr="00000E4F">
        <w:t>t</w:t>
      </w:r>
      <w:r w:rsidRPr="00000E4F">
        <w:t>sättning för företrädesrätten gäller att arbetsgivarens behov av arbetskraft tillgodoses genom att den deltidsanställde anställs med högre sysselsät</w:t>
      </w:r>
      <w:r w:rsidRPr="00000E4F">
        <w:t>t</w:t>
      </w:r>
      <w:r w:rsidRPr="00000E4F">
        <w:t>ningsgrad och att den deltidsanställde har tillräckliga kvalifikationer för de nya arbetsuppgifterna. Om arbetsgivaren har flera driftsenheter gäller för</w:t>
      </w:r>
      <w:r w:rsidRPr="00000E4F">
        <w:t>e</w:t>
      </w:r>
      <w:r w:rsidRPr="00000E4F">
        <w:t>trädesrätten anställning inom den enhet där arbetstagaren har varit sysselsatt på deltid.</w:t>
      </w:r>
    </w:p>
    <w:p w:rsidR="00866CF7" w:rsidRPr="00000E4F" w:rsidRDefault="00866CF7">
      <w:pPr>
        <w:pStyle w:val="R3"/>
      </w:pPr>
      <w:r w:rsidRPr="00000E4F">
        <w:t>Motioner</w:t>
      </w:r>
    </w:p>
    <w:p w:rsidR="00866CF7" w:rsidRPr="00000E4F" w:rsidRDefault="00866CF7">
      <w:r w:rsidRPr="00000E4F">
        <w:t xml:space="preserve">I partimotion A723 föreslår </w:t>
      </w:r>
      <w:r w:rsidRPr="00000E4F">
        <w:rPr>
          <w:i/>
        </w:rPr>
        <w:t>Vänsterpartiet</w:t>
      </w:r>
      <w:r w:rsidRPr="00000E4F">
        <w:t xml:space="preserve"> att företrädesrätten förlängs från dagens nio månader till tolv månader. Enligt partiet utgör den annars inte ett reellt skydd mot godtyckliga uppsägningar. I motionen nämns en dom från Arbetsdomstolen enligt vilken arbetsgivaren kan erbjuda en tjänst till någon annan om den som har företrädesrätt inte omgående kan tillträda tjänsten. Detta medför, enligt partiet, att föräldralediga inte kan utnyttja sin företräde</w:t>
      </w:r>
      <w:r w:rsidRPr="00000E4F">
        <w:t>s</w:t>
      </w:r>
      <w:r w:rsidRPr="00000E4F">
        <w:t>rätt med nu gällande tidsfrist (yrk. 4). Vidare anser partiet att deltidsanstäl</w:t>
      </w:r>
      <w:r w:rsidRPr="00000E4F">
        <w:t>l</w:t>
      </w:r>
      <w:r w:rsidRPr="00000E4F">
        <w:t>das företrädesrätt till anställning med högre sysselsättningsgrad inte bör vara begränsad till samma driftsenhet och att det bör vara tillräckligt att en de</w:t>
      </w:r>
      <w:r w:rsidRPr="00000E4F">
        <w:t>l</w:t>
      </w:r>
      <w:r w:rsidRPr="00000E4F">
        <w:t>tidsanställd efter ett rimligt inskolnings- och inlärningsskede, inom eller utom företaget, kan anförtros de nya arbetsuppgifterna. Partiet menar att detta är av stor vikt eftersom deltidsanställda ofta inte får del av komp</w:t>
      </w:r>
      <w:r w:rsidRPr="00000E4F">
        <w:t>e</w:t>
      </w:r>
      <w:r w:rsidRPr="00000E4F">
        <w:t>tensutveckling och allmänt sett har en svagare ställning på arbetsplatsen än heltid</w:t>
      </w:r>
      <w:r w:rsidRPr="00000E4F">
        <w:t>s</w:t>
      </w:r>
      <w:r w:rsidRPr="00000E4F">
        <w:t>anställda (yrk. 5).</w:t>
      </w:r>
    </w:p>
    <w:p w:rsidR="00866CF7" w:rsidRPr="00000E4F" w:rsidRDefault="00866CF7">
      <w:r w:rsidRPr="00000E4F">
        <w:rPr>
          <w:i/>
        </w:rPr>
        <w:t>Kristdemokraterna</w:t>
      </w:r>
      <w:r w:rsidRPr="00000E4F">
        <w:t xml:space="preserve"> anser i kommittémotion A254 att skyldigheten för a</w:t>
      </w:r>
      <w:r w:rsidRPr="00000E4F">
        <w:t>r</w:t>
      </w:r>
      <w:r w:rsidRPr="00000E4F">
        <w:t>betsgivare att återanställa skall begränsas till sex månader från nuvarande nio mån</w:t>
      </w:r>
      <w:r w:rsidRPr="00000E4F">
        <w:t>a</w:t>
      </w:r>
      <w:r w:rsidRPr="00000E4F">
        <w:t xml:space="preserve">der för viss arbetskraft, t.ex. för personer under 55 år (yrk. 30). </w:t>
      </w:r>
    </w:p>
    <w:p w:rsidR="00866CF7" w:rsidRPr="00000E4F" w:rsidRDefault="00866CF7">
      <w:pPr>
        <w:pStyle w:val="R3"/>
      </w:pPr>
      <w:r w:rsidRPr="00000E4F">
        <w:t>Utskottets ställningstagande</w:t>
      </w:r>
    </w:p>
    <w:p w:rsidR="00866CF7" w:rsidRPr="00000E4F" w:rsidRDefault="00866CF7">
      <w:r w:rsidRPr="00000E4F">
        <w:t>Vad gäller Vänsterpartiets motion kan konstateras att identiska förslag har behandlats av utskottet senast våren 1999 (bet. 1998/99:AU8).</w:t>
      </w:r>
    </w:p>
    <w:p w:rsidR="00866CF7" w:rsidRPr="00000E4F" w:rsidRDefault="00866CF7">
      <w:pPr>
        <w:pStyle w:val="Normaltindrag"/>
      </w:pPr>
      <w:r w:rsidRPr="00000E4F">
        <w:t>I fråga om företrädesrätten konstaterade utskottet att vid behandlingen av regeländringen som beslutades 1996 ansågs en nio månader lång återanstäl</w:t>
      </w:r>
      <w:r w:rsidRPr="00000E4F">
        <w:t>l</w:t>
      </w:r>
      <w:r w:rsidRPr="00000E4F">
        <w:t>ningsrätt som en lämplig avvägning mellan å ena sidan skyddet för arbetst</w:t>
      </w:r>
      <w:r w:rsidRPr="00000E4F">
        <w:t>a</w:t>
      </w:r>
      <w:r w:rsidRPr="00000E4F">
        <w:t>garen och å andra sidan viljan att underlätta nyanställningar. Enligt utskottet finns det inte anledning att inta någon annan ståndpunkt i dag. Av samma skäl kan utskottet inte heller biträda Kristdemokraternas förslag att minska tiden till sex månader. Utskottet avstyrker därför motionerna A254 yrkande 30 (kd) och A723 yrkande 4 (v).</w:t>
      </w:r>
    </w:p>
    <w:p w:rsidR="00866CF7" w:rsidRPr="00000E4F" w:rsidRDefault="00866CF7">
      <w:pPr>
        <w:pStyle w:val="Normaltindrag"/>
      </w:pPr>
      <w:r w:rsidRPr="00000E4F">
        <w:t>När det sedan gäller frågan om rör deltidsanställdas företrädesrätt konstat</w:t>
      </w:r>
      <w:r w:rsidRPr="00000E4F">
        <w:t>e</w:t>
      </w:r>
      <w:r w:rsidRPr="00000E4F">
        <w:t>rade utskottet, i samma betänkande, att enligt förarbetena till bestämmelsen om företrädesrätt för deltidsanställda begreppet ”tillräckliga kvalifikationer” skall ha samma innebörd som i 25 § anställningsskyddslagen, dvs. den b</w:t>
      </w:r>
      <w:r w:rsidRPr="00000E4F">
        <w:t>e</w:t>
      </w:r>
      <w:r w:rsidRPr="00000E4F">
        <w:t>stämmelse som reglerar återanställningsrätten för dem som sagts upp på grund av arbetsbrist. Enligt Arbetsdomstolen innebär kvalifikationskravet inte att det kan krävas att arbetstagaren fullständigt behärskar sina arbet</w:t>
      </w:r>
      <w:r w:rsidRPr="00000E4F">
        <w:t>s</w:t>
      </w:r>
      <w:r w:rsidRPr="00000E4F">
        <w:t>uppgifter från början utan endast att han eller hon har möjlig</w:t>
      </w:r>
      <w:r w:rsidRPr="00000E4F">
        <w:t>het att inom rimlig tid lära sig dem. Utskottet var inte på de skäl Vänsterpartiet anfört berett att ställa sig bakom en begäran om ändring av kravet på tillräckliga kvalifikationer. Utskottet har inte ändrat uppfattning. Motion A723 yrkande 5 (v) a</w:t>
      </w:r>
      <w:r w:rsidRPr="00000E4F">
        <w:t>v</w:t>
      </w:r>
      <w:r w:rsidRPr="00000E4F">
        <w:t>styrks.</w:t>
      </w:r>
    </w:p>
    <w:p w:rsidR="00866CF7" w:rsidRPr="00000E4F" w:rsidRDefault="00866CF7">
      <w:pPr>
        <w:pStyle w:val="Rubrik2"/>
        <w:rPr>
          <w:b/>
        </w:rPr>
      </w:pPr>
      <w:bookmarkStart w:id="55" w:name="_Toc475783910"/>
      <w:bookmarkStart w:id="56" w:name="_Toc477140360"/>
      <w:r w:rsidRPr="00000E4F">
        <w:t>2.4 Skadeståndsregler</w:t>
      </w:r>
      <w:bookmarkEnd w:id="55"/>
      <w:bookmarkEnd w:id="56"/>
      <w:r w:rsidRPr="00000E4F">
        <w:t xml:space="preserve"> </w:t>
      </w:r>
    </w:p>
    <w:p w:rsidR="00866CF7" w:rsidRPr="00000E4F" w:rsidRDefault="00866CF7">
      <w:pPr>
        <w:pStyle w:val="R3"/>
        <w:spacing w:before="123"/>
      </w:pPr>
      <w:r w:rsidRPr="00000E4F">
        <w:t>Bakgrund</w:t>
      </w:r>
    </w:p>
    <w:p w:rsidR="00866CF7" w:rsidRPr="00000E4F" w:rsidRDefault="00866CF7">
      <w:r w:rsidRPr="00000E4F">
        <w:t>Av bestämmelsen i 39 § anställningsskyddslagen framgår att om en arbetsg</w:t>
      </w:r>
      <w:r w:rsidRPr="00000E4F">
        <w:t>i</w:t>
      </w:r>
      <w:r w:rsidRPr="00000E4F">
        <w:t>vare vägrar rätta sig efter en dom, varigenom en domstol har ogiltigförklarat en uppsägning eller ett avskedande, skall anställningsförhållandet anses som upplöst. Arbetsgivaren skall då betala skadestånd till arbetstagaren. Skad</w:t>
      </w:r>
      <w:r w:rsidRPr="00000E4F">
        <w:t>e</w:t>
      </w:r>
      <w:r w:rsidRPr="00000E4F">
        <w:t xml:space="preserve">ståndet bestäms efter anställningstiden i företaget. </w:t>
      </w:r>
    </w:p>
    <w:p w:rsidR="00866CF7" w:rsidRPr="00000E4F" w:rsidRDefault="00866CF7">
      <w:pPr>
        <w:pStyle w:val="R3"/>
      </w:pPr>
      <w:r w:rsidRPr="00000E4F">
        <w:t>Motioner</w:t>
      </w:r>
    </w:p>
    <w:p w:rsidR="00866CF7" w:rsidRPr="00000E4F" w:rsidRDefault="00866CF7">
      <w:r w:rsidRPr="00000E4F">
        <w:rPr>
          <w:i/>
        </w:rPr>
        <w:t>Vänsterpartiet</w:t>
      </w:r>
      <w:r w:rsidRPr="00000E4F">
        <w:t xml:space="preserve"> anser i sin partimotion A723 att denna bestämmelse bör än</w:t>
      </w:r>
      <w:r w:rsidRPr="00000E4F">
        <w:t>d</w:t>
      </w:r>
      <w:r w:rsidRPr="00000E4F">
        <w:t>ras. När bestämmelsen infördes var den tänkt att endast användas i unda</w:t>
      </w:r>
      <w:r w:rsidRPr="00000E4F">
        <w:t>n</w:t>
      </w:r>
      <w:r w:rsidRPr="00000E4F">
        <w:t>tagsfall. Så har inte blivit fallet. Bestämmelsen bör därför ges formen av ett principförbud mot utköp. Undantag skall endast få göras om det föreligger särskilda eller synnerliga skäl. Vidare bör skadeståndet bestämmas till en viss procent av arbetsgivarens årsomsättning. En viss del av skadeståndet bör tillfalla staten (yrk. 9).</w:t>
      </w:r>
    </w:p>
    <w:p w:rsidR="00866CF7" w:rsidRPr="00000E4F" w:rsidRDefault="00866CF7">
      <w:pPr>
        <w:pStyle w:val="R3"/>
      </w:pPr>
      <w:r w:rsidRPr="00000E4F">
        <w:t>Utskottets ställningstagande</w:t>
      </w:r>
    </w:p>
    <w:p w:rsidR="00866CF7" w:rsidRPr="00000E4F" w:rsidRDefault="00866CF7">
      <w:r w:rsidRPr="00000E4F">
        <w:t xml:space="preserve">Som framgår av tidigare betänkanden har utskottet under flera år behandlat yrkanden från Vänsterpartiet om införandet av ett principförbud mot ”utköp” enligt 39 § anställningsskyddslagen. Utskottet har i sin tidigare behandling av frågan (se bet. 1997/98:AU6 och 1998/99:AU8) förklarat att ett sådant förbud skulle kunna medföra en ny tvist efter domen som till viss del skulle inrymma samma frågor som den föregående processen. Problem skulle också kvarstå om arbetsgivaren åter vägrade att låta arbetstagaren </w:t>
      </w:r>
      <w:r w:rsidRPr="00000E4F">
        <w:t>komma tillbaka. Även om de nu gällande reglerna ibland kan leda till mindre tilltalande sit</w:t>
      </w:r>
      <w:r w:rsidRPr="00000E4F">
        <w:t>u</w:t>
      </w:r>
      <w:r w:rsidRPr="00000E4F">
        <w:t>ationer ansåg utskottet att Vänsterpartiets yrkande inte skulle lösa problemen på ett godtagbart sätt. Utskottet har ingen annan uppfattning i dag. Motion A723 yrkande 9 (v) a</w:t>
      </w:r>
      <w:r w:rsidRPr="00000E4F">
        <w:t>v</w:t>
      </w:r>
      <w:r w:rsidRPr="00000E4F">
        <w:t>styrks därför.</w:t>
      </w:r>
    </w:p>
    <w:p w:rsidR="00866CF7" w:rsidRPr="00000E4F" w:rsidRDefault="00866CF7">
      <w:pPr>
        <w:pStyle w:val="Rubrik1"/>
        <w:rPr>
          <w:b/>
        </w:rPr>
      </w:pPr>
      <w:bookmarkStart w:id="57" w:name="_Toc475783911"/>
      <w:bookmarkStart w:id="58" w:name="_Toc477140361"/>
      <w:r w:rsidRPr="00000E4F">
        <w:t>3 Medbestämmandelagen</w:t>
      </w:r>
      <w:bookmarkEnd w:id="57"/>
      <w:bookmarkEnd w:id="58"/>
      <w:r w:rsidRPr="00000E4F">
        <w:t xml:space="preserve"> </w:t>
      </w:r>
    </w:p>
    <w:p w:rsidR="00866CF7" w:rsidRPr="00000E4F" w:rsidRDefault="00866CF7">
      <w:r w:rsidRPr="00000E4F">
        <w:t>Under detta avsnitt kommer utskottet att behandla ett antal motioner som tar sikte på olika frågeställningar som rör medbestämmandelagen. Det bör dock uppmärksammas att i betänkandets inledande avsnitt, där regeringens förslag om lönebildning behandlas, finns motioner som bl.a. tar upp olika frågor om stridsåtgärder. I detta avsnitt kommer dock utskottet att behandla frågor som rör den s.k. fackliga vetorätten vid entreprenader.</w:t>
      </w:r>
    </w:p>
    <w:p w:rsidR="00866CF7" w:rsidRPr="00000E4F" w:rsidRDefault="00866CF7">
      <w:pPr>
        <w:pStyle w:val="R3"/>
      </w:pPr>
      <w:r w:rsidRPr="00000E4F">
        <w:t>Motioner</w:t>
      </w:r>
    </w:p>
    <w:p w:rsidR="00866CF7" w:rsidRPr="00000E4F" w:rsidRDefault="00866CF7">
      <w:r w:rsidRPr="00000E4F">
        <w:t xml:space="preserve">I motion A708 påpekar </w:t>
      </w:r>
      <w:r w:rsidRPr="00000E4F">
        <w:rPr>
          <w:i/>
        </w:rPr>
        <w:t xml:space="preserve">Bengt Silfverstrand </w:t>
      </w:r>
      <w:r w:rsidRPr="00000E4F">
        <w:t>och</w:t>
      </w:r>
      <w:r w:rsidRPr="00000E4F">
        <w:rPr>
          <w:i/>
        </w:rPr>
        <w:t xml:space="preserve"> Ronny Olander (båda s)</w:t>
      </w:r>
      <w:r w:rsidRPr="00000E4F">
        <w:t xml:space="preserve"> att det blivit allt svårare för politiker att få komma till tals på arbetsplatserna. Motionärerna föreslår därför att det tillsätts en utredning med uppgift att utreda möjligheterna till politisk information och opinionsbildning på arbet</w:t>
      </w:r>
      <w:r w:rsidRPr="00000E4F">
        <w:t>s</w:t>
      </w:r>
      <w:r w:rsidRPr="00000E4F">
        <w:t>platserna.</w:t>
      </w:r>
    </w:p>
    <w:p w:rsidR="00866CF7" w:rsidRPr="00000E4F" w:rsidRDefault="00866CF7">
      <w:r w:rsidRPr="00000E4F">
        <w:t xml:space="preserve">I ett antal motioner lämnas förslag avseende den fackliga vetorätten. Både </w:t>
      </w:r>
      <w:r w:rsidRPr="00000E4F">
        <w:rPr>
          <w:i/>
        </w:rPr>
        <w:t>Kristdemokraterna</w:t>
      </w:r>
      <w:r w:rsidRPr="00000E4F">
        <w:t xml:space="preserve"> och </w:t>
      </w:r>
      <w:r w:rsidRPr="00000E4F">
        <w:rPr>
          <w:i/>
        </w:rPr>
        <w:t>Folkpartiet</w:t>
      </w:r>
      <w:r w:rsidRPr="00000E4F">
        <w:t xml:space="preserve"> yrkar i kommittémotionerna A254 (yrk. 27) respektive A231 (yrk. 17 delvis) att den fackliga vetorätten skall tas bort.</w:t>
      </w:r>
    </w:p>
    <w:p w:rsidR="00866CF7" w:rsidRPr="00000E4F" w:rsidRDefault="00866CF7">
      <w:r w:rsidRPr="00000E4F">
        <w:rPr>
          <w:i/>
        </w:rPr>
        <w:t>Bengt Silfverstrand (s)</w:t>
      </w:r>
      <w:r w:rsidRPr="00000E4F">
        <w:t xml:space="preserve"> föreslår i motion A709 att utformningen av delgi</w:t>
      </w:r>
      <w:r w:rsidRPr="00000E4F">
        <w:t>v</w:t>
      </w:r>
      <w:r w:rsidRPr="00000E4F">
        <w:t>ningsreglerna vid uppsägning av kollektivavtal i 30 § medbestämmandelagen ändras på så sätt att det skall vara avsändaren som står för risken för att ett meddelande inte kommer fram. Motionären har härvid bl.a. hänvisat till ett avgörande från Arbetsdomstolen, AD 1998 nr 96. Enligt motionären visar avgörandet att nuvarande delgivningsbestämmelser på ett otillfredsställande sätt skjuter över bevisbö</w:t>
      </w:r>
      <w:r w:rsidRPr="00000E4F">
        <w:t>r</w:t>
      </w:r>
      <w:r w:rsidRPr="00000E4F">
        <w:t>dan på mottagaren av handlingen.</w:t>
      </w:r>
    </w:p>
    <w:p w:rsidR="00866CF7" w:rsidRPr="00000E4F" w:rsidRDefault="00866CF7">
      <w:pPr>
        <w:pStyle w:val="R3"/>
      </w:pPr>
      <w:r w:rsidRPr="00000E4F">
        <w:t>Utskottets ställningstagand</w:t>
      </w:r>
      <w:r w:rsidRPr="00000E4F">
        <w:t>e</w:t>
      </w:r>
    </w:p>
    <w:p w:rsidR="00866CF7" w:rsidRPr="00000E4F" w:rsidRDefault="00866CF7">
      <w:r w:rsidRPr="00000E4F">
        <w:t>Vad gäller de frågor som tas upp av Bengt Silfverstrand och Ronny Olander och som rör information och opinionsbildning har utskottet ingen annan synpunkt än motionärerna. Det är viktigt att människor känner sig delaktiga i och har kunskaper i politiska frågor. Även om Demokratiutredningen i sitt kommande förslag inte särskilt berör dessa problem utgår utskottet från att regeringen i det fortsatta arbetet följer denna fråga. Med hänsyn till detta avstyrker u</w:t>
      </w:r>
      <w:r w:rsidRPr="00000E4F">
        <w:t>t</w:t>
      </w:r>
      <w:r w:rsidRPr="00000E4F">
        <w:t xml:space="preserve">skottet motion A708 (s). </w:t>
      </w:r>
    </w:p>
    <w:p w:rsidR="00866CF7" w:rsidRPr="00000E4F" w:rsidRDefault="00866CF7">
      <w:pPr>
        <w:pStyle w:val="Normaltindrag"/>
      </w:pPr>
      <w:r w:rsidRPr="00000E4F">
        <w:t>Utskottet övergår nu till att pröva yrkanden om att avskaffa den fackliga vetorätten.</w:t>
      </w:r>
    </w:p>
    <w:p w:rsidR="00866CF7" w:rsidRPr="00000E4F" w:rsidRDefault="00866CF7">
      <w:pPr>
        <w:pStyle w:val="Normaltindrag"/>
      </w:pPr>
      <w:r w:rsidRPr="00000E4F">
        <w:t>I medbestämmandelagen finns särskilda bestämmelser som ger de fackliga organisationerna möjlighet att i vissa fall lägga in veto mot att en arbetsgiv</w:t>
      </w:r>
      <w:r w:rsidRPr="00000E4F">
        <w:t>a</w:t>
      </w:r>
      <w:r w:rsidRPr="00000E4F">
        <w:t xml:space="preserve">re anlitar någon annan än egna anställda att utföra ett arbete (se lagens 38–40 §§). </w:t>
      </w:r>
    </w:p>
    <w:p w:rsidR="00866CF7" w:rsidRPr="00000E4F" w:rsidRDefault="00866CF7">
      <w:pPr>
        <w:pStyle w:val="Normaltindrag"/>
      </w:pPr>
      <w:r w:rsidRPr="00000E4F">
        <w:t>Dessa bestämmelser upphävdes 1994 under den dåvarande fyrpartireg</w:t>
      </w:r>
      <w:r w:rsidRPr="00000E4F">
        <w:t>e</w:t>
      </w:r>
      <w:r w:rsidRPr="00000E4F">
        <w:t>ringen. Bestämmelserna återinfördes, med vissa justeringar, från den 1 janu</w:t>
      </w:r>
      <w:r w:rsidRPr="00000E4F">
        <w:t>a</w:t>
      </w:r>
      <w:r w:rsidRPr="00000E4F">
        <w:t>ri 1995 sedan Socialdemokraterna återtagit regeringsmakten.</w:t>
      </w:r>
    </w:p>
    <w:p w:rsidR="00866CF7" w:rsidRPr="00000E4F" w:rsidRDefault="00866CF7">
      <w:pPr>
        <w:pStyle w:val="Normaltindrag"/>
      </w:pPr>
      <w:r w:rsidRPr="00000E4F">
        <w:t>Syftet med den fackliga vetorätten är att förhindra att arbetsgivare anlitar oseriösa företagare som i sin verksamhet kringgår arbetsrättsliga lagar eller gällande kollektivavtal. Den fackliga vetorätten fyller därmed också den viktiga funktionen att slå vakt om de seriösa företagen. Med hänsyn till det anförda anser utskottet att reglerna bör bibehållas. Motionerna A231 y</w:t>
      </w:r>
      <w:r w:rsidRPr="00000E4F">
        <w:t>rkande 17 delvis (fp) och A254 yrkande 27 (kd) bör därför avslås.</w:t>
      </w:r>
    </w:p>
    <w:p w:rsidR="00866CF7" w:rsidRPr="00000E4F" w:rsidRDefault="00866CF7">
      <w:pPr>
        <w:pStyle w:val="Normaltindrag"/>
      </w:pPr>
      <w:r w:rsidRPr="00000E4F">
        <w:t>När det slutligen gäller frågan om bevisbördereglerna  avseende 30 § me</w:t>
      </w:r>
      <w:r w:rsidRPr="00000E4F">
        <w:t>d</w:t>
      </w:r>
      <w:r w:rsidRPr="00000E4F">
        <w:t>bestämmandelagen som behandlas i motion A709 vill utskottet anföra fö</w:t>
      </w:r>
      <w:r w:rsidRPr="00000E4F">
        <w:t>l</w:t>
      </w:r>
      <w:r w:rsidRPr="00000E4F">
        <w:t>jande.</w:t>
      </w:r>
    </w:p>
    <w:p w:rsidR="00866CF7" w:rsidRPr="00000E4F" w:rsidRDefault="00866CF7">
      <w:pPr>
        <w:pStyle w:val="Normaltindrag"/>
      </w:pPr>
      <w:r w:rsidRPr="00000E4F">
        <w:t>Bestämmelser om hur kollektivavtal kan sägas upp finns i medbestä</w:t>
      </w:r>
      <w:r w:rsidRPr="00000E4F">
        <w:t>m</w:t>
      </w:r>
      <w:r w:rsidRPr="00000E4F">
        <w:t>mandelagen. Av 30 § nämnda lag framgår att uppsägning av kollektivavtal skall ske skriftligen. Av bestämmelsens ordalydelse framgår vidare att om meddelande om uppsägning har avsänts under motpartens senast kända adress så tidigt att det hade bort komma denne till handa innan uppsägning senast skulle ha skett, skall uppsägning anses ha ägt rum i tid även om me</w:t>
      </w:r>
      <w:r w:rsidRPr="00000E4F">
        <w:t>d</w:t>
      </w:r>
      <w:r w:rsidRPr="00000E4F">
        <w:t>delandet inte kommer fram eller kommer fram för sent. En motsvarande bestämmelse fanns tidigare i 1928 års lag om kollektivavtal. I förarbetena till</w:t>
      </w:r>
      <w:r w:rsidRPr="00000E4F">
        <w:t xml:space="preserve"> medbestämmandelagen anges att regleringen är ett undantag från de allmä</w:t>
      </w:r>
      <w:r w:rsidRPr="00000E4F">
        <w:t>n</w:t>
      </w:r>
      <w:r w:rsidRPr="00000E4F">
        <w:t>na rättsgrundsatser som säger att befordran av meddelanden med t.ex. post i princip sker på avsändarens risk (se prop. 1975/76:105 bilaga 1 s. 380). Där anges också att motsvarande bestämmelse i lagen om kollektivavtal vid sin tillkomst motiverades av att en motsatt regel skulle ställa för stora krav på avsändaren och att bestämmelsen torde stå i överensstämmelse med en tä</w:t>
      </w:r>
      <w:r w:rsidRPr="00000E4F">
        <w:t>m</w:t>
      </w:r>
      <w:r w:rsidRPr="00000E4F">
        <w:t>ligen allmän uppfattning inom fackorganisationerna. Detta inneb</w:t>
      </w:r>
      <w:r w:rsidRPr="00000E4F">
        <w:t>är att när en uppsägning av kollektivavtal sänds med post går meddelandet på mottag</w:t>
      </w:r>
      <w:r w:rsidRPr="00000E4F">
        <w:t>a</w:t>
      </w:r>
      <w:r w:rsidRPr="00000E4F">
        <w:t xml:space="preserve">rens risk. </w:t>
      </w:r>
    </w:p>
    <w:p w:rsidR="00866CF7" w:rsidRPr="00000E4F" w:rsidRDefault="00866CF7">
      <w:pPr>
        <w:pStyle w:val="Normaltindrag"/>
      </w:pPr>
      <w:r w:rsidRPr="00000E4F">
        <w:t>Av det i motionen angivna rättsfallet från Arbetsdomstolen framgår att även om försändelsen skickas på mottagarens risk måste avsändaren, om mottagaren förnekar att han fått försändelsen, bevisa att han postat den. Det räcker inte att avsändaren påstår att han gjort det. Enligt Arbetsdomstolen får frågan om en försändelse verkligen har postats avgöras med hänsyn till o</w:t>
      </w:r>
      <w:r w:rsidRPr="00000E4F">
        <w:t>m</w:t>
      </w:r>
      <w:r w:rsidRPr="00000E4F">
        <w:t xml:space="preserve">ständigheterna i det enskilda fallet. </w:t>
      </w:r>
    </w:p>
    <w:p w:rsidR="00866CF7" w:rsidRPr="00000E4F" w:rsidRDefault="00866CF7">
      <w:pPr>
        <w:pStyle w:val="Normaltindrag"/>
      </w:pPr>
      <w:r w:rsidRPr="00000E4F">
        <w:t>Som framgår ovan har frågan om en uppsägning av ett kollektivavtal skall gå på avsändarens eller mottagarens risk övervägts vid medbestämmandel</w:t>
      </w:r>
      <w:r w:rsidRPr="00000E4F">
        <w:t>a</w:t>
      </w:r>
      <w:r w:rsidRPr="00000E4F">
        <w:t>gens tillkomst. De skäl som då anfördes för att en sådan försändelse skall gå på mottagarens risk är enligt utskottet fortfarande giltiga. Enligt utskottets mening föranleder nämnda rättsfall inte något annat ställningstagande från utskottets sida. Utskottet avstyrker därför motion A709 (s).</w:t>
      </w:r>
    </w:p>
    <w:p w:rsidR="00866CF7" w:rsidRPr="00000E4F" w:rsidRDefault="00866CF7">
      <w:pPr>
        <w:pStyle w:val="Rubrik1"/>
      </w:pPr>
      <w:bookmarkStart w:id="59" w:name="_Toc475783912"/>
      <w:bookmarkStart w:id="60" w:name="_Toc477140362"/>
      <w:r w:rsidRPr="00000E4F">
        <w:t>4 Rätt till ledighet</w:t>
      </w:r>
      <w:bookmarkEnd w:id="59"/>
      <w:bookmarkEnd w:id="60"/>
    </w:p>
    <w:p w:rsidR="00866CF7" w:rsidRPr="00000E4F" w:rsidRDefault="00866CF7">
      <w:pPr>
        <w:pStyle w:val="Rubrik2"/>
        <w:spacing w:before="123"/>
      </w:pPr>
      <w:bookmarkStart w:id="61" w:name="_Toc475783913"/>
      <w:bookmarkStart w:id="62" w:name="_Toc477140363"/>
      <w:r w:rsidRPr="00000E4F">
        <w:t>4.1 Semesterlagen</w:t>
      </w:r>
      <w:bookmarkEnd w:id="61"/>
      <w:bookmarkEnd w:id="62"/>
      <w:r w:rsidRPr="00000E4F">
        <w:t xml:space="preserve"> </w:t>
      </w:r>
    </w:p>
    <w:p w:rsidR="00866CF7" w:rsidRPr="00000E4F" w:rsidRDefault="00866CF7">
      <w:pPr>
        <w:pStyle w:val="R3"/>
        <w:spacing w:before="123"/>
      </w:pPr>
      <w:r w:rsidRPr="00000E4F">
        <w:t>Motioner</w:t>
      </w:r>
    </w:p>
    <w:p w:rsidR="00866CF7" w:rsidRPr="00000E4F" w:rsidRDefault="00866CF7">
      <w:r w:rsidRPr="00000E4F">
        <w:rPr>
          <w:i/>
        </w:rPr>
        <w:t xml:space="preserve">Centerpartiet </w:t>
      </w:r>
      <w:r w:rsidRPr="00000E4F">
        <w:t>anser att semesterlagen har ett omfattande och detaljerat rege</w:t>
      </w:r>
      <w:r w:rsidRPr="00000E4F">
        <w:t>l</w:t>
      </w:r>
      <w:r w:rsidRPr="00000E4F">
        <w:t>verk som är svårt att överblicka. Det skapar därmed en del problem för fra</w:t>
      </w:r>
      <w:r w:rsidRPr="00000E4F">
        <w:t>m</w:t>
      </w:r>
      <w:r w:rsidRPr="00000E4F">
        <w:t>för allt de mindre företagen. I kommittémotion N387 hävdas bl.a. att ett enklare system skulle vara att skyldigheten att betala semesterlön knöts till huvudbetalaren, dvs. om försäkringskassan betalt ersättning under en tid skall den även svara för semesterersättningen under denna tid. Enligt partiet bör det tillsättas en särskild utredare med uppdrag att lägga fram försl</w:t>
      </w:r>
      <w:r w:rsidRPr="00000E4F">
        <w:t>ag till en reformering av semesterlagen (yrk. 5).</w:t>
      </w:r>
    </w:p>
    <w:p w:rsidR="00866CF7" w:rsidRPr="00000E4F" w:rsidRDefault="00866CF7">
      <w:r w:rsidRPr="00000E4F">
        <w:t xml:space="preserve">I motion A704 </w:t>
      </w:r>
      <w:r w:rsidRPr="00000E4F">
        <w:rPr>
          <w:i/>
        </w:rPr>
        <w:t>Inger Strömbom m.fl. (kd, m, fp, c)</w:t>
      </w:r>
      <w:r w:rsidRPr="00000E4F">
        <w:t xml:space="preserve"> hävdas att när en arbetst</w:t>
      </w:r>
      <w:r w:rsidRPr="00000E4F">
        <w:t>a</w:t>
      </w:r>
      <w:r w:rsidRPr="00000E4F">
        <w:t>gare deltar i det s.k. Kunskapslyftet får arbetsgivaren en alltför betungande kostnad. Detta beror på att arbetstagaren i dessa fall erhåller särskilt utbil</w:t>
      </w:r>
      <w:r w:rsidRPr="00000E4F">
        <w:t>d</w:t>
      </w:r>
      <w:r w:rsidRPr="00000E4F">
        <w:t>ningsbidrag som är semesterlönegrundande. Samtidigt måste arbetsgivaren anställa en ersättare för vilken det också skall utges semesterlön. Motion</w:t>
      </w:r>
      <w:r w:rsidRPr="00000E4F">
        <w:t>ä</w:t>
      </w:r>
      <w:r w:rsidRPr="00000E4F">
        <w:t>rerna föreslår därför att det organ som betalar ut särskilt utbildningsbidrag också skall betala ut semesterlön.</w:t>
      </w:r>
    </w:p>
    <w:p w:rsidR="00866CF7" w:rsidRPr="00000E4F" w:rsidRDefault="00866CF7">
      <w:pPr>
        <w:pStyle w:val="R3"/>
      </w:pPr>
      <w:r w:rsidRPr="00000E4F">
        <w:t>Utskottets ställningstagande</w:t>
      </w:r>
    </w:p>
    <w:p w:rsidR="00866CF7" w:rsidRPr="00000E4F" w:rsidRDefault="00866CF7">
      <w:r w:rsidRPr="00000E4F">
        <w:t xml:space="preserve">Vad gäller den frågeställning som behandlas i motion A704 vill utskottet anföra följande. </w:t>
      </w:r>
    </w:p>
    <w:p w:rsidR="00866CF7" w:rsidRPr="00000E4F" w:rsidRDefault="00866CF7">
      <w:pPr>
        <w:pStyle w:val="Normaltindrag"/>
      </w:pPr>
      <w:r w:rsidRPr="00000E4F">
        <w:t>Det särskilda utbildningsbidraget infördes den 1 juli 1997 som en del i det s.k. Kunskapslyftet. Bidraget regleras i förordningen (1996:1654) om särskilt utbildningsbidrag. Särskilt utbildningsbidrag kan bl.a. ges till anställda som har förvärvsarbetat under minst fem år, förutsatt att arbetsgivaren genom en överenskommelse med den berörda lokala arbetstagarorganisationen har åtagit sig att som ersättare anställa en långtidsarbetslös person som är inskr</w:t>
      </w:r>
      <w:r w:rsidRPr="00000E4F">
        <w:t>i</w:t>
      </w:r>
      <w:r w:rsidRPr="00000E4F">
        <w:t xml:space="preserve">ven vid arbetsförmedlingen. </w:t>
      </w:r>
    </w:p>
    <w:p w:rsidR="00866CF7" w:rsidRPr="00000E4F" w:rsidRDefault="00866CF7">
      <w:pPr>
        <w:pStyle w:val="Normaltindrag"/>
      </w:pPr>
      <w:r w:rsidRPr="00000E4F">
        <w:t>Av bestämmelserna i 17 § semesterlagen framgår att frånvaro från arbetet kan vara semesterlönegrundande. Detta gäller t.ex. ledighet på grund av sjukdom och föräldraledighet och vid ledighet för utbildning om arbetstag</w:t>
      </w:r>
      <w:r w:rsidRPr="00000E4F">
        <w:t>a</w:t>
      </w:r>
      <w:r w:rsidRPr="00000E4F">
        <w:t>ren erhåller korttidsstudiestöd, vuxenstudiestöd enligt studiestödslagen (1973:349), s.k. svux, eller särskilt utbildningsbidrag. Som påpekats i moti</w:t>
      </w:r>
      <w:r w:rsidRPr="00000E4F">
        <w:t>o</w:t>
      </w:r>
      <w:r w:rsidRPr="00000E4F">
        <w:t>nen blir konsekvensen av detta att arbetsgivaren måste betala semesterersät</w:t>
      </w:r>
      <w:r w:rsidRPr="00000E4F">
        <w:t>t</w:t>
      </w:r>
      <w:r w:rsidRPr="00000E4F">
        <w:t>ning både till den arbetstagare som uppbär det särskilda utbildningsbidraget och till hans eller hennes ersättare. Utskottet vill påpeka att följden blir de</w:t>
      </w:r>
      <w:r w:rsidRPr="00000E4F">
        <w:t>n</w:t>
      </w:r>
      <w:r w:rsidRPr="00000E4F">
        <w:t>samma för en arbetsgivare som anställer en vikarie för en anställd som b</w:t>
      </w:r>
      <w:r w:rsidRPr="00000E4F">
        <w:t>e</w:t>
      </w:r>
      <w:r w:rsidRPr="00000E4F">
        <w:t>driver studier med svux.</w:t>
      </w:r>
    </w:p>
    <w:p w:rsidR="00866CF7" w:rsidRPr="00000E4F" w:rsidRDefault="00866CF7">
      <w:pPr>
        <w:pStyle w:val="Normaltindrag"/>
      </w:pPr>
      <w:r w:rsidRPr="00000E4F">
        <w:t>I den proposition (prop. 1996/</w:t>
      </w:r>
      <w:r w:rsidRPr="00000E4F">
        <w:t>97:1) som föregick införandet av det särski</w:t>
      </w:r>
      <w:r w:rsidRPr="00000E4F">
        <w:t>l</w:t>
      </w:r>
      <w:r w:rsidRPr="00000E4F">
        <w:t>da utbildningsbidraget har inte angetts något skäl till varför bidraget skall vara semesterlönegrundande. Däremot finns det i förarbetena till semesterl</w:t>
      </w:r>
      <w:r w:rsidRPr="00000E4F">
        <w:t>a</w:t>
      </w:r>
      <w:r w:rsidRPr="00000E4F">
        <w:t>gen uttalanden om varför s.k. svux skall vara semesterlönegrundande. Som skäl anges att svux har stark anknytning till arbetslivet och utgör ersättning för inkomstbortfall under studietiden (prop. 1976/77:90 s. 133). Detta synsätt kan enligt utskottets mening även anläggas på det särskilda utbildningsbidr</w:t>
      </w:r>
      <w:r w:rsidRPr="00000E4F">
        <w:t>a</w:t>
      </w:r>
      <w:r w:rsidRPr="00000E4F">
        <w:t xml:space="preserve">get. </w:t>
      </w:r>
    </w:p>
    <w:p w:rsidR="00866CF7" w:rsidRPr="00000E4F" w:rsidRDefault="00866CF7">
      <w:pPr>
        <w:pStyle w:val="Normaltindrag"/>
      </w:pPr>
      <w:r w:rsidRPr="00000E4F">
        <w:t>Mo</w:t>
      </w:r>
      <w:r w:rsidRPr="00000E4F">
        <w:t>t denna bakgrund avstyrker utskottet motion A704 (kd, m, c, fp).</w:t>
      </w:r>
    </w:p>
    <w:p w:rsidR="00866CF7" w:rsidRPr="00000E4F" w:rsidRDefault="00866CF7">
      <w:pPr>
        <w:pStyle w:val="Normaltindrag"/>
      </w:pPr>
      <w:r w:rsidRPr="00000E4F">
        <w:t>Utskottet är inte heller berett att ställa sig bakom det krav på en översyn av semesterlagen som framförs av Centerpartiet. Motion N387 yrkande 5 (c) avstyrks.</w:t>
      </w:r>
    </w:p>
    <w:p w:rsidR="00866CF7" w:rsidRPr="00000E4F" w:rsidRDefault="00866CF7">
      <w:pPr>
        <w:pStyle w:val="Rubrik2"/>
        <w:rPr>
          <w:b/>
        </w:rPr>
      </w:pPr>
      <w:bookmarkStart w:id="63" w:name="_Toc475783914"/>
      <w:bookmarkStart w:id="64" w:name="_Toc477140364"/>
      <w:r w:rsidRPr="00000E4F">
        <w:t>4.2 Föräldraledighetslagen</w:t>
      </w:r>
      <w:bookmarkEnd w:id="63"/>
      <w:bookmarkEnd w:id="64"/>
      <w:r w:rsidRPr="00000E4F">
        <w:t xml:space="preserve"> </w:t>
      </w:r>
    </w:p>
    <w:p w:rsidR="00866CF7" w:rsidRPr="00000E4F" w:rsidRDefault="00866CF7">
      <w:pPr>
        <w:pStyle w:val="R3"/>
        <w:spacing w:before="123"/>
      </w:pPr>
      <w:r w:rsidRPr="00000E4F">
        <w:t>Bakgrund</w:t>
      </w:r>
    </w:p>
    <w:p w:rsidR="00866CF7" w:rsidRPr="00000E4F" w:rsidRDefault="00866CF7">
      <w:r w:rsidRPr="00000E4F">
        <w:t>Föräldraledighetslagen (1995:584) innebär att en arbetstagare i egenskap av förälder har rätt till ledighet från sin anställning för vård av barn till dess att barnet uppnått ett och ett halvt års ålder eller, under förutsättning att förä</w:t>
      </w:r>
      <w:r w:rsidRPr="00000E4F">
        <w:t>l</w:t>
      </w:r>
      <w:r w:rsidRPr="00000E4F">
        <w:t>dern då har hel föräldrapenning, för tid därefter.</w:t>
      </w:r>
    </w:p>
    <w:p w:rsidR="00866CF7" w:rsidRPr="00000E4F" w:rsidRDefault="00866CF7">
      <w:pPr>
        <w:pStyle w:val="Normaltindrag"/>
      </w:pPr>
      <w:r w:rsidRPr="00000E4F">
        <w:t>I lagen finns även skyddsregler. Av 16 § framgår att en arbetstagare inte får sägas upp eller avskedas enbart på grund av att arbetstagaren begär eller tar i anspråk sin rätt till ledighet enligt lagen. Om det ändå sker kan uppsä</w:t>
      </w:r>
      <w:r w:rsidRPr="00000E4F">
        <w:t>g</w:t>
      </w:r>
      <w:r w:rsidRPr="00000E4F">
        <w:t>ningen eller avskedandet ogiltigförklaras. Av 17 § framgår att en arbetstagare som begär eller tar i anspråk sin rätt till ledighet inte behöver godta andra minskade anställningsförmåner eller försämrade anställningsvillkor eller annan ompl</w:t>
      </w:r>
      <w:r w:rsidRPr="00000E4F">
        <w:t>a</w:t>
      </w:r>
      <w:r w:rsidRPr="00000E4F">
        <w:t>cering än som är en nödvändig följd av ledigheten.</w:t>
      </w:r>
    </w:p>
    <w:p w:rsidR="00866CF7" w:rsidRPr="00000E4F" w:rsidRDefault="00866CF7">
      <w:pPr>
        <w:pStyle w:val="R3"/>
      </w:pPr>
      <w:r w:rsidRPr="00000E4F">
        <w:t>Motioner</w:t>
      </w:r>
    </w:p>
    <w:p w:rsidR="00866CF7" w:rsidRPr="00000E4F" w:rsidRDefault="00866CF7">
      <w:r w:rsidRPr="00000E4F">
        <w:rPr>
          <w:i/>
        </w:rPr>
        <w:t>Kristdemokraterna</w:t>
      </w:r>
      <w:r w:rsidRPr="00000E4F">
        <w:t xml:space="preserve"> kräver i partimotion Sf302 en lagstadgad rätt till tre års tjänstledighet för den som blir förälder. Föräldrarna skall ha rätt att återvända till sitt arbete (yrk. 9).</w:t>
      </w:r>
    </w:p>
    <w:p w:rsidR="00866CF7" w:rsidRPr="00000E4F" w:rsidRDefault="00866CF7">
      <w:r w:rsidRPr="00000E4F">
        <w:t xml:space="preserve">I två motioner framförs synpunkter på de ovan redovisade bestämmelserna i 16 och 17 §§ föräldraledighetslagen. </w:t>
      </w:r>
    </w:p>
    <w:p w:rsidR="00866CF7" w:rsidRPr="00000E4F" w:rsidRDefault="00866CF7">
      <w:r w:rsidRPr="00000E4F">
        <w:rPr>
          <w:i/>
        </w:rPr>
        <w:t>Vänsterpartiet</w:t>
      </w:r>
      <w:r w:rsidRPr="00000E4F">
        <w:t xml:space="preserve"> hänvisar i partimotion A818 till att Jämställdhetsombudsma</w:t>
      </w:r>
      <w:r w:rsidRPr="00000E4F">
        <w:t>n</w:t>
      </w:r>
      <w:r w:rsidRPr="00000E4F">
        <w:t>nen (JämO) i en skrivelse till jämställdhetsminister Margareta Winberg har framfört förslag om vissa ändringar av dessa bestämmelser. De nuvarande bestämmelserna ger ett alltför svagt skydd. Skyddet för den enskilde bör förbättras så att graviditet och föräldraledighet inte till någon del får utgöra grund för negativa åtgärder. Arbetsgivaren bör åläggas bevisbördan för att samband saknas mellan den negativa åtgärden och utnyttjandet av förmåner i f</w:t>
      </w:r>
      <w:r w:rsidRPr="00000E4F">
        <w:t>öräldraledighetslagen (yrk. 13).</w:t>
      </w:r>
    </w:p>
    <w:p w:rsidR="00866CF7" w:rsidRPr="00000E4F" w:rsidRDefault="00866CF7">
      <w:r w:rsidRPr="00000E4F">
        <w:t xml:space="preserve">Även </w:t>
      </w:r>
      <w:r w:rsidRPr="00000E4F">
        <w:rPr>
          <w:i/>
        </w:rPr>
        <w:t>Miljöpartiet</w:t>
      </w:r>
      <w:r w:rsidRPr="00000E4F">
        <w:t xml:space="preserve"> framför i partimotion A819 kritik mot bestämmelserna. Enligt partiet innebär utformningen av lagen att arbetstagaren saknar skydd när arbetsgivaren påstår att det vid sidan av graviditeten eller föräldraledi</w:t>
      </w:r>
      <w:r w:rsidRPr="00000E4F">
        <w:t>g</w:t>
      </w:r>
      <w:r w:rsidRPr="00000E4F">
        <w:t>heten finns andra förklaringar till en negativ åtgärd. Partiet föreslår att b</w:t>
      </w:r>
      <w:r w:rsidRPr="00000E4F">
        <w:t>e</w:t>
      </w:r>
      <w:r w:rsidRPr="00000E4F">
        <w:t xml:space="preserve">stämmelserna utformas efter förebild av de nya diskrimineringslagarna: lagen (1999:130) om åtgärder mot etnisk diskriminering i arbetslivet, lagen (1999:132) om förbud mot diskriminering i arbetslivet av personer </w:t>
      </w:r>
      <w:r w:rsidRPr="00000E4F">
        <w:t>med funktionshinder och lagen (1999:133) om förbud mot diskriminering i a</w:t>
      </w:r>
      <w:r w:rsidRPr="00000E4F">
        <w:t>r</w:t>
      </w:r>
      <w:r w:rsidRPr="00000E4F">
        <w:t>betslivet på grund av sexuell läggning. Dessa innebär att arbetsgivaren är skyldig att visa att det saknas varje samband mellan missgynnande och etnisk tillhöri</w:t>
      </w:r>
      <w:r w:rsidRPr="00000E4F">
        <w:t>g</w:t>
      </w:r>
      <w:r w:rsidRPr="00000E4F">
        <w:t>het etc. (yrk. 15).</w:t>
      </w:r>
    </w:p>
    <w:p w:rsidR="00866CF7" w:rsidRPr="00000E4F" w:rsidRDefault="00866CF7">
      <w:r w:rsidRPr="00000E4F">
        <w:rPr>
          <w:i/>
        </w:rPr>
        <w:t xml:space="preserve">Lena Sandlin </w:t>
      </w:r>
      <w:r w:rsidRPr="00000E4F">
        <w:t>och</w:t>
      </w:r>
      <w:r w:rsidRPr="00000E4F">
        <w:rPr>
          <w:i/>
        </w:rPr>
        <w:t xml:space="preserve"> Ingemar Josefsson (båda s)</w:t>
      </w:r>
      <w:r w:rsidRPr="00000E4F">
        <w:t xml:space="preserve"> påpekar i motion A727 att många kvinnor, som med stöd av föräldraledighetslagen reducerat sin a</w:t>
      </w:r>
      <w:r w:rsidRPr="00000E4F">
        <w:t>r</w:t>
      </w:r>
      <w:r w:rsidRPr="00000E4F">
        <w:t>betstid, inte kan få någon heltidstjänst när ledigheten är över. De föreslår därför att det införs en skyldighet för arbetsgivare att upplysa föräldrar som reducerat sin arbetstid om rätten till bibehållen heltidstjänst.</w:t>
      </w:r>
    </w:p>
    <w:p w:rsidR="00866CF7" w:rsidRPr="00000E4F" w:rsidRDefault="00866CF7">
      <w:pPr>
        <w:pStyle w:val="R3"/>
      </w:pPr>
      <w:r w:rsidRPr="00000E4F">
        <w:t>Utskottets ställningstagande</w:t>
      </w:r>
    </w:p>
    <w:p w:rsidR="00866CF7" w:rsidRPr="00000E4F" w:rsidRDefault="00866CF7">
      <w:r w:rsidRPr="00000E4F">
        <w:t>Kristdemokraternas krav att rätten till föräldraledighet skall förlängas till tre år har framställts tidigare och behandlats av utskottet. Senast ett sådant fö</w:t>
      </w:r>
      <w:r w:rsidRPr="00000E4F">
        <w:t>r</w:t>
      </w:r>
      <w:r w:rsidRPr="00000E4F">
        <w:t>slag behandlades var i betänkande 1998/99:AU8. Utskottet hänvisade då till ett tidigare betänkande 1997/98:AU8. I sistnämnda betänkande hade utsko</w:t>
      </w:r>
      <w:r w:rsidRPr="00000E4F">
        <w:t>t</w:t>
      </w:r>
      <w:r w:rsidRPr="00000E4F">
        <w:t>tet konstaterat att det saknades en analys av vad en förlängning av föräldr</w:t>
      </w:r>
      <w:r w:rsidRPr="00000E4F">
        <w:t>a</w:t>
      </w:r>
      <w:r w:rsidRPr="00000E4F">
        <w:t>ledigheten skulle få för konsekvenser för de mindre företagen, hur vikariat</w:t>
      </w:r>
      <w:r w:rsidRPr="00000E4F">
        <w:t>s</w:t>
      </w:r>
      <w:r w:rsidRPr="00000E4F">
        <w:t>frågan skulle lösas vid upprepade långa ledigheter, vilken inverkan föräldr</w:t>
      </w:r>
      <w:r w:rsidRPr="00000E4F">
        <w:t>a</w:t>
      </w:r>
      <w:r w:rsidRPr="00000E4F">
        <w:t>ledigheten skulle ha på lön m.m. I brist på sådan analys ansåg sig inte u</w:t>
      </w:r>
      <w:r w:rsidRPr="00000E4F">
        <w:t>t</w:t>
      </w:r>
      <w:r w:rsidRPr="00000E4F">
        <w:t>skottet kunna biträda ett förslag till förlängning av föräldra</w:t>
      </w:r>
      <w:r w:rsidRPr="00000E4F">
        <w:t>ledighet på det sätt som yrkats. Utskottet kan konstatera att en sådan analys alltjämt saknas och har därför inte skäl att göra någon annan bedömning i dag. Motion Sf302 yrkande 9 (kd) avstyrks.</w:t>
      </w:r>
    </w:p>
    <w:p w:rsidR="00866CF7" w:rsidRPr="00000E4F" w:rsidRDefault="00866CF7">
      <w:pPr>
        <w:pStyle w:val="Normaltindrag"/>
      </w:pPr>
      <w:r w:rsidRPr="00000E4F">
        <w:t>När det sedan gäller förslagen till förändring av bestämmelserna i 16 och 17 §§ föräldraledighetslagen som Vänsterpartiet och Miljöpartiet för fram kan utskottet notera, i likhet med Vänsterpartiet, att Jämställdhetsombud</w:t>
      </w:r>
      <w:r w:rsidRPr="00000E4F">
        <w:t>s</w:t>
      </w:r>
      <w:r w:rsidRPr="00000E4F">
        <w:t>mannen (JämO) i en skrivelse den 23 augusti 1999 till regeringen framfört förslag i denna riktning. I skrivelsen anges bl.a. följande.</w:t>
      </w:r>
    </w:p>
    <w:p w:rsidR="00866CF7" w:rsidRPr="00000E4F" w:rsidRDefault="00866CF7">
      <w:pPr>
        <w:pStyle w:val="Citat"/>
      </w:pPr>
      <w:r w:rsidRPr="00000E4F">
        <w:t>I 16 och 17 §§ föräldraledighetslagen ges ett visst skydd mot uppsägning, omplacering och försämrade anställningsförmåner. Rättspraxis är påfallande mager. Sedan mitten av 80-talet föreligger endast fyra domar från arbet</w:t>
      </w:r>
      <w:r w:rsidRPr="00000E4F">
        <w:t>s</w:t>
      </w:r>
      <w:r w:rsidRPr="00000E4F">
        <w:t>domstolen. En rad enkätsvar hävdar att 16 och 17 §§ i praktiken har en b</w:t>
      </w:r>
      <w:r w:rsidRPr="00000E4F">
        <w:t>e</w:t>
      </w:r>
      <w:r w:rsidRPr="00000E4F">
        <w:t>gränsad betydelse. Lyckas en arbetsgivare formulera andra (svep)skäl till den påtalade försämringen än graviditet eller föräldraledighet ger lagen enligt denna uppfattning inte något skydd.</w:t>
      </w:r>
    </w:p>
    <w:p w:rsidR="00866CF7" w:rsidRPr="00000E4F" w:rsidRDefault="00866CF7">
      <w:r w:rsidRPr="00000E4F">
        <w:t>Vidare framgår av skrivelsen att JämO anser att det finns anledning att se över lagtextens utformning i 16 och 17 §§. Skyddet bör vara utformat på så sätt att graviditet och föräldraledighet inte till någon del får utgöra godtagbart skäl för de neg</w:t>
      </w:r>
      <w:r w:rsidRPr="00000E4F">
        <w:t>ativa åtgärde</w:t>
      </w:r>
      <w:r w:rsidRPr="00000E4F">
        <w:t>r</w:t>
      </w:r>
      <w:r w:rsidRPr="00000E4F">
        <w:t>na.</w:t>
      </w:r>
    </w:p>
    <w:p w:rsidR="00866CF7" w:rsidRPr="00000E4F" w:rsidRDefault="00866CF7">
      <w:pPr>
        <w:pStyle w:val="Normaltindrag"/>
      </w:pPr>
      <w:r w:rsidRPr="00000E4F">
        <w:t>Utskottet kan också notera att JämO i sitt remissvar över betänkandet En översyn av jämställdhetslagen SOU 1999:91 bl.a. föreslår att det införs en ny regel som skyddar mot missgynnande som har samband med föräldr</w:t>
      </w:r>
      <w:r w:rsidRPr="00000E4F">
        <w:t>a</w:t>
      </w:r>
      <w:r w:rsidRPr="00000E4F">
        <w:t>ansvar.</w:t>
      </w:r>
    </w:p>
    <w:p w:rsidR="00866CF7" w:rsidRPr="00000E4F" w:rsidRDefault="00866CF7">
      <w:pPr>
        <w:pStyle w:val="Normaltindrag"/>
      </w:pPr>
      <w:r w:rsidRPr="00000E4F">
        <w:t>Utskottet utgår från att regeringen kommer att följa dessa frågor och, om så är erforderligt, återkomma med förslag till förändringar. Med hänsyn till detta avstyrker utskottet motionerna A818 yrkande 13 (v) och A819 yrkande 15 (mp).</w:t>
      </w:r>
    </w:p>
    <w:p w:rsidR="00866CF7" w:rsidRPr="00000E4F" w:rsidRDefault="00866CF7">
      <w:pPr>
        <w:pStyle w:val="Normaltindrag"/>
      </w:pPr>
      <w:r w:rsidRPr="00000E4F">
        <w:t>Vad sedan gäller kravet att arbetsgivaren skall upplysa om rätten till bib</w:t>
      </w:r>
      <w:r w:rsidRPr="00000E4F">
        <w:t>e</w:t>
      </w:r>
      <w:r w:rsidRPr="00000E4F">
        <w:t>hållen heltidstjänst har utskottet ingen annan uppfattning än motionärerna när det gäller vikten av att arbetstagaren återfår sin heltidstjänst. Enligt utskottets mening är det viktigt att alla deltidsarbetande så långt som möjligt erhåller önskad sysselsättningsgrad. En åtgärd som syftade till att förbättra för de</w:t>
      </w:r>
      <w:r w:rsidRPr="00000E4F">
        <w:t>l</w:t>
      </w:r>
      <w:r w:rsidRPr="00000E4F">
        <w:t>tidsarbetande var den ändring av anställningsskyddslagen, som redovisas under avsnittet Företrädesrätt, som innebär att deltidsanställda som önskar högre sysselsättningsgrad skall få företrädesr</w:t>
      </w:r>
      <w:r w:rsidRPr="00000E4F">
        <w:t>ätt till sådan anställning. Vidare vill utskottet erinra om den s.k. DELTA-utredningen. Utredningen hade i uppdrag att bl.a. beskriva och analysera utvecklingen av deltidsarbeten och tillfälliga arbeten sedan början av 1980-talet. Den skulle också lämna förslag som syftade till att ge de deltidsarbetslösa möjligheter till ökad sysselsät</w:t>
      </w:r>
      <w:r w:rsidRPr="00000E4F">
        <w:t>t</w:t>
      </w:r>
      <w:r w:rsidRPr="00000E4F">
        <w:t>ning. För att underlätta för deltidsarbetslösa att erhålla ökad sysselsättning föreslogs bl.a. att den som är deltidsarbetslös och vill ha arbetslöshetsersät</w:t>
      </w:r>
      <w:r w:rsidRPr="00000E4F">
        <w:t>t</w:t>
      </w:r>
      <w:r w:rsidRPr="00000E4F">
        <w:t>ning skall vara</w:t>
      </w:r>
      <w:r w:rsidRPr="00000E4F">
        <w:t xml:space="preserve"> skyldig att uppvisa ett arbetsgivarintyg för arbetslöshetska</w:t>
      </w:r>
      <w:r w:rsidRPr="00000E4F">
        <w:t>s</w:t>
      </w:r>
      <w:r w:rsidRPr="00000E4F">
        <w:t>san och arbetsförmedlingen av vilket framgår att han eller hon inte kan få önskad arbetstid hos nuvarande arbetsgivare. Utredningens förslag bereds för närvarande i Regering</w:t>
      </w:r>
      <w:r w:rsidRPr="00000E4F">
        <w:t>s</w:t>
      </w:r>
      <w:r w:rsidRPr="00000E4F">
        <w:t>kansliet.</w:t>
      </w:r>
    </w:p>
    <w:p w:rsidR="00866CF7" w:rsidRPr="00000E4F" w:rsidRDefault="00866CF7">
      <w:pPr>
        <w:pStyle w:val="Normaltindrag"/>
      </w:pPr>
      <w:r w:rsidRPr="00000E4F">
        <w:t>Med hänsyn till vad som anförts ovan är utskottet i nuläget inte berett att föreslå något tillkännagivande i enlighet med motionärernas förslag. Motion A727 (s) avstyrks.</w:t>
      </w:r>
    </w:p>
    <w:p w:rsidR="00866CF7" w:rsidRPr="00000E4F" w:rsidRDefault="00866CF7">
      <w:pPr>
        <w:pStyle w:val="Rubrik2"/>
        <w:rPr>
          <w:b/>
        </w:rPr>
      </w:pPr>
      <w:bookmarkStart w:id="65" w:name="_Toc475783915"/>
      <w:bookmarkStart w:id="66" w:name="_Toc477140365"/>
      <w:r w:rsidRPr="00000E4F">
        <w:t>4.3 Rätt till ledighet för att bedriva näringsverksamhet</w:t>
      </w:r>
      <w:bookmarkEnd w:id="65"/>
      <w:bookmarkEnd w:id="66"/>
      <w:r w:rsidRPr="00000E4F">
        <w:t xml:space="preserve"> </w:t>
      </w:r>
    </w:p>
    <w:p w:rsidR="00866CF7" w:rsidRPr="00000E4F" w:rsidRDefault="00866CF7">
      <w:pPr>
        <w:pStyle w:val="R3"/>
        <w:spacing w:before="123"/>
      </w:pPr>
      <w:r w:rsidRPr="00000E4F">
        <w:t xml:space="preserve">Motion </w:t>
      </w:r>
    </w:p>
    <w:p w:rsidR="00866CF7" w:rsidRPr="00000E4F" w:rsidRDefault="00866CF7">
      <w:r w:rsidRPr="00000E4F">
        <w:rPr>
          <w:i/>
        </w:rPr>
        <w:t>Inger Strömbom m.fl. (kd, m, fp)</w:t>
      </w:r>
      <w:r w:rsidRPr="00000E4F">
        <w:t xml:space="preserve"> hävdar i motion A705 att det är viktigt att man klarlägger vilka effekter införandet av lagen (1997:1293) om rätt till ledighet för att bedriva näringsverksamhet har fått, inte minst för de mindre företagen. Motionärerna anser därför att regeringen noggrant bör följa resu</w:t>
      </w:r>
      <w:r w:rsidRPr="00000E4F">
        <w:t>l</w:t>
      </w:r>
      <w:r w:rsidRPr="00000E4F">
        <w:t>tatet av lagen och under 2000 återkomma med en red</w:t>
      </w:r>
      <w:r w:rsidRPr="00000E4F">
        <w:t>o</w:t>
      </w:r>
      <w:r w:rsidRPr="00000E4F">
        <w:t>visning.</w:t>
      </w:r>
    </w:p>
    <w:p w:rsidR="00866CF7" w:rsidRPr="00000E4F" w:rsidRDefault="00866CF7">
      <w:pPr>
        <w:pStyle w:val="R3"/>
      </w:pPr>
      <w:r w:rsidRPr="00000E4F">
        <w:t>Utskottets ställningstagande</w:t>
      </w:r>
    </w:p>
    <w:p w:rsidR="00866CF7" w:rsidRPr="00000E4F" w:rsidRDefault="00866CF7">
      <w:r w:rsidRPr="00000E4F">
        <w:t>Den lag motionärerna hänvisar till trädde i kraft den 1 januari 1998 och ger arbetstagare rätt till ledighet under sex månader för att bedriva näringsver</w:t>
      </w:r>
      <w:r w:rsidRPr="00000E4F">
        <w:t>k</w:t>
      </w:r>
      <w:r w:rsidRPr="00000E4F">
        <w:t>samhet. En förutsättning för ledigheten är att verksamheten inte konkurrerar med arbetsgivarens verksamhet. Syftet med lagen är att stimulera till försök till eget företagande. I den proposition som föregick den nya lagen (prop. 1997/98:27) meddelade regeringen att den avsåg att följa effekterna av den nya lagstiftningen. Vid underhandskontakter med Regeringskansliet har upplysts om att det inte finns några tecken som tyder på att lagen inneburit några negativa effekter för arbetsgivarna. Med hänsyn till d</w:t>
      </w:r>
      <w:r w:rsidRPr="00000E4F">
        <w:t>et anförda kan utskottet inte ställa sig bakom det yrkande som framställs i motion A705 (kd, m, fp), va</w:t>
      </w:r>
      <w:r w:rsidRPr="00000E4F">
        <w:t>r</w:t>
      </w:r>
      <w:r w:rsidRPr="00000E4F">
        <w:t>för den avstyrks.</w:t>
      </w:r>
    </w:p>
    <w:p w:rsidR="00866CF7" w:rsidRPr="00000E4F" w:rsidRDefault="00866CF7">
      <w:pPr>
        <w:pStyle w:val="Rubrik2"/>
        <w:rPr>
          <w:b/>
        </w:rPr>
      </w:pPr>
      <w:bookmarkStart w:id="67" w:name="_Toc475783916"/>
      <w:bookmarkStart w:id="68" w:name="_Toc477140366"/>
      <w:r w:rsidRPr="00000E4F">
        <w:t>4.4 Övriga ledighetsfrågor</w:t>
      </w:r>
      <w:bookmarkEnd w:id="67"/>
      <w:bookmarkEnd w:id="68"/>
      <w:r w:rsidRPr="00000E4F">
        <w:t xml:space="preserve"> </w:t>
      </w:r>
    </w:p>
    <w:p w:rsidR="00866CF7" w:rsidRPr="00000E4F" w:rsidRDefault="00866CF7">
      <w:pPr>
        <w:pStyle w:val="R3"/>
        <w:spacing w:before="123"/>
      </w:pPr>
      <w:r w:rsidRPr="00000E4F">
        <w:t>Motioner</w:t>
      </w:r>
    </w:p>
    <w:p w:rsidR="00866CF7" w:rsidRPr="00000E4F" w:rsidRDefault="00866CF7">
      <w:r w:rsidRPr="00000E4F">
        <w:t xml:space="preserve">I syftet att underlätta för många anhöriga föreslår </w:t>
      </w:r>
      <w:r w:rsidRPr="00000E4F">
        <w:rPr>
          <w:i/>
        </w:rPr>
        <w:t>Kristdemokraterna</w:t>
      </w:r>
      <w:r w:rsidRPr="00000E4F">
        <w:t xml:space="preserve"> i ko</w:t>
      </w:r>
      <w:r w:rsidRPr="00000E4F">
        <w:t>m</w:t>
      </w:r>
      <w:r w:rsidRPr="00000E4F">
        <w:t>mittémotion So332 att det skall finnas en rätt till tjänstledighet på hel- eller deltid för vård av anhörig. Tjänstledigheten bör endast ges under kortare perioder, exempelvis tre månader i taget, eftersom man i förväg inte kan veta hur stort vårdbehovet kommer att vara (yrk. 7).</w:t>
      </w:r>
    </w:p>
    <w:p w:rsidR="00866CF7" w:rsidRPr="00000E4F" w:rsidRDefault="00866CF7">
      <w:r w:rsidRPr="00000E4F">
        <w:rPr>
          <w:i/>
        </w:rPr>
        <w:t>Bengt Silfverstrand (s)</w:t>
      </w:r>
      <w:r w:rsidRPr="00000E4F">
        <w:t xml:space="preserve"> påpekar i motion A710 att förtroendevalda i hand</w:t>
      </w:r>
      <w:r w:rsidRPr="00000E4F">
        <w:t>i</w:t>
      </w:r>
      <w:r w:rsidRPr="00000E4F">
        <w:t>kappföreningar endast kan ta ledigt för sitt arbete i föreningen om arbetsgiv</w:t>
      </w:r>
      <w:r w:rsidRPr="00000E4F">
        <w:t>a</w:t>
      </w:r>
      <w:r w:rsidRPr="00000E4F">
        <w:t>ren uttryckligen medger sådan ledighet. Arbetsgivarnas vilja att medge sådan ledighet har minskat. Motionären föreslår därför att det skall införas en mo</w:t>
      </w:r>
      <w:r w:rsidRPr="00000E4F">
        <w:t>t</w:t>
      </w:r>
      <w:r w:rsidRPr="00000E4F">
        <w:t>svarande rätt till ledighet för dessa förtroendevalda som finns för personer med fackl</w:t>
      </w:r>
      <w:r w:rsidRPr="00000E4F">
        <w:t>i</w:t>
      </w:r>
      <w:r w:rsidRPr="00000E4F">
        <w:t>ga och politiska uppdrag.</w:t>
      </w:r>
    </w:p>
    <w:p w:rsidR="00866CF7" w:rsidRPr="00000E4F" w:rsidRDefault="00866CF7">
      <w:r w:rsidRPr="00000E4F">
        <w:rPr>
          <w:i/>
        </w:rPr>
        <w:t>Eva Flyborg</w:t>
      </w:r>
      <w:r w:rsidRPr="00000E4F">
        <w:t xml:space="preserve"> </w:t>
      </w:r>
      <w:r w:rsidRPr="00000E4F">
        <w:rPr>
          <w:i/>
        </w:rPr>
        <w:t>(fp)</w:t>
      </w:r>
      <w:r w:rsidRPr="00000E4F">
        <w:t xml:space="preserve"> anser i motion Fö206 att de frivilliga försvarskårerna, inte minst bland kvinnor, är av utomordentlig betydelse för vårt försvar och att deras betydelse inte torde bli mindre efter omorganisationen av totalförsv</w:t>
      </w:r>
      <w:r w:rsidRPr="00000E4F">
        <w:t>a</w:t>
      </w:r>
      <w:r w:rsidRPr="00000E4F">
        <w:t xml:space="preserve">ret. Enligt motionären är det därför viktigt att det införs en lagstadgad rätt till ledighet för deltagande i utbildning och tjänstgöring inom frivilligförsvaret. </w:t>
      </w:r>
    </w:p>
    <w:p w:rsidR="00866CF7" w:rsidRPr="00000E4F" w:rsidRDefault="00866CF7">
      <w:pPr>
        <w:pStyle w:val="R3"/>
      </w:pPr>
      <w:r w:rsidRPr="00000E4F">
        <w:t>Utskottets ställningstagande</w:t>
      </w:r>
    </w:p>
    <w:p w:rsidR="00866CF7" w:rsidRPr="00000E4F" w:rsidRDefault="00866CF7">
      <w:r w:rsidRPr="00000E4F">
        <w:t>I den s.k. närståendevårdslagen (1988:1465) finns regler om ersättning och ledighet för närståendevård. Lagen innehåller bl.a. bestämmelser om rätt till ledighet för arbetstagare som vårdar en svårt sjuk närstående person. A</w:t>
      </w:r>
      <w:r w:rsidRPr="00000E4F">
        <w:t>r</w:t>
      </w:r>
      <w:r w:rsidRPr="00000E4F">
        <w:t>betstagaren har rätt till hel ledighet från arbetet under tid som han eller hon uppbär ersättning enligt lagen och till förkortning av arbetstiden till hälften eller tre fjärdedelar under tid med halv eller fjärdedels ersättning. Ersättning, och därmed ledighet, medges för högst 60 dagar sammanlagt för varje person som vårdas. Vid vård av närstående som hivsmittats inom den svenska hälso- och sjukvården har vårdaren rätt till högst 240 dagars ledi</w:t>
      </w:r>
      <w:r w:rsidRPr="00000E4F">
        <w:t>g</w:t>
      </w:r>
      <w:r w:rsidRPr="00000E4F">
        <w:t xml:space="preserve">het. </w:t>
      </w:r>
    </w:p>
    <w:p w:rsidR="00866CF7" w:rsidRPr="00000E4F" w:rsidRDefault="00866CF7">
      <w:pPr>
        <w:pStyle w:val="Normaltindrag"/>
      </w:pPr>
      <w:r w:rsidRPr="00000E4F">
        <w:t>Som framgår av denna redogörelse finns det i dag en r</w:t>
      </w:r>
      <w:r w:rsidRPr="00000E4F">
        <w:t>ätt till närståend</w:t>
      </w:r>
      <w:r w:rsidRPr="00000E4F">
        <w:t>e</w:t>
      </w:r>
      <w:r w:rsidRPr="00000E4F">
        <w:t>vård. Utskottet är därför inte berett att ställa sig bakom motion So332 yrka</w:t>
      </w:r>
      <w:r w:rsidRPr="00000E4F">
        <w:t>n</w:t>
      </w:r>
      <w:r w:rsidRPr="00000E4F">
        <w:t>de 7 (kd). Den bör därför avstyrkas.</w:t>
      </w:r>
    </w:p>
    <w:p w:rsidR="00866CF7" w:rsidRPr="00000E4F" w:rsidRDefault="00866CF7">
      <w:pPr>
        <w:pStyle w:val="Normaltindrag"/>
      </w:pPr>
      <w:r w:rsidRPr="00000E4F">
        <w:t>Utskottet har också tidigare behandlat motioner som innehållit förslag om rätt till ledighet för att delta i frivilligförsvaret. I utskottets betänkande 1997/98:AU4 slog utskottet fast som sin principiella uppfattning att det bör finnas vägande skäl för att införa ytterligare lagregler om ledighet. Förutom att ledigheten skall avse ett angeläget ändamål bör det finnas ett påta</w:t>
      </w:r>
      <w:r w:rsidRPr="00000E4F">
        <w:t xml:space="preserve">gligt behov av lagreglering. </w:t>
      </w:r>
    </w:p>
    <w:p w:rsidR="00866CF7" w:rsidRPr="00000E4F" w:rsidRDefault="00866CF7">
      <w:pPr>
        <w:pStyle w:val="Normaltindrag"/>
      </w:pPr>
      <w:r w:rsidRPr="00000E4F">
        <w:t>Utskottet anförde vidare att det inte hade någon annan uppfattning i fråga om värdet av de insatser inom totalförsvaret som utförs av frivilliga och ansåg att det på olika sätt borde uppmuntras och stödjas. Detta kunde dock inte  ensamt motivera nya ledighetsregler. Vidare hänvisades till att gällande lagstiftning ger vissa rättigheter, t.ex. studieledighetslagen om det är fråga om utbildning. Utskottet var inte övertygat om att det fanns ett praktiskt behov av lagregler. I stä</w:t>
      </w:r>
      <w:r w:rsidRPr="00000E4F">
        <w:t>llet borde man utgå från att en arbetsgivare normalt ställer sig välvillig till framställningar om ledighet för dessa ändamål. Dä</w:t>
      </w:r>
      <w:r w:rsidRPr="00000E4F">
        <w:t>r</w:t>
      </w:r>
      <w:r w:rsidRPr="00000E4F">
        <w:t>med kunde inte avsaknaden av lagregler antas vara till påtaglig nackdel för de frivilliga organisationernas verksamhet. De behandlade motionerna a</w:t>
      </w:r>
      <w:r w:rsidRPr="00000E4F">
        <w:t>v</w:t>
      </w:r>
      <w:r w:rsidRPr="00000E4F">
        <w:t>styrktes därför. Utskottet har inte ändrat uppfattning och avstyrker därför motion Fö206 (fp).</w:t>
      </w:r>
    </w:p>
    <w:p w:rsidR="00866CF7" w:rsidRPr="00000E4F" w:rsidRDefault="00866CF7">
      <w:pPr>
        <w:pStyle w:val="Normaltindrag"/>
      </w:pPr>
      <w:r w:rsidRPr="00000E4F">
        <w:t>Vad gäller rätt till ledighet för personer som har förtroendeuppdrag i ha</w:t>
      </w:r>
      <w:r w:rsidRPr="00000E4F">
        <w:t>n</w:t>
      </w:r>
      <w:r w:rsidRPr="00000E4F">
        <w:t>dikappförbundet kan utskottet notera att ett identiskt yrkande har behandlats av utskottet våren 1998 (se bet. 1998/99:AU8). Även i detta ärende uttryckte utskottet som sin principiella uppfattning att det bör finnas vägande skäl för att införa ytterligare lagregler om ledighet. Detta grundade utskottet på att möjligheterna för en anställd att vara ledig från arbetet för olika ändamål är ganska omfattande samt att ledighetsreglerna kan innebära problem både för arbetsgivare och arbetstagare. Även om utskot</w:t>
      </w:r>
      <w:r w:rsidRPr="00000E4F">
        <w:t>tet ansåg att handikappförbu</w:t>
      </w:r>
      <w:r w:rsidRPr="00000E4F">
        <w:t>n</w:t>
      </w:r>
      <w:r w:rsidRPr="00000E4F">
        <w:t xml:space="preserve">det utför ett angeläget arbete utgjorde inte detta förhållande tillräckligt skäl för att införa ytterligare rätt till ledighet för uppdrag i sådant förbund. </w:t>
      </w:r>
    </w:p>
    <w:p w:rsidR="00866CF7" w:rsidRPr="00000E4F" w:rsidRDefault="00866CF7">
      <w:pPr>
        <w:pStyle w:val="Normaltindrag"/>
      </w:pPr>
      <w:r w:rsidRPr="00000E4F">
        <w:t>Inte heller i denna fråga har utskottet ändrat uppfattning. Motion A710 (s) avstyrks därför.</w:t>
      </w:r>
    </w:p>
    <w:p w:rsidR="00866CF7" w:rsidRPr="00000E4F" w:rsidRDefault="00866CF7">
      <w:pPr>
        <w:pStyle w:val="Rubrik1"/>
      </w:pPr>
      <w:bookmarkStart w:id="69" w:name="_Toc475783917"/>
      <w:bookmarkStart w:id="70" w:name="_Toc477140367"/>
      <w:r w:rsidRPr="00000E4F">
        <w:t>5 Arbetsdomstolen</w:t>
      </w:r>
      <w:bookmarkEnd w:id="69"/>
      <w:bookmarkEnd w:id="70"/>
      <w:r w:rsidRPr="00000E4F">
        <w:t xml:space="preserve"> </w:t>
      </w:r>
    </w:p>
    <w:p w:rsidR="00866CF7" w:rsidRPr="00000E4F" w:rsidRDefault="00866CF7">
      <w:pPr>
        <w:pStyle w:val="R3"/>
        <w:spacing w:before="123"/>
      </w:pPr>
      <w:r w:rsidRPr="00000E4F">
        <w:t>Motion</w:t>
      </w:r>
    </w:p>
    <w:p w:rsidR="00866CF7" w:rsidRPr="00000E4F" w:rsidRDefault="00866CF7">
      <w:r w:rsidRPr="00000E4F">
        <w:rPr>
          <w:i/>
        </w:rPr>
        <w:t>Moderaterna</w:t>
      </w:r>
      <w:r w:rsidRPr="00000E4F">
        <w:t>, som principiellt säger sig vara emot specialdomstolar, anser i kommittémotion A715 att Arbetsdomstolen bör avskaffas. Förutom att det är en principiellt tveksam ordning att bryta ut ett utvalt rättsområde från det ”normala” rättsväsendet anser Moderaterna det betänkligt med det korporat</w:t>
      </w:r>
      <w:r w:rsidRPr="00000E4F">
        <w:t>i</w:t>
      </w:r>
      <w:r w:rsidRPr="00000E4F">
        <w:t>va synsätt som ligger bakom ordningen med partssammansatta domstolar. Ett domstolsväsende där de etablerade organisationerna ges ett avgörande infl</w:t>
      </w:r>
      <w:r w:rsidRPr="00000E4F">
        <w:t>y</w:t>
      </w:r>
      <w:r w:rsidRPr="00000E4F">
        <w:t>tande inom ”sitt” samhällsområde kan inte hävda den enskildes rätt. Part</w:t>
      </w:r>
      <w:r w:rsidRPr="00000E4F">
        <w:t>s</w:t>
      </w:r>
      <w:r w:rsidRPr="00000E4F">
        <w:t>s</w:t>
      </w:r>
      <w:r w:rsidRPr="00000E4F">
        <w:t>ammansatta domstolar har också en tendens att fylla ut lagstiftningen och därigenom undergräva lagstiftarens ställning, vilket leder till mindre föru</w:t>
      </w:r>
      <w:r w:rsidRPr="00000E4F">
        <w:t>t</w:t>
      </w:r>
      <w:r w:rsidRPr="00000E4F">
        <w:t>sägbarhet (yrk. 5).</w:t>
      </w:r>
    </w:p>
    <w:p w:rsidR="00866CF7" w:rsidRPr="00000E4F" w:rsidRDefault="00866CF7">
      <w:pPr>
        <w:pStyle w:val="R3"/>
      </w:pPr>
      <w:r w:rsidRPr="00000E4F">
        <w:t>Utskottets ställningstagande</w:t>
      </w:r>
    </w:p>
    <w:p w:rsidR="00866CF7" w:rsidRPr="00000E4F" w:rsidRDefault="00866CF7">
      <w:r w:rsidRPr="00000E4F">
        <w:t>Arbetsdomstolen är en specialdomstol med uppgift att pröva arbetsrättsliga tvister. Som arbetstvist räknas varje tvist som rör förhållandet mellan arbet</w:t>
      </w:r>
      <w:r w:rsidRPr="00000E4F">
        <w:t>s</w:t>
      </w:r>
      <w:r w:rsidRPr="00000E4F">
        <w:t xml:space="preserve">givare och arbetstagare. </w:t>
      </w:r>
    </w:p>
    <w:p w:rsidR="00866CF7" w:rsidRPr="00000E4F" w:rsidRDefault="00866CF7">
      <w:pPr>
        <w:pStyle w:val="Normaltindrag"/>
      </w:pPr>
      <w:r w:rsidRPr="00000E4F">
        <w:t>Vissa typer av arbetstvister kan föras direkt till Arbetsdomstolen. Do</w:t>
      </w:r>
      <w:r w:rsidRPr="00000E4F">
        <w:t>m</w:t>
      </w:r>
      <w:r w:rsidRPr="00000E4F">
        <w:t>stolen är då första och enda domstol. I andra typer av arbetstvister skall talan väckas vid vanlig tingsrätt. Om part är missnöjd med tingsrättens dom, kan denna överklagas till Arbetsdomstolen. I båda fallen innebär domstolens dom ett slutligt avgörande. Arbetsdomstolens avgöranden kan alltså inte överkl</w:t>
      </w:r>
      <w:r w:rsidRPr="00000E4F">
        <w:t>a</w:t>
      </w:r>
      <w:r w:rsidRPr="00000E4F">
        <w:t>gas. Domstolens avgörande kan dock komma under Högsta domstolens prövning vid frågor om resning eller återställande av försutten tid.</w:t>
      </w:r>
    </w:p>
    <w:p w:rsidR="00866CF7" w:rsidRPr="00000E4F" w:rsidRDefault="00866CF7">
      <w:pPr>
        <w:pStyle w:val="Normaltindrag"/>
      </w:pPr>
      <w:r w:rsidRPr="00000E4F">
        <w:t xml:space="preserve">Beslutanderätten utövas i domstolen av lagfarna ledamöter tillsammans </w:t>
      </w:r>
      <w:r w:rsidRPr="00000E4F">
        <w:t>med s.k. intresseledamöter. Samtliga ledamöter utses av regeringen.</w:t>
      </w:r>
    </w:p>
    <w:p w:rsidR="00866CF7" w:rsidRPr="00000E4F" w:rsidRDefault="00866CF7">
      <w:pPr>
        <w:pStyle w:val="Normaltindrag"/>
      </w:pPr>
      <w:r w:rsidRPr="00000E4F">
        <w:t>Justitieutskottet har vid ett flertal tillfällen behandlat motioner med krav på att specialdomstolar, inklusive Arbetsdomstolen, skall avvecklas. Av just</w:t>
      </w:r>
      <w:r w:rsidRPr="00000E4F">
        <w:t>i</w:t>
      </w:r>
      <w:r w:rsidRPr="00000E4F">
        <w:t>tieutskottets betänkande 1997/98:JuU24 framgår att utskottet ansåg att det fanns anledning att se mera nyanserat på frågan om specialdomstolar. Dessa fick nämligen anses besitta en särskild kompetens som leder till att målen behandlas skickligt, snabbt och ekonomiskt effektivt. De återstående specia</w:t>
      </w:r>
      <w:r w:rsidRPr="00000E4F">
        <w:t>l</w:t>
      </w:r>
      <w:r w:rsidRPr="00000E4F">
        <w:t xml:space="preserve">domstolarnas fortsatta verksamhet borde bedömas efter sina egna meriter och inte endast efter principiella ståndpunkter, ansåg justitieutskottet. </w:t>
      </w:r>
    </w:p>
    <w:p w:rsidR="00866CF7" w:rsidRPr="00000E4F" w:rsidRDefault="00866CF7">
      <w:pPr>
        <w:pStyle w:val="Normaltindrag"/>
      </w:pPr>
      <w:r w:rsidRPr="00000E4F">
        <w:t xml:space="preserve">Det kan noteras att även arbetsmarknadsutskottet har behandlat </w:t>
      </w:r>
      <w:r w:rsidRPr="00000E4F">
        <w:t>förslag om att Arbetsdomstolen skall avvecklas. Senast utskottet behandlade frågan var hösten 1999 i samband med behandlingen av budgetpropositionen för bu</w:t>
      </w:r>
      <w:r w:rsidRPr="00000E4F">
        <w:t>d</w:t>
      </w:r>
      <w:r w:rsidRPr="00000E4F">
        <w:t>getåret 2000 (bet. 1999/2000:AU1).</w:t>
      </w:r>
    </w:p>
    <w:p w:rsidR="00866CF7" w:rsidRPr="00000E4F" w:rsidRDefault="00866CF7">
      <w:pPr>
        <w:pStyle w:val="Normaltindrag"/>
      </w:pPr>
      <w:r w:rsidRPr="00000E4F">
        <w:t>Arbetsmarknadsutskottet, som inte har någon annan principiell uppfattning än justitieutskottet, vill när det gäller Arbetsdomstolen särskilt tillägga att domstolen i sin verksamhet har visat på integritet och självständighet. Do</w:t>
      </w:r>
      <w:r w:rsidRPr="00000E4F">
        <w:t>m</w:t>
      </w:r>
      <w:r w:rsidRPr="00000E4F">
        <w:t>stolen har därigenom kommit att åtnjuta stort förtroende hos arbetsmarkn</w:t>
      </w:r>
      <w:r w:rsidRPr="00000E4F">
        <w:t>a</w:t>
      </w:r>
      <w:r w:rsidRPr="00000E4F">
        <w:t>dens parter. Något belägg för att Arbetsdomstolen skulle missgynna enskilda parter finns inte. Med hänsyn till det anförda avstyrker utskottet motion A715 yrkande 5 (m).</w:t>
      </w:r>
    </w:p>
    <w:p w:rsidR="00866CF7" w:rsidRPr="00000E4F" w:rsidRDefault="00866CF7">
      <w:pPr>
        <w:pStyle w:val="Rubrik1"/>
        <w:rPr>
          <w:b/>
        </w:rPr>
      </w:pPr>
      <w:bookmarkStart w:id="71" w:name="_Toc475783918"/>
      <w:bookmarkStart w:id="72" w:name="_Toc477140368"/>
      <w:r w:rsidRPr="00000E4F">
        <w:t>6 Statens pensionsverk (SPV)</w:t>
      </w:r>
      <w:bookmarkEnd w:id="71"/>
      <w:bookmarkEnd w:id="72"/>
      <w:r w:rsidRPr="00000E4F">
        <w:t xml:space="preserve"> </w:t>
      </w:r>
    </w:p>
    <w:p w:rsidR="00866CF7" w:rsidRPr="00000E4F" w:rsidRDefault="00866CF7">
      <w:pPr>
        <w:pStyle w:val="R3"/>
        <w:spacing w:before="123"/>
      </w:pPr>
      <w:r w:rsidRPr="00000E4F">
        <w:t>Bakgrund</w:t>
      </w:r>
    </w:p>
    <w:p w:rsidR="00866CF7" w:rsidRPr="00000E4F" w:rsidRDefault="00866CF7">
      <w:r w:rsidRPr="00000E4F">
        <w:t>SPV är central förvaltningsmyndighet för frågor som rör den statliga tjänst</w:t>
      </w:r>
      <w:r w:rsidRPr="00000E4F">
        <w:t>e</w:t>
      </w:r>
      <w:r w:rsidRPr="00000E4F">
        <w:t>pensioneringen och statens tjänstegrupplivsförsäkring. SPV svarar vidare för att myndigheter och andra arbetsgivare som är anslutna till de statliga avtal</w:t>
      </w:r>
      <w:r w:rsidRPr="00000E4F">
        <w:t>s</w:t>
      </w:r>
      <w:r w:rsidRPr="00000E4F">
        <w:t>försäkringarna påförs premieavgifter samt för att värdet av statens åtaganden i fråga om dessa försäkringar kan redovisas. SPV får utföra uppdrag åt my</w:t>
      </w:r>
      <w:r w:rsidRPr="00000E4F">
        <w:t>n</w:t>
      </w:r>
      <w:r w:rsidRPr="00000E4F">
        <w:t>digheter och andra uppdragsgivare under förutsättning att det är fråga om uppgifter som ligger nära verkets huvuduppgifter.</w:t>
      </w:r>
    </w:p>
    <w:p w:rsidR="00866CF7" w:rsidRPr="00000E4F" w:rsidRDefault="00866CF7">
      <w:pPr>
        <w:pStyle w:val="Normaltindrag"/>
      </w:pPr>
      <w:r w:rsidRPr="00000E4F">
        <w:t>SPV:s verksamhet är helt avgiftsfinansierad och bedrivs inom två result</w:t>
      </w:r>
      <w:r w:rsidRPr="00000E4F">
        <w:t>a</w:t>
      </w:r>
      <w:r w:rsidRPr="00000E4F">
        <w:t>tomr</w:t>
      </w:r>
      <w:r w:rsidRPr="00000E4F">
        <w:t>å</w:t>
      </w:r>
      <w:r w:rsidRPr="00000E4F">
        <w:t xml:space="preserve">den. </w:t>
      </w:r>
    </w:p>
    <w:p w:rsidR="00866CF7" w:rsidRPr="00000E4F" w:rsidRDefault="00866CF7">
      <w:pPr>
        <w:pStyle w:val="Normaltindrag"/>
      </w:pPr>
      <w:r w:rsidRPr="00000E4F">
        <w:t xml:space="preserve">Inom </w:t>
      </w:r>
      <w:r w:rsidRPr="00000E4F">
        <w:rPr>
          <w:i/>
        </w:rPr>
        <w:t xml:space="preserve">resultatområdet Pension Statlig </w:t>
      </w:r>
      <w:r w:rsidRPr="00000E4F">
        <w:t>administreras tjänstepensioner för statstjänstemän. SPV har ensamrätt på området.</w:t>
      </w:r>
    </w:p>
    <w:p w:rsidR="00866CF7" w:rsidRPr="00000E4F" w:rsidRDefault="00866CF7">
      <w:pPr>
        <w:pStyle w:val="Normaltindrag"/>
      </w:pPr>
      <w:r w:rsidRPr="00000E4F">
        <w:t xml:space="preserve">Inom </w:t>
      </w:r>
      <w:r w:rsidRPr="00000E4F">
        <w:rPr>
          <w:i/>
        </w:rPr>
        <w:t>resultatområdet Pension Försäkring</w:t>
      </w:r>
      <w:r w:rsidRPr="00000E4F">
        <w:t xml:space="preserve"> erbjuder SPV pensionsadm</w:t>
      </w:r>
      <w:r w:rsidRPr="00000E4F">
        <w:t>i</w:t>
      </w:r>
      <w:r w:rsidRPr="00000E4F">
        <w:t>nistrativa tjänster för bolag och kommuner. Syftet är att SPV genom ökade volymer skall kunna utnyttja sina resurser och sin kompetens och därmed hålla nere kostnaderna för hela SPV:s verksamhet.</w:t>
      </w:r>
    </w:p>
    <w:p w:rsidR="00866CF7" w:rsidRPr="00000E4F" w:rsidRDefault="00866CF7">
      <w:pPr>
        <w:pStyle w:val="R3"/>
      </w:pPr>
      <w:r w:rsidRPr="00000E4F">
        <w:t>Motion</w:t>
      </w:r>
    </w:p>
    <w:p w:rsidR="00866CF7" w:rsidRPr="00000E4F" w:rsidRDefault="00866CF7">
      <w:r w:rsidRPr="00000E4F">
        <w:t>I motion A602 tar</w:t>
      </w:r>
      <w:r w:rsidRPr="00000E4F">
        <w:rPr>
          <w:i/>
        </w:rPr>
        <w:t xml:space="preserve"> Lars Elinderson (m)</w:t>
      </w:r>
      <w:r w:rsidRPr="00000E4F">
        <w:t xml:space="preserve"> bl.a. upp dels det förhållandet att SPV har monopol när det gäller att administrera statliga tjänstepensioner, dels det förhållandet att SPV får administrera pensioner för bolag och kommuner. Det  ekonomiska utfallet för resultatområdet som benämns Pension Försäkring avvek för budgetåret 1998 markant från den budgetram som angavs i regl</w:t>
      </w:r>
      <w:r w:rsidRPr="00000E4F">
        <w:t>e</w:t>
      </w:r>
      <w:r w:rsidRPr="00000E4F">
        <w:t>ringsbrevet. Avvikelsen förklaras med kostnader för 2000-anpassning. Enligt motionären är huvudskälet till denna avvikelse i stället SPV:s ”affärside” a</w:t>
      </w:r>
      <w:r w:rsidRPr="00000E4F">
        <w:t>tt ha en ledande position på pensionsmarknaden. Denna verksamhetsidé inn</w:t>
      </w:r>
      <w:r w:rsidRPr="00000E4F">
        <w:t>e</w:t>
      </w:r>
      <w:r w:rsidRPr="00000E4F">
        <w:t>bär krav på investeringar i systemutveckling och medför att verket i framt</w:t>
      </w:r>
      <w:r w:rsidRPr="00000E4F">
        <w:t>i</w:t>
      </w:r>
      <w:r w:rsidRPr="00000E4F">
        <w:t>den kommer att ta ”affärsrisker” som statliga myndigheter normalt inte gör. Med tanke på den pressade prisbild konkurrensen på den kommunala mar</w:t>
      </w:r>
      <w:r w:rsidRPr="00000E4F">
        <w:t>k</w:t>
      </w:r>
      <w:r w:rsidRPr="00000E4F">
        <w:t xml:space="preserve">naden visar finns det anledning att befara fortsatt dålig resultatutveckling på detta område. Motionären vill därför att regeringen skall redovisa vilken principiell uppfattning den har i fråga om SPV skall hantera nya </w:t>
      </w:r>
      <w:r w:rsidRPr="00000E4F">
        <w:t>kommunala pensionsavtal och därmed bära ansenliga investeringskostnader och ta de affär</w:t>
      </w:r>
      <w:r w:rsidRPr="00000E4F">
        <w:t>s</w:t>
      </w:r>
      <w:r w:rsidRPr="00000E4F">
        <w:t>risker detta innebär (yrk. 1).</w:t>
      </w:r>
    </w:p>
    <w:p w:rsidR="00866CF7" w:rsidRPr="00000E4F" w:rsidRDefault="00866CF7">
      <w:pPr>
        <w:pStyle w:val="Normaltindrag"/>
      </w:pPr>
      <w:r w:rsidRPr="00000E4F">
        <w:t>Vidare anser motionären att eftersom SPV får agera på den kommunala marknaden är det rimligt att den statliga pensionsadministrationen öppnas för konkurrens (yrk. 2).</w:t>
      </w:r>
    </w:p>
    <w:p w:rsidR="00866CF7" w:rsidRPr="00000E4F" w:rsidRDefault="00866CF7">
      <w:pPr>
        <w:pStyle w:val="R3"/>
      </w:pPr>
      <w:r w:rsidRPr="00000E4F">
        <w:t>Utskottets ställningstagande</w:t>
      </w:r>
    </w:p>
    <w:p w:rsidR="00866CF7" w:rsidRPr="00000E4F" w:rsidRDefault="00866CF7">
      <w:r w:rsidRPr="00000E4F">
        <w:t>Utskottet inleder med att behandla frågan om den statliga pensionsadminis</w:t>
      </w:r>
      <w:r w:rsidRPr="00000E4F">
        <w:t>t</w:t>
      </w:r>
      <w:r w:rsidRPr="00000E4F">
        <w:t>rationen skall öppnas för konkurrens. Både arbetsmarknadsutskottet och finansutskottet har tidigare tagit ställning till liknande yrkanden. Senast arbetsmarknadsutskottet behandlade frågan var hösten 1998 i samband med behandlingen av budgetpropositionen för budgetåret 1999 (se bet. 1998/99:AU1 s. 105). Utskottet framförde då – med åberopande av vad finansutskottet tidigare anfört – följande.</w:t>
      </w:r>
    </w:p>
    <w:p w:rsidR="00866CF7" w:rsidRPr="00000E4F" w:rsidRDefault="00866CF7">
      <w:pPr>
        <w:pStyle w:val="Citat"/>
      </w:pPr>
      <w:r w:rsidRPr="00000E4F">
        <w:t>”Reglerna för tjänstepensionen bestäms i centrala kollektivavtal mellan A</w:t>
      </w:r>
      <w:r w:rsidRPr="00000E4F">
        <w:t>r</w:t>
      </w:r>
      <w:r w:rsidRPr="00000E4F">
        <w:t>betsgivarverket och arbetstagarnas huvudorganisationer på det statliga omr</w:t>
      </w:r>
      <w:r w:rsidRPr="00000E4F">
        <w:t>å</w:t>
      </w:r>
      <w:r w:rsidRPr="00000E4F">
        <w:t>det. Tillsammans med motparterna förfogar myndigheterna, som arbetsgivare genom sin centrala företrädare Arbetsgivarverket, över tjänstepensionsfö</w:t>
      </w:r>
      <w:r w:rsidRPr="00000E4F">
        <w:t>r</w:t>
      </w:r>
      <w:r w:rsidRPr="00000E4F">
        <w:t>månerna. Parterna förfogar också över den avgiftsbaserade kompletterande ålderspensionen, vilken i konkurrens administreras av SPV. Finansutskottet ansåg att den särskilda nämnd som skulle komma att bestämma grunderna för försäkring, premier och ersättning till SPV borde ge tillräckliga g</w:t>
      </w:r>
      <w:r w:rsidRPr="00000E4F">
        <w:t>arantier för att de avgifter som kommer att erläggas till SPV kontrolleras och prövas i syfte att hålla kostnaderna nere. Till skillnad från konkurrensverket ansåg finansutskottet inte att myndigheterna kan vara försäkringsgivare i egen regi då utfästelserna automatiskt tryggas i den juridiska personen, staten. Sa</w:t>
      </w:r>
      <w:r w:rsidRPr="00000E4F">
        <w:t>m</w:t>
      </w:r>
      <w:r w:rsidRPr="00000E4F">
        <w:t>manfattningsvis ansåg finansutskottet inte att förslaget att enskilda myndi</w:t>
      </w:r>
      <w:r w:rsidRPr="00000E4F">
        <w:t>g</w:t>
      </w:r>
      <w:r w:rsidRPr="00000E4F">
        <w:t>heter skulle upphandla administrationen av pensionsförmåner för statliga arbetsgivare var förenligt med det sätt varpå t</w:t>
      </w:r>
      <w:r w:rsidRPr="00000E4F">
        <w:t>jänstepensionsavtalet på det statliga området är konstruerat. Arbetsmarknadsutskottet ansluter sig helt till den bedömning som finansutskottet tidigare gjort i fr</w:t>
      </w:r>
      <w:r w:rsidRPr="00000E4F">
        <w:t>å</w:t>
      </w:r>
      <w:r w:rsidRPr="00000E4F">
        <w:t>gan.”</w:t>
      </w:r>
    </w:p>
    <w:p w:rsidR="00866CF7" w:rsidRPr="00000E4F" w:rsidRDefault="00866CF7">
      <w:r w:rsidRPr="00000E4F">
        <w:t>Enligt utskottet har det inte framkommit något som medför att utskottet skulle frångå den ståndpunkt som redovisats ovan. Utskottet avstyrker därför motionen i denna del.</w:t>
      </w:r>
    </w:p>
    <w:p w:rsidR="00866CF7" w:rsidRPr="00000E4F" w:rsidRDefault="00866CF7">
      <w:pPr>
        <w:pStyle w:val="Normaltindrag"/>
      </w:pPr>
      <w:r w:rsidRPr="00000E4F">
        <w:t>När det sedan gäller frågan om SPV:s verksamhet inom resultatområdet Pension Försäkring vill utskottet inte på grundval av vad som anförts i m</w:t>
      </w:r>
      <w:r w:rsidRPr="00000E4F">
        <w:t>o</w:t>
      </w:r>
      <w:r w:rsidRPr="00000E4F">
        <w:t>tionen göra något tillkännagivande. Utskottet utgår från att regeringen ko</w:t>
      </w:r>
      <w:r w:rsidRPr="00000E4F">
        <w:t>m</w:t>
      </w:r>
      <w:r w:rsidRPr="00000E4F">
        <w:t>mer att följa den fortsatta utvecklingen inom detta område.</w:t>
      </w:r>
    </w:p>
    <w:p w:rsidR="00866CF7" w:rsidRPr="00000E4F" w:rsidRDefault="00866CF7">
      <w:pPr>
        <w:pStyle w:val="Normaltindrag"/>
      </w:pPr>
      <w:r w:rsidRPr="00000E4F">
        <w:t>Sammanfattningsvis avstyrker utskottet motion A602 yrkandena 1 och 2 (m).</w:t>
      </w:r>
    </w:p>
    <w:p w:rsidR="00866CF7" w:rsidRPr="00000E4F" w:rsidRDefault="00866CF7">
      <w:pPr>
        <w:pStyle w:val="Rubrik1"/>
        <w:rPr>
          <w:b/>
        </w:rPr>
      </w:pPr>
      <w:bookmarkStart w:id="73" w:name="_Toc475783919"/>
      <w:bookmarkStart w:id="74" w:name="_Toc477140369"/>
      <w:r w:rsidRPr="00000E4F">
        <w:t xml:space="preserve">7 </w:t>
      </w:r>
      <w:bookmarkEnd w:id="73"/>
      <w:r w:rsidRPr="00000E4F">
        <w:t>Stuverimonopolet m.m.</w:t>
      </w:r>
      <w:bookmarkEnd w:id="74"/>
    </w:p>
    <w:p w:rsidR="00866CF7" w:rsidRPr="00000E4F" w:rsidRDefault="00866CF7">
      <w:r w:rsidRPr="00000E4F">
        <w:t>Utskottet kommer i detta avsnitt att behandla motioner som i första hand rör arbetsrättsliga frågor inom sjöfarten.</w:t>
      </w:r>
    </w:p>
    <w:p w:rsidR="00866CF7" w:rsidRPr="00000E4F" w:rsidRDefault="00866CF7">
      <w:pPr>
        <w:pStyle w:val="R3"/>
      </w:pPr>
      <w:r w:rsidRPr="00000E4F">
        <w:t>Motioner</w:t>
      </w:r>
    </w:p>
    <w:p w:rsidR="00866CF7" w:rsidRPr="00000E4F" w:rsidRDefault="00866CF7">
      <w:r w:rsidRPr="00000E4F">
        <w:rPr>
          <w:i/>
        </w:rPr>
        <w:t>Moderaterna</w:t>
      </w:r>
      <w:r w:rsidRPr="00000E4F">
        <w:t xml:space="preserve"> hävdar i kommittémotion T616 att den svenska rederinäringen under senare år har utsatts för konflikter och konflikthot i stor omfattning vilket drabbat både rederierna och svensk industri på ett orimligt sätt. Mod</w:t>
      </w:r>
      <w:r w:rsidRPr="00000E4F">
        <w:t>e</w:t>
      </w:r>
      <w:r w:rsidRPr="00000E4F">
        <w:t>raterna anser att den arbetsrättsliga lagstiftningen måste ändras. Bland annat måste den s.k. Lex Britannia upphävas. Vidare anser Moderaterna att den svenska regeln att skepp även omfattas av bestämmelserna om personalöve</w:t>
      </w:r>
      <w:r w:rsidRPr="00000E4F">
        <w:t>r</w:t>
      </w:r>
      <w:r w:rsidRPr="00000E4F">
        <w:t>gångar vid företagsförsäljningar, trots att de undantagits från direktivet</w:t>
      </w:r>
      <w:r w:rsidRPr="00000E4F">
        <w:t>, måste tas bort. Moderaterna anser också att de speciella bestämmelser om sjuklön, arbetstid och semester som gäller för sjöfarten måste tas bort. Dessa regler har historiska förklaringar men saknar i dag betydelse. Bestämmelse</w:t>
      </w:r>
      <w:r w:rsidRPr="00000E4F">
        <w:t>r</w:t>
      </w:r>
      <w:r w:rsidRPr="00000E4F">
        <w:t>na bör därför anpassas till de generella bestämmelser som gäller för svensk arbet</w:t>
      </w:r>
      <w:r w:rsidRPr="00000E4F">
        <w:t>s</w:t>
      </w:r>
      <w:r w:rsidRPr="00000E4F">
        <w:t xml:space="preserve">marknad (yrk. 10). </w:t>
      </w:r>
    </w:p>
    <w:p w:rsidR="00866CF7" w:rsidRPr="00000E4F" w:rsidRDefault="00866CF7">
      <w:pPr>
        <w:pStyle w:val="Normaltindrag"/>
      </w:pPr>
      <w:r w:rsidRPr="00000E4F">
        <w:t>Slutligen föreslår Moderaterna att det s.k. stuverimonopolet avskaffas och att ILO-konventionen nr 137 upphävs (yrk. 2 och 3).</w:t>
      </w:r>
    </w:p>
    <w:p w:rsidR="00866CF7" w:rsidRPr="00000E4F" w:rsidRDefault="00866CF7">
      <w:r w:rsidRPr="00000E4F">
        <w:rPr>
          <w:i/>
        </w:rPr>
        <w:t>Kristdemokraterna</w:t>
      </w:r>
      <w:r w:rsidRPr="00000E4F">
        <w:t xml:space="preserve"> påpekar i kommittémotion T210 att stuverimonopolet är en omtalad företeelse. Partiet föreslår därför att regeringen skall återkomma med förslag om hur stuverimonopolet skall hanteras i framtiden med tanke på konkurrenssituationen (yrk. 27).</w:t>
      </w:r>
    </w:p>
    <w:p w:rsidR="00866CF7" w:rsidRPr="00000E4F" w:rsidRDefault="00866CF7">
      <w:r w:rsidRPr="00000E4F">
        <w:rPr>
          <w:i/>
        </w:rPr>
        <w:t>Folkpartiet</w:t>
      </w:r>
      <w:r w:rsidRPr="00000E4F">
        <w:t xml:space="preserve"> föreslår i kommittémotion T209 att Sverige säger upp ILO-konventionen nr 137 och avvecklar stuverimonopolet snarast (yrk. 14). I kommittémotion A231 föreslår samma parti att Lex Britannia skall avskaffas (yrk. 17 delvis).</w:t>
      </w:r>
    </w:p>
    <w:p w:rsidR="00866CF7" w:rsidRPr="00000E4F" w:rsidRDefault="00866CF7">
      <w:r w:rsidRPr="00000E4F">
        <w:rPr>
          <w:i/>
        </w:rPr>
        <w:t>Jan Backman (m)</w:t>
      </w:r>
      <w:r w:rsidRPr="00000E4F">
        <w:t xml:space="preserve"> anser i motion A714 att det finns skäl att göra en översyn av stuverimonopolet.</w:t>
      </w:r>
    </w:p>
    <w:p w:rsidR="00866CF7" w:rsidRPr="00000E4F" w:rsidRDefault="00866CF7">
      <w:pPr>
        <w:pStyle w:val="R3"/>
      </w:pPr>
      <w:r w:rsidRPr="00000E4F">
        <w:t>Utskottets ställningstagande</w:t>
      </w:r>
    </w:p>
    <w:p w:rsidR="00866CF7" w:rsidRPr="00000E4F" w:rsidRDefault="00866CF7">
      <w:r w:rsidRPr="00000E4F">
        <w:t>I flera motioner har framställts krav som rör ILO-konventionen nr 137 och det s.k. stuverimonopolet. Utskottet vill i denna del anföra följande.</w:t>
      </w:r>
    </w:p>
    <w:p w:rsidR="00866CF7" w:rsidRPr="00000E4F" w:rsidRDefault="00866CF7">
      <w:pPr>
        <w:pStyle w:val="Normaltindrag"/>
      </w:pPr>
      <w:r w:rsidRPr="00000E4F">
        <w:t>ILO-konvention nr 137 om hamnarbete innehåller regler, vilkas främsta syfte är att åstadkomma sysselsättning, säkerhet, hälsa, välfärd och yrkesu</w:t>
      </w:r>
      <w:r w:rsidRPr="00000E4F">
        <w:t>t</w:t>
      </w:r>
      <w:r w:rsidRPr="00000E4F">
        <w:t>bildning för hamnarbetare. Sverige ratificerade konventionen 1974. Frågan om att säga upp konventionen behandlades av den svenska ILO-kommittén 1996. För att konventionen inte skulle fortsätta att gälla hade krävts att den sagts upp av Sverige senast den 24 juli 1996. Någon sådan uppsägning gjo</w:t>
      </w:r>
      <w:r w:rsidRPr="00000E4F">
        <w:t>r</w:t>
      </w:r>
      <w:r w:rsidRPr="00000E4F">
        <w:t>des inte. Sverige är därför bundet av konventionen ytterligare tio år.</w:t>
      </w:r>
    </w:p>
    <w:p w:rsidR="00866CF7" w:rsidRPr="00000E4F" w:rsidRDefault="00866CF7">
      <w:pPr>
        <w:pStyle w:val="Normaltindrag"/>
      </w:pPr>
      <w:r w:rsidRPr="00000E4F">
        <w:t xml:space="preserve">Ett ofta återkommande påstående är att konventionen utgör den rättsliga grunden för det s.k. stuverimonopolet. Innebörden av ett sådant monopol </w:t>
      </w:r>
      <w:r w:rsidRPr="00000E4F">
        <w:t>skulle vara att andra yrkeskategorier än hamnarbetare och medlemmar i vissa arbetstagarorganisationer förvägras att utföra arbetsmoment med anknytning till godshantering. Den svenska ILO-kommittén uttalade sig 1996 om tol</w:t>
      </w:r>
      <w:r w:rsidRPr="00000E4F">
        <w:t>k</w:t>
      </w:r>
      <w:r w:rsidRPr="00000E4F">
        <w:t>ningen av konventionen. Enligt kommittén innehåller den inte någon b</w:t>
      </w:r>
      <w:r w:rsidRPr="00000E4F">
        <w:t>e</w:t>
      </w:r>
      <w:r w:rsidRPr="00000E4F">
        <w:t xml:space="preserve">stämmelse som kan åberopas som rättsligt stöd för ett stuverimonopol. Detta delgavs arbetsmarknadens parter. </w:t>
      </w:r>
    </w:p>
    <w:p w:rsidR="00866CF7" w:rsidRPr="00000E4F" w:rsidRDefault="00866CF7">
      <w:pPr>
        <w:pStyle w:val="Normaltindrag"/>
      </w:pPr>
      <w:r w:rsidRPr="00000E4F">
        <w:t>Utskottet är med hänsyn till vad som anförts inte berett att göra något til</w:t>
      </w:r>
      <w:r w:rsidRPr="00000E4F">
        <w:t>l</w:t>
      </w:r>
      <w:r w:rsidRPr="00000E4F">
        <w:t>kännagivande med anledning av vad motionärerna anfört. Utskottet avstyrker därför motionerna A714 (m), T209 yrkande 14 (fp), T210 yrkande 27 (kd) och T616 yrkandena 2 och 3 (m).</w:t>
      </w:r>
    </w:p>
    <w:p w:rsidR="00866CF7" w:rsidRPr="00000E4F" w:rsidRDefault="00866CF7">
      <w:pPr>
        <w:pStyle w:val="Normaltindrag"/>
      </w:pPr>
      <w:r w:rsidRPr="00000E4F">
        <w:t>Utskottet övergår nu till att behandla de motioner som rör Lex Britannia. Enligt medbestämmandelagen är det förbjudet att vidta stridsåtgärder i syfte att undantränga existerande kollektivavtal. Förbudet har dock genom Lex Britannia 1991 inskränkts till att gälla enbart när en organisation vidtar å</w:t>
      </w:r>
      <w:r w:rsidRPr="00000E4F">
        <w:t>t</w:t>
      </w:r>
      <w:r w:rsidRPr="00000E4F">
        <w:t>gärder med anledning av arbetsförhållanden som medbestämmandelagen är direkt tillämplig på. Syftet är bl.a. att ge de fackliga organisationerna i Sver</w:t>
      </w:r>
      <w:r w:rsidRPr="00000E4F">
        <w:t>i</w:t>
      </w:r>
      <w:r w:rsidRPr="00000E4F">
        <w:t>ge möjlighet att träffa kollektivavtal med villkor som motsvarar vad som normalt tillämpas i fråga om arbete som utförs här i landet och därigenom motverka s.k. social dumpning. Utskottet anser med hänsyn till det sistnäm</w:t>
      </w:r>
      <w:r w:rsidRPr="00000E4F">
        <w:t>n</w:t>
      </w:r>
      <w:r w:rsidRPr="00000E4F">
        <w:t>da att motionerna A231 yrkande 17 delvis (fp) och T616 yrkande 10 delvis (m) bör avslås.</w:t>
      </w:r>
    </w:p>
    <w:p w:rsidR="00866CF7" w:rsidRPr="00000E4F" w:rsidRDefault="00866CF7">
      <w:pPr>
        <w:pStyle w:val="Normaltindrag"/>
      </w:pPr>
      <w:r w:rsidRPr="00000E4F">
        <w:t>Vad sedan gäller Moderaternas krav på att lagregl</w:t>
      </w:r>
      <w:r w:rsidRPr="00000E4F">
        <w:t>erna om personalöve</w:t>
      </w:r>
      <w:r w:rsidRPr="00000E4F">
        <w:t>r</w:t>
      </w:r>
      <w:r w:rsidRPr="00000E4F">
        <w:t>gångar vid överlåtelse av verksamhet inte skall omfatta skepp kan utskottet konstatera att den svenska lagstiftningen skiljer sig från det s.k. överlåtels</w:t>
      </w:r>
      <w:r w:rsidRPr="00000E4F">
        <w:t>e</w:t>
      </w:r>
      <w:r w:rsidRPr="00000E4F">
        <w:t>direktivet (rådets direktiv 77/187/EEG). Direktivet är till skillnad från vad som gäller enligt den svenska lagstiftningen inte tillämpligt på sjögående fartyg. När direktivet skulle genomföras i svensk lag i december 1994 ko</w:t>
      </w:r>
      <w:r w:rsidRPr="00000E4F">
        <w:t>n</w:t>
      </w:r>
      <w:r w:rsidRPr="00000E4F">
        <w:t>staterades att det fanns ett värde i att så långt som möjligt upprätthålla pri</w:t>
      </w:r>
      <w:r w:rsidRPr="00000E4F">
        <w:t>n</w:t>
      </w:r>
      <w:r w:rsidRPr="00000E4F">
        <w:t>cipen om att svensk arbetsrättsl</w:t>
      </w:r>
      <w:r w:rsidRPr="00000E4F">
        <w:t>agstiftning bör ha en generell tillämplighet (se bet. 1994/95:AU4). Enligt utskottet talade detta för att låta reglerna om personalövergångar omfatta även sådant som ligger utanför direktivet. Den väsentliga frågan var enligt utskottet om en utvidgning skulle kunna leda till stora tillämpningssvårigheter. Efter att ha gjort en analys av denna frågestäl</w:t>
      </w:r>
      <w:r w:rsidRPr="00000E4F">
        <w:t>l</w:t>
      </w:r>
      <w:r w:rsidRPr="00000E4F">
        <w:t xml:space="preserve">ning var utskottet inte berett att gå i från propositionens förslag i denna del (se betänkandet s. 37). Utskottet förutsatte att regeringen skulle återkomma </w:t>
      </w:r>
      <w:r w:rsidRPr="00000E4F">
        <w:t>till riksdagen om reglerna skulle medföra icke godtagbara effekter. Reg</w:t>
      </w:r>
      <w:r w:rsidRPr="00000E4F">
        <w:t>e</w:t>
      </w:r>
      <w:r w:rsidRPr="00000E4F">
        <w:t>ringen har inte återkommit i denna fråga. Utskottet, som fortfarande håller fast vid de ovan redovisade principerna, anser inte att det finns skäl att til</w:t>
      </w:r>
      <w:r w:rsidRPr="00000E4F">
        <w:t>l</w:t>
      </w:r>
      <w:r w:rsidRPr="00000E4F">
        <w:t>styrka motion T616 yrkande 10 delvis (m).</w:t>
      </w:r>
    </w:p>
    <w:p w:rsidR="00866CF7" w:rsidRPr="00000E4F" w:rsidRDefault="00866CF7">
      <w:pPr>
        <w:pStyle w:val="Normaltindrag"/>
      </w:pPr>
      <w:r w:rsidRPr="00000E4F">
        <w:t xml:space="preserve">Vad slutligen gäller kravet att de speciella arbetsrättsliga regler som gäller för sjöfarten skall slopas vill utskottet anföra följande. </w:t>
      </w:r>
    </w:p>
    <w:p w:rsidR="00866CF7" w:rsidRPr="00000E4F" w:rsidRDefault="00866CF7">
      <w:pPr>
        <w:pStyle w:val="Normaltindrag"/>
      </w:pPr>
      <w:r w:rsidRPr="00000E4F">
        <w:t>I motion T616 hävdas att det finns speciella regler avseende sjuklön, a</w:t>
      </w:r>
      <w:r w:rsidRPr="00000E4F">
        <w:t>r</w:t>
      </w:r>
      <w:r w:rsidRPr="00000E4F">
        <w:t xml:space="preserve">betstid och semester. Utskottet kan notera att så är fallet vad gäller sjuklön och arbetstid. Däremot finns det ingen särreglering avseende semester utan semesterlagen är tillämplig fullt ut. </w:t>
      </w:r>
    </w:p>
    <w:p w:rsidR="00866CF7" w:rsidRPr="00000E4F" w:rsidRDefault="00866CF7">
      <w:pPr>
        <w:pStyle w:val="Normaltindrag"/>
      </w:pPr>
      <w:r w:rsidRPr="00000E4F">
        <w:t>När det gäller sjömännens rätt till sjuklön regleras den i sjömanslagen (1973:282) som innebär att de har  full kompensation. I budgetpropositionen för budgetåret 1997 (prop. 1996/97:1 utg. omr. 22) behandlades bl.a. dessa regler. I propositionen konstaterades att en utredning, 1990 års sjömanslag</w:t>
      </w:r>
      <w:r w:rsidRPr="00000E4F">
        <w:t>s</w:t>
      </w:r>
      <w:r w:rsidRPr="00000E4F">
        <w:t>utredning, föreslagit att en lägre nivå skulle gälla. Regeringen delade dock inte denna åsikt. Av propositionen framgår att regeringens ståndpunkt vid detta tillfälle var att några åtgärder inte skulle vidtas med hänsyn till de i</w:t>
      </w:r>
      <w:r w:rsidRPr="00000E4F">
        <w:t>n</w:t>
      </w:r>
      <w:r w:rsidRPr="00000E4F">
        <w:t>vändningar som framförts av arbetstagarorganisationerna. Enligt regeringen hade dessa hävdat att sjömansyrkets särart fortfarande motiverade att b</w:t>
      </w:r>
      <w:r w:rsidRPr="00000E4F">
        <w:t>e</w:t>
      </w:r>
      <w:r w:rsidRPr="00000E4F">
        <w:t>stämmelserna skulle bibehållas. Vid sin behandling av propositionen uttalade trafikutskottet i betänkande 1996/97:TU1 att man delade r</w:t>
      </w:r>
      <w:r w:rsidRPr="00000E4F">
        <w:t>egeringens up</w:t>
      </w:r>
      <w:r w:rsidRPr="00000E4F">
        <w:t>p</w:t>
      </w:r>
      <w:r w:rsidRPr="00000E4F">
        <w:t>fattning.</w:t>
      </w:r>
    </w:p>
    <w:p w:rsidR="00866CF7" w:rsidRPr="00000E4F" w:rsidRDefault="00866CF7">
      <w:pPr>
        <w:pStyle w:val="Normaltindrag"/>
      </w:pPr>
      <w:r w:rsidRPr="00000E4F">
        <w:t>Av arbetstidslagens 2 § framgår att den inte är tillämplig på fartygsarbete. I stället gäller lagen (1998:958) om vilotid för sjömän. Denna lag trädde i kraft den 1 oktober 1998 och ersatte sjöarbetstidslagen från 1970. Den nya lagen bygger på två konventioner, dels ILO-konventionen nr 180 om sjömäns arbetstid och bemanning på företag, dels den reviderade STCW-konventionen om sjöfolks utbildning, vakthållning och certifiering.</w:t>
      </w:r>
    </w:p>
    <w:p w:rsidR="00866CF7" w:rsidRPr="00000E4F" w:rsidRDefault="00866CF7">
      <w:pPr>
        <w:pStyle w:val="Normaltindrag"/>
      </w:pPr>
      <w:r w:rsidRPr="00000E4F">
        <w:t>Utskottet är inte på de skäl som anförs i motionen beredd att föreslå några tillkännagivanden i denna del. Motion T616 yrkande 10 delvis (m) avstyrks därför.</w:t>
      </w:r>
    </w:p>
    <w:p w:rsidR="00866CF7" w:rsidRPr="00000E4F" w:rsidRDefault="00866CF7">
      <w:pPr>
        <w:pStyle w:val="Rubrik2"/>
      </w:pPr>
      <w:bookmarkStart w:id="75" w:name="_Toc474683749"/>
      <w:bookmarkStart w:id="76" w:name="_Toc477140370"/>
      <w:r w:rsidRPr="00000E4F">
        <w:t>Hemställan</w:t>
      </w:r>
      <w:bookmarkEnd w:id="75"/>
      <w:bookmarkEnd w:id="76"/>
    </w:p>
    <w:p w:rsidR="00866CF7" w:rsidRPr="00000E4F" w:rsidRDefault="00866CF7">
      <w:r w:rsidRPr="00000E4F">
        <w:t>Utskottet hemställer</w:t>
      </w:r>
    </w:p>
    <w:p w:rsidR="00866CF7" w:rsidRPr="00000E4F" w:rsidRDefault="00866CF7">
      <w:pPr>
        <w:pStyle w:val="R3"/>
        <w:spacing w:after="120"/>
        <w:ind w:left="567"/>
      </w:pPr>
      <w:r w:rsidRPr="00000E4F">
        <w:t>Del I</w:t>
      </w:r>
    </w:p>
    <w:p w:rsidR="00866CF7" w:rsidRPr="00000E4F" w:rsidRDefault="00866CF7">
      <w:pPr>
        <w:pStyle w:val="hembetr"/>
      </w:pPr>
      <w:r w:rsidRPr="00000E4F">
        <w:t xml:space="preserve">1. beträffande </w:t>
      </w:r>
      <w:r w:rsidRPr="00000E4F">
        <w:rPr>
          <w:i/>
        </w:rPr>
        <w:t>statsmakternas ansvar för lönebildningen</w:t>
      </w:r>
    </w:p>
    <w:p w:rsidR="00866CF7" w:rsidRPr="00000E4F" w:rsidRDefault="00866CF7">
      <w:pPr>
        <w:pStyle w:val="hemtext"/>
      </w:pPr>
      <w:r w:rsidRPr="00000E4F">
        <w:t xml:space="preserve">att riksdagen avslår motion 1999/2000:A6 yrkande 3,      </w:t>
      </w:r>
    </w:p>
    <w:p w:rsidR="00866CF7" w:rsidRPr="00000E4F" w:rsidRDefault="00866CF7">
      <w:pPr>
        <w:pStyle w:val="Reseftermom"/>
      </w:pPr>
      <w:r w:rsidRPr="00000E4F">
        <w:t>res. 1 (m)</w:t>
      </w:r>
      <w:bookmarkStart w:id="77" w:name="RESPARTI001"/>
      <w:bookmarkEnd w:id="77"/>
    </w:p>
    <w:p w:rsidR="00866CF7" w:rsidRPr="00000E4F" w:rsidRDefault="00866CF7">
      <w:pPr>
        <w:pStyle w:val="hembetr"/>
        <w:spacing w:before="120"/>
      </w:pPr>
      <w:r w:rsidRPr="00000E4F">
        <w:t xml:space="preserve">2. beträffande </w:t>
      </w:r>
      <w:r w:rsidRPr="00000E4F">
        <w:rPr>
          <w:i/>
        </w:rPr>
        <w:t>innebörden av en välfungerande lönebildning m.m.</w:t>
      </w:r>
    </w:p>
    <w:p w:rsidR="00866CF7" w:rsidRPr="00000E4F" w:rsidRDefault="00866CF7">
      <w:pPr>
        <w:pStyle w:val="hemtext"/>
      </w:pPr>
      <w:r w:rsidRPr="00000E4F">
        <w:t>att riksdagen avslår motionerna 1999/2000:A6 yrkandena 1, 2 och 4–7, 1999/2000:A8 yrkande 1, 1999/2000:A10 yrkandena 1 och 2, 1999/2000:A254 yrkande 24 samt 1999/2000:Sk692 yrkande 24,</w:t>
      </w:r>
    </w:p>
    <w:p w:rsidR="00866CF7" w:rsidRPr="00000E4F" w:rsidRDefault="00866CF7">
      <w:pPr>
        <w:pStyle w:val="Reseftermom"/>
      </w:pPr>
      <w:r w:rsidRPr="00000E4F">
        <w:t>res. 2 (m, kd, fp)</w:t>
      </w:r>
      <w:bookmarkStart w:id="78" w:name="RESPARTI002"/>
      <w:bookmarkEnd w:id="78"/>
    </w:p>
    <w:p w:rsidR="00866CF7" w:rsidRPr="00000E4F" w:rsidRDefault="00866CF7">
      <w:pPr>
        <w:pStyle w:val="hembetr"/>
        <w:spacing w:before="120"/>
      </w:pPr>
      <w:r w:rsidRPr="00000E4F">
        <w:t xml:space="preserve">3. beträffande </w:t>
      </w:r>
      <w:r w:rsidRPr="00000E4F">
        <w:rPr>
          <w:i/>
        </w:rPr>
        <w:t>avslag på förslaget om Medlingsinstitutet m.m.</w:t>
      </w:r>
    </w:p>
    <w:p w:rsidR="00866CF7" w:rsidRPr="00000E4F" w:rsidRDefault="00866CF7">
      <w:pPr>
        <w:pStyle w:val="hemtext"/>
      </w:pPr>
      <w:r w:rsidRPr="00000E4F">
        <w:t>att riksdagen avslår motion 1999/2000:A6 yrkandena 11–13, det sen</w:t>
      </w:r>
      <w:r w:rsidRPr="00000E4F">
        <w:t>a</w:t>
      </w:r>
      <w:r w:rsidRPr="00000E4F">
        <w:t xml:space="preserve">re i motsvarande del,    </w:t>
      </w:r>
    </w:p>
    <w:p w:rsidR="00866CF7" w:rsidRPr="00000E4F" w:rsidRDefault="00866CF7">
      <w:pPr>
        <w:pStyle w:val="Reseftermom"/>
      </w:pPr>
      <w:r w:rsidRPr="00000E4F">
        <w:t>res. 3 (m)</w:t>
      </w:r>
      <w:bookmarkStart w:id="79" w:name="RESPARTI003"/>
      <w:bookmarkEnd w:id="79"/>
    </w:p>
    <w:p w:rsidR="00866CF7" w:rsidRPr="00000E4F" w:rsidRDefault="00866CF7">
      <w:pPr>
        <w:pStyle w:val="hembetr"/>
        <w:spacing w:before="120"/>
      </w:pPr>
      <w:r w:rsidRPr="00000E4F">
        <w:t xml:space="preserve">4. beträffande </w:t>
      </w:r>
      <w:r w:rsidRPr="00000E4F">
        <w:rPr>
          <w:i/>
        </w:rPr>
        <w:t>Medlingsinstitutets roll i lönebildningen m.m.</w:t>
      </w:r>
    </w:p>
    <w:p w:rsidR="00866CF7" w:rsidRPr="00000E4F" w:rsidRDefault="00866CF7">
      <w:pPr>
        <w:pStyle w:val="hemtext"/>
      </w:pPr>
      <w:r w:rsidRPr="00000E4F">
        <w:t>att riksdagen avslår motion 1999/2000:A8 yrkande 2,</w:t>
      </w:r>
      <w:bookmarkStart w:id="80" w:name="RESPARTI004"/>
      <w:bookmarkEnd w:id="80"/>
    </w:p>
    <w:p w:rsidR="00866CF7" w:rsidRPr="00000E4F" w:rsidRDefault="00866CF7">
      <w:pPr>
        <w:pStyle w:val="hembetr"/>
        <w:spacing w:before="120"/>
      </w:pPr>
      <w:r w:rsidRPr="00000E4F">
        <w:t xml:space="preserve">5. beträffande </w:t>
      </w:r>
      <w:r w:rsidRPr="00000E4F">
        <w:rPr>
          <w:i/>
        </w:rPr>
        <w:t>utvärdering av Medlingsinstitutet m.m.</w:t>
      </w:r>
    </w:p>
    <w:p w:rsidR="00866CF7" w:rsidRPr="00000E4F" w:rsidRDefault="00866CF7">
      <w:pPr>
        <w:pStyle w:val="hemtext"/>
      </w:pPr>
      <w:r w:rsidRPr="00000E4F">
        <w:t xml:space="preserve">att riksdagen avslår motion 1999/2000:A10 yrkandena 3 och 4,    </w:t>
      </w:r>
    </w:p>
    <w:p w:rsidR="00866CF7" w:rsidRPr="00000E4F" w:rsidRDefault="00866CF7">
      <w:pPr>
        <w:pStyle w:val="Reseftermom"/>
      </w:pPr>
      <w:r w:rsidRPr="00000E4F">
        <w:t>res. 4 (fp)</w:t>
      </w:r>
      <w:bookmarkStart w:id="81" w:name="RESPARTI005"/>
      <w:bookmarkEnd w:id="81"/>
    </w:p>
    <w:p w:rsidR="00866CF7" w:rsidRPr="00000E4F" w:rsidRDefault="00866CF7">
      <w:pPr>
        <w:pStyle w:val="hembetr"/>
        <w:spacing w:before="120"/>
      </w:pPr>
      <w:r w:rsidRPr="00000E4F">
        <w:t xml:space="preserve">6. beträffande </w:t>
      </w:r>
      <w:r w:rsidRPr="00000E4F">
        <w:rPr>
          <w:i/>
        </w:rPr>
        <w:t>tvångsmedling</w:t>
      </w:r>
    </w:p>
    <w:p w:rsidR="00866CF7" w:rsidRPr="00000E4F" w:rsidRDefault="00866CF7">
      <w:pPr>
        <w:pStyle w:val="hemtext"/>
      </w:pPr>
      <w:r w:rsidRPr="00000E4F">
        <w:t xml:space="preserve">att riksdagen avslår motion 1999/2000:A10 yrkande 7,        </w:t>
      </w:r>
      <w:bookmarkStart w:id="82" w:name="RESPARTI006"/>
      <w:bookmarkEnd w:id="82"/>
    </w:p>
    <w:p w:rsidR="00866CF7" w:rsidRPr="00000E4F" w:rsidRDefault="00866CF7">
      <w:pPr>
        <w:pStyle w:val="hembetr"/>
        <w:spacing w:before="120"/>
      </w:pPr>
      <w:r w:rsidRPr="00000E4F">
        <w:t xml:space="preserve">7. beträffande </w:t>
      </w:r>
      <w:r w:rsidRPr="00000E4F">
        <w:rPr>
          <w:i/>
        </w:rPr>
        <w:t>förlängd varseltid</w:t>
      </w:r>
    </w:p>
    <w:p w:rsidR="00866CF7" w:rsidRPr="00000E4F" w:rsidRDefault="00866CF7">
      <w:pPr>
        <w:pStyle w:val="hemtext"/>
      </w:pPr>
      <w:r w:rsidRPr="00000E4F">
        <w:t xml:space="preserve">att riksdagen avslår motion 1999/2000:A6 yrkande 15,          </w:t>
      </w:r>
    </w:p>
    <w:p w:rsidR="00866CF7" w:rsidRPr="00000E4F" w:rsidRDefault="00866CF7">
      <w:pPr>
        <w:pStyle w:val="Reseftermom"/>
      </w:pPr>
      <w:r w:rsidRPr="00000E4F">
        <w:t>res. 5 (m)</w:t>
      </w:r>
      <w:bookmarkStart w:id="83" w:name="RESPARTI007"/>
      <w:bookmarkEnd w:id="83"/>
    </w:p>
    <w:p w:rsidR="00866CF7" w:rsidRPr="00000E4F" w:rsidRDefault="00866CF7">
      <w:pPr>
        <w:pStyle w:val="hembetr"/>
        <w:spacing w:before="120"/>
      </w:pPr>
      <w:r w:rsidRPr="00000E4F">
        <w:t xml:space="preserve">8. beträffande </w:t>
      </w:r>
      <w:r w:rsidRPr="00000E4F">
        <w:rPr>
          <w:i/>
        </w:rPr>
        <w:t>verkan av uteblivet varsel</w:t>
      </w:r>
    </w:p>
    <w:p w:rsidR="00866CF7" w:rsidRPr="00000E4F" w:rsidRDefault="00866CF7">
      <w:pPr>
        <w:pStyle w:val="hemtext"/>
      </w:pPr>
      <w:r w:rsidRPr="00000E4F">
        <w:t xml:space="preserve">att riksdagen avslår motion 1999/2000:A6 yrkandena 16 och 17,   </w:t>
      </w:r>
    </w:p>
    <w:p w:rsidR="00866CF7" w:rsidRPr="00000E4F" w:rsidRDefault="00866CF7">
      <w:pPr>
        <w:pStyle w:val="Reseftermom"/>
      </w:pPr>
      <w:r w:rsidRPr="00000E4F">
        <w:t>res. 6 (m)</w:t>
      </w:r>
      <w:bookmarkStart w:id="84" w:name="RESPARTI008"/>
      <w:bookmarkEnd w:id="84"/>
    </w:p>
    <w:p w:rsidR="00866CF7" w:rsidRPr="00000E4F" w:rsidRDefault="00866CF7">
      <w:pPr>
        <w:pStyle w:val="hembetr"/>
        <w:spacing w:before="120"/>
      </w:pPr>
      <w:r w:rsidRPr="00000E4F">
        <w:t xml:space="preserve">9. beträffande </w:t>
      </w:r>
      <w:r w:rsidRPr="00000E4F">
        <w:rPr>
          <w:i/>
        </w:rPr>
        <w:t>blockad mot enmans- och familjeföretag</w:t>
      </w:r>
    </w:p>
    <w:p w:rsidR="00866CF7" w:rsidRPr="00000E4F" w:rsidRDefault="00866CF7">
      <w:pPr>
        <w:pStyle w:val="hemtext"/>
      </w:pPr>
      <w:r w:rsidRPr="00000E4F">
        <w:t>att riksdagen med anledning av motionerna 1999/2000:A6 yrkande 9, 1999/2000:A7 yrkandena 1 och 2, 1999/2000:A8 yrkande 7, 1999/2000:A9 yrkandena 2–4, 1999/2000:A10 yrkande 9, 1999/2000:A231 yrkande 17 i motsvarande del, 1999/2000:A254 y</w:t>
      </w:r>
      <w:r w:rsidRPr="00000E4F">
        <w:t>r</w:t>
      </w:r>
      <w:r w:rsidRPr="00000E4F">
        <w:t xml:space="preserve">kande 28, 1999/2000:A701 i motsvarande del, 1999/2000:A706, 1999/2000:Fi211 yrkande 8 i motsvarande del och 1999/2000:Sk692 yrkande 23 i motsvarande del antar de enligt bilaga 2 av utskottet framlagda förslagen till lag om ändring i </w:t>
      </w:r>
    </w:p>
    <w:p w:rsidR="00866CF7" w:rsidRPr="00000E4F" w:rsidRDefault="00866CF7">
      <w:pPr>
        <w:pStyle w:val="hemtext"/>
        <w:numPr>
          <w:ilvl w:val="0"/>
          <w:numId w:val="59"/>
        </w:numPr>
      </w:pPr>
      <w:r w:rsidRPr="00000E4F">
        <w:t>lagen (1976:580) om medbestämmande i arbetslivet</w:t>
      </w:r>
    </w:p>
    <w:p w:rsidR="00866CF7" w:rsidRPr="00000E4F" w:rsidRDefault="00866CF7">
      <w:pPr>
        <w:pStyle w:val="hemtext"/>
        <w:numPr>
          <w:ilvl w:val="0"/>
          <w:numId w:val="59"/>
        </w:numPr>
      </w:pPr>
      <w:r w:rsidRPr="00000E4F">
        <w:t xml:space="preserve">lagen (1974:371) om rättegången i arbetstvister,      </w:t>
      </w:r>
    </w:p>
    <w:p w:rsidR="00866CF7" w:rsidRPr="00000E4F" w:rsidRDefault="00866CF7">
      <w:pPr>
        <w:pStyle w:val="Reseftermom"/>
      </w:pPr>
      <w:r w:rsidRPr="00000E4F">
        <w:t>res. 7 (s, v)</w:t>
      </w:r>
      <w:bookmarkStart w:id="85" w:name="RESPARTI009"/>
      <w:bookmarkEnd w:id="85"/>
    </w:p>
    <w:p w:rsidR="00866CF7" w:rsidRPr="00000E4F" w:rsidRDefault="00866CF7">
      <w:pPr>
        <w:pStyle w:val="hembetr"/>
        <w:spacing w:before="120"/>
      </w:pPr>
      <w:r w:rsidRPr="00000E4F">
        <w:t xml:space="preserve">10. beträffande </w:t>
      </w:r>
      <w:r w:rsidRPr="00000E4F">
        <w:rPr>
          <w:i/>
        </w:rPr>
        <w:t>stridsåtgärders proportionalitet</w:t>
      </w:r>
    </w:p>
    <w:p w:rsidR="00866CF7" w:rsidRPr="00000E4F" w:rsidRDefault="00866CF7">
      <w:pPr>
        <w:pStyle w:val="hemtext"/>
      </w:pPr>
      <w:r w:rsidRPr="00000E4F">
        <w:t>att riksdagen avslår motionerna 1999/2000:A6 yrkande 8, 1999/2000:A8 yrkande 5, 1999/2000:A9 yrkandena 5–7, 1999/2000:A10 yrkande 10 och 1999/2000:Fi211 yrkande 8 i motsv</w:t>
      </w:r>
      <w:r w:rsidRPr="00000E4F">
        <w:t>a</w:t>
      </w:r>
      <w:r w:rsidRPr="00000E4F">
        <w:t xml:space="preserve">rande del,      </w:t>
      </w:r>
    </w:p>
    <w:p w:rsidR="00866CF7" w:rsidRPr="00000E4F" w:rsidRDefault="00866CF7">
      <w:pPr>
        <w:pStyle w:val="Reseftermom"/>
      </w:pPr>
      <w:r w:rsidRPr="00000E4F">
        <w:t>res. 8 (m)</w:t>
      </w:r>
    </w:p>
    <w:p w:rsidR="00866CF7" w:rsidRPr="00000E4F" w:rsidRDefault="00866CF7">
      <w:pPr>
        <w:pStyle w:val="Reseftermom"/>
      </w:pPr>
      <w:r w:rsidRPr="00000E4F">
        <w:t>res. 9 (kd, c, fp)</w:t>
      </w:r>
      <w:bookmarkStart w:id="86" w:name="RESPARTI010"/>
      <w:bookmarkEnd w:id="86"/>
    </w:p>
    <w:p w:rsidR="00866CF7" w:rsidRPr="00000E4F" w:rsidRDefault="00866CF7">
      <w:pPr>
        <w:pStyle w:val="hembetr"/>
        <w:spacing w:before="120"/>
      </w:pPr>
      <w:r w:rsidRPr="00000E4F">
        <w:t xml:space="preserve">11. beträffande </w:t>
      </w:r>
      <w:r w:rsidRPr="00000E4F">
        <w:rPr>
          <w:i/>
        </w:rPr>
        <w:t>samhällsfarliga konflikter</w:t>
      </w:r>
    </w:p>
    <w:p w:rsidR="00866CF7" w:rsidRPr="00000E4F" w:rsidRDefault="00866CF7">
      <w:pPr>
        <w:pStyle w:val="hemtext"/>
      </w:pPr>
      <w:r w:rsidRPr="00000E4F">
        <w:t xml:space="preserve">att riksdagen avslår motion 1999/2000:A10 yrkande 8,            </w:t>
      </w:r>
    </w:p>
    <w:p w:rsidR="00866CF7" w:rsidRPr="00000E4F" w:rsidRDefault="00866CF7">
      <w:pPr>
        <w:pStyle w:val="Reseftermom"/>
      </w:pPr>
      <w:r w:rsidRPr="00000E4F">
        <w:t>res. 10 (kd, fp)</w:t>
      </w:r>
      <w:bookmarkStart w:id="87" w:name="RESPARTI011"/>
      <w:bookmarkEnd w:id="87"/>
    </w:p>
    <w:p w:rsidR="00866CF7" w:rsidRPr="00000E4F" w:rsidRDefault="00866CF7">
      <w:pPr>
        <w:pStyle w:val="hembetr"/>
        <w:spacing w:before="120"/>
      </w:pPr>
      <w:r w:rsidRPr="00000E4F">
        <w:t xml:space="preserve">12. beträffande </w:t>
      </w:r>
      <w:r w:rsidRPr="00000E4F">
        <w:rPr>
          <w:i/>
        </w:rPr>
        <w:t>sympatiåtgärder</w:t>
      </w:r>
    </w:p>
    <w:p w:rsidR="00866CF7" w:rsidRPr="00000E4F" w:rsidRDefault="00866CF7">
      <w:pPr>
        <w:pStyle w:val="hemtext"/>
      </w:pPr>
      <w:r w:rsidRPr="00000E4F">
        <w:t xml:space="preserve">att riksdagen avslår motionerna 1999/2000:A6 yrkande 10, 1999/2000:A8 yrkande 6, 1999/2000:A701 i motsvarande del och 1999/2000:Sk692 yrkande 23 i motsvarande del,          </w:t>
      </w:r>
    </w:p>
    <w:p w:rsidR="00866CF7" w:rsidRPr="00000E4F" w:rsidRDefault="00866CF7">
      <w:pPr>
        <w:pStyle w:val="Reseftermom"/>
      </w:pPr>
      <w:r w:rsidRPr="00000E4F">
        <w:t>res. 11 (m, kd)</w:t>
      </w:r>
      <w:bookmarkStart w:id="88" w:name="RESPARTI012"/>
      <w:bookmarkEnd w:id="88"/>
    </w:p>
    <w:p w:rsidR="00866CF7" w:rsidRPr="00000E4F" w:rsidRDefault="00866CF7">
      <w:pPr>
        <w:pStyle w:val="hembetr"/>
        <w:spacing w:before="120"/>
      </w:pPr>
      <w:r w:rsidRPr="00000E4F">
        <w:t xml:space="preserve">13. beträffande </w:t>
      </w:r>
      <w:r w:rsidRPr="00000E4F">
        <w:rPr>
          <w:i/>
        </w:rPr>
        <w:t>statistikansvarig myndighet</w:t>
      </w:r>
    </w:p>
    <w:p w:rsidR="00866CF7" w:rsidRPr="00000E4F" w:rsidRDefault="00866CF7">
      <w:pPr>
        <w:pStyle w:val="hemtext"/>
      </w:pPr>
      <w:r w:rsidRPr="00000E4F">
        <w:t xml:space="preserve">att riksdagen avslår motionerna 1999/2000:A6 yrkande 14, 1999/2000:A8 yrkande 3, 1999/2000:A9 yrkande 1 samt 1999/2000:A10 yrkandena 5 och 6,  </w:t>
      </w:r>
    </w:p>
    <w:p w:rsidR="00866CF7" w:rsidRPr="00000E4F" w:rsidRDefault="00866CF7">
      <w:pPr>
        <w:pStyle w:val="Reseftermom"/>
      </w:pPr>
      <w:r w:rsidRPr="00000E4F">
        <w:t>res. 12 (m, kd, c, fp)</w:t>
      </w:r>
      <w:bookmarkStart w:id="89" w:name="RESPARTI013"/>
      <w:bookmarkEnd w:id="89"/>
    </w:p>
    <w:p w:rsidR="00866CF7" w:rsidRPr="00000E4F" w:rsidRDefault="00866CF7">
      <w:pPr>
        <w:pStyle w:val="hembetr"/>
        <w:spacing w:before="120"/>
      </w:pPr>
      <w:r w:rsidRPr="00000E4F">
        <w:t xml:space="preserve">14. beträffande </w:t>
      </w:r>
      <w:r w:rsidRPr="00000E4F">
        <w:rPr>
          <w:i/>
        </w:rPr>
        <w:t>övriga uppgifter för Medlingsinstitutet</w:t>
      </w:r>
    </w:p>
    <w:p w:rsidR="00866CF7" w:rsidRPr="00000E4F" w:rsidRDefault="00866CF7">
      <w:pPr>
        <w:pStyle w:val="hemtext"/>
      </w:pPr>
      <w:r w:rsidRPr="00000E4F">
        <w:t xml:space="preserve">att riksdagen avslår motion 1999/2000:A6 yrkande 13 i motsvarande del,     </w:t>
      </w:r>
    </w:p>
    <w:p w:rsidR="00866CF7" w:rsidRPr="00000E4F" w:rsidRDefault="00866CF7">
      <w:pPr>
        <w:pStyle w:val="Reseftermom"/>
      </w:pPr>
      <w:r w:rsidRPr="00000E4F">
        <w:t>res. 13 (m)</w:t>
      </w:r>
      <w:bookmarkStart w:id="90" w:name="RESPARTI014"/>
      <w:bookmarkEnd w:id="90"/>
    </w:p>
    <w:p w:rsidR="00866CF7" w:rsidRPr="00000E4F" w:rsidRDefault="00866CF7">
      <w:pPr>
        <w:pStyle w:val="hembetr"/>
        <w:spacing w:before="120"/>
      </w:pPr>
      <w:r w:rsidRPr="00000E4F">
        <w:t xml:space="preserve">15. beträffande </w:t>
      </w:r>
      <w:r w:rsidRPr="00000E4F">
        <w:rPr>
          <w:i/>
        </w:rPr>
        <w:t>antagande av lagförslagen i propositionen</w:t>
      </w:r>
    </w:p>
    <w:p w:rsidR="00866CF7" w:rsidRPr="00000E4F" w:rsidRDefault="00866CF7">
      <w:pPr>
        <w:pStyle w:val="hemtext"/>
      </w:pPr>
      <w:r w:rsidRPr="00000E4F">
        <w:t xml:space="preserve">att riksdagen </w:t>
      </w:r>
    </w:p>
    <w:p w:rsidR="00866CF7" w:rsidRPr="00000E4F" w:rsidRDefault="00866CF7">
      <w:pPr>
        <w:pStyle w:val="hemtext"/>
      </w:pPr>
      <w:r w:rsidRPr="00000E4F">
        <w:rPr>
          <w:i/>
        </w:rPr>
        <w:t xml:space="preserve">dels </w:t>
      </w:r>
      <w:r w:rsidRPr="00000E4F">
        <w:t xml:space="preserve">med anledning av propositionen i motsvarande del antar det enligt bilaga 1 av regeringen framlagda förslaget till lag om ändring i lagen (1976:580) om medbestämmande i arbetslivet med den ändringen att i den föreslagna 63 § tredje stycket orden ”tredje” respektive ”andra” skall ersättas av ”fjärde” respektive ”tredje”, </w:t>
      </w:r>
    </w:p>
    <w:p w:rsidR="00866CF7" w:rsidRPr="00000E4F" w:rsidRDefault="00866CF7">
      <w:pPr>
        <w:pStyle w:val="hemtext"/>
      </w:pPr>
      <w:r w:rsidRPr="00000E4F">
        <w:rPr>
          <w:i/>
        </w:rPr>
        <w:t xml:space="preserve">dels </w:t>
      </w:r>
      <w:r w:rsidRPr="00000E4F">
        <w:t>med bifall till propositionen i motsvarande del och motion 1999/2000:A6 yrkande 18 antar det enligt bilaga 1 av regeringen framlagda förslaget till lag om ändring i sekretessl</w:t>
      </w:r>
      <w:r w:rsidRPr="00000E4F">
        <w:t>a</w:t>
      </w:r>
      <w:r w:rsidRPr="00000E4F">
        <w:t>gen (1980:100),</w:t>
      </w:r>
      <w:bookmarkStart w:id="91" w:name="RESPARTI015"/>
      <w:bookmarkEnd w:id="91"/>
    </w:p>
    <w:p w:rsidR="00866CF7" w:rsidRPr="00000E4F" w:rsidRDefault="00866CF7">
      <w:pPr>
        <w:pStyle w:val="hembetr"/>
      </w:pPr>
      <w:r w:rsidRPr="00000E4F">
        <w:br w:type="page"/>
        <w:t>16. beträffande statistik och arbetsvärdering</w:t>
      </w:r>
    </w:p>
    <w:p w:rsidR="00866CF7" w:rsidRPr="00000E4F" w:rsidRDefault="00866CF7">
      <w:pPr>
        <w:pStyle w:val="hemtext"/>
      </w:pPr>
      <w:r w:rsidRPr="00000E4F">
        <w:t xml:space="preserve">att riksdagen avslår motion 1999/2000:A8 yrkande 4, </w:t>
      </w:r>
      <w:bookmarkStart w:id="92" w:name="RESPARTI016"/>
      <w:bookmarkEnd w:id="92"/>
    </w:p>
    <w:p w:rsidR="00866CF7" w:rsidRPr="00000E4F" w:rsidRDefault="00866CF7">
      <w:pPr>
        <w:pStyle w:val="R3"/>
        <w:spacing w:before="240" w:after="120"/>
        <w:ind w:left="567"/>
      </w:pPr>
      <w:r w:rsidRPr="00000E4F">
        <w:t>Del II</w:t>
      </w:r>
    </w:p>
    <w:p w:rsidR="00866CF7" w:rsidRPr="00000E4F" w:rsidRDefault="00866CF7">
      <w:pPr>
        <w:pStyle w:val="hembetr"/>
        <w:spacing w:before="120"/>
        <w:rPr>
          <w:i/>
        </w:rPr>
      </w:pPr>
      <w:r w:rsidRPr="00000E4F">
        <w:t xml:space="preserve">17. beträffande </w:t>
      </w:r>
      <w:r w:rsidRPr="00000E4F">
        <w:rPr>
          <w:i/>
        </w:rPr>
        <w:t>utredning av arbetsrätten m.m.</w:t>
      </w:r>
    </w:p>
    <w:p w:rsidR="00866CF7" w:rsidRPr="00000E4F" w:rsidRDefault="00866CF7">
      <w:pPr>
        <w:pStyle w:val="hemtext"/>
      </w:pPr>
      <w:r w:rsidRPr="00000E4F">
        <w:t xml:space="preserve">att riksdagen </w:t>
      </w:r>
      <w:r w:rsidRPr="00000E4F">
        <w:rPr>
          <w:i/>
        </w:rPr>
        <w:t xml:space="preserve">dels </w:t>
      </w:r>
      <w:r w:rsidRPr="00000E4F">
        <w:t xml:space="preserve">avslår motionerna 1999/2000:A219 yrkande 1, 1999/2000:A220 yrkande 21, 1999/2000:A231 yrkande 18, 1999/2000:A254 yrkande 25, 1999/2000:A723 yrkande 1, 1999/2000:A811 yrkandena 1 och 2, 1999/2000:K351 yrkande 2, 1999/2000:Sk692 yrkandena 21 och 22, 1999/2000:Sf304 yrkande 9 samt 1999/2000:N389 yrkande 3, </w:t>
      </w:r>
      <w:r w:rsidRPr="00000E4F">
        <w:rPr>
          <w:i/>
        </w:rPr>
        <w:t xml:space="preserve">dels </w:t>
      </w:r>
      <w:r w:rsidRPr="00000E4F">
        <w:t>som sin mening ger regeringen till känna vad utskottet anfört om en utre</w:t>
      </w:r>
      <w:r w:rsidRPr="00000E4F">
        <w:t>d</w:t>
      </w:r>
      <w:r w:rsidRPr="00000E4F">
        <w:t xml:space="preserve">ning,           </w:t>
      </w:r>
    </w:p>
    <w:p w:rsidR="00866CF7" w:rsidRPr="00000E4F" w:rsidRDefault="00866CF7">
      <w:pPr>
        <w:pStyle w:val="Reseftermom"/>
      </w:pPr>
      <w:r w:rsidRPr="00000E4F">
        <w:t>res. 14 (m, kd, c, fp)</w:t>
      </w:r>
      <w:bookmarkStart w:id="93" w:name="RESPARTI017"/>
      <w:bookmarkEnd w:id="93"/>
    </w:p>
    <w:p w:rsidR="00866CF7" w:rsidRPr="00000E4F" w:rsidRDefault="00866CF7">
      <w:pPr>
        <w:pStyle w:val="hembetr"/>
        <w:spacing w:before="120"/>
      </w:pPr>
      <w:r w:rsidRPr="00000E4F">
        <w:t xml:space="preserve">18. beträffande </w:t>
      </w:r>
      <w:r w:rsidRPr="00000E4F">
        <w:rPr>
          <w:i/>
        </w:rPr>
        <w:t>information till företagare</w:t>
      </w:r>
    </w:p>
    <w:p w:rsidR="00866CF7" w:rsidRPr="00000E4F" w:rsidRDefault="00866CF7">
      <w:pPr>
        <w:pStyle w:val="hemtext"/>
      </w:pPr>
      <w:r w:rsidRPr="00000E4F">
        <w:t xml:space="preserve">att riksdagen avslår motion 1999/2000:A254 yrkande 32,         </w:t>
      </w:r>
      <w:bookmarkStart w:id="94" w:name="RESPARTI018"/>
      <w:bookmarkEnd w:id="94"/>
    </w:p>
    <w:p w:rsidR="00866CF7" w:rsidRPr="00000E4F" w:rsidRDefault="00866CF7">
      <w:pPr>
        <w:pStyle w:val="hembetr"/>
        <w:spacing w:before="120"/>
      </w:pPr>
      <w:r w:rsidRPr="00000E4F">
        <w:t xml:space="preserve">19. beträffande </w:t>
      </w:r>
      <w:r w:rsidRPr="00000E4F">
        <w:rPr>
          <w:i/>
        </w:rPr>
        <w:t>visstidsanställningar m.m.</w:t>
      </w:r>
    </w:p>
    <w:p w:rsidR="00866CF7" w:rsidRPr="00000E4F" w:rsidRDefault="00866CF7">
      <w:pPr>
        <w:pStyle w:val="hemtext"/>
      </w:pPr>
      <w:r w:rsidRPr="00000E4F">
        <w:t xml:space="preserve">att riksdagen avslår motionerna 1999/2000:A240, 1999/2000:A254 yrkandena 29 och 31 samt 1999/2000:A723 yrkande 3,        </w:t>
      </w:r>
    </w:p>
    <w:p w:rsidR="00866CF7" w:rsidRPr="00000E4F" w:rsidRDefault="00866CF7">
      <w:pPr>
        <w:pStyle w:val="Reseftermom"/>
        <w:rPr>
          <w:sz w:val="21"/>
        </w:rPr>
      </w:pPr>
      <w:r w:rsidRPr="00000E4F">
        <w:t>res. 15 (m, kd</w:t>
      </w:r>
      <w:r w:rsidRPr="00000E4F">
        <w:rPr>
          <w:sz w:val="21"/>
        </w:rPr>
        <w:t>)</w:t>
      </w:r>
    </w:p>
    <w:p w:rsidR="00866CF7" w:rsidRPr="00000E4F" w:rsidRDefault="00866CF7">
      <w:pPr>
        <w:pStyle w:val="Reseftermom"/>
      </w:pPr>
      <w:r w:rsidRPr="00000E4F">
        <w:t>res. 16 (v)</w:t>
      </w:r>
      <w:bookmarkStart w:id="95" w:name="RESPARTI019"/>
      <w:bookmarkEnd w:id="95"/>
    </w:p>
    <w:p w:rsidR="00866CF7" w:rsidRPr="00000E4F" w:rsidRDefault="00866CF7">
      <w:pPr>
        <w:pStyle w:val="hembetr"/>
        <w:spacing w:before="120"/>
      </w:pPr>
      <w:r w:rsidRPr="00000E4F">
        <w:t xml:space="preserve">20. beträffande </w:t>
      </w:r>
      <w:r w:rsidRPr="00000E4F">
        <w:rPr>
          <w:i/>
        </w:rPr>
        <w:t>pensionsförmåner</w:t>
      </w:r>
    </w:p>
    <w:p w:rsidR="00866CF7" w:rsidRPr="00000E4F" w:rsidRDefault="00866CF7">
      <w:pPr>
        <w:pStyle w:val="hemtext"/>
      </w:pPr>
      <w:r w:rsidRPr="00000E4F">
        <w:t xml:space="preserve">att riksdagen avslår motion 1999/2000:A712,         </w:t>
      </w:r>
    </w:p>
    <w:p w:rsidR="00866CF7" w:rsidRPr="00000E4F" w:rsidRDefault="00866CF7">
      <w:pPr>
        <w:pStyle w:val="Reseftermom"/>
      </w:pPr>
      <w:r w:rsidRPr="00000E4F">
        <w:t>res. 17 (m)</w:t>
      </w:r>
      <w:bookmarkStart w:id="96" w:name="RESPARTI020"/>
      <w:bookmarkEnd w:id="96"/>
    </w:p>
    <w:p w:rsidR="00866CF7" w:rsidRPr="00000E4F" w:rsidRDefault="00866CF7">
      <w:pPr>
        <w:pStyle w:val="hembetr"/>
        <w:spacing w:before="120"/>
      </w:pPr>
      <w:r w:rsidRPr="00000E4F">
        <w:t xml:space="preserve">21. beträffande </w:t>
      </w:r>
      <w:r w:rsidRPr="00000E4F">
        <w:rPr>
          <w:i/>
        </w:rPr>
        <w:t>lokala avtal</w:t>
      </w:r>
    </w:p>
    <w:p w:rsidR="00866CF7" w:rsidRPr="00000E4F" w:rsidRDefault="00866CF7">
      <w:pPr>
        <w:pStyle w:val="hemtext"/>
      </w:pPr>
      <w:r w:rsidRPr="00000E4F">
        <w:t xml:space="preserve">att riksdagen avslår motionerna 1999/2000:A220 yrkande 22 och 1999/2000:A723 yrkande 2,  </w:t>
      </w:r>
    </w:p>
    <w:p w:rsidR="00866CF7" w:rsidRPr="00000E4F" w:rsidRDefault="00866CF7">
      <w:pPr>
        <w:pStyle w:val="Reseftermom"/>
      </w:pPr>
      <w:r w:rsidRPr="00000E4F">
        <w:t>res. 18 (m, kd, c)</w:t>
      </w:r>
    </w:p>
    <w:p w:rsidR="00866CF7" w:rsidRPr="00000E4F" w:rsidRDefault="00866CF7">
      <w:pPr>
        <w:pStyle w:val="Reseftermom"/>
      </w:pPr>
      <w:r w:rsidRPr="00000E4F">
        <w:t>res. 19 (v)</w:t>
      </w:r>
      <w:bookmarkStart w:id="97" w:name="RESPARTI021"/>
      <w:bookmarkEnd w:id="97"/>
    </w:p>
    <w:p w:rsidR="00866CF7" w:rsidRPr="00000E4F" w:rsidRDefault="00866CF7">
      <w:pPr>
        <w:pStyle w:val="hembetr"/>
        <w:spacing w:before="120"/>
      </w:pPr>
      <w:r w:rsidRPr="00000E4F">
        <w:t xml:space="preserve">22. beträffande </w:t>
      </w:r>
      <w:r w:rsidRPr="00000E4F">
        <w:rPr>
          <w:i/>
        </w:rPr>
        <w:t>avsteg från anställningsskyddslagen</w:t>
      </w:r>
    </w:p>
    <w:p w:rsidR="00866CF7" w:rsidRPr="00000E4F" w:rsidRDefault="00866CF7">
      <w:pPr>
        <w:pStyle w:val="hemtext"/>
      </w:pPr>
      <w:r w:rsidRPr="00000E4F">
        <w:t xml:space="preserve">att riksdagen avslår motion 1999/2000:A713 yrkande 1,      </w:t>
      </w:r>
    </w:p>
    <w:p w:rsidR="00866CF7" w:rsidRPr="00000E4F" w:rsidRDefault="00866CF7">
      <w:pPr>
        <w:pStyle w:val="Reseftermom"/>
      </w:pPr>
      <w:r w:rsidRPr="00000E4F">
        <w:t>res. 20 (m)</w:t>
      </w:r>
      <w:bookmarkStart w:id="98" w:name="RESPARTI022"/>
      <w:bookmarkEnd w:id="98"/>
    </w:p>
    <w:p w:rsidR="00866CF7" w:rsidRPr="00000E4F" w:rsidRDefault="00866CF7">
      <w:pPr>
        <w:pStyle w:val="hembetr"/>
        <w:spacing w:before="120"/>
      </w:pPr>
      <w:r w:rsidRPr="00000E4F">
        <w:t xml:space="preserve">23. beträffande </w:t>
      </w:r>
      <w:r w:rsidRPr="00000E4F">
        <w:rPr>
          <w:i/>
        </w:rPr>
        <w:t>återanställningsrätt</w:t>
      </w:r>
    </w:p>
    <w:p w:rsidR="00866CF7" w:rsidRPr="00000E4F" w:rsidRDefault="00866CF7">
      <w:pPr>
        <w:pStyle w:val="hemtext"/>
      </w:pPr>
      <w:r w:rsidRPr="00000E4F">
        <w:t xml:space="preserve">att riksdagen avslår motionerna 1999/2000:A254 yrkande 30 och 1999/2000:A723 yrkande 4,  </w:t>
      </w:r>
    </w:p>
    <w:p w:rsidR="00866CF7" w:rsidRPr="00000E4F" w:rsidRDefault="00866CF7">
      <w:pPr>
        <w:pStyle w:val="Reseftermom"/>
      </w:pPr>
      <w:r w:rsidRPr="00000E4F">
        <w:t>res. 21 (m, kd)</w:t>
      </w:r>
    </w:p>
    <w:p w:rsidR="00866CF7" w:rsidRPr="00000E4F" w:rsidRDefault="00866CF7">
      <w:pPr>
        <w:pStyle w:val="Reseftermom"/>
      </w:pPr>
      <w:r w:rsidRPr="00000E4F">
        <w:t>res. 22 (v)</w:t>
      </w:r>
      <w:bookmarkStart w:id="99" w:name="RESPARTI023"/>
      <w:bookmarkEnd w:id="99"/>
    </w:p>
    <w:p w:rsidR="00866CF7" w:rsidRPr="00000E4F" w:rsidRDefault="00866CF7">
      <w:pPr>
        <w:pStyle w:val="hembetr"/>
        <w:spacing w:before="120"/>
      </w:pPr>
      <w:r w:rsidRPr="00000E4F">
        <w:t xml:space="preserve">24. beträffande </w:t>
      </w:r>
      <w:r w:rsidRPr="00000E4F">
        <w:rPr>
          <w:i/>
        </w:rPr>
        <w:t>tillräckliga kvalifikationer</w:t>
      </w:r>
    </w:p>
    <w:p w:rsidR="00866CF7" w:rsidRPr="00000E4F" w:rsidRDefault="00866CF7">
      <w:pPr>
        <w:pStyle w:val="hemtext"/>
      </w:pPr>
      <w:r w:rsidRPr="00000E4F">
        <w:t xml:space="preserve">att riksdagen avslår motion 1999/2000:A723 yrkande 5,         </w:t>
      </w:r>
    </w:p>
    <w:p w:rsidR="00866CF7" w:rsidRPr="00000E4F" w:rsidRDefault="00866CF7">
      <w:pPr>
        <w:pStyle w:val="Reseftermom"/>
      </w:pPr>
      <w:r w:rsidRPr="00000E4F">
        <w:t>res. 23 (v)</w:t>
      </w:r>
      <w:bookmarkStart w:id="100" w:name="RESPARTI024"/>
      <w:bookmarkEnd w:id="100"/>
    </w:p>
    <w:p w:rsidR="00866CF7" w:rsidRPr="00000E4F" w:rsidRDefault="00866CF7">
      <w:pPr>
        <w:pStyle w:val="hembetr"/>
        <w:spacing w:before="120"/>
      </w:pPr>
      <w:r w:rsidRPr="00000E4F">
        <w:t xml:space="preserve">25. beträffande </w:t>
      </w:r>
      <w:r w:rsidRPr="00000E4F">
        <w:rPr>
          <w:i/>
        </w:rPr>
        <w:t>skadestånd vid ogiltigförklaring av uppsägning</w:t>
      </w:r>
    </w:p>
    <w:p w:rsidR="00866CF7" w:rsidRPr="00000E4F" w:rsidRDefault="00866CF7">
      <w:pPr>
        <w:pStyle w:val="hemtext"/>
      </w:pPr>
      <w:r w:rsidRPr="00000E4F">
        <w:t xml:space="preserve">att riksdagen avslår motion 1999/2000:A723 yrkande 9,        </w:t>
      </w:r>
    </w:p>
    <w:p w:rsidR="00866CF7" w:rsidRPr="00000E4F" w:rsidRDefault="00866CF7">
      <w:pPr>
        <w:pStyle w:val="Reseftermom"/>
      </w:pPr>
      <w:r w:rsidRPr="00000E4F">
        <w:t>res. 24 (v)</w:t>
      </w:r>
      <w:bookmarkStart w:id="101" w:name="RESPARTI025"/>
      <w:bookmarkEnd w:id="101"/>
    </w:p>
    <w:p w:rsidR="00866CF7" w:rsidRPr="00000E4F" w:rsidRDefault="00866CF7">
      <w:pPr>
        <w:pStyle w:val="hembetr"/>
        <w:spacing w:before="120"/>
      </w:pPr>
      <w:r w:rsidRPr="00000E4F">
        <w:t xml:space="preserve">26. beträffande </w:t>
      </w:r>
      <w:r w:rsidRPr="00000E4F">
        <w:rPr>
          <w:i/>
        </w:rPr>
        <w:t>information och opinionsbildning</w:t>
      </w:r>
    </w:p>
    <w:p w:rsidR="00866CF7" w:rsidRPr="00000E4F" w:rsidRDefault="00866CF7">
      <w:pPr>
        <w:pStyle w:val="hemtext"/>
        <w:spacing w:after="240"/>
      </w:pPr>
      <w:r w:rsidRPr="00000E4F">
        <w:t xml:space="preserve">att riksdagen avslår motion 1999/2000:A708,       </w:t>
      </w:r>
      <w:bookmarkStart w:id="102" w:name="RESPARTI026"/>
      <w:bookmarkEnd w:id="102"/>
    </w:p>
    <w:p w:rsidR="00866CF7" w:rsidRPr="00000E4F" w:rsidRDefault="00866CF7">
      <w:pPr>
        <w:pStyle w:val="hembetr"/>
        <w:spacing w:before="120"/>
      </w:pPr>
      <w:r w:rsidRPr="00000E4F">
        <w:t xml:space="preserve">27. beträffande </w:t>
      </w:r>
      <w:r w:rsidRPr="00000E4F">
        <w:rPr>
          <w:i/>
        </w:rPr>
        <w:t>vetoregler</w:t>
      </w:r>
    </w:p>
    <w:p w:rsidR="00866CF7" w:rsidRPr="00000E4F" w:rsidRDefault="00866CF7">
      <w:pPr>
        <w:pStyle w:val="hemtext"/>
      </w:pPr>
      <w:r w:rsidRPr="00000E4F">
        <w:t>att riksdagen avslår motionerna 1999/2000:A231 yrkande 17 i motsv</w:t>
      </w:r>
      <w:r w:rsidRPr="00000E4F">
        <w:t>a</w:t>
      </w:r>
      <w:r w:rsidRPr="00000E4F">
        <w:t xml:space="preserve">rande del och 1999/2000:A254 yrkande 27,          </w:t>
      </w:r>
    </w:p>
    <w:p w:rsidR="00866CF7" w:rsidRPr="00000E4F" w:rsidRDefault="00866CF7">
      <w:pPr>
        <w:pStyle w:val="Reseftermom"/>
      </w:pPr>
      <w:r w:rsidRPr="00000E4F">
        <w:t>res. 25 (m, kd, fp)</w:t>
      </w:r>
      <w:bookmarkStart w:id="103" w:name="RESPARTI027"/>
      <w:bookmarkEnd w:id="103"/>
    </w:p>
    <w:p w:rsidR="00866CF7" w:rsidRPr="00000E4F" w:rsidRDefault="00866CF7">
      <w:pPr>
        <w:pStyle w:val="hembetr"/>
        <w:spacing w:before="120"/>
      </w:pPr>
      <w:r w:rsidRPr="00000E4F">
        <w:t xml:space="preserve">28. beträffande </w:t>
      </w:r>
      <w:r w:rsidRPr="00000E4F">
        <w:rPr>
          <w:i/>
        </w:rPr>
        <w:t>delgivningsregeln i 30 § medbestämmandelagen</w:t>
      </w:r>
    </w:p>
    <w:p w:rsidR="00866CF7" w:rsidRPr="00000E4F" w:rsidRDefault="00866CF7">
      <w:pPr>
        <w:pStyle w:val="hemtext"/>
      </w:pPr>
      <w:r w:rsidRPr="00000E4F">
        <w:t xml:space="preserve">att riksdagen avslår motion 1999/2000:A709,    </w:t>
      </w:r>
      <w:bookmarkStart w:id="104" w:name="RESPARTI028"/>
      <w:bookmarkEnd w:id="104"/>
    </w:p>
    <w:p w:rsidR="00866CF7" w:rsidRPr="00000E4F" w:rsidRDefault="00866CF7">
      <w:pPr>
        <w:pStyle w:val="hembetr"/>
        <w:spacing w:before="120"/>
      </w:pPr>
      <w:r w:rsidRPr="00000E4F">
        <w:t xml:space="preserve">29. beträffande </w:t>
      </w:r>
      <w:r w:rsidRPr="00000E4F">
        <w:rPr>
          <w:i/>
        </w:rPr>
        <w:t>semesterlön vid särskilt utbildningsbidrag</w:t>
      </w:r>
    </w:p>
    <w:p w:rsidR="00866CF7" w:rsidRPr="00000E4F" w:rsidRDefault="00866CF7">
      <w:pPr>
        <w:pStyle w:val="hemtext"/>
      </w:pPr>
      <w:r w:rsidRPr="00000E4F">
        <w:t xml:space="preserve">att riksdagen avslår motion 1999/2000:A704,                </w:t>
      </w:r>
    </w:p>
    <w:p w:rsidR="00866CF7" w:rsidRPr="00000E4F" w:rsidRDefault="00866CF7">
      <w:pPr>
        <w:pStyle w:val="Reseftermom"/>
      </w:pPr>
      <w:r w:rsidRPr="00000E4F">
        <w:t>res. 26 (m, kd, c, fp)</w:t>
      </w:r>
      <w:bookmarkStart w:id="105" w:name="RESPARTI029"/>
      <w:bookmarkEnd w:id="105"/>
    </w:p>
    <w:p w:rsidR="00866CF7" w:rsidRPr="00000E4F" w:rsidRDefault="00866CF7">
      <w:pPr>
        <w:pStyle w:val="hembetr"/>
        <w:spacing w:before="120"/>
      </w:pPr>
      <w:r w:rsidRPr="00000E4F">
        <w:t xml:space="preserve">30. beträffande </w:t>
      </w:r>
      <w:r w:rsidRPr="00000E4F">
        <w:rPr>
          <w:i/>
        </w:rPr>
        <w:t>utredning om semesterlagen</w:t>
      </w:r>
    </w:p>
    <w:p w:rsidR="00866CF7" w:rsidRPr="00000E4F" w:rsidRDefault="00866CF7">
      <w:pPr>
        <w:pStyle w:val="hemtext"/>
      </w:pPr>
      <w:r w:rsidRPr="00000E4F">
        <w:t xml:space="preserve">att riksdagen avslår motion 1999/2000:N387 yrkande 5,        </w:t>
      </w:r>
    </w:p>
    <w:p w:rsidR="00866CF7" w:rsidRPr="00000E4F" w:rsidRDefault="00866CF7">
      <w:pPr>
        <w:pStyle w:val="Reseftermom"/>
      </w:pPr>
      <w:r w:rsidRPr="00000E4F">
        <w:t>res. 27 (m, kd, c, fp)</w:t>
      </w:r>
      <w:bookmarkStart w:id="106" w:name="RESPARTI030"/>
      <w:bookmarkEnd w:id="106"/>
    </w:p>
    <w:p w:rsidR="00866CF7" w:rsidRPr="00000E4F" w:rsidRDefault="00866CF7">
      <w:pPr>
        <w:pStyle w:val="hembetr"/>
        <w:spacing w:before="120"/>
      </w:pPr>
      <w:r w:rsidRPr="00000E4F">
        <w:t xml:space="preserve">31. beträffande </w:t>
      </w:r>
      <w:r w:rsidRPr="00000E4F">
        <w:rPr>
          <w:i/>
        </w:rPr>
        <w:t>förlängd föräldraledighet</w:t>
      </w:r>
    </w:p>
    <w:p w:rsidR="00866CF7" w:rsidRPr="00000E4F" w:rsidRDefault="00866CF7">
      <w:pPr>
        <w:pStyle w:val="hemtext"/>
      </w:pPr>
      <w:r w:rsidRPr="00000E4F">
        <w:t xml:space="preserve">att riksdagen avslår motion 1999/2000:Sf302 yrkande 9,           </w:t>
      </w:r>
    </w:p>
    <w:p w:rsidR="00866CF7" w:rsidRPr="00000E4F" w:rsidRDefault="00866CF7">
      <w:pPr>
        <w:pStyle w:val="Reseftermom"/>
      </w:pPr>
      <w:r w:rsidRPr="00000E4F">
        <w:t>res. 28 (kd)</w:t>
      </w:r>
      <w:bookmarkStart w:id="107" w:name="RESPARTI031"/>
      <w:bookmarkEnd w:id="107"/>
    </w:p>
    <w:p w:rsidR="00866CF7" w:rsidRPr="00000E4F" w:rsidRDefault="00866CF7">
      <w:pPr>
        <w:pStyle w:val="hembetr"/>
        <w:spacing w:before="120"/>
      </w:pPr>
      <w:r w:rsidRPr="00000E4F">
        <w:t xml:space="preserve">32. beträffande </w:t>
      </w:r>
      <w:r w:rsidRPr="00000E4F">
        <w:rPr>
          <w:i/>
        </w:rPr>
        <w:t>föräldraledighetslagens skyddsregler</w:t>
      </w:r>
    </w:p>
    <w:p w:rsidR="00866CF7" w:rsidRPr="00000E4F" w:rsidRDefault="00866CF7">
      <w:pPr>
        <w:pStyle w:val="hemtext"/>
      </w:pPr>
      <w:r w:rsidRPr="00000E4F">
        <w:t xml:space="preserve">att riksdagen avslår motionerna 1999/2000:A818 yrkande 13 och 1999/2000:A819 yrkande 15,           </w:t>
      </w:r>
    </w:p>
    <w:p w:rsidR="00866CF7" w:rsidRPr="00000E4F" w:rsidRDefault="00866CF7">
      <w:pPr>
        <w:pStyle w:val="Reseftermom"/>
      </w:pPr>
      <w:r w:rsidRPr="00000E4F">
        <w:t>res. 29 (v, mp)</w:t>
      </w:r>
      <w:bookmarkStart w:id="108" w:name="RESPARTI032"/>
      <w:bookmarkEnd w:id="108"/>
    </w:p>
    <w:p w:rsidR="00866CF7" w:rsidRPr="00000E4F" w:rsidRDefault="00866CF7">
      <w:pPr>
        <w:pStyle w:val="hembetr"/>
        <w:spacing w:before="120"/>
      </w:pPr>
      <w:r w:rsidRPr="00000E4F">
        <w:t xml:space="preserve">33. beträffande </w:t>
      </w:r>
      <w:r w:rsidRPr="00000E4F">
        <w:rPr>
          <w:i/>
        </w:rPr>
        <w:t>rätten till bibehållen heltidstjänst</w:t>
      </w:r>
    </w:p>
    <w:p w:rsidR="00866CF7" w:rsidRPr="00000E4F" w:rsidRDefault="00866CF7">
      <w:pPr>
        <w:pStyle w:val="hemtext"/>
      </w:pPr>
      <w:r w:rsidRPr="00000E4F">
        <w:t xml:space="preserve">att riksdagen avslår motion 1999/2000:A727,   </w:t>
      </w:r>
      <w:bookmarkStart w:id="109" w:name="RESPARTI033"/>
      <w:bookmarkEnd w:id="109"/>
    </w:p>
    <w:p w:rsidR="00866CF7" w:rsidRPr="00000E4F" w:rsidRDefault="00866CF7">
      <w:pPr>
        <w:pStyle w:val="hembetr"/>
        <w:spacing w:before="120"/>
      </w:pPr>
      <w:r w:rsidRPr="00000E4F">
        <w:t xml:space="preserve">34. beträffande </w:t>
      </w:r>
      <w:r w:rsidRPr="00000E4F">
        <w:rPr>
          <w:i/>
        </w:rPr>
        <w:t>ledighet för att bedriva näringsverksamhet</w:t>
      </w:r>
    </w:p>
    <w:p w:rsidR="00866CF7" w:rsidRPr="00000E4F" w:rsidRDefault="00866CF7">
      <w:pPr>
        <w:pStyle w:val="hemtext"/>
      </w:pPr>
      <w:r w:rsidRPr="00000E4F">
        <w:t xml:space="preserve">att riksdagen avslår motion 1999/2000:A705,           </w:t>
      </w:r>
    </w:p>
    <w:p w:rsidR="00866CF7" w:rsidRPr="00000E4F" w:rsidRDefault="00866CF7">
      <w:pPr>
        <w:pStyle w:val="Reseftermom"/>
      </w:pPr>
      <w:r w:rsidRPr="00000E4F">
        <w:t>res. 30 (m)</w:t>
      </w:r>
      <w:bookmarkStart w:id="110" w:name="RESPARTI034"/>
      <w:bookmarkEnd w:id="110"/>
    </w:p>
    <w:p w:rsidR="00866CF7" w:rsidRPr="00000E4F" w:rsidRDefault="00866CF7">
      <w:pPr>
        <w:pStyle w:val="hembetr"/>
        <w:spacing w:before="120"/>
      </w:pPr>
      <w:r w:rsidRPr="00000E4F">
        <w:t xml:space="preserve">35. beträffande </w:t>
      </w:r>
      <w:r w:rsidRPr="00000E4F">
        <w:rPr>
          <w:i/>
        </w:rPr>
        <w:t>ledighet för närståendevård</w:t>
      </w:r>
    </w:p>
    <w:p w:rsidR="00866CF7" w:rsidRPr="00000E4F" w:rsidRDefault="00866CF7">
      <w:pPr>
        <w:pStyle w:val="hemtext"/>
      </w:pPr>
      <w:r w:rsidRPr="00000E4F">
        <w:t xml:space="preserve">att riksdagen avslår motion 1999/2000:So332 yrkande 7,       </w:t>
      </w:r>
    </w:p>
    <w:p w:rsidR="00866CF7" w:rsidRPr="00000E4F" w:rsidRDefault="00866CF7">
      <w:pPr>
        <w:pStyle w:val="Reseftermom"/>
      </w:pPr>
      <w:r w:rsidRPr="00000E4F">
        <w:t>res. 31 (kd)</w:t>
      </w:r>
      <w:bookmarkStart w:id="111" w:name="RESPARTI035"/>
      <w:bookmarkEnd w:id="111"/>
    </w:p>
    <w:p w:rsidR="00866CF7" w:rsidRPr="00000E4F" w:rsidRDefault="00866CF7">
      <w:pPr>
        <w:pStyle w:val="hembetr"/>
        <w:spacing w:before="120"/>
      </w:pPr>
      <w:r w:rsidRPr="00000E4F">
        <w:t xml:space="preserve">36. beträffande </w:t>
      </w:r>
      <w:r w:rsidRPr="00000E4F">
        <w:rPr>
          <w:i/>
        </w:rPr>
        <w:t>ledighet för tjänstgöring inom frivilligförsvaret</w:t>
      </w:r>
    </w:p>
    <w:p w:rsidR="00866CF7" w:rsidRPr="00000E4F" w:rsidRDefault="00866CF7">
      <w:pPr>
        <w:pStyle w:val="hemtext"/>
      </w:pPr>
      <w:r w:rsidRPr="00000E4F">
        <w:t xml:space="preserve">att riksdagen avslår motion 1999/2000:Fö206,         </w:t>
      </w:r>
      <w:bookmarkStart w:id="112" w:name="RESPARTI036"/>
      <w:bookmarkEnd w:id="112"/>
    </w:p>
    <w:p w:rsidR="00866CF7" w:rsidRPr="00000E4F" w:rsidRDefault="00866CF7">
      <w:pPr>
        <w:pStyle w:val="hembetr"/>
        <w:spacing w:before="120"/>
      </w:pPr>
      <w:r w:rsidRPr="00000E4F">
        <w:t xml:space="preserve">37. beträffande </w:t>
      </w:r>
      <w:r w:rsidRPr="00000E4F">
        <w:rPr>
          <w:i/>
        </w:rPr>
        <w:t>ledighet för förtroendeuppdrag i handikappförbund</w:t>
      </w:r>
    </w:p>
    <w:p w:rsidR="00866CF7" w:rsidRPr="00000E4F" w:rsidRDefault="00866CF7">
      <w:pPr>
        <w:pStyle w:val="hemtext"/>
      </w:pPr>
      <w:r w:rsidRPr="00000E4F">
        <w:t xml:space="preserve">att riksdagen avslår motion 1999/2000:A710,         </w:t>
      </w:r>
      <w:bookmarkStart w:id="113" w:name="RESPARTI037"/>
      <w:bookmarkEnd w:id="113"/>
    </w:p>
    <w:p w:rsidR="00866CF7" w:rsidRPr="00000E4F" w:rsidRDefault="00866CF7">
      <w:pPr>
        <w:pStyle w:val="hembetr"/>
        <w:spacing w:before="120"/>
      </w:pPr>
      <w:r w:rsidRPr="00000E4F">
        <w:t xml:space="preserve">38. beträffande </w:t>
      </w:r>
      <w:r w:rsidRPr="00000E4F">
        <w:rPr>
          <w:i/>
        </w:rPr>
        <w:t>avskaffande av Arbetsdomstolen</w:t>
      </w:r>
    </w:p>
    <w:p w:rsidR="00866CF7" w:rsidRPr="00000E4F" w:rsidRDefault="00866CF7">
      <w:pPr>
        <w:pStyle w:val="hemtext"/>
      </w:pPr>
      <w:r w:rsidRPr="00000E4F">
        <w:t xml:space="preserve">att riksdagen avslår motion 1999/2000:A715 yrkande 5,          </w:t>
      </w:r>
    </w:p>
    <w:p w:rsidR="00866CF7" w:rsidRPr="00000E4F" w:rsidRDefault="00866CF7">
      <w:pPr>
        <w:pStyle w:val="Reseftermom"/>
      </w:pPr>
      <w:r w:rsidRPr="00000E4F">
        <w:t>res. 32 (m)</w:t>
      </w:r>
      <w:bookmarkStart w:id="114" w:name="RESPARTI038"/>
      <w:bookmarkEnd w:id="114"/>
    </w:p>
    <w:p w:rsidR="00866CF7" w:rsidRPr="00000E4F" w:rsidRDefault="00866CF7">
      <w:pPr>
        <w:pStyle w:val="hembetr"/>
        <w:spacing w:before="120"/>
      </w:pPr>
      <w:r w:rsidRPr="00000E4F">
        <w:t xml:space="preserve">39. beträffande </w:t>
      </w:r>
      <w:r w:rsidRPr="00000E4F">
        <w:rPr>
          <w:i/>
        </w:rPr>
        <w:t>SPV:s verksamhet</w:t>
      </w:r>
    </w:p>
    <w:p w:rsidR="00866CF7" w:rsidRPr="00000E4F" w:rsidRDefault="00866CF7">
      <w:pPr>
        <w:pStyle w:val="hemtext"/>
      </w:pPr>
      <w:r w:rsidRPr="00000E4F">
        <w:t xml:space="preserve">att riksdagen avslår motion 1999/2000:A602 yrkandena 1 och 2,      </w:t>
      </w:r>
    </w:p>
    <w:p w:rsidR="00866CF7" w:rsidRPr="00000E4F" w:rsidRDefault="00866CF7">
      <w:pPr>
        <w:pStyle w:val="Reseftermom"/>
      </w:pPr>
      <w:r w:rsidRPr="00000E4F">
        <w:t>res. 33 (m)</w:t>
      </w:r>
      <w:bookmarkStart w:id="115" w:name="RESPARTI039"/>
      <w:bookmarkEnd w:id="115"/>
    </w:p>
    <w:p w:rsidR="00866CF7" w:rsidRPr="00000E4F" w:rsidRDefault="00866CF7">
      <w:pPr>
        <w:pStyle w:val="hembetr"/>
      </w:pPr>
      <w:r w:rsidRPr="00000E4F">
        <w:br w:type="page"/>
        <w:t>40. beträffande stuverimonopolet m.m.</w:t>
      </w:r>
    </w:p>
    <w:p w:rsidR="00866CF7" w:rsidRPr="00000E4F" w:rsidRDefault="00866CF7">
      <w:pPr>
        <w:pStyle w:val="hemtext"/>
      </w:pPr>
      <w:r w:rsidRPr="00000E4F">
        <w:t>att riksdagen avslår motionerna 1999/2000:A714, 1999/2000:T209 yrkande 14, 1999/2000:T210 yrkande 27 samt 1999/2000:T616 y</w:t>
      </w:r>
      <w:r w:rsidRPr="00000E4F">
        <w:t>r</w:t>
      </w:r>
      <w:r w:rsidRPr="00000E4F">
        <w:t xml:space="preserve">kandena 2 och 3,         </w:t>
      </w:r>
    </w:p>
    <w:p w:rsidR="00866CF7" w:rsidRPr="00000E4F" w:rsidRDefault="00866CF7">
      <w:pPr>
        <w:pStyle w:val="Reseftermom"/>
      </w:pPr>
      <w:r w:rsidRPr="00000E4F">
        <w:t>res. 34 (m, fp)</w:t>
      </w:r>
    </w:p>
    <w:p w:rsidR="00866CF7" w:rsidRPr="00000E4F" w:rsidRDefault="00866CF7">
      <w:pPr>
        <w:pStyle w:val="Reseftermom"/>
      </w:pPr>
      <w:r w:rsidRPr="00000E4F">
        <w:t>res. 35 (kd)</w:t>
      </w:r>
      <w:bookmarkStart w:id="116" w:name="RESPARTI040"/>
      <w:bookmarkEnd w:id="116"/>
    </w:p>
    <w:p w:rsidR="00866CF7" w:rsidRPr="00000E4F" w:rsidRDefault="00866CF7">
      <w:pPr>
        <w:pStyle w:val="hembetr"/>
        <w:spacing w:before="120"/>
      </w:pPr>
      <w:r w:rsidRPr="00000E4F">
        <w:t xml:space="preserve">41. beträffande </w:t>
      </w:r>
      <w:r w:rsidRPr="00000E4F">
        <w:rPr>
          <w:i/>
        </w:rPr>
        <w:t>Lex Britannia</w:t>
      </w:r>
    </w:p>
    <w:p w:rsidR="00866CF7" w:rsidRPr="00000E4F" w:rsidRDefault="00866CF7">
      <w:pPr>
        <w:pStyle w:val="hemtext"/>
      </w:pPr>
      <w:r w:rsidRPr="00000E4F">
        <w:t>att riksdagen avslår motionerna 1999/2000:A231 yrkande 17 i motsv</w:t>
      </w:r>
      <w:r w:rsidRPr="00000E4F">
        <w:t>a</w:t>
      </w:r>
      <w:r w:rsidRPr="00000E4F">
        <w:t xml:space="preserve">rande del och 1999/2000:T616 yrkande 10 i motsvarande del,    </w:t>
      </w:r>
    </w:p>
    <w:p w:rsidR="00866CF7" w:rsidRPr="00000E4F" w:rsidRDefault="00866CF7">
      <w:pPr>
        <w:pStyle w:val="Reseftermom"/>
      </w:pPr>
      <w:r w:rsidRPr="00000E4F">
        <w:t>res. 36 (m, fp)</w:t>
      </w:r>
      <w:bookmarkStart w:id="117" w:name="RESPARTI041"/>
      <w:bookmarkEnd w:id="117"/>
    </w:p>
    <w:p w:rsidR="00866CF7" w:rsidRPr="00000E4F" w:rsidRDefault="00866CF7">
      <w:pPr>
        <w:pStyle w:val="hembetr"/>
        <w:spacing w:before="120"/>
      </w:pPr>
      <w:r w:rsidRPr="00000E4F">
        <w:t xml:space="preserve">42. beträffande </w:t>
      </w:r>
      <w:r w:rsidRPr="00000E4F">
        <w:rPr>
          <w:i/>
        </w:rPr>
        <w:t>övergångsdirektivet</w:t>
      </w:r>
    </w:p>
    <w:p w:rsidR="00866CF7" w:rsidRPr="00000E4F" w:rsidRDefault="00866CF7">
      <w:pPr>
        <w:pStyle w:val="hemtext"/>
      </w:pPr>
      <w:r w:rsidRPr="00000E4F">
        <w:t>att riksdagen avslår motion 1999/2000:T616 yrkande 10 i motsvara</w:t>
      </w:r>
      <w:r w:rsidRPr="00000E4F">
        <w:t>n</w:t>
      </w:r>
      <w:r w:rsidRPr="00000E4F">
        <w:t xml:space="preserve">de del,   </w:t>
      </w:r>
      <w:bookmarkStart w:id="118" w:name="RESPARTI047"/>
      <w:bookmarkEnd w:id="118"/>
    </w:p>
    <w:p w:rsidR="00866CF7" w:rsidRPr="00000E4F" w:rsidRDefault="00866CF7">
      <w:pPr>
        <w:pStyle w:val="Reseftermom"/>
      </w:pPr>
      <w:r w:rsidRPr="00000E4F">
        <w:t>res. 37 (m)</w:t>
      </w:r>
      <w:bookmarkStart w:id="119" w:name="RESPARTI042"/>
      <w:bookmarkEnd w:id="119"/>
    </w:p>
    <w:p w:rsidR="00866CF7" w:rsidRPr="00000E4F" w:rsidRDefault="00866CF7">
      <w:pPr>
        <w:pStyle w:val="hembetr"/>
        <w:spacing w:before="120"/>
      </w:pPr>
      <w:r w:rsidRPr="00000E4F">
        <w:t xml:space="preserve">43. beträffande </w:t>
      </w:r>
      <w:r w:rsidRPr="00000E4F">
        <w:rPr>
          <w:i/>
        </w:rPr>
        <w:t>sjuklön m.m. för sjömän</w:t>
      </w:r>
    </w:p>
    <w:p w:rsidR="00866CF7" w:rsidRPr="00000E4F" w:rsidRDefault="00866CF7">
      <w:pPr>
        <w:pStyle w:val="hemtext"/>
      </w:pPr>
      <w:r w:rsidRPr="00000E4F">
        <w:t>att riksdagen avslår motion 1999/2000:T616 yrkande 10 i motsvara</w:t>
      </w:r>
      <w:r w:rsidRPr="00000E4F">
        <w:t>n</w:t>
      </w:r>
      <w:r w:rsidRPr="00000E4F">
        <w:t>de del.</w:t>
      </w:r>
    </w:p>
    <w:p w:rsidR="00866CF7" w:rsidRPr="00000E4F" w:rsidRDefault="00866CF7">
      <w:pPr>
        <w:pStyle w:val="Reseftermom"/>
      </w:pPr>
      <w:r w:rsidRPr="00000E4F">
        <w:t>res. 38 (m)</w:t>
      </w:r>
      <w:bookmarkStart w:id="120" w:name="RESPARTI046"/>
      <w:bookmarkStart w:id="121" w:name="RESPARTI043"/>
      <w:bookmarkEnd w:id="120"/>
      <w:bookmarkEnd w:id="121"/>
    </w:p>
    <w:p w:rsidR="00866CF7" w:rsidRPr="00000E4F" w:rsidRDefault="00866CF7">
      <w:pPr>
        <w:pStyle w:val="Stockholm"/>
      </w:pPr>
      <w:bookmarkStart w:id="122" w:name="Nästa_Hpunkt"/>
      <w:bookmarkEnd w:id="122"/>
      <w:r w:rsidRPr="00000E4F">
        <w:t>Stockholm den 15 februari 2000</w:t>
      </w:r>
    </w:p>
    <w:p w:rsidR="00866CF7" w:rsidRPr="00000E4F" w:rsidRDefault="00866CF7">
      <w:pPr>
        <w:pStyle w:val="Vgnar"/>
      </w:pPr>
      <w:r w:rsidRPr="00000E4F">
        <w:t>På arbetsmarknadsutskottets vägnar</w:t>
      </w:r>
    </w:p>
    <w:p w:rsidR="00866CF7" w:rsidRPr="00000E4F" w:rsidRDefault="00866CF7">
      <w:pPr>
        <w:pStyle w:val="Ordfnamn"/>
      </w:pPr>
      <w:bookmarkStart w:id="123" w:name="Ordförande"/>
      <w:bookmarkEnd w:id="123"/>
      <w:r w:rsidRPr="00000E4F">
        <w:t xml:space="preserve">Johnny Ahlqvist </w:t>
      </w:r>
    </w:p>
    <w:p w:rsidR="00866CF7" w:rsidRPr="00000E4F" w:rsidRDefault="00866CF7">
      <w:pPr>
        <w:pStyle w:val="Deltagare"/>
      </w:pPr>
      <w:bookmarkStart w:id="124" w:name="Deltagare"/>
      <w:bookmarkEnd w:id="124"/>
      <w:r w:rsidRPr="00000E4F">
        <w:t>I beslutet har deltagit: Johnny Ahlqvist (s), Hans Andersson (v), Margareta Andersson (c), Mikael Odenberg (m), Björn Kaaling (s), Laila Bjurling (s), Patrik Norinder (m), Sonja Fransson (s), Kristina Zakrisson (s), Maria Lar</w:t>
      </w:r>
      <w:r w:rsidRPr="00000E4F">
        <w:t>s</w:t>
      </w:r>
      <w:r w:rsidRPr="00000E4F">
        <w:t>son (kd), Christel Anderberg (m), Barbro Feltzing (mp), Elver Jonsson (fp), Anders Karlsson (s), Henrik Westman (m), Carlinge Wisberg (v) och Ma</w:t>
      </w:r>
      <w:r w:rsidRPr="00000E4F">
        <w:t>g</w:t>
      </w:r>
      <w:r w:rsidRPr="00000E4F">
        <w:t>nus Jacobsson (kd).</w:t>
      </w:r>
    </w:p>
    <w:p w:rsidR="00866CF7" w:rsidRPr="00000E4F" w:rsidRDefault="00866CF7">
      <w:pPr>
        <w:pStyle w:val="Normaltindrag"/>
        <w:sectPr w:rsidR="00000000" w:rsidRPr="00000E4F">
          <w:headerReference w:type="default" r:id="rId10"/>
          <w:footerReference w:type="default" r:id="rId11"/>
          <w:pgSz w:w="11906" w:h="16838" w:code="9"/>
          <w:pgMar w:top="567" w:right="4876" w:bottom="4508" w:left="1134" w:header="227" w:footer="227" w:gutter="0"/>
          <w:cols w:space="720"/>
        </w:sectPr>
      </w:pPr>
    </w:p>
    <w:p w:rsidR="00866CF7" w:rsidRPr="00000E4F" w:rsidRDefault="00866CF7">
      <w:pPr>
        <w:pStyle w:val="Rubrik1"/>
        <w:spacing w:before="123"/>
      </w:pPr>
      <w:bookmarkStart w:id="125" w:name="_Toc477140371"/>
      <w:r w:rsidRPr="00000E4F">
        <w:t>Reservationer</w:t>
      </w:r>
      <w:bookmarkEnd w:id="125"/>
    </w:p>
    <w:p w:rsidR="00866CF7" w:rsidRPr="00000E4F" w:rsidRDefault="00866CF7">
      <w:pPr>
        <w:pStyle w:val="Rubrik2"/>
        <w:spacing w:before="123"/>
      </w:pPr>
      <w:bookmarkStart w:id="126" w:name="_Toc477140372"/>
      <w:r w:rsidRPr="00000E4F">
        <w:t>Del I</w:t>
      </w:r>
      <w:bookmarkEnd w:id="126"/>
    </w:p>
    <w:p w:rsidR="00866CF7" w:rsidRPr="00000E4F" w:rsidRDefault="00866CF7">
      <w:pPr>
        <w:pStyle w:val="Rubrik2"/>
        <w:spacing w:before="123"/>
      </w:pPr>
      <w:bookmarkStart w:id="127" w:name="_Toc477140373"/>
      <w:r w:rsidRPr="00000E4F">
        <w:t>1. Statsmakternas ansvar för lönebildningen (mom. 1)</w:t>
      </w:r>
      <w:bookmarkEnd w:id="127"/>
    </w:p>
    <w:p w:rsidR="00866CF7" w:rsidRPr="00000E4F" w:rsidRDefault="00866CF7">
      <w:r w:rsidRPr="00000E4F">
        <w:t xml:space="preserve">Mikael Odenberg, Patrik Norinder, Christel Anderberg och Henrik Westman (alla m) anser </w:t>
      </w:r>
    </w:p>
    <w:p w:rsidR="00866CF7" w:rsidRPr="00000E4F" w:rsidRDefault="00866CF7">
      <w:r w:rsidRPr="00000E4F">
        <w:rPr>
          <w:i/>
        </w:rPr>
        <w:t>dels</w:t>
      </w:r>
      <w:r w:rsidRPr="00000E4F">
        <w:t xml:space="preserve"> att utskottets ställningstagande i Del 1, avsnitt 3, i den del som börjar med ”Utskottet vill dock” och slutar med ”motion A6 (yrk. 3)”</w:t>
      </w:r>
      <w:r w:rsidRPr="00000E4F">
        <w:rPr>
          <w:i/>
        </w:rPr>
        <w:t xml:space="preserve"> </w:t>
      </w:r>
      <w:r w:rsidRPr="00000E4F">
        <w:t>bort ha fö</w:t>
      </w:r>
      <w:r w:rsidRPr="00000E4F">
        <w:t>l</w:t>
      </w:r>
      <w:r w:rsidRPr="00000E4F">
        <w:t>jande lydelse:</w:t>
      </w:r>
    </w:p>
    <w:p w:rsidR="00866CF7" w:rsidRPr="00000E4F" w:rsidRDefault="00866CF7">
      <w:pPr>
        <w:pStyle w:val="Normaltindrag"/>
      </w:pPr>
      <w:r w:rsidRPr="00000E4F">
        <w:t xml:space="preserve">Utskottet kan konstatera att regeringen på flera ställen i propositionen återkommer till att det är parterna på arbetsmarknaden som har ansvaret för lönebildningen och formerna för den. Utskottet kan hålla med regeringen om att avtal är bättre än lagstiftning, men en sådan allmän uppfattning kan inte leda till slutsatsen att lönebildningen är ett </w:t>
      </w:r>
      <w:r w:rsidRPr="00000E4F">
        <w:t>område som staten i princip inte har att göra med. Som framhålls i Moderaternas motion A6 har regeringen och riksdagen på detta område precis samma ansvar som på andra områden för att med lagstiftning ange grundläggande spelregler och därmed ramarna för olika aktörers agerande. En dåligt fungerande lönebildning påverkar välfärden för alla samhällsmedborgare, även för dem som inte representeras av parterna på arbetsmarknaden. Utskottet kan också hålla med regeringen om att statsmakterna har ett intresse av a</w:t>
      </w:r>
      <w:r w:rsidRPr="00000E4F">
        <w:t>tt relationerna mellan parterna är goda. Men den ståndpunkten kan inte drivas dithän att total konsensus görs till en förutsättning för lagstiftarens beslut om ändringar i spelreglerna. Sa</w:t>
      </w:r>
      <w:r w:rsidRPr="00000E4F">
        <w:t>m</w:t>
      </w:r>
      <w:r w:rsidRPr="00000E4F">
        <w:t>syn är eftersträvansvärt, men – vilket Moderaterna framhåller – ingen organ</w:t>
      </w:r>
      <w:r w:rsidRPr="00000E4F">
        <w:t>i</w:t>
      </w:r>
      <w:r w:rsidRPr="00000E4F">
        <w:t>sation kan tilldelas vetorätt mot nödvändiga förändringar i samhället.</w:t>
      </w:r>
    </w:p>
    <w:p w:rsidR="00866CF7" w:rsidRPr="00000E4F" w:rsidRDefault="00866CF7">
      <w:pPr>
        <w:pStyle w:val="Normaltindrag"/>
      </w:pPr>
      <w:r w:rsidRPr="00000E4F">
        <w:t>Utskottet kan också hålla med regeringen om att staten skall vara neutral mellan parterna. Denna utsaga rimmar dock mycket illa med regeringens undfallenhet gentemot LO. Utskot</w:t>
      </w:r>
      <w:r w:rsidRPr="00000E4F">
        <w:t>tet delar den uppfattning som kommit till uttryck i den ovannämnda skrivelsen från SACO och SAF. Genom att ge en part avgörande inflytande över spelreglerna för lönebildningen äventyras legitimiteten i avtalsförhandlingarna och kollektivavtalen som lönebil</w:t>
      </w:r>
      <w:r w:rsidRPr="00000E4F">
        <w:t>d</w:t>
      </w:r>
      <w:r w:rsidRPr="00000E4F">
        <w:t>ningsinstrument.</w:t>
      </w:r>
    </w:p>
    <w:p w:rsidR="00866CF7" w:rsidRPr="00000E4F" w:rsidRDefault="00866CF7">
      <w:pPr>
        <w:pStyle w:val="Normaltindrag"/>
      </w:pPr>
      <w:r w:rsidRPr="00000E4F">
        <w:t>Det som utskottet nu anfört om statsmakternas ansvar för lönebildningen bör ges regeringen till känna. Motion A6 (yrk. 3) tillstyrks.</w:t>
      </w:r>
    </w:p>
    <w:p w:rsidR="00866CF7" w:rsidRPr="00000E4F" w:rsidRDefault="00866CF7">
      <w:r w:rsidRPr="00000E4F">
        <w:rPr>
          <w:i/>
        </w:rPr>
        <w:t>dels</w:t>
      </w:r>
      <w:r w:rsidRPr="00000E4F">
        <w:t xml:space="preserve"> att utskottets hemställan under 1 bort ha följande lydelse:</w:t>
      </w:r>
    </w:p>
    <w:p w:rsidR="00866CF7" w:rsidRPr="00000E4F" w:rsidRDefault="00866CF7">
      <w:pPr>
        <w:pStyle w:val="Resklmb"/>
      </w:pPr>
      <w:r w:rsidRPr="00000E4F">
        <w:t xml:space="preserve">1. beträffande </w:t>
      </w:r>
      <w:r w:rsidRPr="00000E4F">
        <w:rPr>
          <w:i/>
        </w:rPr>
        <w:t>statsmakternas ansvar för lönebildningen</w:t>
      </w:r>
    </w:p>
    <w:p w:rsidR="00866CF7" w:rsidRPr="00000E4F" w:rsidRDefault="00866CF7">
      <w:pPr>
        <w:pStyle w:val="Resklm"/>
      </w:pPr>
      <w:r w:rsidRPr="00000E4F">
        <w:t xml:space="preserve">att riksdagen med anledning av </w:t>
      </w:r>
      <w:r w:rsidRPr="00000E4F">
        <w:rPr>
          <w:sz w:val="20"/>
        </w:rPr>
        <w:t>motion 1999/2000:A6 yrkande 3 som sin mening ger regeringen till känna vad utskottet anfört,</w:t>
      </w:r>
      <w:r w:rsidRPr="00000E4F">
        <w:t xml:space="preserve"> </w:t>
      </w:r>
    </w:p>
    <w:p w:rsidR="00866CF7" w:rsidRPr="00000E4F" w:rsidRDefault="00866CF7">
      <w:pPr>
        <w:pStyle w:val="Rubrik2"/>
      </w:pPr>
      <w:r w:rsidRPr="00000E4F">
        <w:br w:type="page"/>
      </w:r>
      <w:bookmarkStart w:id="128" w:name="_Toc477140374"/>
      <w:r w:rsidRPr="00000E4F">
        <w:t>2. Innebörden av en välfungerande lönebildning m.m. (mom. 2)</w:t>
      </w:r>
      <w:bookmarkEnd w:id="128"/>
    </w:p>
    <w:p w:rsidR="00866CF7" w:rsidRPr="00000E4F" w:rsidRDefault="00866CF7">
      <w:r w:rsidRPr="00000E4F">
        <w:t>Mikael Odenberg (m), Patrik Norinder (m), Maria Larsson (kd), Christel Anderberg (m), Elver Jonsson (fp), Henrik Westman (m) och Magnus J</w:t>
      </w:r>
      <w:r w:rsidRPr="00000E4F">
        <w:t>a</w:t>
      </w:r>
      <w:r w:rsidRPr="00000E4F">
        <w:t xml:space="preserve">cobsson (kd) anser </w:t>
      </w:r>
    </w:p>
    <w:p w:rsidR="00866CF7" w:rsidRPr="00000E4F" w:rsidRDefault="00866CF7">
      <w:r w:rsidRPr="00000E4F">
        <w:rPr>
          <w:i/>
        </w:rPr>
        <w:t>dels</w:t>
      </w:r>
      <w:r w:rsidRPr="00000E4F">
        <w:t xml:space="preserve"> att utskottets ställningstagande i Del 1, avsnitt 3, från och med underru</w:t>
      </w:r>
      <w:r w:rsidRPr="00000E4F">
        <w:t>b</w:t>
      </w:r>
      <w:r w:rsidRPr="00000E4F">
        <w:t xml:space="preserve">riken </w:t>
      </w:r>
      <w:r w:rsidRPr="00000E4F">
        <w:rPr>
          <w:i/>
        </w:rPr>
        <w:t xml:space="preserve">Analysen av de bakomliggande problemen </w:t>
      </w:r>
      <w:r w:rsidRPr="00000E4F">
        <w:t>och till slutet</w:t>
      </w:r>
      <w:r w:rsidRPr="00000E4F">
        <w:rPr>
          <w:i/>
        </w:rPr>
        <w:t xml:space="preserve"> </w:t>
      </w:r>
      <w:r w:rsidRPr="00000E4F">
        <w:t>bort ha följa</w:t>
      </w:r>
      <w:r w:rsidRPr="00000E4F">
        <w:t>n</w:t>
      </w:r>
      <w:r w:rsidRPr="00000E4F">
        <w:t xml:space="preserve">de lydelse: </w:t>
      </w:r>
    </w:p>
    <w:p w:rsidR="00866CF7" w:rsidRPr="00000E4F" w:rsidRDefault="00866CF7">
      <w:pPr>
        <w:pStyle w:val="Normaltindrag"/>
      </w:pPr>
      <w:r w:rsidRPr="00000E4F">
        <w:t>Regeringen har en alltför snäv syn på lönebildningen. Lönebildning han</w:t>
      </w:r>
      <w:r w:rsidRPr="00000E4F">
        <w:t>d</w:t>
      </w:r>
      <w:r w:rsidRPr="00000E4F">
        <w:t>lar inte bara om förhandlingssystemet och hur det skall utformas för att mo</w:t>
      </w:r>
      <w:r w:rsidRPr="00000E4F">
        <w:t>t</w:t>
      </w:r>
      <w:r w:rsidRPr="00000E4F">
        <w:t>verka höga generella löneökningar. I lönebildningsprocessen ingår en rad faktorer som förväntningarna på Europapolitiken, inflationsutvecklingen, skattepolitiken, företagens konkurrenskraft och marknadens efterfrågan på olika typer av kompetens.</w:t>
      </w:r>
    </w:p>
    <w:p w:rsidR="00866CF7" w:rsidRPr="00000E4F" w:rsidRDefault="00866CF7">
      <w:pPr>
        <w:pStyle w:val="Normaltindrag"/>
      </w:pPr>
      <w:r w:rsidRPr="00000E4F">
        <w:t xml:space="preserve">Utskottet anser liksom Moderaterna och Kristdemokraterna att det måste upprätthållas en klar rågång mot statlig inkomstpolitik. Regeringen gör det dock för lätt för sig genom att skylla på </w:t>
      </w:r>
      <w:r w:rsidRPr="00000E4F">
        <w:t>arbetsmarknadens parter för att lön</w:t>
      </w:r>
      <w:r w:rsidRPr="00000E4F">
        <w:t>e</w:t>
      </w:r>
      <w:r w:rsidRPr="00000E4F">
        <w:t>bildningen inte fungerar. Sanningen är att staten i alla avgörande hänseenden bestämmer förutsättningarna för lönebildningen genom den ekonomiska politiken i stort och genom skatte-, närings- och utbildningspolitiken samt genom lagstiftningen. Löneförhandlingar äger inte rum i ett vakuum.</w:t>
      </w:r>
    </w:p>
    <w:p w:rsidR="00866CF7" w:rsidRPr="00000E4F" w:rsidRDefault="00866CF7">
      <w:pPr>
        <w:pStyle w:val="Normaltindrag"/>
      </w:pPr>
      <w:r w:rsidRPr="00000E4F">
        <w:t>En annan brist i propositionen är att den inte berör betydelsen av lönebil</w:t>
      </w:r>
      <w:r w:rsidRPr="00000E4F">
        <w:t>d</w:t>
      </w:r>
      <w:r w:rsidRPr="00000E4F">
        <w:t xml:space="preserve">ningen för att skapa dynamik och flexibilitet, och därmed sysselsättning och tillväxt. De problem som består i en låg andel sysselsatta inom den privata sektorn, liten rörlighet på arbetsmarknaden, dåligt utbyte av utbildning, kompetens, kunnande och prestation och i höga anställningströsklar förbigås helt av regeringen. </w:t>
      </w:r>
    </w:p>
    <w:p w:rsidR="00866CF7" w:rsidRPr="00000E4F" w:rsidRDefault="00866CF7">
      <w:pPr>
        <w:pStyle w:val="Normaltindrag"/>
      </w:pPr>
      <w:r w:rsidRPr="00000E4F">
        <w:t xml:space="preserve">Lagstiftningen på arbetsmarknaden bidrar till att cementera arbetslösheten och till att skapa problem med lönebildningen. Lagstiftningen kom till för att man ansåg att den anställde hade </w:t>
      </w:r>
      <w:r w:rsidRPr="00000E4F">
        <w:t>en svag position gentemot arbetsgivaren. Vad som gått snett är att organisationerna på båda sidor fått för stort infl</w:t>
      </w:r>
      <w:r w:rsidRPr="00000E4F">
        <w:t>y</w:t>
      </w:r>
      <w:r w:rsidRPr="00000E4F">
        <w:t>tande. Utskottet instämmer med Folkpartiet i motion A10 att lönebildningen och arbetsrätten bör utformas så att den enskilde arbetstagaren och arbetsg</w:t>
      </w:r>
      <w:r w:rsidRPr="00000E4F">
        <w:t>i</w:t>
      </w:r>
      <w:r w:rsidRPr="00000E4F">
        <w:t>varen får större inflytande över anställningsavtalet. Som framhålls i moti</w:t>
      </w:r>
      <w:r w:rsidRPr="00000E4F">
        <w:t>o</w:t>
      </w:r>
      <w:r w:rsidRPr="00000E4F">
        <w:t>nen är det ändå viktigt att påpeka att det i huvudsak är genom avtal som parterna bör lösa dessa frågor.</w:t>
      </w:r>
    </w:p>
    <w:p w:rsidR="00866CF7" w:rsidRPr="00000E4F" w:rsidRDefault="00866CF7">
      <w:pPr>
        <w:pStyle w:val="Normaltindrag"/>
      </w:pPr>
      <w:r w:rsidRPr="00000E4F">
        <w:t xml:space="preserve">Utskottet ansluter sig till Moderaterna, Kristdemokraterna och </w:t>
      </w:r>
      <w:r w:rsidRPr="00000E4F">
        <w:t>Folkpartiet när de kritiserar regeringen för att vara alltför fixerad vid den genomsnittliga löneökningstakten. Minst lika viktigt är hur lönestrukturen utvecklas. En väl fungerande lönebildning innebär inte bara att den samlade löneökningstakten inte skall överstiga ökningstakten i våra konkurrentländer, utan också att lönerelationerna mellan olika branscher och yrken i högre grad än i dag speglar tillgång och efterfrågan på arbetskraft. I det sammanhanget kan en central medlingsfunktion inte ha någon egen</w:t>
      </w:r>
      <w:r w:rsidRPr="00000E4F">
        <w:t xml:space="preserve">tlig uppgift. </w:t>
      </w:r>
    </w:p>
    <w:p w:rsidR="00866CF7" w:rsidRPr="00000E4F" w:rsidRDefault="00866CF7">
      <w:pPr>
        <w:pStyle w:val="Normaltindrag"/>
      </w:pPr>
      <w:r w:rsidRPr="00000E4F">
        <w:t>Utskottet delar Moderaternas och Kristdemokraternas uppfattning att lön</w:t>
      </w:r>
      <w:r w:rsidRPr="00000E4F">
        <w:t>e</w:t>
      </w:r>
      <w:r w:rsidRPr="00000E4F">
        <w:t>bildningen bör ske så decentraliserat och individualiserat som möjligt. På det sättet kan löneökningarna relateras till en faktisk, och inte bara en på förhand antagen, produktivitetsökning. Den enskildes kompetens kan bli den domin</w:t>
      </w:r>
      <w:r w:rsidRPr="00000E4F">
        <w:t>e</w:t>
      </w:r>
      <w:r w:rsidRPr="00000E4F">
        <w:t>rande faktorn, vilket också bör bidra till kvinnornas löneutveckling. I en mer individualiserad lönebildning kan även olika slag av vinstdelningssystem ingå.</w:t>
      </w:r>
    </w:p>
    <w:p w:rsidR="00866CF7" w:rsidRPr="00000E4F" w:rsidRDefault="00866CF7">
      <w:pPr>
        <w:pStyle w:val="Normaltindrag"/>
      </w:pPr>
      <w:r w:rsidRPr="00000E4F">
        <w:t xml:space="preserve">Moderaterna och Kristdemokraterna anger en rad faktorer som på detta sätt är långt viktigare än regeringens förslag för </w:t>
      </w:r>
      <w:r w:rsidRPr="00000E4F">
        <w:t>att lönebildningen skall fungera på ett bra sätt och för att en långvarig och stabil tillväxt skall underlättas. Utskottet instämmer med dessa partier i att förändringar måste genomföras inom fö</w:t>
      </w:r>
      <w:r w:rsidRPr="00000E4F">
        <w:t>l</w:t>
      </w:r>
      <w:r w:rsidRPr="00000E4F">
        <w:t>jande politikområden:</w:t>
      </w:r>
    </w:p>
    <w:p w:rsidR="00866CF7" w:rsidRPr="00000E4F" w:rsidRDefault="00866CF7">
      <w:pPr>
        <w:pStyle w:val="Normaltindrag"/>
      </w:pPr>
      <w:r w:rsidRPr="00000E4F">
        <w:rPr>
          <w:i/>
        </w:rPr>
        <w:t>Utformningen av skattepolitiken</w:t>
      </w:r>
      <w:r w:rsidRPr="00000E4F">
        <w:t>. Marginalskatter och olika former av ma</w:t>
      </w:r>
      <w:r w:rsidRPr="00000E4F">
        <w:t>r</w:t>
      </w:r>
      <w:r w:rsidRPr="00000E4F">
        <w:t>ginaleffekter måste hållas nere. Skattekilarna måste minska. Höga skatter snedvrider prissättningen och arbetstillfällen slås ut. Lägre skatter på a</w:t>
      </w:r>
      <w:r w:rsidRPr="00000E4F">
        <w:t>r</w:t>
      </w:r>
      <w:r w:rsidRPr="00000E4F">
        <w:t>betsinkomster uppmuntrar arbete, utbildning, kompetensutveckling och ökat ansvarstagande i arbetet. Även skattereduktion för hushållsnära tjänster har betydelse för att skapa arbetstillfällen. Dubbelbeskattningen på ägande i företagen är ytterligare exempel på att utbytet av en arbetsinsats eller invest</w:t>
      </w:r>
      <w:r w:rsidRPr="00000E4F">
        <w:t>e</w:t>
      </w:r>
      <w:r w:rsidRPr="00000E4F">
        <w:t xml:space="preserve">ring inte kommer </w:t>
      </w:r>
      <w:r w:rsidRPr="00000E4F">
        <w:t>till stånd. Med lägre inkomstskatt kan fler försörja sig själva, lönebildningen underlättas och det blir lättare att komma in på a</w:t>
      </w:r>
      <w:r w:rsidRPr="00000E4F">
        <w:t>r</w:t>
      </w:r>
      <w:r w:rsidRPr="00000E4F">
        <w:t>betsmarknaden.</w:t>
      </w:r>
    </w:p>
    <w:p w:rsidR="00866CF7" w:rsidRPr="00000E4F" w:rsidRDefault="00866CF7">
      <w:pPr>
        <w:pStyle w:val="Normaltindrag"/>
      </w:pPr>
      <w:r w:rsidRPr="00000E4F">
        <w:rPr>
          <w:i/>
        </w:rPr>
        <w:t>Lönestrukturen</w:t>
      </w:r>
      <w:r w:rsidRPr="00000E4F">
        <w:t>. Ingångslönerna är höga även för dem som saknar erfare</w:t>
      </w:r>
      <w:r w:rsidRPr="00000E4F">
        <w:t>n</w:t>
      </w:r>
      <w:r w:rsidRPr="00000E4F">
        <w:t>het. Det leder till att många utestängs från arbete, inte minst ungdomar, i</w:t>
      </w:r>
      <w:r w:rsidRPr="00000E4F">
        <w:t>n</w:t>
      </w:r>
      <w:r w:rsidRPr="00000E4F">
        <w:t>vandrare och arbetshandikappade. Samtidigt får de som har arbete svaga incitament att förkovra sig och göra ytterligare insatser. Den sammanpress</w:t>
      </w:r>
      <w:r w:rsidRPr="00000E4F">
        <w:t>a</w:t>
      </w:r>
      <w:r w:rsidRPr="00000E4F">
        <w:t>de lönestrukturen har försvagat sambandet mellan kompetens och lön. L</w:t>
      </w:r>
      <w:r w:rsidRPr="00000E4F">
        <w:t>ö</w:t>
      </w:r>
      <w:r w:rsidRPr="00000E4F">
        <w:t>nestrukturen påverkas i alltför låg grad av utbud och efterfrågan. Det dåliga utbytet av högre utbildning är förödande för ett modernt kunskapssamhälle. Det leder d</w:t>
      </w:r>
      <w:r w:rsidRPr="00000E4F">
        <w:t xml:space="preserve">essutom till att ungdomar från hem utan studievana inte ser det som lönsamt med uppoffrande studier. </w:t>
      </w:r>
    </w:p>
    <w:p w:rsidR="00866CF7" w:rsidRPr="00000E4F" w:rsidRDefault="00866CF7">
      <w:pPr>
        <w:pStyle w:val="Normaltindrag"/>
      </w:pPr>
      <w:r w:rsidRPr="00000E4F">
        <w:rPr>
          <w:i/>
        </w:rPr>
        <w:t>Reservationslönerna</w:t>
      </w:r>
      <w:r w:rsidRPr="00000E4F">
        <w:t>. Statsmakterna har ansvar för de höga reservationsl</w:t>
      </w:r>
      <w:r w:rsidRPr="00000E4F">
        <w:t>ö</w:t>
      </w:r>
      <w:r w:rsidRPr="00000E4F">
        <w:t>nerna, dvs. den lönenivå som krävs för att en person skall uppfatta det som mer lönsamt att arbeta än att avstå från arbete. De bidrar till att öka den strukturella arbetslösheten eftersom arbeten med löner som understiger r</w:t>
      </w:r>
      <w:r w:rsidRPr="00000E4F">
        <w:t>e</w:t>
      </w:r>
      <w:r w:rsidRPr="00000E4F">
        <w:t>servationslönerna slås ut från arbetsmarknaden. Även detta drabbar särskilt ungdomar och invandrare liksom personer med låg utbildning. Det kan leda till en uppdelning i ”insiders” som har arbete och en grupp ”outsiders” som aldrig ko</w:t>
      </w:r>
      <w:r w:rsidRPr="00000E4F">
        <w:t xml:space="preserve">mmer in på arbetsmarknaden. </w:t>
      </w:r>
    </w:p>
    <w:p w:rsidR="00866CF7" w:rsidRPr="00000E4F" w:rsidRDefault="00866CF7">
      <w:pPr>
        <w:pStyle w:val="Normaltindrag"/>
      </w:pPr>
      <w:r w:rsidRPr="00000E4F">
        <w:rPr>
          <w:i/>
        </w:rPr>
        <w:t>Arbetslöshetsförsäkringen</w:t>
      </w:r>
      <w:r w:rsidRPr="00000E4F">
        <w:t>. Försäkringen har alltmer kommit att bli en sorts medborgarlön för ”insiders” på arbetsmarknaden och inte den omställning</w:t>
      </w:r>
      <w:r w:rsidRPr="00000E4F">
        <w:t>s</w:t>
      </w:r>
      <w:r w:rsidRPr="00000E4F">
        <w:t>försäkring som den var tänkt att vara. Perioder med ersättning varvas med arbetsmarknadspolitiska åtgärder. Detta har försvagat den enskildes incit</w:t>
      </w:r>
      <w:r w:rsidRPr="00000E4F">
        <w:t>a</w:t>
      </w:r>
      <w:r w:rsidRPr="00000E4F">
        <w:t>ment att söka och ta arbete. Försäkringen bör därför reformeras. Den bör vara obligatorisk, och den bör i större utsträckning än i dag finansieras g</w:t>
      </w:r>
      <w:r w:rsidRPr="00000E4F">
        <w:t>e</w:t>
      </w:r>
      <w:r w:rsidRPr="00000E4F">
        <w:t>nom avgifter från de försäkrade.</w:t>
      </w:r>
    </w:p>
    <w:p w:rsidR="00866CF7" w:rsidRPr="00000E4F" w:rsidRDefault="00866CF7">
      <w:pPr>
        <w:pStyle w:val="Normaltindrag"/>
      </w:pPr>
      <w:r w:rsidRPr="00000E4F">
        <w:rPr>
          <w:i/>
        </w:rPr>
        <w:t>Det arbetsrättsliga regelverket</w:t>
      </w:r>
      <w:r w:rsidRPr="00000E4F">
        <w:t>. Möjligheterna bör vidgas för de enskilda parterna att träffa avtal oberoende av kollektivavtal. Konfliktreglerna bör ändras. Dagens konfliktregler är i flera avseenden förlegade. Det råder en obalans mellan parterna. De ekonomiska skadorna blir för stora om den i teorin tillgängliga stridsarsenalen utnyttjas. Utskottet återkommer till ko</w:t>
      </w:r>
      <w:r w:rsidRPr="00000E4F">
        <w:t>n</w:t>
      </w:r>
      <w:r w:rsidRPr="00000E4F">
        <w:t xml:space="preserve">fliktreglerna i den fortsatta framställningen. </w:t>
      </w:r>
    </w:p>
    <w:p w:rsidR="00866CF7" w:rsidRPr="00000E4F" w:rsidRDefault="00866CF7">
      <w:pPr>
        <w:pStyle w:val="Normaltindrag"/>
      </w:pPr>
      <w:r w:rsidRPr="00000E4F">
        <w:t xml:space="preserve">Det anförda innebär att utskottet tillstyrker motionerna A6 (yrk. 1, 2, 4–7), A8 (yrk. 1), A10 (yrk. 1 och 2), A254 (yrk. </w:t>
      </w:r>
      <w:r w:rsidRPr="00000E4F">
        <w:t>24) och Sk692 (yrk. 24). Vad som anförts bör ges regeringen till känna.</w:t>
      </w:r>
    </w:p>
    <w:p w:rsidR="00866CF7" w:rsidRPr="00000E4F" w:rsidRDefault="00866CF7">
      <w:r w:rsidRPr="00000E4F">
        <w:rPr>
          <w:i/>
        </w:rPr>
        <w:t>dels</w:t>
      </w:r>
      <w:r w:rsidRPr="00000E4F">
        <w:t xml:space="preserve"> att utskottets hemställan under 2 bort ha följande lydelse:</w:t>
      </w:r>
    </w:p>
    <w:p w:rsidR="00866CF7" w:rsidRPr="00000E4F" w:rsidRDefault="00866CF7">
      <w:pPr>
        <w:pStyle w:val="Resklmb"/>
      </w:pPr>
      <w:r w:rsidRPr="00000E4F">
        <w:t xml:space="preserve">2. beträffande </w:t>
      </w:r>
      <w:r w:rsidRPr="00000E4F">
        <w:rPr>
          <w:i/>
        </w:rPr>
        <w:t>innebörden av en välfungerande lönebildning m.m.</w:t>
      </w:r>
    </w:p>
    <w:p w:rsidR="00866CF7" w:rsidRPr="00000E4F" w:rsidRDefault="00866CF7">
      <w:pPr>
        <w:pStyle w:val="Resklm"/>
      </w:pPr>
      <w:r w:rsidRPr="00000E4F">
        <w:t xml:space="preserve">att riksdagen med anledning av motionerna 1999/2000:A6 yrkandena 1, 2 och 4–7, 1999/2000:A8 yrkande 1, 1999/2000:A10 yrkandena 1 och 2, 1999/2000:A254 yrkande 24 samt 1999/2000:Sk692 yrkande 24 som sin mening ger regeringen till känna vad utskottet anfört, </w:t>
      </w:r>
    </w:p>
    <w:p w:rsidR="00866CF7" w:rsidRPr="00000E4F" w:rsidRDefault="00866CF7">
      <w:pPr>
        <w:pStyle w:val="Rubrik2"/>
      </w:pPr>
      <w:bookmarkStart w:id="129" w:name="_Toc477140375"/>
      <w:r w:rsidRPr="00000E4F">
        <w:t>3. Avslag på förslaget om Medlingsinstitutet m.m. (mom. 3)</w:t>
      </w:r>
      <w:bookmarkEnd w:id="129"/>
    </w:p>
    <w:p w:rsidR="00866CF7" w:rsidRPr="00000E4F" w:rsidRDefault="00866CF7">
      <w:r w:rsidRPr="00000E4F">
        <w:t xml:space="preserve">Mikael Odenberg, Patrik Norinder, Christel Anderberg och Henrik Westman (alla m) anser </w:t>
      </w:r>
    </w:p>
    <w:p w:rsidR="00866CF7" w:rsidRPr="00000E4F" w:rsidRDefault="00866CF7">
      <w:r w:rsidRPr="00000E4F">
        <w:rPr>
          <w:i/>
        </w:rPr>
        <w:t>dels</w:t>
      </w:r>
      <w:r w:rsidRPr="00000E4F">
        <w:t xml:space="preserve"> att den del av utskottets ställningstagande i Del 1, avsnitt 4, Inrättande av Medlingsinstitutet m.m., i den del som börjar med ”Som utskottet uppfa</w:t>
      </w:r>
      <w:r w:rsidRPr="00000E4F">
        <w:t>t</w:t>
      </w:r>
      <w:r w:rsidRPr="00000E4F">
        <w:t>tar” och slutar med  ”(A6 yrk. 11–13, det senare delvis)” bort ha följande lydelse:</w:t>
      </w:r>
    </w:p>
    <w:p w:rsidR="00866CF7" w:rsidRPr="00000E4F" w:rsidRDefault="00866CF7">
      <w:pPr>
        <w:pStyle w:val="Normaltindrag"/>
      </w:pPr>
      <w:r w:rsidRPr="00000E4F">
        <w:t>Utskottet instämmer med Moderaterna i att det är en given fördel för rel</w:t>
      </w:r>
      <w:r w:rsidRPr="00000E4F">
        <w:t>a</w:t>
      </w:r>
      <w:r w:rsidRPr="00000E4F">
        <w:t>tionerna mellan arbetsmarknadens parter och för lönebildningen i stort om det finns ett välfungerande medlingsväsende. Därför finns det skäl att utvi</w:t>
      </w:r>
      <w:r w:rsidRPr="00000E4F">
        <w:t>d</w:t>
      </w:r>
      <w:r w:rsidRPr="00000E4F">
        <w:t>ga en del av befogenheterna för dagens medlingsinstitut, Förlikningsma</w:t>
      </w:r>
      <w:r w:rsidRPr="00000E4F">
        <w:t>n</w:t>
      </w:r>
      <w:r w:rsidRPr="00000E4F">
        <w:t>naexpeditionen, bl.a. för att dämpa konfliktrisken. Liksom Moderaterna vill utskottet emellertid bestämt avvisa att medlingsväsendet tilldelas dubbla roller genom att ha både en traditionell medlarfunktion och uppgiften att på olika sätt försöka ”ta ett grepp om löneförhandlingarna”. Reger</w:t>
      </w:r>
      <w:r w:rsidRPr="00000E4F">
        <w:t>ingens förslag inger oro, inte minst därför att det medför en uppenbar risk för statlig i</w:t>
      </w:r>
      <w:r w:rsidRPr="00000E4F">
        <w:t>n</w:t>
      </w:r>
      <w:r w:rsidRPr="00000E4F">
        <w:t xml:space="preserve">komstpolitik. Det föreslagna medlingsväsendet skulle motverka en fri och decentraliserad lönebildning. Det skulle också undergräva parternas tilltro till medlingsväsendets primära roll som just medlare. </w:t>
      </w:r>
    </w:p>
    <w:p w:rsidR="00866CF7" w:rsidRPr="00000E4F" w:rsidRDefault="00866CF7">
      <w:pPr>
        <w:pStyle w:val="Normaltindrag"/>
      </w:pPr>
      <w:r w:rsidRPr="00000E4F">
        <w:t>Utskottet anser att man bör ta fasta på Moderaternas förslag att låta det n</w:t>
      </w:r>
      <w:r w:rsidRPr="00000E4F">
        <w:t>u</w:t>
      </w:r>
      <w:r w:rsidRPr="00000E4F">
        <w:t>varande förlikningsväsendet finnas kvar men att det byter namn till Me</w:t>
      </w:r>
      <w:r w:rsidRPr="00000E4F">
        <w:t>d</w:t>
      </w:r>
      <w:r w:rsidRPr="00000E4F">
        <w:t>lingsinstitutet, lämpligen den 1 juli 2000. Detta innebär att propositionens förslag om ett nytt Medlingsinstitut av den modell som regeringen föreslår bör avslås, liksom förslaget om uppbyggnad och organisation av myndigh</w:t>
      </w:r>
      <w:r w:rsidRPr="00000E4F">
        <w:t>e</w:t>
      </w:r>
      <w:r w:rsidRPr="00000E4F">
        <w:t xml:space="preserve">ten med olika expertråd m.m. </w:t>
      </w:r>
    </w:p>
    <w:p w:rsidR="00866CF7" w:rsidRPr="00000E4F" w:rsidRDefault="00866CF7">
      <w:pPr>
        <w:pStyle w:val="Normaltindrag"/>
      </w:pPr>
      <w:r w:rsidRPr="00000E4F">
        <w:t>Med det anförda tillstyrker utskottet Moderaternas motion A6 (yrk. 11–13, det senare delvis). Vad som anförts bör ges regeringen till känna.</w:t>
      </w:r>
    </w:p>
    <w:p w:rsidR="00866CF7" w:rsidRPr="00000E4F" w:rsidRDefault="00866CF7">
      <w:r w:rsidRPr="00000E4F">
        <w:rPr>
          <w:i/>
        </w:rPr>
        <w:t>dels</w:t>
      </w:r>
      <w:r w:rsidRPr="00000E4F">
        <w:t xml:space="preserve"> att utskottets hemställan under 3 bort ha följande lydelse:</w:t>
      </w:r>
    </w:p>
    <w:p w:rsidR="00866CF7" w:rsidRPr="00000E4F" w:rsidRDefault="00866CF7">
      <w:pPr>
        <w:pStyle w:val="Resklmb"/>
      </w:pPr>
      <w:r w:rsidRPr="00000E4F">
        <w:t xml:space="preserve">3. beträffande </w:t>
      </w:r>
      <w:r w:rsidRPr="00000E4F">
        <w:rPr>
          <w:i/>
        </w:rPr>
        <w:t>avslag på förslaget om Medlingsinstitutet m.m.</w:t>
      </w:r>
    </w:p>
    <w:p w:rsidR="00866CF7" w:rsidRPr="00000E4F" w:rsidRDefault="00866CF7">
      <w:pPr>
        <w:pStyle w:val="Resklm"/>
      </w:pPr>
      <w:r w:rsidRPr="00000E4F">
        <w:t xml:space="preserve">att riksdagen </w:t>
      </w:r>
      <w:r w:rsidRPr="00000E4F">
        <w:rPr>
          <w:i/>
        </w:rPr>
        <w:t xml:space="preserve">dels </w:t>
      </w:r>
      <w:r w:rsidRPr="00000E4F">
        <w:t>med bifall till motion 1999/2000:A6 yrkande 11 a</w:t>
      </w:r>
      <w:r w:rsidRPr="00000E4F">
        <w:t>v</w:t>
      </w:r>
      <w:r w:rsidRPr="00000E4F">
        <w:t xml:space="preserve">slår propositionen i motsvarande del, </w:t>
      </w:r>
      <w:r w:rsidRPr="00000E4F">
        <w:rPr>
          <w:i/>
        </w:rPr>
        <w:t xml:space="preserve">dels </w:t>
      </w:r>
      <w:r w:rsidRPr="00000E4F">
        <w:t xml:space="preserve">med anledning av motion 1999/2000:A6 yrkandena 12 och 13, det senare i motsvarande del, som sin mening ger regeringen till känna vad utskottet anfört, </w:t>
      </w:r>
    </w:p>
    <w:p w:rsidR="00866CF7" w:rsidRPr="00000E4F" w:rsidRDefault="00866CF7">
      <w:pPr>
        <w:pStyle w:val="Rubrik2"/>
      </w:pPr>
      <w:bookmarkStart w:id="130" w:name="_Toc477140376"/>
      <w:r w:rsidRPr="00000E4F">
        <w:t>4. Utvärdering av Medlingsinstitutet m.m. (mom. 5)</w:t>
      </w:r>
      <w:bookmarkEnd w:id="130"/>
    </w:p>
    <w:p w:rsidR="00866CF7" w:rsidRPr="00000E4F" w:rsidRDefault="00866CF7">
      <w:r w:rsidRPr="00000E4F">
        <w:t xml:space="preserve">Elver Jonsson (fp) anser </w:t>
      </w:r>
    </w:p>
    <w:p w:rsidR="00866CF7" w:rsidRPr="00000E4F" w:rsidRDefault="00866CF7">
      <w:r w:rsidRPr="00000E4F">
        <w:rPr>
          <w:i/>
        </w:rPr>
        <w:t>dels</w:t>
      </w:r>
      <w:r w:rsidRPr="00000E4F">
        <w:t xml:space="preserve"> att utskottets ställningstagande i Del 1, avsnitt 4, i den del som börjar med ”Folkpartiet, som accepterar” och slutar med ”med det anförda” bort ha följande lydelse:</w:t>
      </w:r>
    </w:p>
    <w:p w:rsidR="00866CF7" w:rsidRPr="00000E4F" w:rsidRDefault="00866CF7">
      <w:pPr>
        <w:pStyle w:val="Normaltindrag"/>
      </w:pPr>
      <w:r w:rsidRPr="00000E4F">
        <w:t>Utskottet instämmer med Folkpartiet i motion A10 att det är bra om me</w:t>
      </w:r>
      <w:r w:rsidRPr="00000E4F">
        <w:t>d</w:t>
      </w:r>
      <w:r w:rsidRPr="00000E4F">
        <w:t>lingsfrågorna kan ges större tyngd för att förbättra lönebildningen på den svenska arbetsmarknaden. Liksom Folkpartiet är utskottet emellertid tve</w:t>
      </w:r>
      <w:r w:rsidRPr="00000E4F">
        <w:t>k</w:t>
      </w:r>
      <w:r w:rsidRPr="00000E4F">
        <w:t>samt till den form av medlingsinstitut som regeringen föreslår. Det är tydligt att regeringen försöker sitta på två stolar – man vill på en och samma gång både ge intryck av att man vidtar en kraftfull åtgärd och att det egentligen inte innebär någon förändring alls. Med en så oklar politisk vilja blir också uppdraget för Medlingsinstitutet oklart. Som sägs i Fo</w:t>
      </w:r>
      <w:r w:rsidRPr="00000E4F">
        <w:t>lkpartiets motion finns risken att propositionen uppfattas som ett klartecken för statlig inkomstpol</w:t>
      </w:r>
      <w:r w:rsidRPr="00000E4F">
        <w:t>i</w:t>
      </w:r>
      <w:r w:rsidRPr="00000E4F">
        <w:t>tik. Eftersom frågan om en välfungerande lönebildning är så viktig kan u</w:t>
      </w:r>
      <w:r w:rsidRPr="00000E4F">
        <w:t>t</w:t>
      </w:r>
      <w:r w:rsidRPr="00000E4F">
        <w:t>skottet acceptera ett medlingsinstitut, men med hänsyn till tveksamheterna är det angeläget att verksamheten utvärderas efter nästa omgång löneförhan</w:t>
      </w:r>
      <w:r w:rsidRPr="00000E4F">
        <w:t>d</w:t>
      </w:r>
      <w:r w:rsidRPr="00000E4F">
        <w:t>lingar.</w:t>
      </w:r>
    </w:p>
    <w:p w:rsidR="00866CF7" w:rsidRPr="00000E4F" w:rsidRDefault="00866CF7">
      <w:pPr>
        <w:pStyle w:val="Normaltindrag"/>
      </w:pPr>
      <w:r w:rsidRPr="00000E4F">
        <w:t xml:space="preserve">Utskottet håller också med Folkpartiet om att parterna i första hand själva bör kunna lösa problemet med den långa tid som kan gå från det att ett avtal löpt ut till dess ett nytt </w:t>
      </w:r>
      <w:r w:rsidRPr="00000E4F">
        <w:t>har framförhandlats. Därför bör det inte finnas någon vitesbelagd plikt att komma till förhandlingar hos Medlingsinstitutet. Som påpekas av Folkpartiet lär det höra till sällsyntheterna att parterna inte hö</w:t>
      </w:r>
      <w:r w:rsidRPr="00000E4F">
        <w:t>r</w:t>
      </w:r>
      <w:r w:rsidRPr="00000E4F">
        <w:t>sammar en kallelse till en myndighet för att informera. En ordning utan sådan vitesmöjlighet skulle innebära en klarare linje.</w:t>
      </w:r>
    </w:p>
    <w:p w:rsidR="00866CF7" w:rsidRPr="00000E4F" w:rsidRDefault="00866CF7">
      <w:pPr>
        <w:pStyle w:val="Normaltindrag"/>
      </w:pPr>
      <w:r w:rsidRPr="00000E4F">
        <w:t>Som sägs i Folkpartiets motion finns det även andra inslag i propositionen som kan leda till statlig inkomstpolitik. Utskottet anser inte att institutet skall ha möjlighet att tv</w:t>
      </w:r>
      <w:r w:rsidRPr="00000E4F">
        <w:t>ångsmässigt samordna förhandlingarna. Vissa skrivningar i propositionen om att institutet skall verka för giltighetsperioder för kollekt</w:t>
      </w:r>
      <w:r w:rsidRPr="00000E4F">
        <w:t>i</w:t>
      </w:r>
      <w:r w:rsidRPr="00000E4F">
        <w:t xml:space="preserve">v-avtalen som befrämjar en välfungerande lönebildning och att förhandlingar skall avslutas i viss inbördes ordning kan i sig bära fröet till en sådan tvångsmässig samordning. </w:t>
      </w:r>
    </w:p>
    <w:p w:rsidR="00866CF7" w:rsidRPr="00000E4F" w:rsidRDefault="00866CF7">
      <w:pPr>
        <w:pStyle w:val="Normaltindrag"/>
      </w:pPr>
      <w:r w:rsidRPr="00000E4F">
        <w:t>Utskottet tillstyrker med det anförda motion A10 (yrk. 3 och 4). Det anfö</w:t>
      </w:r>
      <w:r w:rsidRPr="00000E4F">
        <w:t>r</w:t>
      </w:r>
      <w:r w:rsidRPr="00000E4F">
        <w:t>da bör ges regeringen till känna.</w:t>
      </w:r>
    </w:p>
    <w:p w:rsidR="00866CF7" w:rsidRPr="00000E4F" w:rsidRDefault="00866CF7">
      <w:r w:rsidRPr="00000E4F">
        <w:rPr>
          <w:i/>
        </w:rPr>
        <w:t>dels</w:t>
      </w:r>
      <w:r w:rsidRPr="00000E4F">
        <w:t xml:space="preserve"> att utskottets hemställan under 5 bort ha följande lydelse:</w:t>
      </w:r>
    </w:p>
    <w:p w:rsidR="00866CF7" w:rsidRPr="00000E4F" w:rsidRDefault="00866CF7">
      <w:pPr>
        <w:pStyle w:val="Resklmb"/>
      </w:pPr>
      <w:r w:rsidRPr="00000E4F">
        <w:t xml:space="preserve">5. beträffande </w:t>
      </w:r>
      <w:r w:rsidRPr="00000E4F">
        <w:rPr>
          <w:i/>
        </w:rPr>
        <w:t>utvärdering av Medlingsinstitutet m.m.</w:t>
      </w:r>
    </w:p>
    <w:p w:rsidR="00866CF7" w:rsidRPr="00000E4F" w:rsidRDefault="00866CF7">
      <w:pPr>
        <w:pStyle w:val="Resklm"/>
      </w:pPr>
      <w:r w:rsidRPr="00000E4F">
        <w:t xml:space="preserve">att riksdagen med anledning av motion 1999/2000:A10 yrkandena 3 och 4 som sin mening ger regeringen till känna vad utskottet anfört, </w:t>
      </w:r>
    </w:p>
    <w:p w:rsidR="00866CF7" w:rsidRPr="00000E4F" w:rsidRDefault="00866CF7">
      <w:pPr>
        <w:pStyle w:val="Rubrik2"/>
      </w:pPr>
      <w:bookmarkStart w:id="131" w:name="_Toc477140377"/>
      <w:r w:rsidRPr="00000E4F">
        <w:t>5. Förlängd varseltid (mom. 7)</w:t>
      </w:r>
      <w:bookmarkEnd w:id="131"/>
    </w:p>
    <w:p w:rsidR="00866CF7" w:rsidRPr="00000E4F" w:rsidRDefault="00866CF7">
      <w:r w:rsidRPr="00000E4F">
        <w:t xml:space="preserve">Mikael Odenberg, Patrik Norinder, Christel Anderberg och Henrik Westman (alla m) anser </w:t>
      </w:r>
    </w:p>
    <w:p w:rsidR="00866CF7" w:rsidRPr="00000E4F" w:rsidRDefault="00866CF7">
      <w:r w:rsidRPr="00000E4F">
        <w:rPr>
          <w:i/>
        </w:rPr>
        <w:t>dels</w:t>
      </w:r>
      <w:r w:rsidRPr="00000E4F">
        <w:t xml:space="preserve"> att utskottets ställningstagande i Del 1, avsnitt 5.3, Förlängd varseltid, bort ha följande lydelse:</w:t>
      </w:r>
    </w:p>
    <w:p w:rsidR="00866CF7" w:rsidRPr="00000E4F" w:rsidRDefault="00866CF7">
      <w:pPr>
        <w:pStyle w:val="Normaltindrag"/>
      </w:pPr>
      <w:r w:rsidRPr="00000E4F">
        <w:t>Utskottet kan liksom Moderaterna i motion A6 konstatera att regeringen inte följt den Öbergska utredningens förslag om 14 dagars varseltid, vilket tillstyrktes av de flesta remissinstanserna. Detta är återigen ett exempel på hur regeringen böjt sig för LO:s synpunkter. En varseltid på 14 dagar kan kyla ned ett spänt förhandlingsläge och öka utrymmet för olika slag av ko</w:t>
      </w:r>
      <w:r w:rsidRPr="00000E4F">
        <w:t>n</w:t>
      </w:r>
      <w:r w:rsidRPr="00000E4F">
        <w:t>fliktl</w:t>
      </w:r>
      <w:r w:rsidRPr="00000E4F">
        <w:t>ö</w:t>
      </w:r>
      <w:r w:rsidRPr="00000E4F">
        <w:t xml:space="preserve">sande insatser. </w:t>
      </w:r>
    </w:p>
    <w:p w:rsidR="00866CF7" w:rsidRPr="00000E4F" w:rsidRDefault="00866CF7">
      <w:pPr>
        <w:pStyle w:val="Normaltindrag"/>
      </w:pPr>
      <w:r w:rsidRPr="00000E4F">
        <w:t>Utskottet anser att regeringen bör återkomma med förslag om förlängning av varseltiden till 14 dagar. Detta innebär att motion A6 (yrk. 15) tillstyrks.</w:t>
      </w:r>
    </w:p>
    <w:p w:rsidR="00866CF7" w:rsidRPr="00000E4F" w:rsidRDefault="00866CF7">
      <w:r w:rsidRPr="00000E4F">
        <w:rPr>
          <w:i/>
        </w:rPr>
        <w:t>dels</w:t>
      </w:r>
      <w:r w:rsidRPr="00000E4F">
        <w:t xml:space="preserve"> att utskottets hemställan under 7 bort ha följande lydelse:</w:t>
      </w:r>
    </w:p>
    <w:p w:rsidR="00866CF7" w:rsidRPr="00000E4F" w:rsidRDefault="00866CF7">
      <w:pPr>
        <w:pStyle w:val="Resklmb"/>
      </w:pPr>
      <w:r w:rsidRPr="00000E4F">
        <w:t xml:space="preserve">7. beträffande </w:t>
      </w:r>
      <w:r w:rsidRPr="00000E4F">
        <w:rPr>
          <w:i/>
        </w:rPr>
        <w:t>förlängd varseltid</w:t>
      </w:r>
    </w:p>
    <w:p w:rsidR="00866CF7" w:rsidRPr="00000E4F" w:rsidRDefault="00866CF7">
      <w:pPr>
        <w:pStyle w:val="Resklm"/>
      </w:pPr>
      <w:r w:rsidRPr="00000E4F">
        <w:t xml:space="preserve">att riksdagen med anledning av motion 1999/2000:A6 yrkande 15 som sin mening ger regeringen till känna vad utskottet anfört, </w:t>
      </w:r>
    </w:p>
    <w:p w:rsidR="00866CF7" w:rsidRPr="00000E4F" w:rsidRDefault="00866CF7">
      <w:pPr>
        <w:pStyle w:val="Rubrik2"/>
      </w:pPr>
      <w:bookmarkStart w:id="132" w:name="_Toc477140378"/>
      <w:r w:rsidRPr="00000E4F">
        <w:t>6. Verkan av uteblivet varsel (mom. 8)</w:t>
      </w:r>
      <w:bookmarkEnd w:id="132"/>
    </w:p>
    <w:p w:rsidR="00866CF7" w:rsidRPr="00000E4F" w:rsidRDefault="00866CF7">
      <w:r w:rsidRPr="00000E4F">
        <w:t xml:space="preserve">Mikael Odenberg, Patrik Norinder, Christel Anderberg och Henrik Westman (alla m) anser </w:t>
      </w:r>
    </w:p>
    <w:p w:rsidR="00866CF7" w:rsidRPr="00000E4F" w:rsidRDefault="00866CF7">
      <w:r w:rsidRPr="00000E4F">
        <w:rPr>
          <w:i/>
        </w:rPr>
        <w:t>dels</w:t>
      </w:r>
      <w:r w:rsidRPr="00000E4F">
        <w:t xml:space="preserve"> att utskottets ställningstagande i Del 1, avsnitt 5.5, Verkan av uteblivet varsel, bort ha följande lydelse:</w:t>
      </w:r>
    </w:p>
    <w:p w:rsidR="00866CF7" w:rsidRPr="00000E4F" w:rsidRDefault="00866CF7">
      <w:pPr>
        <w:pStyle w:val="Normaltindrag"/>
      </w:pPr>
      <w:r w:rsidRPr="00000E4F">
        <w:t>Som konstateras i Moderaternas motion A6 föreslog den Öbergska utre</w:t>
      </w:r>
      <w:r w:rsidRPr="00000E4F">
        <w:t>d</w:t>
      </w:r>
      <w:r w:rsidRPr="00000E4F">
        <w:t>ningen att Medlingsinstitutet skulle få rätt att avbryta icke varslade stridså</w:t>
      </w:r>
      <w:r w:rsidRPr="00000E4F">
        <w:t>t</w:t>
      </w:r>
      <w:r w:rsidRPr="00000E4F">
        <w:t>gärder. På inrådan av LO har regeringen avvisat förslaget. Utskottet instä</w:t>
      </w:r>
      <w:r w:rsidRPr="00000E4F">
        <w:t>m</w:t>
      </w:r>
      <w:r w:rsidRPr="00000E4F">
        <w:t>mer med Moderaterna i att Medlingsinstitutet bör ges rätt att avbryta stridsåtgärder som inte varslats på ett korrekt sätt.</w:t>
      </w:r>
    </w:p>
    <w:p w:rsidR="00866CF7" w:rsidRPr="00000E4F" w:rsidRDefault="00866CF7">
      <w:pPr>
        <w:pStyle w:val="Normaltindrag"/>
      </w:pPr>
      <w:r w:rsidRPr="00000E4F">
        <w:t xml:space="preserve">Än viktigare är emellertid att medbestämmandelagen ändras så att ett brott mot varselreglerna också medför att själva konflikten skall anses olovlig. Utskottet instämmer med Moderaterna i att den nuvarande ordningen, som innebär att </w:t>
      </w:r>
      <w:r w:rsidRPr="00000E4F">
        <w:t>ett uteblivet varsel inte gör själva stridsåtgärden olovlig och inte heller ger rätt till ersättning för ekonomisk skada, leder till helt orimliga konsekvenser. Detta illustreras bl.a. av en dom i Arbetsdomstolen förra året. De två drabbade arbetsgivarna åsamkades förluster på tillsammans närmare 20 miljoner kronor under en stridsåtgärd som pågick i fem dagar. Det al</w:t>
      </w:r>
      <w:r w:rsidRPr="00000E4F">
        <w:t>l</w:t>
      </w:r>
      <w:r w:rsidRPr="00000E4F">
        <w:t>männa skadestånd som den fackliga organisationen dömdes att betala sta</w:t>
      </w:r>
      <w:r w:rsidRPr="00000E4F">
        <w:t>n</w:t>
      </w:r>
      <w:r w:rsidRPr="00000E4F">
        <w:t xml:space="preserve">nade vid i sammanhanget mycket måttliga 60 000 kr. Med den ändring som </w:t>
      </w:r>
      <w:r w:rsidRPr="00000E4F">
        <w:t>Moderaterna föreslår kan även ekonomiskt skadestånd dömas ut till motpa</w:t>
      </w:r>
      <w:r w:rsidRPr="00000E4F">
        <w:t>r</w:t>
      </w:r>
      <w:r w:rsidRPr="00000E4F">
        <w:t xml:space="preserve">ten. </w:t>
      </w:r>
    </w:p>
    <w:p w:rsidR="00866CF7" w:rsidRPr="00000E4F" w:rsidRDefault="00866CF7">
      <w:pPr>
        <w:pStyle w:val="Normaltindrag"/>
      </w:pPr>
      <w:r w:rsidRPr="00000E4F">
        <w:t>Regeringen bör återkomma med förslag till lagändringar i de nu angivna hänseendena. Det anförda innebär att utskottet tillstyrker Moderaternas m</w:t>
      </w:r>
      <w:r w:rsidRPr="00000E4F">
        <w:t>o</w:t>
      </w:r>
      <w:r w:rsidRPr="00000E4F">
        <w:t xml:space="preserve">tion A6 (yrk. 16 och 17). </w:t>
      </w:r>
    </w:p>
    <w:p w:rsidR="00866CF7" w:rsidRPr="00000E4F" w:rsidRDefault="00866CF7">
      <w:r w:rsidRPr="00000E4F">
        <w:rPr>
          <w:i/>
        </w:rPr>
        <w:t>dels</w:t>
      </w:r>
      <w:r w:rsidRPr="00000E4F">
        <w:t xml:space="preserve"> att utskottets hemställan under 8 bort ha följande lydelse:</w:t>
      </w:r>
    </w:p>
    <w:p w:rsidR="00866CF7" w:rsidRPr="00000E4F" w:rsidRDefault="00866CF7">
      <w:pPr>
        <w:pStyle w:val="Resklmb"/>
      </w:pPr>
      <w:r w:rsidRPr="00000E4F">
        <w:t xml:space="preserve">8. beträffande </w:t>
      </w:r>
      <w:r w:rsidRPr="00000E4F">
        <w:rPr>
          <w:i/>
        </w:rPr>
        <w:t>verkan av uteblivet varsel</w:t>
      </w:r>
    </w:p>
    <w:p w:rsidR="00866CF7" w:rsidRPr="00000E4F" w:rsidRDefault="00866CF7">
      <w:pPr>
        <w:pStyle w:val="Resklm"/>
      </w:pPr>
      <w:r w:rsidRPr="00000E4F">
        <w:t xml:space="preserve">att riksdagen med anledning av motion 1999/2000:A6 yrkandena 16 och 17 som sin mening ger regeringen till känna vad utskottet anfört, </w:t>
      </w:r>
    </w:p>
    <w:p w:rsidR="00866CF7" w:rsidRPr="00000E4F" w:rsidRDefault="00866CF7">
      <w:pPr>
        <w:pStyle w:val="Rubrik2"/>
      </w:pPr>
      <w:bookmarkStart w:id="133" w:name="_Toc477140379"/>
      <w:r w:rsidRPr="00000E4F">
        <w:t>7. Blockad mot enmans- och familjeföretag (mom. 9)</w:t>
      </w:r>
      <w:bookmarkEnd w:id="133"/>
    </w:p>
    <w:p w:rsidR="00866CF7" w:rsidRPr="00000E4F" w:rsidRDefault="00866CF7">
      <w:r w:rsidRPr="00000E4F">
        <w:t>Johnny Ahlqvist (s), Hans Andersson (v), Björn Kaaling (s), Laila Bjurling (s), Sonja Fransson (s), Kristina Zakrisson (s), Anders Karlsson (s) och Ca</w:t>
      </w:r>
      <w:r w:rsidRPr="00000E4F">
        <w:t>r</w:t>
      </w:r>
      <w:r w:rsidRPr="00000E4F">
        <w:t xml:space="preserve">linge Wisberg (v) anser </w:t>
      </w:r>
    </w:p>
    <w:p w:rsidR="00866CF7" w:rsidRPr="00000E4F" w:rsidRDefault="00866CF7">
      <w:r w:rsidRPr="00000E4F">
        <w:rPr>
          <w:i/>
        </w:rPr>
        <w:t>dels</w:t>
      </w:r>
      <w:r w:rsidRPr="00000E4F">
        <w:t xml:space="preserve"> att utskottets ställningstagande i Del I, avsnitt 6.1, Stridsåtgärder mot enmans- och familjeföretag, bort ha följande lydelse: </w:t>
      </w:r>
    </w:p>
    <w:p w:rsidR="00866CF7" w:rsidRPr="00000E4F" w:rsidRDefault="00866CF7">
      <w:pPr>
        <w:pStyle w:val="Normaltindrag"/>
      </w:pPr>
      <w:r w:rsidRPr="00000E4F">
        <w:t>Utskottets principiella uppfattning, som kom till uttryck bl.a. i det betä</w:t>
      </w:r>
      <w:r w:rsidRPr="00000E4F">
        <w:t>n</w:t>
      </w:r>
      <w:r w:rsidRPr="00000E4F">
        <w:t>kande hösten 1994 som behandlade den nytillträdda socialdemokratiska regeringens förslag om återgång till de arbetsrättsliga regler som gällde före den 1 januari 1994, är att den grundläggande rätten att vidta fackliga stridså</w:t>
      </w:r>
      <w:r w:rsidRPr="00000E4F">
        <w:t>t</w:t>
      </w:r>
      <w:r w:rsidRPr="00000E4F">
        <w:t xml:space="preserve">gärder inte bör inskränkas mer än absolut nödvändigt. Som framhölls den gången är syftet med blockader som riktas mot enmans- och familjeföretag att förmå företag som brukar ha anställda att teckna kollektivavtal. </w:t>
      </w:r>
    </w:p>
    <w:p w:rsidR="00866CF7" w:rsidRPr="00000E4F" w:rsidRDefault="00866CF7">
      <w:pPr>
        <w:pStyle w:val="Normaltindrag"/>
      </w:pPr>
      <w:r w:rsidRPr="00000E4F">
        <w:t>Utskottet instämmer med regeringen i att det är viktigt att arbetstag</w:t>
      </w:r>
      <w:r w:rsidRPr="00000E4F">
        <w:t>are, för det fall att företaget anställer, omedelbart kan omfattas av kollektivavtal och ett försäkringsskydd. Det gäller särskilt sådana branscher med små arbet</w:t>
      </w:r>
      <w:r w:rsidRPr="00000E4F">
        <w:t>s</w:t>
      </w:r>
      <w:r w:rsidRPr="00000E4F">
        <w:t>platser där det är svårt för arbetstagarorganisationerna att övervaka när a</w:t>
      </w:r>
      <w:r w:rsidRPr="00000E4F">
        <w:t>n</w:t>
      </w:r>
      <w:r w:rsidRPr="00000E4F">
        <w:t>ställning sker. Genom att ett kollektivavtal är träffat garanteras de nyanstäl</w:t>
      </w:r>
      <w:r w:rsidRPr="00000E4F">
        <w:t>l</w:t>
      </w:r>
      <w:r w:rsidRPr="00000E4F">
        <w:t>da anställningsvillkor och försäkringsskydd redan från första anställningsd</w:t>
      </w:r>
      <w:r w:rsidRPr="00000E4F">
        <w:t>a</w:t>
      </w:r>
      <w:r w:rsidRPr="00000E4F">
        <w:t>gen. Förpliktelsen enligt avtalet inträder alltså när arbetsgivaren anställer en arbetstagare.</w:t>
      </w:r>
    </w:p>
    <w:p w:rsidR="00866CF7" w:rsidRPr="00000E4F" w:rsidRDefault="00866CF7">
      <w:pPr>
        <w:pStyle w:val="Normaltindrag"/>
      </w:pPr>
      <w:r w:rsidRPr="00000E4F">
        <w:t>Som konstateras i propos</w:t>
      </w:r>
      <w:r w:rsidRPr="00000E4F">
        <w:t>itionen har dock arbetsgivare i vissa fall ålagts att betala vissa avgifter även om arbetsgivaren inte haft några anställda. Utsko</w:t>
      </w:r>
      <w:r w:rsidRPr="00000E4F">
        <w:t>t</w:t>
      </w:r>
      <w:r w:rsidRPr="00000E4F">
        <w:t xml:space="preserve">tet håller med regeringen om att skäligheten i detta kan ifrågasättas. Skulle å andra sidan sådana företag inte åläggas kostnader eller andra förpliktelser innan det finns någon anställd bortfaller enligt utskottets uppfattning behovet av lagstiftning. </w:t>
      </w:r>
    </w:p>
    <w:p w:rsidR="00866CF7" w:rsidRPr="00000E4F" w:rsidRDefault="00866CF7">
      <w:pPr>
        <w:pStyle w:val="Normaltindrag"/>
      </w:pPr>
      <w:r w:rsidRPr="00000E4F">
        <w:t>Utskottet kan konstatera att LO har rekommenderat de tre förbund som a</w:t>
      </w:r>
      <w:r w:rsidRPr="00000E4F">
        <w:t>n</w:t>
      </w:r>
      <w:r w:rsidRPr="00000E4F">
        <w:t>vänder sig av möjligheten av vidta stridsåtgärder mot enmans- och familjef</w:t>
      </w:r>
      <w:r w:rsidRPr="00000E4F">
        <w:t>ö</w:t>
      </w:r>
      <w:r w:rsidRPr="00000E4F">
        <w:t>retag – dvs. de förbund som inte genom Saltsjöbadsavtalet frånsagt sig denna möjlighet – att ändra sina avtal, så att dessa företag inte åläggs kostnader eller andra förpliktelser innan det finns någon anställd. Enligt rekommend</w:t>
      </w:r>
      <w:r w:rsidRPr="00000E4F">
        <w:t>a</w:t>
      </w:r>
      <w:r w:rsidRPr="00000E4F">
        <w:t>tionen, som accepterats av de tre berörda förbunden, skall arbetsgivaren kunna teckna ett kollektivavtal som innebär att avtalets bestämmelser skall äga tillämpning från och med den tidpunkt företaget anstäl</w:t>
      </w:r>
      <w:r w:rsidRPr="00000E4F">
        <w:t>ler arbetskraft.</w:t>
      </w:r>
    </w:p>
    <w:p w:rsidR="00866CF7" w:rsidRPr="00000E4F" w:rsidRDefault="00866CF7">
      <w:pPr>
        <w:pStyle w:val="Normaltindrag"/>
      </w:pPr>
      <w:r w:rsidRPr="00000E4F">
        <w:t>Med hänsyn till detta ansluter sig utskottet till regeringens bedömning att något förbud inte bör införas mot stridsåtgärder som riktas mot enmans- eller familjeföretag. Utskottet noterar slutligen att regeringen avser att följa u</w:t>
      </w:r>
      <w:r w:rsidRPr="00000E4F">
        <w:t>t</w:t>
      </w:r>
      <w:r w:rsidRPr="00000E4F">
        <w:t>vecklingen noga och säger sig vara beredd att återkomma om så skulle kr</w:t>
      </w:r>
      <w:r w:rsidRPr="00000E4F">
        <w:t>ä</w:t>
      </w:r>
      <w:r w:rsidRPr="00000E4F">
        <w:t>vas.</w:t>
      </w:r>
    </w:p>
    <w:p w:rsidR="00866CF7" w:rsidRPr="00000E4F" w:rsidRDefault="00866CF7">
      <w:pPr>
        <w:pStyle w:val="Normaltindrag"/>
      </w:pPr>
      <w:r w:rsidRPr="00000E4F">
        <w:t>Motionerna A6 (yrk. 9), A7 (yrk. 1 och 2), A8 (yrk. 7), A9 (yrk. 2–4), A10 (yrk. 9), A231 (yrk. 17 delvis), A254 (yrk. 28), A701 (delvis), A706, Fi211 (yrk. 8 delvis) och Sk692 (yrk. 23 delvis) avstyrks.</w:t>
      </w:r>
    </w:p>
    <w:p w:rsidR="00866CF7" w:rsidRPr="00000E4F" w:rsidRDefault="00866CF7">
      <w:r w:rsidRPr="00000E4F">
        <w:br w:type="page"/>
      </w:r>
      <w:r w:rsidRPr="00000E4F">
        <w:rPr>
          <w:i/>
        </w:rPr>
        <w:t>dels</w:t>
      </w:r>
      <w:r w:rsidRPr="00000E4F">
        <w:t xml:space="preserve"> att utskottets hemställan under 9 bort ha följande lydelse:</w:t>
      </w:r>
    </w:p>
    <w:p w:rsidR="00866CF7" w:rsidRPr="00000E4F" w:rsidRDefault="00866CF7">
      <w:pPr>
        <w:pStyle w:val="Resklmb"/>
      </w:pPr>
      <w:r w:rsidRPr="00000E4F">
        <w:t xml:space="preserve">9. beträffande </w:t>
      </w:r>
      <w:r w:rsidRPr="00000E4F">
        <w:rPr>
          <w:i/>
        </w:rPr>
        <w:t>blockad mot enmans- och familjeföretag</w:t>
      </w:r>
    </w:p>
    <w:p w:rsidR="00866CF7" w:rsidRPr="00000E4F" w:rsidRDefault="00866CF7">
      <w:pPr>
        <w:pStyle w:val="Resklm"/>
      </w:pPr>
      <w:r w:rsidRPr="00000E4F">
        <w:t>att riksdagen avslår motionerna 1999/2000:A6 yrkande 9, 1999/2000:A7 yrkandena 1 och 2, 1999/2000:A8 yrkande 7, 1999/2000:A9 yrkandena 2–4, 1999/2000:A10 yrkande 9, 1999/2000:A231 yrkande 17 i motsvarande del, 1999/2000:A254 y</w:t>
      </w:r>
      <w:r w:rsidRPr="00000E4F">
        <w:t>r</w:t>
      </w:r>
      <w:r w:rsidRPr="00000E4F">
        <w:t xml:space="preserve">kande 28, 1999/2000:A701 i motsvarande del, 1999/2000:A706, 1999/2000:Fi211 yrkande 8 i motsvarande del samt 1999/2000:Sk692 yrkande 23 i motsvarande del, </w:t>
      </w:r>
    </w:p>
    <w:p w:rsidR="00866CF7" w:rsidRPr="00000E4F" w:rsidRDefault="00866CF7">
      <w:pPr>
        <w:pStyle w:val="Rubrik2"/>
      </w:pPr>
      <w:bookmarkStart w:id="134" w:name="_Toc477140380"/>
      <w:r w:rsidRPr="00000E4F">
        <w:t>8. Stridsåtgärders proportionalitet (mom. 10)</w:t>
      </w:r>
      <w:bookmarkEnd w:id="134"/>
    </w:p>
    <w:p w:rsidR="00866CF7" w:rsidRPr="00000E4F" w:rsidRDefault="00866CF7">
      <w:r w:rsidRPr="00000E4F">
        <w:t xml:space="preserve">Mikael Odenberg, Patrik Norinder, Christel Anderberg och Henrik Westman (alla m) anser </w:t>
      </w:r>
    </w:p>
    <w:p w:rsidR="00866CF7" w:rsidRPr="00000E4F" w:rsidRDefault="00866CF7">
      <w:r w:rsidRPr="00000E4F">
        <w:rPr>
          <w:i/>
        </w:rPr>
        <w:t>dels</w:t>
      </w:r>
      <w:r w:rsidRPr="00000E4F">
        <w:t xml:space="preserve"> att utskottets ställningstagande i Del 1, avsnitt 6.2, Stridsåtgärders pr</w:t>
      </w:r>
      <w:r w:rsidRPr="00000E4F">
        <w:t>o</w:t>
      </w:r>
      <w:r w:rsidRPr="00000E4F">
        <w:t>portionalitet m.m. i den del som börjar med ”Inledningsvis kan konstateras” och slutar med ”Fi211 (yrk. 8 delvis)” bort ha följande lydelse:</w:t>
      </w:r>
    </w:p>
    <w:p w:rsidR="00866CF7" w:rsidRPr="00000E4F" w:rsidRDefault="00866CF7">
      <w:pPr>
        <w:pStyle w:val="Normaltindrag"/>
      </w:pPr>
      <w:r w:rsidRPr="00000E4F">
        <w:t>Utskottet kan liksom Moderaterna i motion A6 konstatera att regeringen avvisar alla tankar på en lagstiftning om att stridsåtgärder skall vara propo</w:t>
      </w:r>
      <w:r w:rsidRPr="00000E4F">
        <w:t>r</w:t>
      </w:r>
      <w:r w:rsidRPr="00000E4F">
        <w:t>tionerliga trots att den Öbergska utredningen lade fram ett sådant förslag. Utskottet instämmer med utredningen i att en sådan regel skulle ge en riml</w:t>
      </w:r>
      <w:r w:rsidRPr="00000E4F">
        <w:t>i</w:t>
      </w:r>
      <w:r w:rsidRPr="00000E4F">
        <w:t>gare balans mellan parterna på arbetsmarknaden och begränsa möjligheterna till stridsåtgärder som kostar lite för den egna organisationen, men orsakar stora kostnader för motparten eller tredje man. Som framhållits av utrednin</w:t>
      </w:r>
      <w:r w:rsidRPr="00000E4F">
        <w:t>g</w:t>
      </w:r>
      <w:r w:rsidRPr="00000E4F">
        <w:t xml:space="preserve">en stöder flera forskare tanken på en sådan regel. Krav på proportionalitet finns dessutom i flera europeiska länder. </w:t>
      </w:r>
    </w:p>
    <w:p w:rsidR="00866CF7" w:rsidRPr="00000E4F" w:rsidRDefault="00866CF7">
      <w:pPr>
        <w:pStyle w:val="Normaltindrag"/>
      </w:pPr>
      <w:r w:rsidRPr="00000E4F">
        <w:t>Utskottet dela</w:t>
      </w:r>
      <w:r w:rsidRPr="00000E4F">
        <w:t>r Moderaternas uppfattning att en ny regel bör införas i me</w:t>
      </w:r>
      <w:r w:rsidRPr="00000E4F">
        <w:t>d</w:t>
      </w:r>
      <w:r w:rsidRPr="00000E4F">
        <w:t>bestämmandelagen. Den skall ta sikte på proportionen dels mellan en stridsåtgärdens omfattning och den skada som drabbar motparten, dels me</w:t>
      </w:r>
      <w:r w:rsidRPr="00000E4F">
        <w:t>l</w:t>
      </w:r>
      <w:r w:rsidRPr="00000E4F">
        <w:t>lan stridsåtgärdens omfattning och det syfte som åtgärden har. I det förs</w:t>
      </w:r>
      <w:r w:rsidRPr="00000E4F">
        <w:t>t</w:t>
      </w:r>
      <w:r w:rsidRPr="00000E4F">
        <w:t>nämnda fallet kan regeln begränsa möjligheterna till s.k. nålsticksåtgärder som lamslår motparten. I det senare fallet skulle möjligheterna inskränkas att vidta mycket omfattande stridsåtgärder för att uppnå endast begränsade fördelar. Re</w:t>
      </w:r>
      <w:r w:rsidRPr="00000E4F">
        <w:t xml:space="preserve">glerna skall ta sikte på både primäråtgärder och svarsåtgärder. Regeringen bör återkomma med lagförslag i enlighet med detta i sådan tid att reglerna kan träda i kraft den 1 januari 2001. </w:t>
      </w:r>
    </w:p>
    <w:p w:rsidR="00866CF7" w:rsidRPr="00000E4F" w:rsidRDefault="00866CF7">
      <w:pPr>
        <w:pStyle w:val="Normaltindrag"/>
      </w:pPr>
      <w:r w:rsidRPr="00000E4F">
        <w:t xml:space="preserve">Det anförda innebär att utskottet tillstyrker motion A6 (yrk. 8). De övriga i sammanhanget behandlade motionerna A8 (yrk. 5), A9 (yrk. 5–7), A10 (yrk. 10) och Fi211 (yrk. 8 delvis) avstyrks i den mån de inte är  tillgodosedda med det som utskottet anfört. </w:t>
      </w:r>
    </w:p>
    <w:p w:rsidR="00866CF7" w:rsidRPr="00000E4F" w:rsidRDefault="00866CF7">
      <w:r w:rsidRPr="00000E4F">
        <w:rPr>
          <w:i/>
        </w:rPr>
        <w:t>dels</w:t>
      </w:r>
      <w:r w:rsidRPr="00000E4F">
        <w:t xml:space="preserve"> att utskottets hemställan under 10 bort ha följande lydelse:</w:t>
      </w:r>
    </w:p>
    <w:p w:rsidR="00866CF7" w:rsidRPr="00000E4F" w:rsidRDefault="00866CF7">
      <w:pPr>
        <w:pStyle w:val="Resklmb"/>
      </w:pPr>
      <w:r w:rsidRPr="00000E4F">
        <w:t xml:space="preserve">10. beträffande </w:t>
      </w:r>
      <w:r w:rsidRPr="00000E4F">
        <w:rPr>
          <w:i/>
        </w:rPr>
        <w:t>stridsåtgärders proportionalitet</w:t>
      </w:r>
    </w:p>
    <w:p w:rsidR="00866CF7" w:rsidRPr="00000E4F" w:rsidRDefault="00866CF7">
      <w:pPr>
        <w:pStyle w:val="Resklm"/>
      </w:pPr>
      <w:r w:rsidRPr="00000E4F">
        <w:t>att riksdagen med anledning av motion 1999/2000:A6 yrkande 8 och med avslag på motionerna 1999/2000:A8 yrkande 5, 1999/2000:A9 yrkandena 5–7, 1999/2000:A10 yrkande 10 och 1999/2000:Fi211 y</w:t>
      </w:r>
      <w:r w:rsidRPr="00000E4F">
        <w:t>r</w:t>
      </w:r>
      <w:r w:rsidRPr="00000E4F">
        <w:t xml:space="preserve">kande 8 i motsvarande del som sin mening ger regeringen till känna vad utskottet anfört,            </w:t>
      </w:r>
    </w:p>
    <w:p w:rsidR="00866CF7" w:rsidRPr="00000E4F" w:rsidRDefault="00866CF7">
      <w:pPr>
        <w:pStyle w:val="Rubrik2"/>
      </w:pPr>
      <w:bookmarkStart w:id="135" w:name="_Toc477140381"/>
      <w:r w:rsidRPr="00000E4F">
        <w:t>9. Stridsåtgärders proportionalitet (mom. 10)</w:t>
      </w:r>
      <w:bookmarkEnd w:id="135"/>
    </w:p>
    <w:p w:rsidR="00866CF7" w:rsidRPr="00000E4F" w:rsidRDefault="00866CF7">
      <w:r w:rsidRPr="00000E4F">
        <w:t>Margareta Andersson (c), Maria Larsson (kd), Elver Jonsson (fp) och Ma</w:t>
      </w:r>
      <w:r w:rsidRPr="00000E4F">
        <w:t>g</w:t>
      </w:r>
      <w:r w:rsidRPr="00000E4F">
        <w:t xml:space="preserve">nus Jacobsson (kd) anser </w:t>
      </w:r>
    </w:p>
    <w:p w:rsidR="00866CF7" w:rsidRPr="00000E4F" w:rsidRDefault="00866CF7">
      <w:r w:rsidRPr="00000E4F">
        <w:rPr>
          <w:i/>
        </w:rPr>
        <w:t>dels</w:t>
      </w:r>
      <w:r w:rsidRPr="00000E4F">
        <w:t xml:space="preserve"> att utskottets ställningstagande i Del 1, avsnitt 6.2, Stridsåtgärders pr</w:t>
      </w:r>
      <w:r w:rsidRPr="00000E4F">
        <w:t>o</w:t>
      </w:r>
      <w:r w:rsidRPr="00000E4F">
        <w:t>portionalitet m.m. i den del som börjar med ”Inledningsvis kan konstateras” och slutar med ”Fi211 (yrk. 8 delvis)” bort ha följande lydelse:</w:t>
      </w:r>
    </w:p>
    <w:p w:rsidR="00866CF7" w:rsidRPr="00000E4F" w:rsidRDefault="00866CF7">
      <w:pPr>
        <w:pStyle w:val="Normaltindrag"/>
      </w:pPr>
    </w:p>
    <w:p w:rsidR="00866CF7" w:rsidRPr="00000E4F" w:rsidRDefault="00866CF7">
      <w:pPr>
        <w:pStyle w:val="Normaltindrag"/>
      </w:pPr>
      <w:r w:rsidRPr="00000E4F">
        <w:t>Ett viktigt inslag i lönebildningen är balansen mellan arbetsgivar- och a</w:t>
      </w:r>
      <w:r w:rsidRPr="00000E4F">
        <w:t>r</w:t>
      </w:r>
      <w:r w:rsidRPr="00000E4F">
        <w:t>betstagarorganisationer. Alltför stora obalanser kan leda till uppgörelser som annars inte skulle vara godtagbara för motparten. På dagens arbetsmarknad har arbetstagarnas ställning stärkts inte minst mot bakgrund av att alltfler av dem har nyckelpositioner samtidigt som arbetsgivare på en hårdnande global marknad blir alltmer tveksamma till att tillgripa stridsåtgärder med de nac</w:t>
      </w:r>
      <w:r w:rsidRPr="00000E4F">
        <w:t>k</w:t>
      </w:r>
      <w:r w:rsidRPr="00000E4F">
        <w:t xml:space="preserve">delar som det medför.  </w:t>
      </w:r>
    </w:p>
    <w:p w:rsidR="00866CF7" w:rsidRPr="00000E4F" w:rsidRDefault="00866CF7">
      <w:pPr>
        <w:pStyle w:val="Normaltindrag"/>
      </w:pPr>
      <w:r w:rsidRPr="00000E4F">
        <w:t>Utskottet kan konstatera att strejkrätten är mer begränsad i flera europeiska länder än vad den är i Sv</w:t>
      </w:r>
      <w:r w:rsidRPr="00000E4F">
        <w:t>erige. I exempelvis Tyskland måste facket ta hänsyn till de ekonomiska skadeverkningarna av en strejk. Rimligen bör regler av detta slag vara förenliga med Sveriges internationella åtaganden.</w:t>
      </w:r>
    </w:p>
    <w:p w:rsidR="00866CF7" w:rsidRPr="00000E4F" w:rsidRDefault="00866CF7">
      <w:pPr>
        <w:pStyle w:val="Normaltindrag"/>
      </w:pPr>
      <w:r w:rsidRPr="00000E4F">
        <w:t>Enligt utskottets mening bör det införas ett proportionalitetskrav för att b</w:t>
      </w:r>
      <w:r w:rsidRPr="00000E4F">
        <w:t>e</w:t>
      </w:r>
      <w:r w:rsidRPr="00000E4F">
        <w:t>gränsa möjligheten till stridsåtgärder som kostar lite för den egna organis</w:t>
      </w:r>
      <w:r w:rsidRPr="00000E4F">
        <w:t>a</w:t>
      </w:r>
      <w:r w:rsidRPr="00000E4F">
        <w:t>tionen men orsakar stor skada för motparten och tredje man. Det skall inte vara möjligt att ta ut nyckelgrupper i strejk och vidta s.k. nålsticksåtgärder om detta vållar motparten eller tredje man stor skada. Kravet på proportion</w:t>
      </w:r>
      <w:r w:rsidRPr="00000E4F">
        <w:t>a</w:t>
      </w:r>
      <w:r w:rsidRPr="00000E4F">
        <w:t xml:space="preserve">litet bör gälla såväl vid primärkonflikter som vid svarsåtgärder och såväl vid konflikter som syftar till ett nytt avtal som vid sådana som syftar till ett s.k. hängavtal. Med ett krav på proportionalitet </w:t>
      </w:r>
      <w:r w:rsidRPr="00000E4F">
        <w:t>skulle möjligheten att vidta sy</w:t>
      </w:r>
      <w:r w:rsidRPr="00000E4F">
        <w:t>m</w:t>
      </w:r>
      <w:r w:rsidRPr="00000E4F">
        <w:t>patiåtgärder i praktiken begränsas. Det skulle också innebära ett visst skydd för den s.k. negativa föreningsrätten.</w:t>
      </w:r>
    </w:p>
    <w:p w:rsidR="00866CF7" w:rsidRPr="00000E4F" w:rsidRDefault="00866CF7">
      <w:pPr>
        <w:pStyle w:val="Normaltindrag"/>
      </w:pPr>
      <w:r w:rsidRPr="00000E4F">
        <w:t>Den Öbergska utredningen har belyst frågan och rekommenderat en pr</w:t>
      </w:r>
      <w:r w:rsidRPr="00000E4F">
        <w:t>o</w:t>
      </w:r>
      <w:r w:rsidRPr="00000E4F">
        <w:t>portionalitetsregel. Riksdagen bör därför kunna införa en sådan regel utan ytterligare utredning. Utredningens förslag är enligt utskottets mening riml</w:t>
      </w:r>
      <w:r w:rsidRPr="00000E4F">
        <w:t>i</w:t>
      </w:r>
      <w:r w:rsidRPr="00000E4F">
        <w:t>ga och väl avvägda. Lagändringar bör genomföras på det sätt som föreslagits av utredningen, nämligen genom en ny 41 c § i medbestämmandelagen. Genom en ändring i 4 § samma lag bör det klargöras att det skall vara möjligt att göra undantag från den nya paragrafen genom kollektivavtal. Genom en ändring i 2 kap. 1 § lagen om rättegången i arbetstvister bör det</w:t>
      </w:r>
      <w:r w:rsidRPr="00000E4F">
        <w:t xml:space="preserve"> slutligen klargöras att Arbetsdomstolen skall vara behörig att avgöra tvister om fö</w:t>
      </w:r>
      <w:r w:rsidRPr="00000E4F">
        <w:t>r</w:t>
      </w:r>
      <w:r w:rsidRPr="00000E4F">
        <w:t xml:space="preserve">budsregeln. Reglerna bör lämpligen träda i kraft den 1 juni 2000. </w:t>
      </w:r>
    </w:p>
    <w:p w:rsidR="00866CF7" w:rsidRPr="00000E4F" w:rsidRDefault="00866CF7">
      <w:pPr>
        <w:pStyle w:val="Normaltindrag"/>
        <w:rPr>
          <w:i/>
        </w:rPr>
      </w:pPr>
      <w:r w:rsidRPr="00000E4F">
        <w:t>Utskottet anser med hänvisning till det anförda och med tillstyrkande av Kristdemokraternas motion A8 (yrk. 5), Centerpartiets motioner A9 (yrk. 5–7) resp. Fi211 (yrk. 8 delvis) och Folkpartiets motion A10 (yrk. 10) att rik</w:t>
      </w:r>
      <w:r w:rsidRPr="00000E4F">
        <w:t>s</w:t>
      </w:r>
      <w:r w:rsidRPr="00000E4F">
        <w:t>dagen bör anta det i bilaga 3 framlagda förslaget till ändringar dels i medb</w:t>
      </w:r>
      <w:r w:rsidRPr="00000E4F">
        <w:t>e</w:t>
      </w:r>
      <w:r w:rsidRPr="00000E4F">
        <w:t xml:space="preserve">stämmandelagen, dels i lagen om rättegången i arbetstvister. Motion A6 (yrk. 8) avstyrks i den mån den inte tillgodoses med vad utskottet anfört. </w:t>
      </w:r>
    </w:p>
    <w:p w:rsidR="00866CF7" w:rsidRPr="00000E4F" w:rsidRDefault="00866CF7">
      <w:r w:rsidRPr="00000E4F">
        <w:rPr>
          <w:i/>
        </w:rPr>
        <w:t>dels</w:t>
      </w:r>
      <w:r w:rsidRPr="00000E4F">
        <w:t xml:space="preserve"> att utskottets hemställan under 10 bort ha följande lydelse:</w:t>
      </w:r>
    </w:p>
    <w:p w:rsidR="00866CF7" w:rsidRPr="00000E4F" w:rsidRDefault="00866CF7">
      <w:pPr>
        <w:pStyle w:val="Resklmb"/>
      </w:pPr>
      <w:r w:rsidRPr="00000E4F">
        <w:t xml:space="preserve">10. beträffande </w:t>
      </w:r>
      <w:r w:rsidRPr="00000E4F">
        <w:rPr>
          <w:i/>
        </w:rPr>
        <w:t>stridsåtgärders proportionalitet</w:t>
      </w:r>
    </w:p>
    <w:p w:rsidR="00866CF7" w:rsidRPr="00000E4F" w:rsidRDefault="00866CF7">
      <w:pPr>
        <w:pStyle w:val="Resklm"/>
      </w:pPr>
      <w:r w:rsidRPr="00000E4F">
        <w:t>att riksdagen med anledning av motionerna 1999/2000:A8 yrkande 5, 1999/2000:A9 yrkandena 5–7, 1999/2000:A10 yrkande 10 och 1999/2000:Fi211 yrkande 8 i motsvarande del samt med avslag på motion 1999/2000:A6 yrkande 8 antar de enligt bilaga 3 av reserva</w:t>
      </w:r>
      <w:r w:rsidRPr="00000E4F">
        <w:t>n</w:t>
      </w:r>
      <w:r w:rsidRPr="00000E4F">
        <w:t>terna framlagda förslagen till lag om ändring i dels medbestämma</w:t>
      </w:r>
      <w:r w:rsidRPr="00000E4F">
        <w:t>n</w:t>
      </w:r>
      <w:r w:rsidRPr="00000E4F">
        <w:t xml:space="preserve">delagen, dels lagen om rättegången i arbetstvister, </w:t>
      </w:r>
    </w:p>
    <w:p w:rsidR="00866CF7" w:rsidRPr="00000E4F" w:rsidRDefault="00866CF7">
      <w:pPr>
        <w:pStyle w:val="Rubrik2"/>
      </w:pPr>
      <w:bookmarkStart w:id="136" w:name="_Toc477140382"/>
      <w:r w:rsidRPr="00000E4F">
        <w:t>10. Samhällsfarliga konflikter (mom. 11)</w:t>
      </w:r>
      <w:bookmarkEnd w:id="136"/>
    </w:p>
    <w:p w:rsidR="00866CF7" w:rsidRPr="00000E4F" w:rsidRDefault="00866CF7">
      <w:r w:rsidRPr="00000E4F">
        <w:t xml:space="preserve">Maria Larsson (kd), Elver Jonsson (fp) och Magnus Jacobsson (kd) anser </w:t>
      </w:r>
    </w:p>
    <w:p w:rsidR="00866CF7" w:rsidRPr="00000E4F" w:rsidRDefault="00866CF7">
      <w:r w:rsidRPr="00000E4F">
        <w:rPr>
          <w:i/>
        </w:rPr>
        <w:t>dels</w:t>
      </w:r>
      <w:r w:rsidRPr="00000E4F">
        <w:t xml:space="preserve"> att utskottets ställningstagande i Del 1, avsnitt 6.2, Stridsåtgärders pr</w:t>
      </w:r>
      <w:r w:rsidRPr="00000E4F">
        <w:t>o</w:t>
      </w:r>
      <w:r w:rsidRPr="00000E4F">
        <w:t xml:space="preserve">portionalitet m.m., i den del som börjar med ”Utskottet tar i detta” och slutar med ”motion A10 (yrk. 8)” bort ha följande lydelse:    </w:t>
      </w:r>
    </w:p>
    <w:p w:rsidR="00866CF7" w:rsidRPr="00000E4F" w:rsidRDefault="00866CF7">
      <w:pPr>
        <w:pStyle w:val="Normaltindrag"/>
      </w:pPr>
      <w:r w:rsidRPr="00000E4F">
        <w:t>Utskottet instämmer med Folkpartiet i att det finns skäl att lyfta fram det förslag som fanns med i utredningen Spelreglerna på arbetsmarknaden (SOU 1991:13) om att det bör inrättas en partssammansatt nämnd med opartisk ordförande för att avgöra konflikter om samhällsfarlighet. Som framhölls av den u</w:t>
      </w:r>
      <w:r w:rsidRPr="00000E4F">
        <w:t>tredningen är en samhällsfarlig konflikt inom ett avtalsområde inte bara en fråga mellan de närmast berörda parterna. Det är mer ändamålsenligt med en enda nämnd för hela arbetsmarknaden. Med en opartisk ordförande blir nämnden inte handlingsförlamad som de av parterna inrättade paritetiskt sammansatta nämnderna kan bli. Dessutom kan en konflikt röra flera a</w:t>
      </w:r>
      <w:r w:rsidRPr="00000E4F">
        <w:t>v</w:t>
      </w:r>
      <w:r w:rsidRPr="00000E4F">
        <w:t>talsområden eller områden som står helt utanför systemet med nämnder.</w:t>
      </w:r>
    </w:p>
    <w:p w:rsidR="00866CF7" w:rsidRPr="00000E4F" w:rsidRDefault="00866CF7">
      <w:pPr>
        <w:pStyle w:val="Normaltindrag"/>
      </w:pPr>
      <w:r w:rsidRPr="00000E4F">
        <w:t>Det anförda innebär att utskottet tillstyrker motion A10 (yrk. 8).</w:t>
      </w:r>
    </w:p>
    <w:p w:rsidR="00866CF7" w:rsidRPr="00000E4F" w:rsidRDefault="00866CF7">
      <w:r w:rsidRPr="00000E4F">
        <w:rPr>
          <w:i/>
        </w:rPr>
        <w:t>dels</w:t>
      </w:r>
      <w:r w:rsidRPr="00000E4F">
        <w:t xml:space="preserve"> att utskottets hemställan under 11 bort ha följande lydelse:</w:t>
      </w:r>
    </w:p>
    <w:p w:rsidR="00866CF7" w:rsidRPr="00000E4F" w:rsidRDefault="00866CF7">
      <w:pPr>
        <w:pStyle w:val="Resklmb"/>
      </w:pPr>
      <w:r w:rsidRPr="00000E4F">
        <w:t xml:space="preserve">11. beträffande </w:t>
      </w:r>
      <w:r w:rsidRPr="00000E4F">
        <w:rPr>
          <w:i/>
        </w:rPr>
        <w:t>samhällsfarliga konflikter</w:t>
      </w:r>
    </w:p>
    <w:p w:rsidR="00866CF7" w:rsidRPr="00000E4F" w:rsidRDefault="00866CF7">
      <w:pPr>
        <w:pStyle w:val="Resklm"/>
      </w:pPr>
      <w:r w:rsidRPr="00000E4F">
        <w:t xml:space="preserve">att riksdagen med anledning av motion 1999/2000:A10 yrkande 8 som sin mening ger regeringen till känna vad utskottet anfört, </w:t>
      </w:r>
    </w:p>
    <w:p w:rsidR="00866CF7" w:rsidRPr="00000E4F" w:rsidRDefault="00866CF7">
      <w:pPr>
        <w:pStyle w:val="Rubrik2"/>
      </w:pPr>
      <w:bookmarkStart w:id="137" w:name="_Toc477140383"/>
      <w:r w:rsidRPr="00000E4F">
        <w:t>11. Sympatiåtgärder (mom. 12)</w:t>
      </w:r>
      <w:bookmarkEnd w:id="137"/>
    </w:p>
    <w:p w:rsidR="00866CF7" w:rsidRPr="00000E4F" w:rsidRDefault="00866CF7">
      <w:r w:rsidRPr="00000E4F">
        <w:t xml:space="preserve">Mikael Odenberg (m), Patrik Norinder (m), Maria Larsson (kd), Christel Anderberg (m), Henrik Westman (m) och Magnus Jacobsson (kd) anser </w:t>
      </w:r>
    </w:p>
    <w:p w:rsidR="00866CF7" w:rsidRPr="00000E4F" w:rsidRDefault="00866CF7">
      <w:r w:rsidRPr="00000E4F">
        <w:rPr>
          <w:i/>
        </w:rPr>
        <w:t>dels</w:t>
      </w:r>
      <w:r w:rsidRPr="00000E4F">
        <w:t xml:space="preserve"> att utskottets ställningstagande i Del 1, avsnitt 6.3, Sympatiåtgärder, bort ha följande lydelse: </w:t>
      </w:r>
    </w:p>
    <w:p w:rsidR="00866CF7" w:rsidRPr="00000E4F" w:rsidRDefault="00866CF7">
      <w:pPr>
        <w:pStyle w:val="Normaltindrag"/>
      </w:pPr>
      <w:r w:rsidRPr="00000E4F">
        <w:t>Utskottet delar uppfattningen i Moderaternas motion A6 och Kristdem</w:t>
      </w:r>
      <w:r w:rsidRPr="00000E4F">
        <w:t>o</w:t>
      </w:r>
      <w:r w:rsidRPr="00000E4F">
        <w:t>kraternas motion A8 att det är svårt att rent rättsligt motivera rätten till sy</w:t>
      </w:r>
      <w:r w:rsidRPr="00000E4F">
        <w:t>m</w:t>
      </w:r>
      <w:r w:rsidRPr="00000E4F">
        <w:t>patiåtgärder. Den rätten försvaras i dag bara av den fackliga sidan som up</w:t>
      </w:r>
      <w:r w:rsidRPr="00000E4F">
        <w:t>p</w:t>
      </w:r>
      <w:r w:rsidRPr="00000E4F">
        <w:t>fattar rätten till sympatiåtgärder som en del av kollektivavtalssystemet. Den egentliga grunden för rätten till stridsåtgärder – att träffa kollektivavtal – finns inte vid sympatiåtgärder. Som påpekas av Moderaterna behöver det inte heller föreligga någon som helst intressegemenskap mellan den part som vidtar sympatiåtgärden och den part i primärkonflikt</w:t>
      </w:r>
      <w:r w:rsidRPr="00000E4F">
        <w:t>en som sympatiåtgärden syftar till att stödja. Det kan t.o.m. vara så att en part som har träffat kollekt</w:t>
      </w:r>
      <w:r w:rsidRPr="00000E4F">
        <w:t>i</w:t>
      </w:r>
      <w:r w:rsidRPr="00000E4F">
        <w:t>vavtal efter stridsåtgärder i de egna förhandlingarna sedan också drabbas av sympatiåtgärder.</w:t>
      </w:r>
    </w:p>
    <w:p w:rsidR="00866CF7" w:rsidRPr="00000E4F" w:rsidRDefault="00866CF7">
      <w:pPr>
        <w:pStyle w:val="Normaltindrag"/>
      </w:pPr>
      <w:r w:rsidRPr="00000E4F">
        <w:t>Ett ytterligare skäl för ett förbud mot sympatiåtgärder är den ökade sårba</w:t>
      </w:r>
      <w:r w:rsidRPr="00000E4F">
        <w:t>r</w:t>
      </w:r>
      <w:r w:rsidRPr="00000E4F">
        <w:t>heten hos företagen till följd av den tekniska utvecklingen.</w:t>
      </w:r>
    </w:p>
    <w:p w:rsidR="00866CF7" w:rsidRPr="00000E4F" w:rsidRDefault="00866CF7">
      <w:pPr>
        <w:pStyle w:val="Normaltindrag"/>
      </w:pPr>
      <w:r w:rsidRPr="00000E4F">
        <w:t>På dessa grunder anser utskottet att sympatiåtgärder bör förbjudas. Reg</w:t>
      </w:r>
      <w:r w:rsidRPr="00000E4F">
        <w:t>e</w:t>
      </w:r>
      <w:r w:rsidRPr="00000E4F">
        <w:t>ringen bör återkomma till riksdagen med förslag om ändringar i medb</w:t>
      </w:r>
      <w:r w:rsidRPr="00000E4F">
        <w:t>e</w:t>
      </w:r>
      <w:r w:rsidRPr="00000E4F">
        <w:t>stämma</w:t>
      </w:r>
      <w:r w:rsidRPr="00000E4F">
        <w:t>n</w:t>
      </w:r>
      <w:r w:rsidRPr="00000E4F">
        <w:t>delagen i enlighet med detta.</w:t>
      </w:r>
    </w:p>
    <w:p w:rsidR="00866CF7" w:rsidRPr="00000E4F" w:rsidRDefault="00866CF7">
      <w:pPr>
        <w:pStyle w:val="Normaltindrag"/>
      </w:pPr>
      <w:r w:rsidRPr="00000E4F">
        <w:t>Detta innebär att utskottet tillstyrker Moderaternas motioner A6 (yrk. 10) och Sk692 (yrk. 23 delvis) samt Kristdemokraternas motion A8 (yrk. 6). Motion A701 (delvis) får anses tillgodosedd.</w:t>
      </w:r>
    </w:p>
    <w:p w:rsidR="00866CF7" w:rsidRPr="00000E4F" w:rsidRDefault="00866CF7">
      <w:r w:rsidRPr="00000E4F">
        <w:rPr>
          <w:i/>
        </w:rPr>
        <w:t>dels</w:t>
      </w:r>
      <w:r w:rsidRPr="00000E4F">
        <w:t xml:space="preserve"> att utskottets hemställan under 12 bort ha följande lydelse:</w:t>
      </w:r>
    </w:p>
    <w:p w:rsidR="00866CF7" w:rsidRPr="00000E4F" w:rsidRDefault="00866CF7">
      <w:pPr>
        <w:pStyle w:val="Resklmb"/>
      </w:pPr>
      <w:r w:rsidRPr="00000E4F">
        <w:t xml:space="preserve">12. beträffande </w:t>
      </w:r>
      <w:r w:rsidRPr="00000E4F">
        <w:rPr>
          <w:i/>
        </w:rPr>
        <w:t>sympatiåtgärder</w:t>
      </w:r>
    </w:p>
    <w:p w:rsidR="00866CF7" w:rsidRPr="00000E4F" w:rsidRDefault="00866CF7">
      <w:pPr>
        <w:pStyle w:val="Resklm"/>
      </w:pPr>
      <w:r w:rsidRPr="00000E4F">
        <w:t xml:space="preserve">att riksdagen med anledning av motionerna 1999/2000:A6 yrkande 10, 1999/2000:A8 yrkande 6, 1999/2000:A701 i motsvarande del och  1999/2000:Sk692 yrkande 23 i motsvarande del som sin mening ger regeringen till känna vad utskottet anfört, </w:t>
      </w:r>
    </w:p>
    <w:p w:rsidR="00866CF7" w:rsidRPr="00000E4F" w:rsidRDefault="00866CF7">
      <w:pPr>
        <w:pStyle w:val="Rubrik2"/>
      </w:pPr>
      <w:bookmarkStart w:id="138" w:name="_Toc477140384"/>
      <w:r w:rsidRPr="00000E4F">
        <w:t>12. Statistikansvarig myndighet (mom. 13)</w:t>
      </w:r>
      <w:bookmarkEnd w:id="138"/>
    </w:p>
    <w:p w:rsidR="00866CF7" w:rsidRPr="00000E4F" w:rsidRDefault="00866CF7">
      <w:r w:rsidRPr="00000E4F">
        <w:t xml:space="preserve">Margareta Andersson (c), Mikael Odenberg (m), Patrik Norinder (m), Maria Larsson (kd), Christel Anderberg (m), Elver Jonsson (fp), Henrik Westman (m) och Magnus Jacobsson (kd) anser </w:t>
      </w:r>
    </w:p>
    <w:p w:rsidR="00866CF7" w:rsidRPr="00000E4F" w:rsidRDefault="00866CF7">
      <w:r w:rsidRPr="00000E4F">
        <w:rPr>
          <w:i/>
        </w:rPr>
        <w:t>dels</w:t>
      </w:r>
      <w:r w:rsidRPr="00000E4F">
        <w:t xml:space="preserve"> att utskottets ställningstagande i Del 1, avsnitt 7, Andra ändringar, med undantag för den mening som börjar med ”utskottet kan inte” och slutar med ”en normbildande roll” och den första dels-satsen i den mening som börjar med ”Med hänvisning till” och slutar med ”A10 (yrk. 5 och 6)”, bort ha följande lydelse:</w:t>
      </w:r>
    </w:p>
    <w:p w:rsidR="00866CF7" w:rsidRPr="00000E4F" w:rsidRDefault="00866CF7">
      <w:pPr>
        <w:pStyle w:val="Normaltindrag"/>
      </w:pPr>
      <w:r w:rsidRPr="00000E4F">
        <w:t>Utskottet motsätter sig av flera skäl förslaget att Medlingsinstitutet blir statistikansvarig myndighet för den officiella lönestatistiken. Statistikansv</w:t>
      </w:r>
      <w:r w:rsidRPr="00000E4F">
        <w:t>a</w:t>
      </w:r>
      <w:r w:rsidRPr="00000E4F">
        <w:t>ret bör ligga kvar hos SCB. Skälen för utskottets ståndpunkt är följande. Medlingsinstitutet bör inte tilldelas någon normbildande roll. Lönestatistiken har fler avnämare än Medlingsinstitutet</w:t>
      </w:r>
      <w:r w:rsidRPr="00000E4F">
        <w:rPr>
          <w:i/>
        </w:rPr>
        <w:t>.</w:t>
      </w:r>
      <w:r w:rsidRPr="00000E4F">
        <w:t xml:space="preserve"> Institutet kan endast ha intresse av de uppgifter som ligger till grund för institutets verksamhet. Lönestatistiken spelar en stor roll i många ekonomiska och samhälleliga bedömningar. En överflyttning av lönestatistiken kan skapa problem med den samordning av den ekonomiska statistiken som görs inom SCB.</w:t>
      </w:r>
    </w:p>
    <w:p w:rsidR="00866CF7" w:rsidRPr="00000E4F" w:rsidRDefault="00866CF7">
      <w:pPr>
        <w:pStyle w:val="Normaltindrag"/>
      </w:pPr>
      <w:r w:rsidRPr="00000E4F">
        <w:t xml:space="preserve">Utskottet </w:t>
      </w:r>
      <w:r w:rsidRPr="00000E4F">
        <w:t>kan på dessa grunder inte ställa sig bakom att Medlingsinstitutet blir statistikansvarig myndighet. Det anförda bör ges regeringen till känna. Motionerna A6 (yrk. 14), A8 (yrk. 3), A9 (yrk. 1) och A10 (yrk. 5 och 6) tillstyrks.</w:t>
      </w:r>
    </w:p>
    <w:p w:rsidR="00866CF7" w:rsidRPr="00000E4F" w:rsidRDefault="00866CF7">
      <w:r w:rsidRPr="00000E4F">
        <w:rPr>
          <w:i/>
        </w:rPr>
        <w:t>dels</w:t>
      </w:r>
      <w:r w:rsidRPr="00000E4F">
        <w:t xml:space="preserve"> att utskottets hemställan under 13 bort ha följande lydelse:</w:t>
      </w:r>
    </w:p>
    <w:p w:rsidR="00866CF7" w:rsidRPr="00000E4F" w:rsidRDefault="00866CF7">
      <w:pPr>
        <w:pStyle w:val="Resklmb"/>
      </w:pPr>
      <w:r w:rsidRPr="00000E4F">
        <w:t xml:space="preserve">13. beträffande </w:t>
      </w:r>
      <w:r w:rsidRPr="00000E4F">
        <w:rPr>
          <w:i/>
        </w:rPr>
        <w:t>statistikansvarig myndighet</w:t>
      </w:r>
    </w:p>
    <w:p w:rsidR="00866CF7" w:rsidRPr="00000E4F" w:rsidRDefault="00866CF7">
      <w:pPr>
        <w:pStyle w:val="Resklm"/>
      </w:pPr>
      <w:r w:rsidRPr="00000E4F">
        <w:t xml:space="preserve">att riksdagen med anledning av motionerna 1999/2000:A6 yrkande 14, 1999/2000:A8 yrkande 3, 1999/2000:A9 yrkande 1 samt 1999/2000:A10 yrkandena 5 och 6 som sin mening ger regeringen till känna vad utskottet anfört, </w:t>
      </w:r>
    </w:p>
    <w:p w:rsidR="00866CF7" w:rsidRPr="00000E4F" w:rsidRDefault="00000E4F">
      <w:pPr>
        <w:pStyle w:val="Rubrik2"/>
        <w:rPr>
          <w:sz w:val="16"/>
        </w:rPr>
      </w:pPr>
      <w:r w:rsidRPr="00000E4F">
        <w:rPr>
          <w:noProof/>
        </w:rPr>
        <mc:AlternateContent>
          <mc:Choice Requires="wps">
            <w:drawing>
              <wp:anchor distT="0" distB="0" distL="114300" distR="114300" simplePos="0" relativeHeight="251658240" behindDoc="0" locked="0" layoutInCell="0" allowOverlap="1">
                <wp:simplePos x="0" y="0"/>
                <wp:positionH relativeFrom="column">
                  <wp:posOffset>-80010</wp:posOffset>
                </wp:positionH>
                <wp:positionV relativeFrom="paragraph">
                  <wp:posOffset>243840</wp:posOffset>
                </wp:positionV>
                <wp:extent cx="3840480" cy="548640"/>
                <wp:effectExtent l="0" t="0" r="0" b="0"/>
                <wp:wrapNone/>
                <wp:docPr id="186970027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40480" cy="548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66CF7" w:rsidRDefault="00866CF7">
                            <w:pPr>
                              <w:rPr>
                                <w:i/>
                                <w:sz w:val="16"/>
                              </w:rPr>
                            </w:pPr>
                            <w:r>
                              <w:rPr>
                                <w:i/>
                                <w:sz w:val="16"/>
                              </w:rPr>
                              <w:t>6 Riksdagen 1999/2000. 18 saml. AU5</w:t>
                            </w:r>
                          </w:p>
                          <w:p w:rsidR="00866CF7" w:rsidRDefault="00866CF7">
                            <w:pPr>
                              <w:spacing w:before="0"/>
                            </w:pPr>
                            <w:r>
                              <w:rPr>
                                <w:i/>
                                <w:sz w:val="16"/>
                              </w:rPr>
                              <w:t>Rättelse; S. 88 rad 20 Tillkommit:Barbro Feltzing (mp)</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27" type="#_x0000_t202" style="position:absolute;margin-left:-6.3pt;margin-top:19.2pt;width:302.4pt;height:43.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" o:allowincell="f" filled="f" stroked="f">
                <v:textbox>
                  <w:txbxContent>
                    <w:p w:rsidR="00866CF7" w:rsidRDefault="00866CF7">
                      <w:pPr>
                        <w:rPr>
                          <w:i/>
                          <w:sz w:val="16"/>
                        </w:rPr>
                      </w:pPr>
                      <w:r>
                        <w:rPr>
                          <w:i/>
                          <w:sz w:val="16"/>
                        </w:rPr>
                        <w:t>6 Riksdagen 1999/2000. 18 saml. AU5</w:t>
                      </w:r>
                    </w:p>
                    <w:p w:rsidR="00866CF7" w:rsidRDefault="00866CF7">
                      <w:pPr>
                        <w:spacing w:before="0"/>
                      </w:pPr>
                      <w:r>
                        <w:rPr>
                          <w:i/>
                          <w:sz w:val="16"/>
                        </w:rPr>
                        <w:t>Rättelse; S. 88 rad 20 Tillkommit:Barbro Feltzing (mp)</w:t>
                      </w:r>
                    </w:p>
                  </w:txbxContent>
                </v:textbox>
              </v:shape>
            </w:pict>
          </mc:Fallback>
        </mc:AlternateContent>
      </w:r>
    </w:p>
    <w:p w:rsidR="00866CF7" w:rsidRPr="00000E4F" w:rsidRDefault="00866CF7">
      <w:pPr>
        <w:pStyle w:val="Rubrik2"/>
      </w:pPr>
      <w:r w:rsidRPr="00000E4F">
        <w:br w:type="page"/>
      </w:r>
      <w:bookmarkStart w:id="139" w:name="_Toc477140385"/>
      <w:r w:rsidRPr="00000E4F">
        <w:t>13. Övriga uppgifter för Medlingsinstitutet (mom. 14)</w:t>
      </w:r>
      <w:bookmarkEnd w:id="139"/>
    </w:p>
    <w:p w:rsidR="00866CF7" w:rsidRPr="00000E4F" w:rsidRDefault="00866CF7">
      <w:r w:rsidRPr="00000E4F">
        <w:t xml:space="preserve">Mikael Odenberg, Patrik Norinder, Christel Anderberg och Henrik Westman (alla m) anser </w:t>
      </w:r>
    </w:p>
    <w:p w:rsidR="00866CF7" w:rsidRPr="00000E4F" w:rsidRDefault="00866CF7">
      <w:r w:rsidRPr="00000E4F">
        <w:rPr>
          <w:i/>
        </w:rPr>
        <w:t>dels</w:t>
      </w:r>
      <w:r w:rsidRPr="00000E4F">
        <w:t xml:space="preserve"> att utskottets ställningstagande i Del 1, avsnitt 7, Andra ändringar, såvitt avser den mening som börjar med ”utskottet kan inte” och slutar med ”en normbildande roll” och den första dels-satsen i den mening som börjar med ”Med hänvisning till” och slutar med ”A10 (yrk. 5 och 6)” bort ha följande lydelse:</w:t>
      </w:r>
    </w:p>
    <w:p w:rsidR="00866CF7" w:rsidRPr="00000E4F" w:rsidRDefault="00866CF7">
      <w:pPr>
        <w:pStyle w:val="Normaltindrag"/>
      </w:pPr>
      <w:r w:rsidRPr="00000E4F">
        <w:t>Med anledning av vad som sägs i propositionen om utökad lönestatistik,  inrättandet av ett ekonomiskt råd, rapporter om löneutveckling m.m. vill utskottet anföra följande.</w:t>
      </w:r>
    </w:p>
    <w:p w:rsidR="00866CF7" w:rsidRPr="00000E4F" w:rsidRDefault="00866CF7">
      <w:pPr>
        <w:pStyle w:val="Normaltindrag"/>
      </w:pPr>
      <w:r w:rsidRPr="00000E4F">
        <w:t>I huvudsak bör det lönestatistiska underlag som finns i dag vara tillräckligt för att tillgodose det behov som finns av en tillförlitlig lönestatistik. I likhet med Moderaterna i motion A6 anser utskottet att det inte finns något behov av en ytterligare aktör utöver SCB, banker, finansinstitut, arbetsmarknadens parter m.fl. Dessutom finns det, som Moderaterna påpekar, anledning att påminna om den ytterligare börda på företagen som en utökad statistiki</w:t>
      </w:r>
      <w:r w:rsidRPr="00000E4F">
        <w:t>n</w:t>
      </w:r>
      <w:r w:rsidRPr="00000E4F">
        <w:t>hämtning innebär. Om parterna själva vill ha ytterligare en opartisk instans kan de inrätta ett ekonomiskt råd som kan göra ekonomiska bedömningar och ge parterna erforderligt underlag. Liksom Moderaterna anser utskottet inte heller att det skall ankomma på Medlingsinstitutet att utarbeta rapporter om löneutvecklingen eller att på något institutionaliserat sätt framträda för riksdagsutskott med redogörelser om utvecklingen. Allt detta ingår i den normbildande roll för Medlingsinstitutet som enligt utskotte</w:t>
      </w:r>
      <w:r w:rsidRPr="00000E4F">
        <w:t>ts mening bör avvisas.</w:t>
      </w:r>
    </w:p>
    <w:p w:rsidR="00866CF7" w:rsidRPr="00000E4F" w:rsidRDefault="00866CF7">
      <w:pPr>
        <w:pStyle w:val="Normaltindrag"/>
      </w:pPr>
      <w:r w:rsidRPr="00000E4F">
        <w:t xml:space="preserve">Det anförda bör ges regeringen till känna. Utskottet tillstyrker med detta motion A6 (yrk. 13 delvis).  </w:t>
      </w:r>
    </w:p>
    <w:p w:rsidR="00866CF7" w:rsidRPr="00000E4F" w:rsidRDefault="00866CF7">
      <w:r w:rsidRPr="00000E4F">
        <w:rPr>
          <w:i/>
        </w:rPr>
        <w:t>dels</w:t>
      </w:r>
      <w:r w:rsidRPr="00000E4F">
        <w:t xml:space="preserve"> att utskottets hemställan under 14 bort ha följande lydelse:</w:t>
      </w:r>
    </w:p>
    <w:p w:rsidR="00866CF7" w:rsidRPr="00000E4F" w:rsidRDefault="00866CF7">
      <w:pPr>
        <w:pStyle w:val="Resklmb"/>
      </w:pPr>
      <w:r w:rsidRPr="00000E4F">
        <w:t xml:space="preserve">14. beträffande </w:t>
      </w:r>
      <w:r w:rsidRPr="00000E4F">
        <w:rPr>
          <w:i/>
        </w:rPr>
        <w:t>övriga uppgifter för Medlingsinstitutet</w:t>
      </w:r>
    </w:p>
    <w:p w:rsidR="00866CF7" w:rsidRPr="00000E4F" w:rsidRDefault="00866CF7">
      <w:pPr>
        <w:pStyle w:val="Resklm"/>
      </w:pPr>
      <w:r w:rsidRPr="00000E4F">
        <w:t>att riksdagen med anledning av motion 1999/2000:A6 yrkande 13 i motsvarande del som sin mening ger regeringen till känna vad utsko</w:t>
      </w:r>
      <w:r w:rsidRPr="00000E4F">
        <w:t>t</w:t>
      </w:r>
      <w:r w:rsidRPr="00000E4F">
        <w:t xml:space="preserve">tet anfört, </w:t>
      </w:r>
    </w:p>
    <w:p w:rsidR="00866CF7" w:rsidRPr="00000E4F" w:rsidRDefault="00866CF7">
      <w:pPr>
        <w:pStyle w:val="Rubrik2"/>
      </w:pPr>
      <w:bookmarkStart w:id="140" w:name="_Toc477140386"/>
      <w:r w:rsidRPr="00000E4F">
        <w:t>Del II</w:t>
      </w:r>
      <w:bookmarkEnd w:id="140"/>
    </w:p>
    <w:p w:rsidR="00866CF7" w:rsidRPr="00000E4F" w:rsidRDefault="00866CF7">
      <w:pPr>
        <w:pStyle w:val="Rubrik2"/>
        <w:spacing w:before="123"/>
      </w:pPr>
      <w:bookmarkStart w:id="141" w:name="_Toc477140387"/>
      <w:r w:rsidRPr="00000E4F">
        <w:t>14. Utredning av arbetsrätten m.m. (mom. 17)</w:t>
      </w:r>
      <w:bookmarkEnd w:id="141"/>
    </w:p>
    <w:p w:rsidR="00866CF7" w:rsidRPr="00000E4F" w:rsidRDefault="00866CF7">
      <w:r w:rsidRPr="00000E4F">
        <w:t xml:space="preserve">Margareta Andersson (c), Mikael Odenberg (m), Patrik Norinder (m), Maria Larsson (kd), Christel Anderberg (m), Elver Jonsson (fp), Henrik Westman (m) och Magnus Jacobsson (kd) anser </w:t>
      </w:r>
    </w:p>
    <w:p w:rsidR="00866CF7" w:rsidRPr="00000E4F" w:rsidRDefault="00866CF7">
      <w:r w:rsidRPr="00000E4F">
        <w:rPr>
          <w:i/>
        </w:rPr>
        <w:t>dels</w:t>
      </w:r>
      <w:r w:rsidRPr="00000E4F">
        <w:t xml:space="preserve"> att den del av utskottets ställningstagande i Del II, avsnitt 1, som börjar med ”Som framgår av” och slutar med ”vad som anförts” bort ha följande lydelse:</w:t>
      </w:r>
    </w:p>
    <w:p w:rsidR="00866CF7" w:rsidRPr="00000E4F" w:rsidRDefault="00866CF7">
      <w:pPr>
        <w:pStyle w:val="Normaltindrag"/>
      </w:pPr>
      <w:r w:rsidRPr="00000E4F">
        <w:t>Den nuvarande arbetsrättsliga lagstiftningen är utformad efter 1970-talets behov och arbetsmarknad, dvs. det traditionella industrisamhället. I takt med förändringar såväl på arbetsmarknaden som i samhället i stort har behovet av förändringar av arbetsrätten blivit allt större. På arbetsmarknaden i dag råder helt andra förhållanden. Ett stort antal männ</w:t>
      </w:r>
      <w:r w:rsidRPr="00000E4F">
        <w:t>iskor står utanför arbetsmarkn</w:t>
      </w:r>
      <w:r w:rsidRPr="00000E4F">
        <w:t>a</w:t>
      </w:r>
      <w:r w:rsidRPr="00000E4F">
        <w:t>den eller har svag anknytning till denna. Arbetet organiseras i andra former än tidigare och antalet visstidsanställningar ökar. Allfler företag använder sig också av personal från personaluthyrningsföretag. Den nuvarande arbet</w:t>
      </w:r>
      <w:r w:rsidRPr="00000E4F">
        <w:t>s</w:t>
      </w:r>
      <w:r w:rsidRPr="00000E4F">
        <w:t>rättsliga lagstiftningen svarar inte mot de krav som förändringarna inneburit. Den är också komplicerad och svår att överblicka. Detta leder till att många företagare tvekar att nyanställa, vilket i sin tur leder till att de inte utvecklas och expandera</w:t>
      </w:r>
      <w:r w:rsidRPr="00000E4F">
        <w:t xml:space="preserve">r. </w:t>
      </w:r>
    </w:p>
    <w:p w:rsidR="00866CF7" w:rsidRPr="00000E4F" w:rsidRDefault="00866CF7">
      <w:pPr>
        <w:pStyle w:val="Normaltindrag"/>
      </w:pPr>
      <w:r w:rsidRPr="00000E4F">
        <w:t>Enligt utskottets mening är det därför nödvändigt att arbetsrätten modern</w:t>
      </w:r>
      <w:r w:rsidRPr="00000E4F">
        <w:t>i</w:t>
      </w:r>
      <w:r w:rsidRPr="00000E4F">
        <w:t>seras och reformeras. En ny arbetsrätt måste ge utrymme för ökad flexibilitet och göra det möjligt att träffa lokala överenskommelser anpassade till föret</w:t>
      </w:r>
      <w:r w:rsidRPr="00000E4F">
        <w:t>a</w:t>
      </w:r>
      <w:r w:rsidRPr="00000E4F">
        <w:t>gens individuella förutsättningar. Utskottet anser därför att det bör genomf</w:t>
      </w:r>
      <w:r w:rsidRPr="00000E4F">
        <w:t>ö</w:t>
      </w:r>
      <w:r w:rsidRPr="00000E4F">
        <w:t>ras en genomgripande översyn av arbetsrätten. Denna översyn är särskilt angelägen mot bakgrund av förekomsten av nya anställningsformer. Utsko</w:t>
      </w:r>
      <w:r w:rsidRPr="00000E4F">
        <w:t>t</w:t>
      </w:r>
      <w:r w:rsidRPr="00000E4F">
        <w:t>tet vill dock betona att det är möjlighet att redan i dag genomföra vissa fö</w:t>
      </w:r>
      <w:r w:rsidRPr="00000E4F">
        <w:t>r</w:t>
      </w:r>
      <w:r w:rsidRPr="00000E4F">
        <w:t>ändringar när det gäller anställningsskyddslagen och medbes</w:t>
      </w:r>
      <w:r w:rsidRPr="00000E4F">
        <w:t>tämmandelagen. Vad utskottet anfört bör ges regeringen till känna.</w:t>
      </w:r>
    </w:p>
    <w:p w:rsidR="00866CF7" w:rsidRPr="00000E4F" w:rsidRDefault="00866CF7">
      <w:r w:rsidRPr="00000E4F">
        <w:rPr>
          <w:i/>
        </w:rPr>
        <w:t>dels</w:t>
      </w:r>
      <w:r w:rsidRPr="00000E4F">
        <w:t xml:space="preserve"> att utskottets hemställan under 17 bort ha följande lydelse:</w:t>
      </w:r>
    </w:p>
    <w:p w:rsidR="00866CF7" w:rsidRPr="00000E4F" w:rsidRDefault="00866CF7">
      <w:pPr>
        <w:pStyle w:val="Resklmb"/>
      </w:pPr>
      <w:r w:rsidRPr="00000E4F">
        <w:t xml:space="preserve">17. beträffande </w:t>
      </w:r>
      <w:r w:rsidRPr="00000E4F">
        <w:rPr>
          <w:i/>
        </w:rPr>
        <w:t>utredning av arbetsrätten m.m.</w:t>
      </w:r>
    </w:p>
    <w:p w:rsidR="00866CF7" w:rsidRPr="00000E4F" w:rsidRDefault="00866CF7">
      <w:pPr>
        <w:pStyle w:val="Resklm"/>
      </w:pPr>
      <w:r w:rsidRPr="00000E4F">
        <w:t xml:space="preserve">att riksdagen med anledning av motionerna 1999/2000:A220 yrkande 21, 1999/2000:A231 yrkande 18, 1999/2000:A254 yrkande 25, 1999/2000:K351 yrkande 2, 1999/2000:Sk692 yrkandena 21 och 22 samt 1999/2000:N389 yrkande 3 och med avslag på motionerna 1999/2000:A219 yrkande 1, 1999/2000:A723 yrkande 1, 1999/2000:A811 yrkandena 1 och 2 samt 1999/2000:Sf304 yrkande 9 som sin mening ger regeringen till känna vad utskottet anfört, </w:t>
      </w:r>
    </w:p>
    <w:p w:rsidR="00866CF7" w:rsidRPr="00000E4F" w:rsidRDefault="00866CF7">
      <w:pPr>
        <w:pStyle w:val="Rubrik2"/>
      </w:pPr>
      <w:bookmarkStart w:id="142" w:name="_Toc477140388"/>
      <w:r w:rsidRPr="00000E4F">
        <w:t>15. Visstidsanställningar m.m. (mom. 19)</w:t>
      </w:r>
      <w:bookmarkEnd w:id="142"/>
    </w:p>
    <w:p w:rsidR="00866CF7" w:rsidRPr="00000E4F" w:rsidRDefault="00866CF7">
      <w:r w:rsidRPr="00000E4F">
        <w:t xml:space="preserve">Mikael Odenberg (m), Patrik Norinder (m), Maria Larsson (kd), Christel Anderberg (m), Henrik Westman (m) och Magnus Jacobsson (kd) anser </w:t>
      </w:r>
    </w:p>
    <w:p w:rsidR="00866CF7" w:rsidRPr="00000E4F" w:rsidRDefault="00866CF7">
      <w:r w:rsidRPr="00000E4F">
        <w:rPr>
          <w:i/>
        </w:rPr>
        <w:t>dels</w:t>
      </w:r>
      <w:r w:rsidRPr="00000E4F">
        <w:t xml:space="preserve"> att den del av utskottets ställningstagande i Del II, avsnitt 2.1, som bö</w:t>
      </w:r>
      <w:r w:rsidRPr="00000E4F">
        <w:t>r</w:t>
      </w:r>
      <w:r w:rsidRPr="00000E4F">
        <w:t>jar med ”Utskottet konstaterar att” och slutar med ”yrkande 3 (v)” bort ha följande lydelse:</w:t>
      </w:r>
    </w:p>
    <w:p w:rsidR="00866CF7" w:rsidRPr="00000E4F" w:rsidRDefault="00866CF7">
      <w:pPr>
        <w:pStyle w:val="Normaltindrag"/>
      </w:pPr>
      <w:r w:rsidRPr="00000E4F">
        <w:t>Visstidsanställning vid tillfällig arbetsanhopning får enligt anställning</w:t>
      </w:r>
      <w:r w:rsidRPr="00000E4F">
        <w:t>s</w:t>
      </w:r>
      <w:r w:rsidRPr="00000E4F">
        <w:t>skyddslagen avse sammanlagt högst sex månader under två år. Denna korta tid kan enligt utskottet leda till att arbetsgivare ser sig tvungna att välja att öka övertidsuttaget i stället för att nyanställa. Det är vidare inte rimligt att kräva att ett företag som får ett tillfälligt behov av arbetskraft som varar längre än sex månader skall tillsvidareanställa den nödvändiga arbetskraften för att kort tid därefter säga upp den på grund av arbetsbrist. Med för korta tidsgränser kan det också bli nödvändigt för</w:t>
      </w:r>
      <w:r w:rsidRPr="00000E4F">
        <w:t xml:space="preserve"> arbetsgivaren att byta ut den visstidsanställda arbetsstyrkan efter sex månader. Detta gäller framför allt i de mindre företagen. Utskottet delar därför den uppfattning som framförs i motion A254 att en tidsgräns på åtminstone ett år bör prövas.</w:t>
      </w:r>
    </w:p>
    <w:p w:rsidR="00866CF7" w:rsidRPr="00000E4F" w:rsidRDefault="00866CF7">
      <w:pPr>
        <w:pStyle w:val="Normaltindrag"/>
      </w:pPr>
      <w:r w:rsidRPr="00000E4F">
        <w:t>Med de ökade kraven i produktionen är det också svårare att bedöma hur en arbetstagare fungerar i arbetet. För att en provanställning skall kunna fylla sin funktion måste prövotiden vara så lång att den ger tillräcklig möjlighet för en sådan bedömning. Med de nuvar</w:t>
      </w:r>
      <w:r w:rsidRPr="00000E4F">
        <w:t>ande maximala sex månaderna finns en risk att arbetsgivarna inte vågar låta provanställningen övergå i en fast anställning utan i stället avbryter anställningsförhållandet. Utskottet ställer sig därför bakom kravet på en förlängning av prövotiden till tolv månader.</w:t>
      </w:r>
    </w:p>
    <w:p w:rsidR="00866CF7" w:rsidRPr="00000E4F" w:rsidRDefault="00866CF7">
      <w:pPr>
        <w:pStyle w:val="Normaltindrag"/>
      </w:pPr>
      <w:r w:rsidRPr="00000E4F">
        <w:t>Sammanfattningsvis ansluter sig utskottet till den uppfattning som redov</w:t>
      </w:r>
      <w:r w:rsidRPr="00000E4F">
        <w:t>i</w:t>
      </w:r>
      <w:r w:rsidRPr="00000E4F">
        <w:t>sas i motion A254 yrkandena 29 och 31 (kd) om en förlängning av tidsgrä</w:t>
      </w:r>
      <w:r w:rsidRPr="00000E4F">
        <w:t>n</w:t>
      </w:r>
      <w:r w:rsidRPr="00000E4F">
        <w:t>serna för visstidsanställningar och provanställningar. Vad utskottet anfört bör ges regeringen till känna. Utskottet tillstyrker berörd motion i motsvarande delar. Motionerna A240 (s) och A723 yrkande 3 (v) avstyrks.</w:t>
      </w:r>
    </w:p>
    <w:p w:rsidR="00866CF7" w:rsidRPr="00000E4F" w:rsidRDefault="00866CF7">
      <w:r w:rsidRPr="00000E4F">
        <w:rPr>
          <w:i/>
        </w:rPr>
        <w:t>dels</w:t>
      </w:r>
      <w:r w:rsidRPr="00000E4F">
        <w:t xml:space="preserve"> att utskottets hemställan under 19 bort ha följande lydelse:</w:t>
      </w:r>
    </w:p>
    <w:p w:rsidR="00866CF7" w:rsidRPr="00000E4F" w:rsidRDefault="00866CF7">
      <w:pPr>
        <w:pStyle w:val="Resklmb"/>
      </w:pPr>
      <w:r w:rsidRPr="00000E4F">
        <w:t xml:space="preserve">19. beträffande </w:t>
      </w:r>
      <w:r w:rsidRPr="00000E4F">
        <w:rPr>
          <w:i/>
        </w:rPr>
        <w:t>visstidsanställningar m.m.</w:t>
      </w:r>
    </w:p>
    <w:p w:rsidR="00866CF7" w:rsidRPr="00000E4F" w:rsidRDefault="00866CF7">
      <w:pPr>
        <w:pStyle w:val="Resklm"/>
      </w:pPr>
      <w:r w:rsidRPr="00000E4F">
        <w:t>att riksdagen med anledning av motion 1999/2000:A254 yrkandena 29 och 31 samt med avslag på motionerna 1999/2000:A240 och 1999/2000:A723 yrkande 3 som sin mening ger regeringen till känna vad utskottet a</w:t>
      </w:r>
      <w:r w:rsidRPr="00000E4F">
        <w:t>n</w:t>
      </w:r>
      <w:r w:rsidRPr="00000E4F">
        <w:t>fört,</w:t>
      </w:r>
    </w:p>
    <w:p w:rsidR="00866CF7" w:rsidRPr="00000E4F" w:rsidRDefault="00866CF7">
      <w:pPr>
        <w:pStyle w:val="Rubrik2"/>
      </w:pPr>
      <w:bookmarkStart w:id="143" w:name="_Toc477140389"/>
      <w:r w:rsidRPr="00000E4F">
        <w:t>16. Visstidsanställningar m.m. (mom. 19)</w:t>
      </w:r>
      <w:bookmarkEnd w:id="143"/>
    </w:p>
    <w:p w:rsidR="00866CF7" w:rsidRPr="00000E4F" w:rsidRDefault="00866CF7">
      <w:r w:rsidRPr="00000E4F">
        <w:t xml:space="preserve">Hans Andersson och Carlinge Wisberg (båda v) anser </w:t>
      </w:r>
    </w:p>
    <w:p w:rsidR="00866CF7" w:rsidRPr="00000E4F" w:rsidRDefault="00866CF7">
      <w:r w:rsidRPr="00000E4F">
        <w:rPr>
          <w:i/>
        </w:rPr>
        <w:t>dels</w:t>
      </w:r>
      <w:r w:rsidRPr="00000E4F">
        <w:t xml:space="preserve"> att den del av utskottets ställningstagande i Del II, avsnitt 2.1, som bö</w:t>
      </w:r>
      <w:r w:rsidRPr="00000E4F">
        <w:t>r</w:t>
      </w:r>
      <w:r w:rsidRPr="00000E4F">
        <w:t>jar med ”Utskottet konstaterar att” och slutar med ”yrkande 3 (v)” bort ha följande lydelse:</w:t>
      </w:r>
    </w:p>
    <w:p w:rsidR="00866CF7" w:rsidRPr="00000E4F" w:rsidRDefault="00866CF7">
      <w:pPr>
        <w:pStyle w:val="Normaltindrag"/>
      </w:pPr>
      <w:r w:rsidRPr="00000E4F">
        <w:t>I dag kan arbetsgivare visstidsanställa personal i stor omfattning. Vikar</w:t>
      </w:r>
      <w:r w:rsidRPr="00000E4F">
        <w:t>i</w:t>
      </w:r>
      <w:r w:rsidRPr="00000E4F">
        <w:t>atsanställningar, provanställningar, projektanställningar, tillfälliga anstäl</w:t>
      </w:r>
      <w:r w:rsidRPr="00000E4F">
        <w:t>l</w:t>
      </w:r>
      <w:r w:rsidRPr="00000E4F">
        <w:t>ningar vid arbetsanhopning och säsongsanställningar är vanliga, främst bland kvinnor. Även timanställningar har blivit allt vanligare. Till skillnad från de arbetstagare som är tillsvidareanställda omfattas de som är visstidsanställda inte av många av de regler som ger skydd vid uppsägning. Detta gäller e</w:t>
      </w:r>
      <w:r w:rsidRPr="00000E4F">
        <w:t>x</w:t>
      </w:r>
      <w:r w:rsidRPr="00000E4F">
        <w:t>empelvis saklig grund för åtgärden, varseltid och rätt till lön under uppsä</w:t>
      </w:r>
      <w:r w:rsidRPr="00000E4F">
        <w:t>g</w:t>
      </w:r>
      <w:r w:rsidRPr="00000E4F">
        <w:t>ningstiden. För den enskilde medför en visstidsans</w:t>
      </w:r>
      <w:r w:rsidRPr="00000E4F">
        <w:t>tällning även svårigheter vid planeringen av ekonomin och privatlivet. Det är också svårare för vi</w:t>
      </w:r>
      <w:r w:rsidRPr="00000E4F">
        <w:t>s</w:t>
      </w:r>
      <w:r w:rsidRPr="00000E4F">
        <w:t>stidsanställda att kvalificera sig för arbetslöshetsersättning. Kvinnor som är visstidsanställda går ofta miste om fortsatt anställning om de blir gravida. En visstidsanställd får inte heller del av utbildning i lika hög grad som en till</w:t>
      </w:r>
      <w:r w:rsidRPr="00000E4F">
        <w:t>s</w:t>
      </w:r>
      <w:r w:rsidRPr="00000E4F">
        <w:t>vidareanställd.</w:t>
      </w:r>
    </w:p>
    <w:p w:rsidR="00866CF7" w:rsidRPr="00000E4F" w:rsidRDefault="00866CF7">
      <w:pPr>
        <w:pStyle w:val="Normaltindrag"/>
      </w:pPr>
      <w:r w:rsidRPr="00000E4F">
        <w:t>Utskottet anser i likhet med Vänsterpartiet att huvudprincipen för anstäl</w:t>
      </w:r>
      <w:r w:rsidRPr="00000E4F">
        <w:t>l</w:t>
      </w:r>
      <w:r w:rsidRPr="00000E4F">
        <w:t>ning bör vara tillsvidareanställning. I de fall där en arbetsgivare vill anställa någon med annan anställningsform skall arbetsgivaren motivera varför i förhandlingar med en facklig organisation. Om en visstidsanställning varar mer än 18 månader skall anställningen automatiskt övergå till tillsvidar</w:t>
      </w:r>
      <w:r w:rsidRPr="00000E4F">
        <w:t>e</w:t>
      </w:r>
      <w:r w:rsidRPr="00000E4F">
        <w:t>anställning. Detsamma skall gälla då det skett en kombination av flera vi</w:t>
      </w:r>
      <w:r w:rsidRPr="00000E4F">
        <w:t>s</w:t>
      </w:r>
      <w:r w:rsidRPr="00000E4F">
        <w:t>s-tidsanställningar. Det anförda bör ges regeringen till känna. Motion A723 yrkande 3 (v) tillstyrks därför. Motionerna A240 (s) och A25</w:t>
      </w:r>
      <w:r w:rsidRPr="00000E4F">
        <w:t xml:space="preserve">4 yrkandena 29 och 31 (kd) avstyrks. </w:t>
      </w:r>
    </w:p>
    <w:p w:rsidR="00866CF7" w:rsidRPr="00000E4F" w:rsidRDefault="00866CF7">
      <w:r w:rsidRPr="00000E4F">
        <w:br w:type="page"/>
      </w:r>
      <w:r w:rsidRPr="00000E4F">
        <w:rPr>
          <w:i/>
        </w:rPr>
        <w:t>dels</w:t>
      </w:r>
      <w:r w:rsidRPr="00000E4F">
        <w:t xml:space="preserve"> att utskottets hemställan under 19 bort ha följande lydelse:</w:t>
      </w:r>
    </w:p>
    <w:p w:rsidR="00866CF7" w:rsidRPr="00000E4F" w:rsidRDefault="00866CF7">
      <w:pPr>
        <w:pStyle w:val="Resklmb"/>
      </w:pPr>
      <w:r w:rsidRPr="00000E4F">
        <w:t xml:space="preserve">19. beträffande </w:t>
      </w:r>
      <w:r w:rsidRPr="00000E4F">
        <w:rPr>
          <w:i/>
        </w:rPr>
        <w:t>visstidsanställningar m.m.</w:t>
      </w:r>
    </w:p>
    <w:p w:rsidR="00866CF7" w:rsidRPr="00000E4F" w:rsidRDefault="00866CF7">
      <w:pPr>
        <w:pStyle w:val="Resklm"/>
      </w:pPr>
      <w:r w:rsidRPr="00000E4F">
        <w:t>att riksdagen med anledning av motion 1999/2000:A723 yrkande 3 och med avslag på motionerna 1999/2000:A240 samt 1999/2000:A254 yrkandena 29 och 31 som sin mening ger regeringen till känna vad u</w:t>
      </w:r>
      <w:r w:rsidRPr="00000E4F">
        <w:t>t</w:t>
      </w:r>
      <w:r w:rsidRPr="00000E4F">
        <w:t xml:space="preserve">skottet anfört, </w:t>
      </w:r>
    </w:p>
    <w:p w:rsidR="00866CF7" w:rsidRPr="00000E4F" w:rsidRDefault="00866CF7">
      <w:pPr>
        <w:pStyle w:val="Rubrik2"/>
      </w:pPr>
      <w:bookmarkStart w:id="144" w:name="_Toc477140390"/>
      <w:r w:rsidRPr="00000E4F">
        <w:t>17. Pensionsförmåner (mom. 20)</w:t>
      </w:r>
      <w:bookmarkEnd w:id="144"/>
    </w:p>
    <w:p w:rsidR="00866CF7" w:rsidRPr="00000E4F" w:rsidRDefault="00866CF7">
      <w:r w:rsidRPr="00000E4F">
        <w:t xml:space="preserve">Mikael Odenberg, Patrik Norinder, Christel Anderberg och Henrik Westman (alla m) anser </w:t>
      </w:r>
    </w:p>
    <w:p w:rsidR="00866CF7" w:rsidRPr="00000E4F" w:rsidRDefault="00866CF7">
      <w:r w:rsidRPr="00000E4F">
        <w:rPr>
          <w:i/>
        </w:rPr>
        <w:t>dels</w:t>
      </w:r>
      <w:r w:rsidRPr="00000E4F">
        <w:t xml:space="preserve"> att den del av utskottets ställningstagande i Del II, avsnitt 2.1, som bö</w:t>
      </w:r>
      <w:r w:rsidRPr="00000E4F">
        <w:t>r</w:t>
      </w:r>
      <w:r w:rsidRPr="00000E4F">
        <w:t>jar med ”Enligt vad utskottet” och slutar med ”med direktivets anda” bort ha följande lydelse:</w:t>
      </w:r>
    </w:p>
    <w:p w:rsidR="00866CF7" w:rsidRPr="00000E4F" w:rsidRDefault="00866CF7">
      <w:pPr>
        <w:pStyle w:val="Normaltindrag"/>
      </w:pPr>
      <w:r w:rsidRPr="00000E4F">
        <w:t>Enligt utskottet är det inte tillfredsställande att vissa grupper missgynnas på grund av utformningen av vissa kollektivavtal. Utskottet delar därför motionärens åsikt att den arbetsrättsliga lagstiftningen bör ändras så att den bättre skyddar dessa grupper. Det bör införas stoppregler i lagstiftningen som undanröjer den här typen av diskri</w:t>
      </w:r>
      <w:r w:rsidRPr="00000E4F">
        <w:t>minerande regler. Utskottet tillstyrker därför motion A712 (m).</w:t>
      </w:r>
    </w:p>
    <w:p w:rsidR="00866CF7" w:rsidRPr="00000E4F" w:rsidRDefault="00866CF7">
      <w:r w:rsidRPr="00000E4F">
        <w:rPr>
          <w:i/>
        </w:rPr>
        <w:t>dels</w:t>
      </w:r>
      <w:r w:rsidRPr="00000E4F">
        <w:t xml:space="preserve"> att utskottets hemställan under 20 bort ha följande lydelse:</w:t>
      </w:r>
    </w:p>
    <w:p w:rsidR="00866CF7" w:rsidRPr="00000E4F" w:rsidRDefault="00866CF7">
      <w:pPr>
        <w:pStyle w:val="Resklmb"/>
      </w:pPr>
      <w:r w:rsidRPr="00000E4F">
        <w:t xml:space="preserve">20. beträffande </w:t>
      </w:r>
      <w:r w:rsidRPr="00000E4F">
        <w:rPr>
          <w:i/>
        </w:rPr>
        <w:t>pensionsförmåner</w:t>
      </w:r>
    </w:p>
    <w:p w:rsidR="00866CF7" w:rsidRPr="00000E4F" w:rsidRDefault="00866CF7">
      <w:pPr>
        <w:pStyle w:val="Resklm"/>
      </w:pPr>
      <w:r w:rsidRPr="00000E4F">
        <w:t>att riksdagen med anledning av motion 1999/2000:A712 som sin m</w:t>
      </w:r>
      <w:r w:rsidRPr="00000E4F">
        <w:t>e</w:t>
      </w:r>
      <w:r w:rsidRPr="00000E4F">
        <w:t>ning ger r</w:t>
      </w:r>
      <w:r w:rsidRPr="00000E4F">
        <w:t>e</w:t>
      </w:r>
      <w:r w:rsidRPr="00000E4F">
        <w:t>geringen till känna vad utskottet anfört,</w:t>
      </w:r>
    </w:p>
    <w:p w:rsidR="00866CF7" w:rsidRPr="00000E4F" w:rsidRDefault="00866CF7">
      <w:pPr>
        <w:pStyle w:val="Rubrik2"/>
      </w:pPr>
      <w:bookmarkStart w:id="145" w:name="_Toc477140391"/>
      <w:r w:rsidRPr="00000E4F">
        <w:t>18. Lokala avtal (mom. 21)</w:t>
      </w:r>
      <w:bookmarkEnd w:id="145"/>
    </w:p>
    <w:p w:rsidR="00866CF7" w:rsidRPr="00000E4F" w:rsidRDefault="00866CF7">
      <w:r w:rsidRPr="00000E4F">
        <w:t xml:space="preserve">Margareta Andersson (c), Mikael Odenberg (m), Patrik Norinder (m), Maria Larsson (kd), Christel Anderberg (m), Henrik Westman (m) och Magnus Jacobsson (kd) anser </w:t>
      </w:r>
    </w:p>
    <w:p w:rsidR="00866CF7" w:rsidRPr="00000E4F" w:rsidRDefault="00866CF7">
      <w:r w:rsidRPr="00000E4F">
        <w:rPr>
          <w:i/>
        </w:rPr>
        <w:t>dels</w:t>
      </w:r>
      <w:r w:rsidRPr="00000E4F">
        <w:t xml:space="preserve"> att den del av utskottets ställningstagande i Del II, avsnitt 2.2, som bö</w:t>
      </w:r>
      <w:r w:rsidRPr="00000E4F">
        <w:t>r</w:t>
      </w:r>
      <w:r w:rsidRPr="00000E4F">
        <w:t>jar med ”Vad gäller förslagen” och slutar med ”reglerna väl avvägda” bort ha följande lydelse:</w:t>
      </w:r>
    </w:p>
    <w:p w:rsidR="00866CF7" w:rsidRPr="00000E4F" w:rsidRDefault="00866CF7">
      <w:pPr>
        <w:pStyle w:val="Normaltindrag"/>
      </w:pPr>
      <w:r w:rsidRPr="00000E4F">
        <w:t>Lokala överenskommelser, som avviker från vad anställningsskyddslagen föreskriver, kan träffas om tidsbegränsade anställningar, turordningsregler, regler om företrädesrätt till återanställning m.m. samt om den närmare b</w:t>
      </w:r>
      <w:r w:rsidRPr="00000E4F">
        <w:t>e</w:t>
      </w:r>
      <w:r w:rsidRPr="00000E4F">
        <w:t xml:space="preserve">räkningen av lön och andra förmåner under uppsägningstid. </w:t>
      </w:r>
    </w:p>
    <w:p w:rsidR="00866CF7" w:rsidRPr="00000E4F" w:rsidRDefault="00866CF7">
      <w:pPr>
        <w:pStyle w:val="Normaltindrag"/>
      </w:pPr>
      <w:r w:rsidRPr="00000E4F">
        <w:t>Utskottet anser att ytterligare steg bör tas för att decentralisera arbetsrätten. Möjligheterna att förhandla lokalt och göra undantag från centrala kollekt</w:t>
      </w:r>
      <w:r w:rsidRPr="00000E4F">
        <w:t>i</w:t>
      </w:r>
      <w:r w:rsidRPr="00000E4F">
        <w:t>v-avtal måste därför öka. Detta bör riksdagen ge regeringen till känna.</w:t>
      </w:r>
    </w:p>
    <w:p w:rsidR="00866CF7" w:rsidRPr="00000E4F" w:rsidRDefault="00866CF7">
      <w:r w:rsidRPr="00000E4F">
        <w:rPr>
          <w:i/>
        </w:rPr>
        <w:t>dels</w:t>
      </w:r>
      <w:r w:rsidRPr="00000E4F">
        <w:t xml:space="preserve"> att meningen i utskottets ställningstagande i Del II, avsnitt 2.2, som lyder ”Sammanfattningsvis avstyrker utskottet motionerna A220 yrkande 22 (c) och A723 yrkande 2 (v)” bort ha följande lydelse: </w:t>
      </w:r>
    </w:p>
    <w:p w:rsidR="00866CF7" w:rsidRPr="00000E4F" w:rsidRDefault="00866CF7">
      <w:pPr>
        <w:rPr>
          <w:i/>
        </w:rPr>
      </w:pPr>
      <w:r w:rsidRPr="00000E4F">
        <w:t>Sammanfattningsvis tillstyrker utskottet motion A220 yrkande 22 (c) samt avstyrker motion A723 yrkande 2 (v).</w:t>
      </w:r>
    </w:p>
    <w:p w:rsidR="00866CF7" w:rsidRPr="00000E4F" w:rsidRDefault="00866CF7">
      <w:r w:rsidRPr="00000E4F">
        <w:rPr>
          <w:i/>
        </w:rPr>
        <w:t>dels</w:t>
      </w:r>
      <w:r w:rsidRPr="00000E4F">
        <w:t xml:space="preserve"> att utskottets hemställan under 21 bort ha följande lydelse:</w:t>
      </w:r>
    </w:p>
    <w:p w:rsidR="00866CF7" w:rsidRPr="00000E4F" w:rsidRDefault="00866CF7">
      <w:pPr>
        <w:pStyle w:val="Resklmb"/>
      </w:pPr>
      <w:r w:rsidRPr="00000E4F">
        <w:t xml:space="preserve">21. beträffande </w:t>
      </w:r>
      <w:r w:rsidRPr="00000E4F">
        <w:rPr>
          <w:i/>
        </w:rPr>
        <w:t>lokala avtal</w:t>
      </w:r>
    </w:p>
    <w:p w:rsidR="00866CF7" w:rsidRPr="00000E4F" w:rsidRDefault="00866CF7">
      <w:pPr>
        <w:pStyle w:val="Resklm"/>
      </w:pPr>
      <w:r w:rsidRPr="00000E4F">
        <w:t xml:space="preserve">att riksdagen med anledning av motion 1999/2000:A220 yrkande 22 och med avslag på motion 1999/2000:A723 yrkande 2 som sin mening ger regeringen till känna vad utskottet anfört, </w:t>
      </w:r>
    </w:p>
    <w:p w:rsidR="00866CF7" w:rsidRPr="00000E4F" w:rsidRDefault="00866CF7">
      <w:pPr>
        <w:pStyle w:val="Rubrik2"/>
        <w:spacing w:before="123"/>
      </w:pPr>
      <w:bookmarkStart w:id="146" w:name="_Toc477140392"/>
      <w:r w:rsidRPr="00000E4F">
        <w:t>19. Lokala avtal (mom. 21)</w:t>
      </w:r>
      <w:bookmarkEnd w:id="146"/>
    </w:p>
    <w:p w:rsidR="00866CF7" w:rsidRPr="00000E4F" w:rsidRDefault="00866CF7">
      <w:r w:rsidRPr="00000E4F">
        <w:t xml:space="preserve">Hans Andersson och Carlinge Wisberg (båda v) anser </w:t>
      </w:r>
    </w:p>
    <w:p w:rsidR="00866CF7" w:rsidRPr="00000E4F" w:rsidRDefault="00866CF7">
      <w:r w:rsidRPr="00000E4F">
        <w:rPr>
          <w:i/>
        </w:rPr>
        <w:t>dels</w:t>
      </w:r>
      <w:r w:rsidRPr="00000E4F">
        <w:t xml:space="preserve"> att den del av utskottets ställningstagande i Del II, avsnitt 2.2, som bö</w:t>
      </w:r>
      <w:r w:rsidRPr="00000E4F">
        <w:t>r</w:t>
      </w:r>
      <w:r w:rsidRPr="00000E4F">
        <w:t>jar med ”Vad gäller förslagen” och slutar med ”reglerna väl avvägda” bort ha följande lydelse:</w:t>
      </w:r>
    </w:p>
    <w:p w:rsidR="00866CF7" w:rsidRPr="00000E4F" w:rsidRDefault="00866CF7">
      <w:pPr>
        <w:pStyle w:val="Normaltindrag"/>
      </w:pPr>
      <w:r w:rsidRPr="00000E4F">
        <w:t>När anställningsskyddslagen infördes var syftet att i första hand ge arbet</w:t>
      </w:r>
      <w:r w:rsidRPr="00000E4F">
        <w:t>s</w:t>
      </w:r>
      <w:r w:rsidRPr="00000E4F">
        <w:t>tagarna, som den svagare parten, ett skydd mot godtycke vid anställningsa</w:t>
      </w:r>
      <w:r w:rsidRPr="00000E4F">
        <w:t>v</w:t>
      </w:r>
      <w:r w:rsidRPr="00000E4F">
        <w:t>talets ingående och avslutande. De möjligheter som finns att göra avvikelser från lagen bör därför tillämpas med återhållsamhet. Från början fick avvike</w:t>
      </w:r>
      <w:r w:rsidRPr="00000E4F">
        <w:t>l</w:t>
      </w:r>
      <w:r w:rsidRPr="00000E4F">
        <w:t xml:space="preserve">ser i förhållande till lagen göras efter överenskommelse mellan arbetsgivare och en arbetstagarorganisation på förbundsnivå. Den ändring som gjordes med verkan från den 1 juli 1997 och som utskottet har berört inledningsvis i detta avsnitt, som innebär att avtal kan träffas på lokal </w:t>
      </w:r>
      <w:r w:rsidRPr="00000E4F">
        <w:t>nivå, medför att a</w:t>
      </w:r>
      <w:r w:rsidRPr="00000E4F">
        <w:t>r</w:t>
      </w:r>
      <w:r w:rsidRPr="00000E4F">
        <w:t>betsrätten inte är lika för alla. Det kan befaras att en lokal facklig organis</w:t>
      </w:r>
      <w:r w:rsidRPr="00000E4F">
        <w:t>a</w:t>
      </w:r>
      <w:r w:rsidRPr="00000E4F">
        <w:t>tion som har en svag ställning på arbetsplatsen kan tvingas gå med på att avtala bort väsentliga delar av anställningsskyddslagen. Det kan också inträ</w:t>
      </w:r>
      <w:r w:rsidRPr="00000E4F">
        <w:t>f</w:t>
      </w:r>
      <w:r w:rsidRPr="00000E4F">
        <w:t>fa att en lokal arbetstagarorganisation hamnar i rena utpressningssituationer där arbetsgivaren ställer krav på försämringar i anställningsskyddet som villkor för nyanställning eller för att inte verkställa uppsägning. När avsteg görs från den legala turordningen</w:t>
      </w:r>
      <w:r w:rsidRPr="00000E4F">
        <w:t xml:space="preserve"> och s.k. turordningslistor upprättas finns det också risk för att kvinnor bli sämre behandlade än män. Även invandrare och funktionshindrade kan sorteras bort på detta sätt. Det finns både större kompetens och intresse hos förbunden på central nivå att fungera som ”grindvakt” mot diskriminering på grund av t.ex. kön.</w:t>
      </w:r>
    </w:p>
    <w:p w:rsidR="00866CF7" w:rsidRPr="00000E4F" w:rsidRDefault="00866CF7">
      <w:pPr>
        <w:pStyle w:val="Normaltindrag"/>
      </w:pPr>
      <w:r w:rsidRPr="00000E4F">
        <w:t>Utskottet ansluter sig till Vänsterpartiets uppfattning att det som en huvu</w:t>
      </w:r>
      <w:r w:rsidRPr="00000E4F">
        <w:t>d</w:t>
      </w:r>
      <w:r w:rsidRPr="00000E4F">
        <w:t>princip skall gälla att anställningsskyddslagen inte skall kunna avtalas bort. Avvikelser i förhållande till lagens bestämmelser skall enbart kunna ske genom överenskommelser på central nivå inom respektive bransch. Det får sedan vara upp till de olika förbunden att delegera ned förhandlingsrätten till den lokala fackliga organisationen. Hänvisning till central arbetstagarorgan</w:t>
      </w:r>
      <w:r w:rsidRPr="00000E4F">
        <w:t>i</w:t>
      </w:r>
      <w:r w:rsidRPr="00000E4F">
        <w:t>sation skall därför åter införas i anställningsskyddslagen. Det anförda bör ges regeringen till känna.</w:t>
      </w:r>
    </w:p>
    <w:p w:rsidR="00866CF7" w:rsidRPr="00000E4F" w:rsidRDefault="00866CF7">
      <w:r w:rsidRPr="00000E4F">
        <w:rPr>
          <w:i/>
        </w:rPr>
        <w:t>dels</w:t>
      </w:r>
      <w:r w:rsidRPr="00000E4F">
        <w:t xml:space="preserve"> att meningen i utskottets ställningstagande i Del II, avsnitt 2.2, som lyder ”Sammanfattningsvis avstyrker utskottet motionerna A220 yrkande 22 (c) och A723 yrkande 2 (v)” bort ha följande lydelse:</w:t>
      </w:r>
    </w:p>
    <w:p w:rsidR="00866CF7" w:rsidRPr="00000E4F" w:rsidRDefault="00866CF7">
      <w:pPr>
        <w:pStyle w:val="Normaltindrag"/>
      </w:pPr>
      <w:r w:rsidRPr="00000E4F">
        <w:t>Sammanfattningsvis tillstyrker utskottet motion A723 yrkande 2 (v) samt avstyrker motion A220 yrkande 22 (c).</w:t>
      </w:r>
    </w:p>
    <w:p w:rsidR="00866CF7" w:rsidRPr="00000E4F" w:rsidRDefault="00866CF7">
      <w:r w:rsidRPr="00000E4F">
        <w:br w:type="page"/>
      </w:r>
      <w:r w:rsidRPr="00000E4F">
        <w:rPr>
          <w:i/>
        </w:rPr>
        <w:t>dels</w:t>
      </w:r>
      <w:r w:rsidRPr="00000E4F">
        <w:t xml:space="preserve"> att utskottets hemställan under 21 bort ha följande lydelse:</w:t>
      </w:r>
    </w:p>
    <w:p w:rsidR="00866CF7" w:rsidRPr="00000E4F" w:rsidRDefault="00866CF7">
      <w:pPr>
        <w:pStyle w:val="Resklmb"/>
      </w:pPr>
      <w:r w:rsidRPr="00000E4F">
        <w:t xml:space="preserve">21. beträffande </w:t>
      </w:r>
      <w:r w:rsidRPr="00000E4F">
        <w:rPr>
          <w:i/>
        </w:rPr>
        <w:t>lokala avtal</w:t>
      </w:r>
    </w:p>
    <w:p w:rsidR="00866CF7" w:rsidRPr="00000E4F" w:rsidRDefault="00866CF7">
      <w:pPr>
        <w:pStyle w:val="Resklm"/>
      </w:pPr>
      <w:r w:rsidRPr="00000E4F">
        <w:t>att riksdagen med anledning av motion 1999/2000:A723 yrkande 2 och med avslag på motion 1999/2000:A220 yrkande 22 som sin m</w:t>
      </w:r>
      <w:r w:rsidRPr="00000E4F">
        <w:t>e</w:t>
      </w:r>
      <w:r w:rsidRPr="00000E4F">
        <w:t xml:space="preserve">ning ger regeringen till känna vad utskottet anfört, </w:t>
      </w:r>
    </w:p>
    <w:p w:rsidR="00866CF7" w:rsidRPr="00000E4F" w:rsidRDefault="00866CF7">
      <w:pPr>
        <w:pStyle w:val="Rubrik2"/>
      </w:pPr>
      <w:bookmarkStart w:id="147" w:name="_Toc477140393"/>
      <w:r w:rsidRPr="00000E4F">
        <w:t>20. Avsteg från anställningsskyddslagen (mom. 22)</w:t>
      </w:r>
      <w:bookmarkEnd w:id="147"/>
    </w:p>
    <w:p w:rsidR="00866CF7" w:rsidRPr="00000E4F" w:rsidRDefault="00866CF7">
      <w:r w:rsidRPr="00000E4F">
        <w:t xml:space="preserve">Mikael Odenberg, Patrik Norinder, Christel Anderberg och Henrik Westman (alla m) anser </w:t>
      </w:r>
    </w:p>
    <w:p w:rsidR="00866CF7" w:rsidRPr="00000E4F" w:rsidRDefault="00866CF7">
      <w:r w:rsidRPr="00000E4F">
        <w:rPr>
          <w:i/>
        </w:rPr>
        <w:t>dels</w:t>
      </w:r>
      <w:r w:rsidRPr="00000E4F">
        <w:t xml:space="preserve"> att den del av utskottets ställningstagande i Del II, avsnitt 2.2, som bö</w:t>
      </w:r>
      <w:r w:rsidRPr="00000E4F">
        <w:t>r</w:t>
      </w:r>
      <w:r w:rsidRPr="00000E4F">
        <w:t>jar med ”Med anledning av” och slutar med ”skydd lagen innebär” bort ha följa</w:t>
      </w:r>
      <w:r w:rsidRPr="00000E4F">
        <w:t>n</w:t>
      </w:r>
      <w:r w:rsidRPr="00000E4F">
        <w:t>de lydelse:</w:t>
      </w:r>
    </w:p>
    <w:p w:rsidR="00866CF7" w:rsidRPr="00000E4F" w:rsidRDefault="00866CF7">
      <w:pPr>
        <w:pStyle w:val="Normaltindrag"/>
      </w:pPr>
      <w:r w:rsidRPr="00000E4F">
        <w:t>Utformningen av den arbetsrättsliga lagstiftningen och de regler som finns i kollektivavtal innebär att nyanställning av ”äldre arbetskraft” är mindre attraktiv. Detta leder till att arbetslöshet vid 50 års ålder ökar risken för liv</w:t>
      </w:r>
      <w:r w:rsidRPr="00000E4F">
        <w:t>s</w:t>
      </w:r>
      <w:r w:rsidRPr="00000E4F">
        <w:t xml:space="preserve">varig arbetslöshet. </w:t>
      </w:r>
    </w:p>
    <w:p w:rsidR="00866CF7" w:rsidRPr="00000E4F" w:rsidRDefault="00866CF7">
      <w:pPr>
        <w:pStyle w:val="Normaltindrag"/>
      </w:pPr>
      <w:r w:rsidRPr="00000E4F">
        <w:t>Antalet äldre kommer också att öka. Detta beror på att de stora barnkulla</w:t>
      </w:r>
      <w:r w:rsidRPr="00000E4F">
        <w:t>r</w:t>
      </w:r>
      <w:r w:rsidRPr="00000E4F">
        <w:t>na från 1940-talet börjar komma upp i den ålder då de anses vara ”överåriga” på arbetsmarknaden. Detta är allvarligt för arbetsmarknaden som helhet, för de enskilda individerna och för den belastning som förtidspensionssystemet kan komma att utsättas för.</w:t>
      </w:r>
    </w:p>
    <w:p w:rsidR="00866CF7" w:rsidRPr="00000E4F" w:rsidRDefault="00866CF7">
      <w:pPr>
        <w:pStyle w:val="Normaltindrag"/>
      </w:pPr>
      <w:r w:rsidRPr="00000E4F">
        <w:t>För att bryta denna utveckling krävs ett flertal åtgärder. En åtgärd är att möjliggöra för den äldre arbetskraften att avtala bort de hinder som längre uppsägningstid skapar. På kollektivavtalsområdet bör också en större flex</w:t>
      </w:r>
      <w:r w:rsidRPr="00000E4F">
        <w:t>i</w:t>
      </w:r>
      <w:r w:rsidRPr="00000E4F">
        <w:t>bilitet eftersträvas som ger ökat manöverutrymme för den äldre arbetskra</w:t>
      </w:r>
      <w:r w:rsidRPr="00000E4F">
        <w:t>f</w:t>
      </w:r>
      <w:r w:rsidRPr="00000E4F">
        <w:t>ten. En temporär lösning kan vara att ge äldre arbetskraft som söker nya anställningar en möjlighet att ingå enskilda uppgörelser som innebär att de avstår från reglerna i anställningsskyddslagen, exempelvis kortare uppsä</w:t>
      </w:r>
      <w:r w:rsidRPr="00000E4F">
        <w:t>g</w:t>
      </w:r>
      <w:r w:rsidRPr="00000E4F">
        <w:t>ningstid än vad lagen föreskriver. Denna begränsade dispositivitet bör inte kunna avtalas bort i kollektivavtal. Vad utskottet har anfört bör ges regerin</w:t>
      </w:r>
      <w:r w:rsidRPr="00000E4F">
        <w:t>g</w:t>
      </w:r>
      <w:r w:rsidRPr="00000E4F">
        <w:t>en till känna.</w:t>
      </w:r>
    </w:p>
    <w:p w:rsidR="00866CF7" w:rsidRPr="00000E4F" w:rsidRDefault="00866CF7">
      <w:r w:rsidRPr="00000E4F">
        <w:rPr>
          <w:i/>
        </w:rPr>
        <w:t xml:space="preserve">dels </w:t>
      </w:r>
      <w:r w:rsidRPr="00000E4F">
        <w:t>att meningen i utskottets ställningstagande i Del II, avsnitt 2.2, som lyder ”Vidare avstyrks motion A713 yrkande 1 (m)” bort ha följande lydelse:</w:t>
      </w:r>
    </w:p>
    <w:p w:rsidR="00866CF7" w:rsidRPr="00000E4F" w:rsidRDefault="00866CF7">
      <w:pPr>
        <w:pStyle w:val="Normaltindrag"/>
      </w:pPr>
      <w:r w:rsidRPr="00000E4F">
        <w:t xml:space="preserve">Vidare tillstyrks motion A713 yrkande 1 (m). </w:t>
      </w:r>
    </w:p>
    <w:p w:rsidR="00866CF7" w:rsidRPr="00000E4F" w:rsidRDefault="00866CF7">
      <w:r w:rsidRPr="00000E4F">
        <w:rPr>
          <w:i/>
        </w:rPr>
        <w:t>dels</w:t>
      </w:r>
      <w:r w:rsidRPr="00000E4F">
        <w:t xml:space="preserve"> att utskottets hemställan under 22 bort ha följande lydelse:</w:t>
      </w:r>
    </w:p>
    <w:p w:rsidR="00866CF7" w:rsidRPr="00000E4F" w:rsidRDefault="00866CF7">
      <w:pPr>
        <w:pStyle w:val="Resklmb"/>
      </w:pPr>
      <w:r w:rsidRPr="00000E4F">
        <w:t xml:space="preserve">22. beträffande </w:t>
      </w:r>
      <w:r w:rsidRPr="00000E4F">
        <w:rPr>
          <w:i/>
        </w:rPr>
        <w:t>avsteg från anställningsskyddslagen</w:t>
      </w:r>
    </w:p>
    <w:p w:rsidR="00866CF7" w:rsidRPr="00000E4F" w:rsidRDefault="00866CF7">
      <w:pPr>
        <w:pStyle w:val="Resklm"/>
      </w:pPr>
      <w:r w:rsidRPr="00000E4F">
        <w:t xml:space="preserve">att riksdagen med anledning av motion 1999/2000:A713 yrkande 1 som sin mening ger regeringen till känna vad utskottet anfört, </w:t>
      </w:r>
    </w:p>
    <w:p w:rsidR="00866CF7" w:rsidRPr="00000E4F" w:rsidRDefault="00866CF7">
      <w:pPr>
        <w:pStyle w:val="Rubrik2"/>
      </w:pPr>
      <w:r w:rsidRPr="00000E4F">
        <w:br w:type="page"/>
      </w:r>
      <w:bookmarkStart w:id="148" w:name="_Toc477140394"/>
      <w:r w:rsidRPr="00000E4F">
        <w:t>21. Återanställningsrätt (mom. 23)</w:t>
      </w:r>
      <w:bookmarkEnd w:id="148"/>
    </w:p>
    <w:p w:rsidR="00866CF7" w:rsidRPr="00000E4F" w:rsidRDefault="00866CF7">
      <w:r w:rsidRPr="00000E4F">
        <w:t xml:space="preserve">Mikael Odenberg (m), Patrik Norinder (m), Maria Larsson (kd), Christel Anderberg (m), Henrik Westman (m) och Magnus Jacobsson (kd) anser </w:t>
      </w:r>
    </w:p>
    <w:p w:rsidR="00866CF7" w:rsidRPr="00000E4F" w:rsidRDefault="00866CF7">
      <w:r w:rsidRPr="00000E4F">
        <w:rPr>
          <w:i/>
        </w:rPr>
        <w:t>dels</w:t>
      </w:r>
      <w:r w:rsidRPr="00000E4F">
        <w:t xml:space="preserve"> att den del av utskottets ställningstagande i Del II, avsnitt 2.3, som bö</w:t>
      </w:r>
      <w:r w:rsidRPr="00000E4F">
        <w:t>r</w:t>
      </w:r>
      <w:r w:rsidRPr="00000E4F">
        <w:t>jar med ”Vad gäller Vänsterpartiets” och slutar med ”yrkande 4 (v)” bort ha följande lydelse:</w:t>
      </w:r>
    </w:p>
    <w:p w:rsidR="00866CF7" w:rsidRPr="00000E4F" w:rsidRDefault="00866CF7">
      <w:pPr>
        <w:pStyle w:val="Normaltindrag"/>
      </w:pPr>
      <w:r w:rsidRPr="00000E4F">
        <w:t>Den förkortning av längden på återanställningsrätten som genomfördes den 1 januari 1997 är enligt utskottets mening inte tillräcklig. Den nuvarande bestämmelsen innebär problem för arbetsgivaren. Vid uppsägningar p.g.a. arbetsbrist sker det ofta omstruktureringar i bolagen vilket bl.a. innebär att det ställs andra krav på de som återanställs</w:t>
      </w:r>
      <w:r w:rsidRPr="00000E4F">
        <w:t>. Utskottet ställer sig därför bakom förslaget som framförs i motion A254 yrkande 30 (kd). Motion A723 yrka</w:t>
      </w:r>
      <w:r w:rsidRPr="00000E4F">
        <w:t>n</w:t>
      </w:r>
      <w:r w:rsidRPr="00000E4F">
        <w:t>de 4 (v) a</w:t>
      </w:r>
      <w:r w:rsidRPr="00000E4F">
        <w:t>v</w:t>
      </w:r>
      <w:r w:rsidRPr="00000E4F">
        <w:t xml:space="preserve">styrks. </w:t>
      </w:r>
    </w:p>
    <w:p w:rsidR="00866CF7" w:rsidRPr="00000E4F" w:rsidRDefault="00866CF7">
      <w:r w:rsidRPr="00000E4F">
        <w:rPr>
          <w:i/>
        </w:rPr>
        <w:t>dels</w:t>
      </w:r>
      <w:r w:rsidRPr="00000E4F">
        <w:t xml:space="preserve"> att utskottets hemställan under 23 bort ha följande lydelse:</w:t>
      </w:r>
    </w:p>
    <w:p w:rsidR="00866CF7" w:rsidRPr="00000E4F" w:rsidRDefault="00866CF7">
      <w:pPr>
        <w:pStyle w:val="Resklmb"/>
      </w:pPr>
      <w:r w:rsidRPr="00000E4F">
        <w:t xml:space="preserve">23. beträffande </w:t>
      </w:r>
      <w:r w:rsidRPr="00000E4F">
        <w:rPr>
          <w:i/>
        </w:rPr>
        <w:t>återanställningsrätt</w:t>
      </w:r>
    </w:p>
    <w:p w:rsidR="00866CF7" w:rsidRPr="00000E4F" w:rsidRDefault="00866CF7">
      <w:pPr>
        <w:pStyle w:val="Resklm"/>
      </w:pPr>
      <w:r w:rsidRPr="00000E4F">
        <w:t>att riksdagen med anledning av motion 1999/2000:A254 yrkande 30 samt med avslag på motion 1999/2000:A723 yrkande 4 som sin m</w:t>
      </w:r>
      <w:r w:rsidRPr="00000E4F">
        <w:t>e</w:t>
      </w:r>
      <w:r w:rsidRPr="00000E4F">
        <w:t>ning ger reg</w:t>
      </w:r>
      <w:r w:rsidRPr="00000E4F">
        <w:t>e</w:t>
      </w:r>
      <w:r w:rsidRPr="00000E4F">
        <w:t xml:space="preserve">ringen till känna vad utskottet anfört, </w:t>
      </w:r>
    </w:p>
    <w:p w:rsidR="00866CF7" w:rsidRPr="00000E4F" w:rsidRDefault="00866CF7">
      <w:pPr>
        <w:pStyle w:val="Rubrik2"/>
      </w:pPr>
      <w:bookmarkStart w:id="149" w:name="_Toc477140395"/>
      <w:r w:rsidRPr="00000E4F">
        <w:t>22. Återanställningsrätt (mom. 23)</w:t>
      </w:r>
      <w:bookmarkEnd w:id="149"/>
    </w:p>
    <w:p w:rsidR="00866CF7" w:rsidRPr="00000E4F" w:rsidRDefault="00866CF7">
      <w:r w:rsidRPr="00000E4F">
        <w:t xml:space="preserve">Hans Andersson (v), Barbro Feltzing (mp) och Carlinge Wisberg (v) anser </w:t>
      </w:r>
    </w:p>
    <w:p w:rsidR="00866CF7" w:rsidRPr="00000E4F" w:rsidRDefault="00866CF7">
      <w:r w:rsidRPr="00000E4F">
        <w:rPr>
          <w:i/>
        </w:rPr>
        <w:t>dels</w:t>
      </w:r>
      <w:r w:rsidRPr="00000E4F">
        <w:t xml:space="preserve"> att den del av utskottets ställningstagande i Del II, avsnitt 2.3, som bö</w:t>
      </w:r>
      <w:r w:rsidRPr="00000E4F">
        <w:t>r</w:t>
      </w:r>
      <w:r w:rsidRPr="00000E4F">
        <w:t>jar med ”Vad gäller Vänsterpartiets” och slutar med ”yrkande 4 (v)” bort ha följande lydelse:</w:t>
      </w:r>
    </w:p>
    <w:p w:rsidR="00866CF7" w:rsidRPr="00000E4F" w:rsidRDefault="00866CF7">
      <w:pPr>
        <w:pStyle w:val="Normaltindrag"/>
      </w:pPr>
      <w:r w:rsidRPr="00000E4F">
        <w:t xml:space="preserve">Företrädesrätten till återanställning kom till för att hindra en arbetsgivare att utan sakliga skäl säga upp inte önskvärda personer för att anställa andra. Som tidigare har nämnts ändrades anställningsskyddslagen med verkan från den 1 januari 1997 på så sätt att tiden för företrädesrätten förkortades från tolv månader till nio månader. För </w:t>
      </w:r>
      <w:r w:rsidRPr="00000E4F">
        <w:t>att företrädesrätten skall kunna göras gällande krävs dessutom, enligt ett avgörande från Arbetsdomstolen, att tjänsten tillträds omgående. Om så inte sker har arbetsgivaren rätt att erbjuda tjänsten till någon annan. Eftersom företrädesrätten endast omfattar nio m</w:t>
      </w:r>
      <w:r w:rsidRPr="00000E4F">
        <w:t>å</w:t>
      </w:r>
      <w:r w:rsidRPr="00000E4F">
        <w:t>nader får det till följd att många föräldralediga inte kan utnyttja sin företr</w:t>
      </w:r>
      <w:r w:rsidRPr="00000E4F">
        <w:t>ä</w:t>
      </w:r>
      <w:r w:rsidRPr="00000E4F">
        <w:t>desrätt. Utskottet delar därför Vänsterpartiets uppfattning att företrädesrätten skall förlängas till tolv månader, detta för att den skall utgöra ett verkligt skydd m</w:t>
      </w:r>
      <w:r w:rsidRPr="00000E4F">
        <w:t>ot godtyckliga uppsägningar. Motion A723 yrkande 4 (v) tillstyrks.</w:t>
      </w:r>
    </w:p>
    <w:p w:rsidR="00866CF7" w:rsidRPr="00000E4F" w:rsidRDefault="00866CF7">
      <w:r w:rsidRPr="00000E4F">
        <w:rPr>
          <w:i/>
        </w:rPr>
        <w:t>dels</w:t>
      </w:r>
      <w:r w:rsidRPr="00000E4F">
        <w:t xml:space="preserve"> att utskottets hemställan under 23 bort ha följande lydelse:</w:t>
      </w:r>
    </w:p>
    <w:p w:rsidR="00866CF7" w:rsidRPr="00000E4F" w:rsidRDefault="00866CF7">
      <w:pPr>
        <w:pStyle w:val="Resklmb"/>
      </w:pPr>
      <w:r w:rsidRPr="00000E4F">
        <w:t xml:space="preserve">23. beträffande </w:t>
      </w:r>
      <w:r w:rsidRPr="00000E4F">
        <w:rPr>
          <w:i/>
        </w:rPr>
        <w:t>återanställningsrätt</w:t>
      </w:r>
    </w:p>
    <w:p w:rsidR="00866CF7" w:rsidRPr="00000E4F" w:rsidRDefault="00866CF7">
      <w:pPr>
        <w:pStyle w:val="Resklm"/>
      </w:pPr>
      <w:r w:rsidRPr="00000E4F">
        <w:t>att riksdagen med anledning av motion 1999/2000:A723 yrkande 4 och med avslag på motion 1999/2000:A254 yrkande 30 som sin m</w:t>
      </w:r>
      <w:r w:rsidRPr="00000E4F">
        <w:t>e</w:t>
      </w:r>
      <w:r w:rsidRPr="00000E4F">
        <w:t xml:space="preserve">ning ger regeringen till känna vad utskottet anfört, </w:t>
      </w:r>
    </w:p>
    <w:p w:rsidR="00866CF7" w:rsidRPr="00000E4F" w:rsidRDefault="00866CF7">
      <w:pPr>
        <w:pStyle w:val="Rubrik2"/>
      </w:pPr>
      <w:r w:rsidRPr="00000E4F">
        <w:br w:type="page"/>
      </w:r>
      <w:bookmarkStart w:id="150" w:name="_Toc477140396"/>
      <w:r w:rsidRPr="00000E4F">
        <w:t>23. Tillräckliga kvalifikationer (mom. 24)</w:t>
      </w:r>
      <w:bookmarkEnd w:id="150"/>
    </w:p>
    <w:p w:rsidR="00866CF7" w:rsidRPr="00000E4F" w:rsidRDefault="00866CF7">
      <w:r w:rsidRPr="00000E4F">
        <w:t xml:space="preserve">Hans Andersson och Carlinge Wisberg (båda v) anser </w:t>
      </w:r>
    </w:p>
    <w:p w:rsidR="00866CF7" w:rsidRPr="00000E4F" w:rsidRDefault="00866CF7">
      <w:r w:rsidRPr="00000E4F">
        <w:rPr>
          <w:i/>
        </w:rPr>
        <w:t>dels</w:t>
      </w:r>
      <w:r w:rsidRPr="00000E4F">
        <w:t xml:space="preserve"> att den del av utskottets ställningstagande i Del II, avsnitt 2.3, som bö</w:t>
      </w:r>
      <w:r w:rsidRPr="00000E4F">
        <w:t>r</w:t>
      </w:r>
      <w:r w:rsidRPr="00000E4F">
        <w:t>jar med ”När det sedan” och slutar med ”5 (v) avstyrks” bort ha följande lydelse:</w:t>
      </w:r>
    </w:p>
    <w:p w:rsidR="00866CF7" w:rsidRPr="00000E4F" w:rsidRDefault="00866CF7">
      <w:pPr>
        <w:pStyle w:val="Normaltindrag"/>
      </w:pPr>
      <w:r w:rsidRPr="00000E4F">
        <w:t xml:space="preserve">Sedan den 1 januari 1997 har deltidsanställda företrädesrätt till anställning med högre sysselsättningsgrad. Företrädesrätten är emellertid begränsad till den driftsenhet där arbetstagaren är anställd på deltid. Denna begränsning är omotiverad och kan få till följd att en anställd inte kan utnyttja sin rätt till företräde t.ex. om han eller hon arbetar </w:t>
      </w:r>
      <w:r w:rsidRPr="00000E4F">
        <w:t>i en butik och det finns lediga timmar hos samma arbetsgivare i en annan butik i kvarteret intill. Liksom Vänste</w:t>
      </w:r>
      <w:r w:rsidRPr="00000E4F">
        <w:t>r</w:t>
      </w:r>
      <w:r w:rsidRPr="00000E4F">
        <w:t>partiet anser utskottet att begränsningen till driftsenhet skall tas bort.</w:t>
      </w:r>
    </w:p>
    <w:p w:rsidR="00866CF7" w:rsidRPr="00000E4F" w:rsidRDefault="00866CF7">
      <w:pPr>
        <w:pStyle w:val="Normaltindrag"/>
      </w:pPr>
      <w:r w:rsidRPr="00000E4F">
        <w:t>I dag krävs det att den anställde har tillräckliga kvalifikationer för de nya arbetsuppgifterna för att han eller hon skall ha företrädesrätt. Deltidsanställda får emellertid ofta inte ta del av kompetensutveckling på samma sätt som heltidsanställda och har allmänt sett en svagare ställning på arbetsplatsen. Utskottet anse</w:t>
      </w:r>
      <w:r w:rsidRPr="00000E4F">
        <w:t xml:space="preserve">r därför att det för deltidsanställda skall vara tillräckligt att han eller hon efter ett rimligt inlärnings- eller inskolningsskede, inom eller utom företaget, kan anförtros nya arbetsuppgifter. </w:t>
      </w:r>
    </w:p>
    <w:p w:rsidR="00866CF7" w:rsidRPr="00000E4F" w:rsidRDefault="00866CF7">
      <w:pPr>
        <w:pStyle w:val="Normaltindrag"/>
      </w:pPr>
      <w:r w:rsidRPr="00000E4F">
        <w:t>Enligt de nuvarande bestämmelserna har en arbetsgivare rätt, utan att han kan ange ett verkligt behov, att välja deltidsarbete som anställningsform. För att komma till rätta med missbruket av deltidsanställningar måste arbetsgiv</w:t>
      </w:r>
      <w:r w:rsidRPr="00000E4F">
        <w:t>a</w:t>
      </w:r>
      <w:r w:rsidRPr="00000E4F">
        <w:t>re ges incitament att organisera sin verksamhet så att deltidsanställda ges möjlighet till högre sysselsättningsgrad. För att uppnå detta är det nödvändigt att det görs inskränkningar i arbetsgivarens fria rätt att välja deltidsanstäl</w:t>
      </w:r>
      <w:r w:rsidRPr="00000E4F">
        <w:t>l</w:t>
      </w:r>
      <w:r w:rsidRPr="00000E4F">
        <w:t>ning som anställningsform.</w:t>
      </w:r>
    </w:p>
    <w:p w:rsidR="00866CF7" w:rsidRPr="00000E4F" w:rsidRDefault="00866CF7">
      <w:pPr>
        <w:pStyle w:val="Normaltindrag"/>
      </w:pPr>
      <w:r w:rsidRPr="00000E4F">
        <w:t>Regeringen bör skyndsamt återkomma med förslag till ändringar i anstäl</w:t>
      </w:r>
      <w:r w:rsidRPr="00000E4F">
        <w:t>l</w:t>
      </w:r>
      <w:r w:rsidRPr="00000E4F">
        <w:t xml:space="preserve">ningsskyddslagen enligt vad utskottet anfört. Med hänsyn till det anförda tillstyrker utskottet motion A723 yrkande 5 (v). </w:t>
      </w:r>
    </w:p>
    <w:p w:rsidR="00866CF7" w:rsidRPr="00000E4F" w:rsidRDefault="00866CF7">
      <w:r w:rsidRPr="00000E4F">
        <w:rPr>
          <w:i/>
        </w:rPr>
        <w:t>dels</w:t>
      </w:r>
      <w:r w:rsidRPr="00000E4F">
        <w:t xml:space="preserve"> att utskottets hemställan under 24 bort ha följande lydelse:</w:t>
      </w:r>
    </w:p>
    <w:p w:rsidR="00866CF7" w:rsidRPr="00000E4F" w:rsidRDefault="00866CF7">
      <w:pPr>
        <w:pStyle w:val="Resklmb"/>
      </w:pPr>
      <w:r w:rsidRPr="00000E4F">
        <w:t xml:space="preserve">24. beträffande </w:t>
      </w:r>
      <w:r w:rsidRPr="00000E4F">
        <w:rPr>
          <w:i/>
        </w:rPr>
        <w:t>tillräckliga kvalifikationer</w:t>
      </w:r>
    </w:p>
    <w:p w:rsidR="00866CF7" w:rsidRPr="00000E4F" w:rsidRDefault="00866CF7">
      <w:pPr>
        <w:pStyle w:val="Resklm"/>
      </w:pPr>
      <w:r w:rsidRPr="00000E4F">
        <w:t>att riksdagen med anledning av motion 1999/2000:A723 yrkande 5 som sin mening ger regeringen till känna vad utskottet anfört,</w:t>
      </w:r>
      <w:bookmarkStart w:id="151" w:name="Nästa_Reservation"/>
      <w:bookmarkEnd w:id="151"/>
      <w:r w:rsidRPr="00000E4F">
        <w:t xml:space="preserve"> </w:t>
      </w:r>
    </w:p>
    <w:p w:rsidR="00866CF7" w:rsidRPr="00000E4F" w:rsidRDefault="00866CF7">
      <w:pPr>
        <w:pStyle w:val="Rubrik2"/>
      </w:pPr>
      <w:bookmarkStart w:id="152" w:name="_Toc477140397"/>
      <w:r w:rsidRPr="00000E4F">
        <w:t>24. Skadestånd vid ogiltigförklaring av uppsägning (mom. 25)</w:t>
      </w:r>
      <w:bookmarkEnd w:id="152"/>
    </w:p>
    <w:p w:rsidR="00866CF7" w:rsidRPr="00000E4F" w:rsidRDefault="00866CF7">
      <w:r w:rsidRPr="00000E4F">
        <w:t xml:space="preserve">Hans Andersson och Carlinge Wisberg (båda v) anser </w:t>
      </w:r>
    </w:p>
    <w:p w:rsidR="00866CF7" w:rsidRPr="00000E4F" w:rsidRDefault="00866CF7">
      <w:r w:rsidRPr="00000E4F">
        <w:rPr>
          <w:i/>
        </w:rPr>
        <w:t>dels</w:t>
      </w:r>
      <w:r w:rsidRPr="00000E4F">
        <w:t xml:space="preserve"> att utskottets ställningstagande i Del II, avsnitt 2.4, bort ha följande lydelse:</w:t>
      </w:r>
    </w:p>
    <w:p w:rsidR="00866CF7" w:rsidRPr="00000E4F" w:rsidRDefault="00866CF7">
      <w:pPr>
        <w:pStyle w:val="Normaltindrag"/>
      </w:pPr>
      <w:r w:rsidRPr="00000E4F">
        <w:t>Av 39 § anställningsskyddslagen följer att om en arbetsgivare vägrar att rätta sig efter en dom, varigenom en domstol ogiltigförklarat en uppsägning eller ett avskedande eller har förklarat att en tidsbegränsad anställning skall gälla tills vidare, skall anställningsförhållandet anses som upplöst. Som en följd av sin vägran skall arbetsgivaren betala ett på visst sätt beräknat skad</w:t>
      </w:r>
      <w:r w:rsidRPr="00000E4F">
        <w:t>e</w:t>
      </w:r>
      <w:r w:rsidRPr="00000E4F">
        <w:t>stånd. Att en arbetsgivare väljer att betala skadestånd i stället för att återa</w:t>
      </w:r>
      <w:r w:rsidRPr="00000E4F">
        <w:t>n</w:t>
      </w:r>
      <w:r w:rsidRPr="00000E4F">
        <w:t>ställa arbetstagaren har snarast blivit regel i stället för, som det var tänkt när bestämmelsen infördes, ett undantag. Detta har medfört att en arbetstagare som vinner ett mål i Arbetsdomstolen får ett skadestånd och inte sin anstäl</w:t>
      </w:r>
      <w:r w:rsidRPr="00000E4F">
        <w:t>l</w:t>
      </w:r>
      <w:r w:rsidRPr="00000E4F">
        <w:t>ning tillbaka trots att uppsägningen är lagstridig.</w:t>
      </w:r>
    </w:p>
    <w:p w:rsidR="00866CF7" w:rsidRPr="00000E4F" w:rsidRDefault="00866CF7">
      <w:pPr>
        <w:pStyle w:val="Normaltindrag"/>
      </w:pPr>
      <w:r w:rsidRPr="00000E4F">
        <w:t>Utskottet delar därför Vänsterpartiets uppfattning att denna rätt för en a</w:t>
      </w:r>
      <w:r w:rsidRPr="00000E4F">
        <w:t>r</w:t>
      </w:r>
      <w:r w:rsidRPr="00000E4F">
        <w:t>betsgivare att ”köpa ut” en arbetstagare kraftigt skall begränsas och ges fo</w:t>
      </w:r>
      <w:r w:rsidRPr="00000E4F">
        <w:t>r</w:t>
      </w:r>
      <w:r w:rsidRPr="00000E4F">
        <w:t xml:space="preserve">men av ett principförbud mot utköp. Undantag skall dock få göras om det föreligger särskilda eller synnerliga skäl. </w:t>
      </w:r>
    </w:p>
    <w:p w:rsidR="00866CF7" w:rsidRPr="00000E4F" w:rsidRDefault="00866CF7">
      <w:pPr>
        <w:pStyle w:val="Normaltindrag"/>
      </w:pPr>
      <w:r w:rsidRPr="00000E4F">
        <w:t>För att skadeståndet skall få en avhållande verkan även för större arbetsg</w:t>
      </w:r>
      <w:r w:rsidRPr="00000E4F">
        <w:t>i</w:t>
      </w:r>
      <w:r w:rsidRPr="00000E4F">
        <w:t>vare bör det bestämmas till viss procent av arbetsgivarens årsomsättning. En viss del av skadeståndet bör tillfalla staten.</w:t>
      </w:r>
    </w:p>
    <w:p w:rsidR="00866CF7" w:rsidRPr="00000E4F" w:rsidRDefault="00866CF7">
      <w:r w:rsidRPr="00000E4F">
        <w:t>dels att utskottets hemställan under 25 bort ha följande lydelse:</w:t>
      </w:r>
    </w:p>
    <w:p w:rsidR="00866CF7" w:rsidRPr="00000E4F" w:rsidRDefault="00866CF7">
      <w:pPr>
        <w:pStyle w:val="Resklmb"/>
      </w:pPr>
      <w:r w:rsidRPr="00000E4F">
        <w:t xml:space="preserve">25. beträffande </w:t>
      </w:r>
      <w:r w:rsidRPr="00000E4F">
        <w:rPr>
          <w:i/>
        </w:rPr>
        <w:t>skadestånd vid ogiltigförklaring av uppsägning</w:t>
      </w:r>
    </w:p>
    <w:p w:rsidR="00866CF7" w:rsidRPr="00000E4F" w:rsidRDefault="00866CF7">
      <w:pPr>
        <w:pStyle w:val="hemtext"/>
      </w:pPr>
      <w:r w:rsidRPr="00000E4F">
        <w:t xml:space="preserve">att riksdagen med anledning av motion 1999/2000:A723 yrkande 9 som sin mening ger regeringen till känna vad utskottet anfört, </w:t>
      </w:r>
    </w:p>
    <w:p w:rsidR="00866CF7" w:rsidRPr="00000E4F" w:rsidRDefault="00866CF7">
      <w:pPr>
        <w:pStyle w:val="Rubrik2"/>
      </w:pPr>
      <w:bookmarkStart w:id="153" w:name="_Toc477140398"/>
      <w:r w:rsidRPr="00000E4F">
        <w:t>25. Vetoregler (mom. 27)</w:t>
      </w:r>
      <w:bookmarkEnd w:id="153"/>
    </w:p>
    <w:p w:rsidR="00866CF7" w:rsidRPr="00000E4F" w:rsidRDefault="00866CF7">
      <w:r w:rsidRPr="00000E4F">
        <w:t>Mikael Odenberg (m), Patrik Norinder (m), Maria Larsson (kd), Christel Anderberg (m), Elver Jonsson (fp), Henrik Westman (m) och Magnus J</w:t>
      </w:r>
      <w:r w:rsidRPr="00000E4F">
        <w:t>a</w:t>
      </w:r>
      <w:r w:rsidRPr="00000E4F">
        <w:t xml:space="preserve">cobsson (kd) anser </w:t>
      </w:r>
    </w:p>
    <w:p w:rsidR="00866CF7" w:rsidRPr="00000E4F" w:rsidRDefault="00866CF7">
      <w:r w:rsidRPr="00000E4F">
        <w:rPr>
          <w:i/>
        </w:rPr>
        <w:t>dels</w:t>
      </w:r>
      <w:r w:rsidRPr="00000E4F">
        <w:t xml:space="preserve"> att den del av utskottets ställningstagande i Del II, avsnitt 3, som börjar med ”Utskottet övergår nu” och slutar med ”bör därför avslås” bort ha fö</w:t>
      </w:r>
      <w:r w:rsidRPr="00000E4F">
        <w:t>l</w:t>
      </w:r>
      <w:r w:rsidRPr="00000E4F">
        <w:t>jande lydelse:</w:t>
      </w:r>
    </w:p>
    <w:p w:rsidR="00866CF7" w:rsidRPr="00000E4F" w:rsidRDefault="00866CF7">
      <w:pPr>
        <w:pStyle w:val="Normaltindrag"/>
      </w:pPr>
      <w:r w:rsidRPr="00000E4F">
        <w:t>Den fackliga vetorätten kan kritiseras av flera olika skäl. Enligt utskottet är det principiellt felaktigt att de fackliga organisationerna har getts långtgående befogenheter att vaka över hur lagregler efterlevs. Vetoreglerna och tilläm</w:t>
      </w:r>
      <w:r w:rsidRPr="00000E4F">
        <w:t>p</w:t>
      </w:r>
      <w:r w:rsidRPr="00000E4F">
        <w:t>ningen av dem har inte heller uppfyllt befogade krav på rättssäkerhet. Re</w:t>
      </w:r>
      <w:r w:rsidRPr="00000E4F">
        <w:t>g</w:t>
      </w:r>
      <w:r w:rsidRPr="00000E4F">
        <w:t>lerna ger inte den som drabbas av vetot någon möjlighet att bemöta anklage</w:t>
      </w:r>
      <w:r w:rsidRPr="00000E4F">
        <w:t>l</w:t>
      </w:r>
      <w:r w:rsidRPr="00000E4F">
        <w:t>serna, och han eller hon kan inte få en vetoförklaring rättsligt prövad. Vet</w:t>
      </w:r>
      <w:r w:rsidRPr="00000E4F">
        <w:t>o</w:t>
      </w:r>
      <w:r w:rsidRPr="00000E4F">
        <w:t>rätten hindrar sund konkurrens och försvårar nyetablering av företag. Re</w:t>
      </w:r>
      <w:r w:rsidRPr="00000E4F">
        <w:t>g</w:t>
      </w:r>
      <w:r w:rsidRPr="00000E4F">
        <w:t xml:space="preserve">lerna om facklig vetorätt bör därför upphävas. </w:t>
      </w:r>
    </w:p>
    <w:p w:rsidR="00866CF7" w:rsidRPr="00000E4F" w:rsidRDefault="00866CF7">
      <w:pPr>
        <w:pStyle w:val="Normaltindrag"/>
      </w:pPr>
      <w:r w:rsidRPr="00000E4F">
        <w:t>Regeringen bör skyndsamt återkomma till riksdagen med förslag till såd</w:t>
      </w:r>
      <w:r w:rsidRPr="00000E4F">
        <w:t>a</w:t>
      </w:r>
      <w:r w:rsidRPr="00000E4F">
        <w:t>na förändringar i medbestämmandelagen som utskottet här har förordat. Detta bör ges regeringen till känna. Motionerna A231 yrkande 17 delvis (fp) och A254 yrkande 27 (kd)) bör därför tillstyrkas.</w:t>
      </w:r>
    </w:p>
    <w:p w:rsidR="00866CF7" w:rsidRPr="00000E4F" w:rsidRDefault="00866CF7">
      <w:r w:rsidRPr="00000E4F">
        <w:rPr>
          <w:i/>
        </w:rPr>
        <w:t>dels</w:t>
      </w:r>
      <w:r w:rsidRPr="00000E4F">
        <w:t xml:space="preserve"> att utskottets hemställan under 27 bort ha följande lydelse:</w:t>
      </w:r>
    </w:p>
    <w:p w:rsidR="00866CF7" w:rsidRPr="00000E4F" w:rsidRDefault="00866CF7">
      <w:pPr>
        <w:pStyle w:val="Resklmb"/>
      </w:pPr>
      <w:r w:rsidRPr="00000E4F">
        <w:t xml:space="preserve">27. beträffande </w:t>
      </w:r>
      <w:r w:rsidRPr="00000E4F">
        <w:rPr>
          <w:i/>
        </w:rPr>
        <w:t>vetoregler</w:t>
      </w:r>
    </w:p>
    <w:p w:rsidR="00866CF7" w:rsidRPr="00000E4F" w:rsidRDefault="00866CF7">
      <w:pPr>
        <w:pStyle w:val="Resklm"/>
      </w:pPr>
      <w:r w:rsidRPr="00000E4F">
        <w:t>att riksdagen med anledning av motionerna 1999/2000:A231 yrkande 17 i motsvarande del och 1999/2000:A254 yrkande 27 som sin m</w:t>
      </w:r>
      <w:r w:rsidRPr="00000E4F">
        <w:t>e</w:t>
      </w:r>
      <w:r w:rsidRPr="00000E4F">
        <w:t xml:space="preserve">ning ger regeringen till känna vad utskottet anfört, </w:t>
      </w:r>
    </w:p>
    <w:p w:rsidR="00866CF7" w:rsidRPr="00000E4F" w:rsidRDefault="00866CF7">
      <w:pPr>
        <w:pStyle w:val="Rubrik2"/>
      </w:pPr>
      <w:r w:rsidRPr="00000E4F">
        <w:br w:type="page"/>
      </w:r>
      <w:bookmarkStart w:id="154" w:name="_Toc477140399"/>
      <w:r w:rsidRPr="00000E4F">
        <w:t>26. Semesterlön vid särskilt utbildningsbidrag (mom. 29)</w:t>
      </w:r>
      <w:bookmarkEnd w:id="154"/>
    </w:p>
    <w:p w:rsidR="00866CF7" w:rsidRPr="00000E4F" w:rsidRDefault="00866CF7">
      <w:r w:rsidRPr="00000E4F">
        <w:t xml:space="preserve">Margareta Andersson (c), Mikael Odenberg (m), Patrik Norinder (m), Maria Larsson (kd), Christel Anderberg (m), Elver Jonsson (fp), Henrik Westman (m) och Magnus Jacobsson (kd) anser </w:t>
      </w:r>
    </w:p>
    <w:p w:rsidR="00866CF7" w:rsidRPr="00000E4F" w:rsidRDefault="00866CF7">
      <w:r w:rsidRPr="00000E4F">
        <w:rPr>
          <w:i/>
        </w:rPr>
        <w:t>dels</w:t>
      </w:r>
      <w:r w:rsidRPr="00000E4F">
        <w:t xml:space="preserve"> att den del av utskottets ställningstagande i Del II, avsnitt 4.1, som bö</w:t>
      </w:r>
      <w:r w:rsidRPr="00000E4F">
        <w:t>r</w:t>
      </w:r>
      <w:r w:rsidRPr="00000E4F">
        <w:t>jar med ”Vad gäller den” och slutar med ”A704 (kd, m, c, fp)” bort ha fö</w:t>
      </w:r>
      <w:r w:rsidRPr="00000E4F">
        <w:t>l</w:t>
      </w:r>
      <w:r w:rsidRPr="00000E4F">
        <w:t>jande lydelse:</w:t>
      </w:r>
    </w:p>
    <w:p w:rsidR="00866CF7" w:rsidRPr="00000E4F" w:rsidRDefault="00866CF7">
      <w:pPr>
        <w:pStyle w:val="Normaltindrag"/>
      </w:pPr>
      <w:r w:rsidRPr="00000E4F">
        <w:t>Enligt bestämmelsen i 17 § semesterlagen (1977:480) är viss frånvaro från arbetet s.k. semesterlönegrundande frånvaro. Detta kan leda till betydande kostnader för arbetsgivaren. Som exempel kan nämnas när en arbetstagare får ledigt för att bedriva studier enligt det s.k. Kunskapslyftet. Sådana studier kan bl.a. bedrivas med stöd av särskilt utbild</w:t>
      </w:r>
      <w:r w:rsidRPr="00000E4F">
        <w:t>ningsbidrag. Ledighet för studier som bedrivs med särskilt utbildningsbidrag är sådan frånvaro som är seme</w:t>
      </w:r>
      <w:r w:rsidRPr="00000E4F">
        <w:t>s</w:t>
      </w:r>
      <w:r w:rsidRPr="00000E4F">
        <w:t>terlönegrundande. För att sådant bidrag skall betalas ut krävs det emellertid att arbetsgivaren anställer någon annan som ersätter den som studerar. Både den som studerar och dennes vikarier har enligt semesterlagen rätt till s</w:t>
      </w:r>
      <w:r w:rsidRPr="00000E4F">
        <w:t>e</w:t>
      </w:r>
      <w:r w:rsidRPr="00000E4F">
        <w:t xml:space="preserve">mesterlön under samma period. Detta får till följd att arbetsgivaren får bära dubbla semesterlönekostnader för den aktuella tiden. </w:t>
      </w:r>
    </w:p>
    <w:p w:rsidR="00866CF7" w:rsidRPr="00000E4F" w:rsidRDefault="00866CF7">
      <w:pPr>
        <w:pStyle w:val="Normaltindrag"/>
      </w:pPr>
      <w:r w:rsidRPr="00000E4F">
        <w:t>Utskottet delar motionärernas åsikt att denna</w:t>
      </w:r>
      <w:r w:rsidRPr="00000E4F">
        <w:t xml:space="preserve"> ordning är alltför betungande för företagen. Detta gäller inte minst för de mindre företagen. Utskottet anser därför att reglerna bör ändras så att det organ som betalar ut ersättning även skall betala ut semesterlön. Semesterlönekostnaderna för dem som studerar med stöd av särskilt utbildningsbidrag bör därför betalas av det offentliga. Utskottet ställer sig därför bakom motion A704 (kd, m, c, fp) som tillstyrks.</w:t>
      </w:r>
    </w:p>
    <w:p w:rsidR="00866CF7" w:rsidRPr="00000E4F" w:rsidRDefault="00866CF7">
      <w:r w:rsidRPr="00000E4F">
        <w:rPr>
          <w:i/>
        </w:rPr>
        <w:t>dels</w:t>
      </w:r>
      <w:r w:rsidRPr="00000E4F">
        <w:t xml:space="preserve"> att utskottets hemställan under 29 bort ha följande lydelse:</w:t>
      </w:r>
    </w:p>
    <w:p w:rsidR="00866CF7" w:rsidRPr="00000E4F" w:rsidRDefault="00866CF7">
      <w:pPr>
        <w:pStyle w:val="Resklmb"/>
      </w:pPr>
      <w:r w:rsidRPr="00000E4F">
        <w:t xml:space="preserve">29. beträffande </w:t>
      </w:r>
      <w:r w:rsidRPr="00000E4F">
        <w:rPr>
          <w:i/>
        </w:rPr>
        <w:t>semesterlön vid särskilt utbildningsbidrag</w:t>
      </w:r>
    </w:p>
    <w:p w:rsidR="00866CF7" w:rsidRPr="00000E4F" w:rsidRDefault="00866CF7">
      <w:pPr>
        <w:pStyle w:val="Resklm"/>
      </w:pPr>
      <w:r w:rsidRPr="00000E4F">
        <w:t>att riksdagen med anledning av motion 1999/2000:A704 som sin m</w:t>
      </w:r>
      <w:r w:rsidRPr="00000E4F">
        <w:t>e</w:t>
      </w:r>
      <w:r w:rsidRPr="00000E4F">
        <w:t xml:space="preserve">ning ger regeringen till känna vad utskottet anfört, </w:t>
      </w:r>
    </w:p>
    <w:p w:rsidR="00866CF7" w:rsidRPr="00000E4F" w:rsidRDefault="00866CF7">
      <w:pPr>
        <w:pStyle w:val="Rubrik2"/>
      </w:pPr>
      <w:bookmarkStart w:id="155" w:name="_Toc477140400"/>
      <w:r w:rsidRPr="00000E4F">
        <w:t>27. Utredning om semesterlagen (mom. 30)</w:t>
      </w:r>
      <w:bookmarkEnd w:id="155"/>
    </w:p>
    <w:p w:rsidR="00866CF7" w:rsidRPr="00000E4F" w:rsidRDefault="00866CF7">
      <w:r w:rsidRPr="00000E4F">
        <w:t xml:space="preserve">Margareta Andersson (c), Mikael Odenberg (m), Patrik Norinder (m), Maria Larsson (kd), Christel Anderberg (m), Elver Jonsson (fp), Henrik Westman (m) och Magnus Jacobsson (kd) anser </w:t>
      </w:r>
    </w:p>
    <w:p w:rsidR="00866CF7" w:rsidRPr="00000E4F" w:rsidRDefault="00866CF7">
      <w:r w:rsidRPr="00000E4F">
        <w:rPr>
          <w:i/>
        </w:rPr>
        <w:t>dels</w:t>
      </w:r>
      <w:r w:rsidRPr="00000E4F">
        <w:t xml:space="preserve"> att den del av utskottets ställningstagande i Del II, avsnitt 4.1, som bö</w:t>
      </w:r>
      <w:r w:rsidRPr="00000E4F">
        <w:t>r</w:t>
      </w:r>
      <w:r w:rsidRPr="00000E4F">
        <w:t>jar med ”Utskottet är inte” och slutar med ”5 (c) avstyrks” bort ha följande lydelse:</w:t>
      </w:r>
    </w:p>
    <w:p w:rsidR="00866CF7" w:rsidRPr="00000E4F" w:rsidRDefault="00866CF7">
      <w:pPr>
        <w:pStyle w:val="Normaltindrag"/>
      </w:pPr>
      <w:r w:rsidRPr="00000E4F">
        <w:t>Semesterlagen har ett omfattande och detaljerat regelverk som är svårt att överblicka och som därmed skapar en rad tillämpningsproblem i framför allt de mindre företagen. Till det som skapar svårigheter hör reglerna om berä</w:t>
      </w:r>
      <w:r w:rsidRPr="00000E4F">
        <w:t>k</w:t>
      </w:r>
      <w:r w:rsidRPr="00000E4F">
        <w:t>ning av semesterlön och semesterersättning, administrationen av sparad semester och semesterlönegrundande frånvaro samt det faktum att semeste</w:t>
      </w:r>
      <w:r w:rsidRPr="00000E4F">
        <w:t>r</w:t>
      </w:r>
      <w:r w:rsidRPr="00000E4F">
        <w:t>året inte följer kalenderåret.</w:t>
      </w:r>
    </w:p>
    <w:p w:rsidR="00866CF7" w:rsidRPr="00000E4F" w:rsidRDefault="00866CF7">
      <w:pPr>
        <w:pStyle w:val="Normaltindrag"/>
      </w:pPr>
      <w:r w:rsidRPr="00000E4F">
        <w:t>Utskottet delar den uppfattningen att ett enklare system är att skyldigheten att betala semesterlön knyts till ”huvudbetalaren”. Detta innebär att om t.ex. försäkringskassan utbetalat ersättning under den tid som arbetstagaren varit ledig skall försäkringskassan även svara för semesterersättning för denna tid. Semesterlönen kan i ett f</w:t>
      </w:r>
      <w:r w:rsidRPr="00000E4F">
        <w:t xml:space="preserve">örenklat system grundas antingen på en procentregel eller på ett antal betalda semesterdagar. </w:t>
      </w:r>
    </w:p>
    <w:p w:rsidR="00866CF7" w:rsidRPr="00000E4F" w:rsidRDefault="00866CF7">
      <w:pPr>
        <w:pStyle w:val="Normaltindrag"/>
      </w:pPr>
      <w:r w:rsidRPr="00000E4F">
        <w:t>Utskottet delar den uppfattning som kommer till uttryck i motion N387 y</w:t>
      </w:r>
      <w:r w:rsidRPr="00000E4F">
        <w:t>r</w:t>
      </w:r>
      <w:r w:rsidRPr="00000E4F">
        <w:t xml:space="preserve">kande 5 (c) att det bör tillsättas en utredning med uppdrag att lägga fram förslag till en reformering av semesterlagen. Detta bör ges regeringen till känna. Motionen i berörd del tillstyrks därför. </w:t>
      </w:r>
    </w:p>
    <w:p w:rsidR="00866CF7" w:rsidRPr="00000E4F" w:rsidRDefault="00866CF7">
      <w:r w:rsidRPr="00000E4F">
        <w:rPr>
          <w:i/>
        </w:rPr>
        <w:t>dels</w:t>
      </w:r>
      <w:r w:rsidRPr="00000E4F">
        <w:t xml:space="preserve"> att utskottets hemställan under 30 bort ha följande lydelse:</w:t>
      </w:r>
    </w:p>
    <w:p w:rsidR="00866CF7" w:rsidRPr="00000E4F" w:rsidRDefault="00866CF7">
      <w:pPr>
        <w:pStyle w:val="Resklmb"/>
      </w:pPr>
      <w:r w:rsidRPr="00000E4F">
        <w:t xml:space="preserve">30. beträffande </w:t>
      </w:r>
      <w:r w:rsidRPr="00000E4F">
        <w:rPr>
          <w:i/>
        </w:rPr>
        <w:t>utredning om semesterlagen</w:t>
      </w:r>
    </w:p>
    <w:p w:rsidR="00866CF7" w:rsidRPr="00000E4F" w:rsidRDefault="00866CF7">
      <w:pPr>
        <w:pStyle w:val="Resklm"/>
      </w:pPr>
      <w:r w:rsidRPr="00000E4F">
        <w:t>att riksdagen med anledning av motion 1999/2000:N387 yrkande 5 som sin m</w:t>
      </w:r>
      <w:r w:rsidRPr="00000E4F">
        <w:t>e</w:t>
      </w:r>
      <w:r w:rsidRPr="00000E4F">
        <w:t xml:space="preserve">ning ger regeringen till känna vad utskottet anfört, </w:t>
      </w:r>
    </w:p>
    <w:p w:rsidR="00866CF7" w:rsidRPr="00000E4F" w:rsidRDefault="00866CF7">
      <w:pPr>
        <w:pStyle w:val="Rubrik2"/>
      </w:pPr>
      <w:bookmarkStart w:id="156" w:name="_Toc477140401"/>
      <w:r w:rsidRPr="00000E4F">
        <w:t>28. Förlängd föräldraledighet (mom. 31)</w:t>
      </w:r>
      <w:bookmarkEnd w:id="156"/>
    </w:p>
    <w:p w:rsidR="00866CF7" w:rsidRPr="00000E4F" w:rsidRDefault="00866CF7">
      <w:r w:rsidRPr="00000E4F">
        <w:t xml:space="preserve">Maria Larsson och Magnus Jacobsson (båda kd) anser </w:t>
      </w:r>
    </w:p>
    <w:p w:rsidR="00866CF7" w:rsidRPr="00000E4F" w:rsidRDefault="00866CF7">
      <w:r w:rsidRPr="00000E4F">
        <w:rPr>
          <w:i/>
        </w:rPr>
        <w:t>dels</w:t>
      </w:r>
      <w:r w:rsidRPr="00000E4F">
        <w:t xml:space="preserve"> att den del av utskottets ställningstagande i Del II, avsnitt 4.2, som bö</w:t>
      </w:r>
      <w:r w:rsidRPr="00000E4F">
        <w:t>r</w:t>
      </w:r>
      <w:r w:rsidRPr="00000E4F">
        <w:t>jar med ”Kristdemokraternas krav att” och slutar med ”9 (kd) avstyrks” bort ha följande lydelse:</w:t>
      </w:r>
    </w:p>
    <w:p w:rsidR="00866CF7" w:rsidRPr="00000E4F" w:rsidRDefault="00866CF7">
      <w:pPr>
        <w:pStyle w:val="Normaltindrag"/>
      </w:pPr>
      <w:r w:rsidRPr="00000E4F">
        <w:t>I likhet med Kristdemokraterna anser utskottet att det bör finnas en lagstadgad rätt till tre års tjänstledighet för den som blir förälder. Föräldern skall ha en bibehållen rätt att återvända till det arbete han eller hon hade vid tjänstledighetens inträde. Föräldrarna skall kunna dela upp ledigheten mellan sig om båda förvärvsarbetar ell</w:t>
      </w:r>
      <w:r w:rsidRPr="00000E4F">
        <w:t>er studerar. Detta bör ges regeringen till kä</w:t>
      </w:r>
      <w:r w:rsidRPr="00000E4F">
        <w:t>n</w:t>
      </w:r>
      <w:r w:rsidRPr="00000E4F">
        <w:t>na. U</w:t>
      </w:r>
      <w:r w:rsidRPr="00000E4F">
        <w:t>t</w:t>
      </w:r>
      <w:r w:rsidRPr="00000E4F">
        <w:t>skottet tillstyrker därför motion Sf302 yrkande 9 (kd).</w:t>
      </w:r>
    </w:p>
    <w:p w:rsidR="00866CF7" w:rsidRPr="00000E4F" w:rsidRDefault="00866CF7">
      <w:r w:rsidRPr="00000E4F">
        <w:rPr>
          <w:i/>
        </w:rPr>
        <w:t>dels</w:t>
      </w:r>
      <w:r w:rsidRPr="00000E4F">
        <w:t xml:space="preserve"> att utskottets hemställan under 31 bort ha följande lydelse:</w:t>
      </w:r>
    </w:p>
    <w:p w:rsidR="00866CF7" w:rsidRPr="00000E4F" w:rsidRDefault="00866CF7">
      <w:pPr>
        <w:pStyle w:val="Resklmb"/>
      </w:pPr>
      <w:r w:rsidRPr="00000E4F">
        <w:t xml:space="preserve">31. beträffande </w:t>
      </w:r>
      <w:r w:rsidRPr="00000E4F">
        <w:rPr>
          <w:i/>
        </w:rPr>
        <w:t>förlängd föräldraledighet</w:t>
      </w:r>
    </w:p>
    <w:p w:rsidR="00866CF7" w:rsidRPr="00000E4F" w:rsidRDefault="00866CF7">
      <w:pPr>
        <w:pStyle w:val="Resklm"/>
      </w:pPr>
      <w:r w:rsidRPr="00000E4F">
        <w:t>att riksdagen med anledning av motion 1999/2000:Sf302 yrkande 9 som sin m</w:t>
      </w:r>
      <w:r w:rsidRPr="00000E4F">
        <w:t>e</w:t>
      </w:r>
      <w:r w:rsidRPr="00000E4F">
        <w:t xml:space="preserve">ning ger regeringen till känna vad utskottet anfört, </w:t>
      </w:r>
    </w:p>
    <w:p w:rsidR="00866CF7" w:rsidRPr="00000E4F" w:rsidRDefault="00866CF7">
      <w:pPr>
        <w:pStyle w:val="Rubrik2"/>
      </w:pPr>
      <w:bookmarkStart w:id="157" w:name="_Toc477140402"/>
      <w:r w:rsidRPr="00000E4F">
        <w:t>29. Föräldraledighetslagens skyddsregler (mom. 32)</w:t>
      </w:r>
      <w:bookmarkEnd w:id="157"/>
    </w:p>
    <w:p w:rsidR="00866CF7" w:rsidRPr="00000E4F" w:rsidRDefault="00866CF7">
      <w:r w:rsidRPr="00000E4F">
        <w:t xml:space="preserve">Hans Andersson (v), Barbro Feltzing (mp) och Carlinge Wisberg (v) anser </w:t>
      </w:r>
    </w:p>
    <w:p w:rsidR="00866CF7" w:rsidRPr="00000E4F" w:rsidRDefault="00866CF7">
      <w:r w:rsidRPr="00000E4F">
        <w:rPr>
          <w:i/>
        </w:rPr>
        <w:t>dels</w:t>
      </w:r>
      <w:r w:rsidRPr="00000E4F">
        <w:t xml:space="preserve"> att den del av utskottets ställningstagande i Del II, avsnitt 4.2, som bö</w:t>
      </w:r>
      <w:r w:rsidRPr="00000E4F">
        <w:t>r</w:t>
      </w:r>
      <w:r w:rsidRPr="00000E4F">
        <w:t>jar med ”När det sedan” och slutar med ”yrkande 15 (mp)” bort ha följande lydelse:</w:t>
      </w:r>
    </w:p>
    <w:p w:rsidR="00866CF7" w:rsidRPr="00000E4F" w:rsidRDefault="00866CF7">
      <w:pPr>
        <w:pStyle w:val="Normaltindrag"/>
      </w:pPr>
      <w:r w:rsidRPr="00000E4F">
        <w:t>Både Vänsterpartiet och Miljöpartiet pekar i var sin motion på att bestä</w:t>
      </w:r>
      <w:r w:rsidRPr="00000E4F">
        <w:t>m</w:t>
      </w:r>
      <w:r w:rsidRPr="00000E4F">
        <w:t>melserna i 16 och 17 §§ föräldraledighetslagen har visat sig ge ett svagt skydd för anställningen och de förmåner som är förenade med en anställning. Även Jämställdhetsombudsmannen (JämO) har uppmärksammat dessa bri</w:t>
      </w:r>
      <w:r w:rsidRPr="00000E4F">
        <w:t>s</w:t>
      </w:r>
      <w:r w:rsidRPr="00000E4F">
        <w:t>ter och har i en skrivelse den 23 augusti 1999 till jämställdhetsminister Ma</w:t>
      </w:r>
      <w:r w:rsidRPr="00000E4F">
        <w:t>r</w:t>
      </w:r>
      <w:r w:rsidRPr="00000E4F">
        <w:t>gareta Winberg framfört förslag till vissa ändringar i lagen. I skrivelsen anges bl.a. följande.</w:t>
      </w:r>
    </w:p>
    <w:p w:rsidR="00866CF7" w:rsidRPr="00000E4F" w:rsidRDefault="00866CF7">
      <w:pPr>
        <w:pStyle w:val="Citat"/>
      </w:pPr>
      <w:r w:rsidRPr="00000E4F">
        <w:t>I 16 och 17 §§ föräldraledighetslagen ges ett visst skydd mot uppsägning, omplacering och försämrade anställningsförmåner</w:t>
      </w:r>
      <w:r w:rsidRPr="00000E4F">
        <w:t>. Rättspraxis är påfallande mager. Sedan mitten av 80-talet föreligger endast fyra domar från arbet</w:t>
      </w:r>
      <w:r w:rsidRPr="00000E4F">
        <w:t>s</w:t>
      </w:r>
      <w:r w:rsidRPr="00000E4F">
        <w:t>domstolen. En rad enkätsvar hävdar att 16 och 17 §§ i praktiken har en b</w:t>
      </w:r>
      <w:r w:rsidRPr="00000E4F">
        <w:t>e</w:t>
      </w:r>
      <w:r w:rsidRPr="00000E4F">
        <w:t>gränsad betydelse. Lyckas en arbetsgivare formulera andra (svep)skäl till den påtalade försämringen än graviditet eller föräldraledighet ger lagen enligt denna uppfattning inte något skydd.</w:t>
      </w:r>
    </w:p>
    <w:p w:rsidR="00866CF7" w:rsidRPr="00000E4F" w:rsidRDefault="00866CF7">
      <w:r w:rsidRPr="00000E4F">
        <w:t xml:space="preserve">Av skrivelsen framgår också att JämO anser att det finns anledning att se över lagtextens utformning i 16 och 17 §§. Skyddet bör vara utformat på så </w:t>
      </w:r>
      <w:r w:rsidRPr="00000E4F">
        <w:t>sätt att graviditet och  föräldraledighet inte till någon del får utgöra godta</w:t>
      </w:r>
      <w:r w:rsidRPr="00000E4F">
        <w:t>g</w:t>
      </w:r>
      <w:r w:rsidRPr="00000E4F">
        <w:t>bart skäl för de negativa åtgärde</w:t>
      </w:r>
      <w:r w:rsidRPr="00000E4F">
        <w:t>r</w:t>
      </w:r>
      <w:r w:rsidRPr="00000E4F">
        <w:t>na.</w:t>
      </w:r>
    </w:p>
    <w:p w:rsidR="00866CF7" w:rsidRPr="00000E4F" w:rsidRDefault="00866CF7">
      <w:pPr>
        <w:pStyle w:val="Normaltindrag"/>
      </w:pPr>
      <w:r w:rsidRPr="00000E4F">
        <w:t>Även i sitt remissvar över betänkandet En översyn av jämställdhetslagen (SOU 1999:91) föreslår JämO bl.a. att det införs en ny regel som skyddar mot missgynnande som har samband med föräldr</w:t>
      </w:r>
      <w:r w:rsidRPr="00000E4F">
        <w:t>a</w:t>
      </w:r>
      <w:r w:rsidRPr="00000E4F">
        <w:t>ansvar.</w:t>
      </w:r>
    </w:p>
    <w:p w:rsidR="00866CF7" w:rsidRPr="00000E4F" w:rsidRDefault="00866CF7">
      <w:pPr>
        <w:pStyle w:val="Normaltindrag"/>
      </w:pPr>
      <w:r w:rsidRPr="00000E4F">
        <w:t>Utskottet anser liksom motionärerna och JämO att det är angeläget att 16 och 17 §§ föräldraledighetslagen ändras i enlighet med vad som nyss har anförts. För att reglerna skall få genomslag i praxis bör därutöver bevisbö</w:t>
      </w:r>
      <w:r w:rsidRPr="00000E4F">
        <w:t>r</w:t>
      </w:r>
      <w:r w:rsidRPr="00000E4F">
        <w:t>dan placeras på så sätt att det är arbetsgivaren som skall visa att det saknas samband mellan den negativa åtgärden och utnyttjandet av förmåner i föräl</w:t>
      </w:r>
      <w:r w:rsidRPr="00000E4F">
        <w:t>d</w:t>
      </w:r>
      <w:r w:rsidRPr="00000E4F">
        <w:t>raledighetslagen. Det anförda bör ges reg</w:t>
      </w:r>
      <w:r w:rsidRPr="00000E4F">
        <w:t>e</w:t>
      </w:r>
      <w:r w:rsidRPr="00000E4F">
        <w:t>ringen till känna.</w:t>
      </w:r>
    </w:p>
    <w:p w:rsidR="00866CF7" w:rsidRPr="00000E4F" w:rsidRDefault="00866CF7">
      <w:pPr>
        <w:pStyle w:val="Normaltindrag"/>
      </w:pPr>
      <w:r w:rsidRPr="00000E4F">
        <w:t xml:space="preserve">Med hänsyn till det anförda tillstyrker utskottet motionerna A818 yrkande 13 (v) och A819 yrkande 15 (mp). </w:t>
      </w:r>
    </w:p>
    <w:p w:rsidR="00866CF7" w:rsidRPr="00000E4F" w:rsidRDefault="00866CF7">
      <w:r w:rsidRPr="00000E4F">
        <w:rPr>
          <w:i/>
        </w:rPr>
        <w:t>dels</w:t>
      </w:r>
      <w:r w:rsidRPr="00000E4F">
        <w:t xml:space="preserve"> att utskottets hemställan under 32 bort ha följande lydelse:</w:t>
      </w:r>
    </w:p>
    <w:p w:rsidR="00866CF7" w:rsidRPr="00000E4F" w:rsidRDefault="00866CF7">
      <w:pPr>
        <w:pStyle w:val="Resklmb"/>
      </w:pPr>
      <w:r w:rsidRPr="00000E4F">
        <w:t xml:space="preserve">32. beträffande </w:t>
      </w:r>
      <w:r w:rsidRPr="00000E4F">
        <w:rPr>
          <w:i/>
        </w:rPr>
        <w:t>föräldraledighetslagens skyddsregler</w:t>
      </w:r>
    </w:p>
    <w:p w:rsidR="00866CF7" w:rsidRPr="00000E4F" w:rsidRDefault="00866CF7">
      <w:pPr>
        <w:pStyle w:val="Resklm"/>
      </w:pPr>
      <w:r w:rsidRPr="00000E4F">
        <w:t xml:space="preserve">att riksdagen med anledning av motionerna 1999/2000:A818 yrkande 13 och 1999/2000:A819 yrkande 15 som sin mening ger regeringen till känna vad utskottet anfört, </w:t>
      </w:r>
    </w:p>
    <w:p w:rsidR="00866CF7" w:rsidRPr="00000E4F" w:rsidRDefault="00866CF7">
      <w:pPr>
        <w:pStyle w:val="Rubrik2"/>
      </w:pPr>
      <w:bookmarkStart w:id="158" w:name="_Toc477140403"/>
      <w:r w:rsidRPr="00000E4F">
        <w:t>30. Ledighet för att bedriva näringsverksamhet (mom. 34)</w:t>
      </w:r>
      <w:bookmarkEnd w:id="158"/>
    </w:p>
    <w:p w:rsidR="00866CF7" w:rsidRPr="00000E4F" w:rsidRDefault="00866CF7">
      <w:r w:rsidRPr="00000E4F">
        <w:t xml:space="preserve">Mikael Odenberg, Patrik Norinder, Christel Anderberg och Henrik Westman (alla m) anser </w:t>
      </w:r>
    </w:p>
    <w:p w:rsidR="00866CF7" w:rsidRPr="00000E4F" w:rsidRDefault="00866CF7">
      <w:r w:rsidRPr="00000E4F">
        <w:rPr>
          <w:i/>
        </w:rPr>
        <w:t>dels</w:t>
      </w:r>
      <w:r w:rsidRPr="00000E4F">
        <w:t xml:space="preserve"> att utskottets ställningstagande i Del II, avsnitt 4.3, bort ha följande lydelse: </w:t>
      </w:r>
    </w:p>
    <w:p w:rsidR="00866CF7" w:rsidRPr="00000E4F" w:rsidRDefault="00866CF7">
      <w:pPr>
        <w:pStyle w:val="Normaltindrag"/>
      </w:pPr>
      <w:r w:rsidRPr="00000E4F">
        <w:t>Från den 1 januari 1998 gäller lagen (1997:1293) om rätt till ledighet för att bedriva näringsverksamhet. Rätten till ledighet gäller under sex månader hos en och samma arbetsgivare och under förutsättning att verksamheten inte konkurrerar med arbetsgivarens verksamhet.</w:t>
      </w:r>
    </w:p>
    <w:p w:rsidR="00866CF7" w:rsidRPr="00000E4F" w:rsidRDefault="00866CF7">
      <w:pPr>
        <w:pStyle w:val="Normaltindrag"/>
      </w:pPr>
      <w:r w:rsidRPr="00000E4F">
        <w:t>Den nya lagen innebär av flera skäl svårigheter för företagen, inte minst de mindre. Det finns i dag flera lagar som ger anställda rätt till ledighet på olika grunder. Att en arbetstagare är borta från arbetet kostar arbetsgivaren bet</w:t>
      </w:r>
      <w:r w:rsidRPr="00000E4F">
        <w:t>y</w:t>
      </w:r>
      <w:r w:rsidRPr="00000E4F">
        <w:t>dande belopp. Det ligger nära till hands att den som är ledig väljer att starta ett eget företag i den bransch han eller hon tidigare verkat, trots att lagen ställer upp förbud mot sådan konkurrens. För arbetsgivaren kan det nog många gånger te sig svårt att komma till rätta med en konkurrens som står i strid med l</w:t>
      </w:r>
      <w:r w:rsidRPr="00000E4F">
        <w:t>a</w:t>
      </w:r>
      <w:r w:rsidRPr="00000E4F">
        <w:t>gens bestämmelser.</w:t>
      </w:r>
    </w:p>
    <w:p w:rsidR="00866CF7" w:rsidRPr="00000E4F" w:rsidRDefault="00866CF7">
      <w:pPr>
        <w:pStyle w:val="Normaltindrag"/>
      </w:pPr>
      <w:r w:rsidRPr="00000E4F">
        <w:t>Enligt utskottet är det angeläget med åtgärder som stimulerar till föret</w:t>
      </w:r>
      <w:r w:rsidRPr="00000E4F">
        <w:t>a</w:t>
      </w:r>
      <w:r w:rsidRPr="00000E4F">
        <w:t>gande. Tanken att underlätta för anställda att pröva på möjligheten att starta eget är i och för sig god. Utskottet befarar dock att lagen, såsom den är u</w:t>
      </w:r>
      <w:r w:rsidRPr="00000E4F">
        <w:t>t</w:t>
      </w:r>
      <w:r w:rsidRPr="00000E4F">
        <w:t>formad, medför en inte obetydlig risk för stora svårigheter för de redan b</w:t>
      </w:r>
      <w:r w:rsidRPr="00000E4F">
        <w:t>e</w:t>
      </w:r>
      <w:r w:rsidRPr="00000E4F">
        <w:t>fintliga företagen. Det är enligt utskottet viktigt att klarlägga vilka effekter lagen har fått, inte minst för de mindre företagen. Utskottet anser därför att regeringen under 2000 bör återkomma till riksdagen med en redovisning av vilka effekter lagen hittills har haft. Vad utsk</w:t>
      </w:r>
      <w:r w:rsidRPr="00000E4F">
        <w:t>ottet har anfört bör ges reg</w:t>
      </w:r>
      <w:r w:rsidRPr="00000E4F">
        <w:t>e</w:t>
      </w:r>
      <w:r w:rsidRPr="00000E4F">
        <w:t>ringen till känna. Utskottet tillstyrker därför motion A705 (kd, m, fp).</w:t>
      </w:r>
    </w:p>
    <w:p w:rsidR="00866CF7" w:rsidRPr="00000E4F" w:rsidRDefault="00866CF7">
      <w:r w:rsidRPr="00000E4F">
        <w:rPr>
          <w:i/>
        </w:rPr>
        <w:t>dels</w:t>
      </w:r>
      <w:r w:rsidRPr="00000E4F">
        <w:t xml:space="preserve"> att utskottets hemställan under 34 bort ha följande lydelse:</w:t>
      </w:r>
    </w:p>
    <w:p w:rsidR="00866CF7" w:rsidRPr="00000E4F" w:rsidRDefault="00866CF7">
      <w:pPr>
        <w:pStyle w:val="Resklmb"/>
      </w:pPr>
      <w:r w:rsidRPr="00000E4F">
        <w:t xml:space="preserve">34. beträffande </w:t>
      </w:r>
      <w:r w:rsidRPr="00000E4F">
        <w:rPr>
          <w:i/>
        </w:rPr>
        <w:t>ledighet för att bedriva näringsverksamhet</w:t>
      </w:r>
    </w:p>
    <w:p w:rsidR="00866CF7" w:rsidRPr="00000E4F" w:rsidRDefault="00866CF7">
      <w:pPr>
        <w:pStyle w:val="Resklm"/>
      </w:pPr>
      <w:r w:rsidRPr="00000E4F">
        <w:t>att riksdagen med anledning av motion 1999/2000:A705 som sin m</w:t>
      </w:r>
      <w:r w:rsidRPr="00000E4F">
        <w:t>e</w:t>
      </w:r>
      <w:r w:rsidRPr="00000E4F">
        <w:t>ning ger r</w:t>
      </w:r>
      <w:r w:rsidRPr="00000E4F">
        <w:t>e</w:t>
      </w:r>
      <w:r w:rsidRPr="00000E4F">
        <w:t xml:space="preserve">geringen till känna vad utskottet anfört, </w:t>
      </w:r>
    </w:p>
    <w:p w:rsidR="00866CF7" w:rsidRPr="00000E4F" w:rsidRDefault="00866CF7">
      <w:pPr>
        <w:pStyle w:val="Rubrik2"/>
      </w:pPr>
      <w:bookmarkStart w:id="159" w:name="_Toc477140404"/>
      <w:r w:rsidRPr="00000E4F">
        <w:t>31. Ledighet för närståendevård (mom. 35)</w:t>
      </w:r>
      <w:bookmarkEnd w:id="159"/>
    </w:p>
    <w:p w:rsidR="00866CF7" w:rsidRPr="00000E4F" w:rsidRDefault="00866CF7">
      <w:r w:rsidRPr="00000E4F">
        <w:t xml:space="preserve">Maria Larsson och Magnus Jacobsson (båda kd) anser </w:t>
      </w:r>
    </w:p>
    <w:p w:rsidR="00866CF7" w:rsidRPr="00000E4F" w:rsidRDefault="00866CF7">
      <w:r w:rsidRPr="00000E4F">
        <w:rPr>
          <w:i/>
        </w:rPr>
        <w:t>dels</w:t>
      </w:r>
      <w:r w:rsidRPr="00000E4F">
        <w:t xml:space="preserve"> att den del av utskottets ställningstagande i Del II, avsnitt 4.4, som bö</w:t>
      </w:r>
      <w:r w:rsidRPr="00000E4F">
        <w:t>r</w:t>
      </w:r>
      <w:r w:rsidRPr="00000E4F">
        <w:t>jar med ”I den s.k.” och slutar med ”bör därför avstyrkas” bort ha följande lydelse:</w:t>
      </w:r>
    </w:p>
    <w:p w:rsidR="00866CF7" w:rsidRPr="00000E4F" w:rsidRDefault="00866CF7">
      <w:pPr>
        <w:pStyle w:val="Normaltindrag"/>
      </w:pPr>
      <w:r w:rsidRPr="00000E4F">
        <w:t>Utskottet anser i likhet med Kristdemokraterna att det skall finnas en utö</w:t>
      </w:r>
      <w:r w:rsidRPr="00000E4F">
        <w:t>k</w:t>
      </w:r>
      <w:r w:rsidRPr="00000E4F">
        <w:t>ad rätt till tjänstledighet på hel- eller deltid för vård av anhörig. Det bör införas en möjlighet för anhöriga att utöver nuvarande sex månader var tjänstledig för vård av anhörig. Tjänstledigheten bör endast ges under kortare perioder, exempelvis tre månader i taget, eftersom man i inte i förväg kan veta hur stort vårdnadsbehovet kommer att vara. Det bör inte finnas någon begränsning av hur många tilläggsperioder som den enskilda kan erhålla. Detta bör ges regeringen till känna. Med hänsyn till det anför</w:t>
      </w:r>
      <w:r w:rsidRPr="00000E4F">
        <w:t>da tillstyrker utskottet motion So332 yrka</w:t>
      </w:r>
      <w:r w:rsidRPr="00000E4F">
        <w:t>n</w:t>
      </w:r>
      <w:r w:rsidRPr="00000E4F">
        <w:t>de 7 (kd).</w:t>
      </w:r>
    </w:p>
    <w:p w:rsidR="00866CF7" w:rsidRPr="00000E4F" w:rsidRDefault="00866CF7">
      <w:r w:rsidRPr="00000E4F">
        <w:rPr>
          <w:i/>
        </w:rPr>
        <w:t>dels</w:t>
      </w:r>
      <w:r w:rsidRPr="00000E4F">
        <w:t xml:space="preserve"> att utskottets hemställan under 35 bort ha följande lydelse:</w:t>
      </w:r>
    </w:p>
    <w:p w:rsidR="00866CF7" w:rsidRPr="00000E4F" w:rsidRDefault="00866CF7">
      <w:pPr>
        <w:pStyle w:val="Resklmb"/>
      </w:pPr>
      <w:r w:rsidRPr="00000E4F">
        <w:t xml:space="preserve">35. beträffande </w:t>
      </w:r>
      <w:r w:rsidRPr="00000E4F">
        <w:rPr>
          <w:i/>
        </w:rPr>
        <w:t>ledighet för närståendevård</w:t>
      </w:r>
    </w:p>
    <w:p w:rsidR="00866CF7" w:rsidRPr="00000E4F" w:rsidRDefault="00866CF7">
      <w:pPr>
        <w:pStyle w:val="Resklm"/>
      </w:pPr>
      <w:r w:rsidRPr="00000E4F">
        <w:t>att riksdagen med anledning av motion 1999/2000:So332 yrkande 7 som sin m</w:t>
      </w:r>
      <w:r w:rsidRPr="00000E4F">
        <w:t>e</w:t>
      </w:r>
      <w:r w:rsidRPr="00000E4F">
        <w:t xml:space="preserve">ning ger regeringen till känna vad utskottet anfört, </w:t>
      </w:r>
    </w:p>
    <w:p w:rsidR="00866CF7" w:rsidRPr="00000E4F" w:rsidRDefault="00866CF7">
      <w:pPr>
        <w:pStyle w:val="Rubrik2"/>
      </w:pPr>
      <w:bookmarkStart w:id="160" w:name="_Toc477140405"/>
      <w:r w:rsidRPr="00000E4F">
        <w:t>32. Avskaffande av Arbetsdomstolen (mom. 38)</w:t>
      </w:r>
      <w:bookmarkEnd w:id="160"/>
    </w:p>
    <w:p w:rsidR="00866CF7" w:rsidRPr="00000E4F" w:rsidRDefault="00866CF7">
      <w:r w:rsidRPr="00000E4F">
        <w:t xml:space="preserve">Mikael Odenberg, Patrik Norinder, Christel Anderberg och Henrik Westman (alla m) anser </w:t>
      </w:r>
    </w:p>
    <w:p w:rsidR="00866CF7" w:rsidRPr="00000E4F" w:rsidRDefault="00866CF7">
      <w:r w:rsidRPr="00000E4F">
        <w:rPr>
          <w:i/>
        </w:rPr>
        <w:t>dels</w:t>
      </w:r>
      <w:r w:rsidRPr="00000E4F">
        <w:t xml:space="preserve"> att den del av utskottets ställningstagande i Del II, avsnitt 5, som börjar med ”Justitieutskottet har vid” och slutar med ”yrkande 5 (m)” bort ha fö</w:t>
      </w:r>
      <w:r w:rsidRPr="00000E4F">
        <w:t>l</w:t>
      </w:r>
      <w:r w:rsidRPr="00000E4F">
        <w:t>jande lydelse:</w:t>
      </w:r>
    </w:p>
    <w:p w:rsidR="00866CF7" w:rsidRPr="00000E4F" w:rsidRDefault="00866CF7">
      <w:pPr>
        <w:pStyle w:val="Normaltindrag"/>
      </w:pPr>
      <w:r w:rsidRPr="00000E4F">
        <w:t>Utskottet anser i likhet med Moderaterna att det är principiellt tveksamt att ha en ordning där ett utvalt rättsområde bryts ut från det ”normala” rättsv</w:t>
      </w:r>
      <w:r w:rsidRPr="00000E4F">
        <w:t>ä</w:t>
      </w:r>
      <w:r w:rsidRPr="00000E4F">
        <w:t>sendet. Än mer betänkligt är det korporativa synsätt som ligger bakom or</w:t>
      </w:r>
      <w:r w:rsidRPr="00000E4F">
        <w:t>d</w:t>
      </w:r>
      <w:r w:rsidRPr="00000E4F">
        <w:t>ningen med partssammansatta domstolar. Enligt utskottet kan ett domsto</w:t>
      </w:r>
      <w:r w:rsidRPr="00000E4F">
        <w:t>l</w:t>
      </w:r>
      <w:r w:rsidRPr="00000E4F">
        <w:t>sväsende där de etablerade organisationerna ges ett dömande inflytande inom ”sitt” samhällsområde inte hävda den enskildes rätt. Detta är särskilt tydligt vid tvister där den enskilde söker rätt mot de etablerade organisationerna och där dessa kan ha ett sammanfallande intresse av att bibehålla status quo.</w:t>
      </w:r>
    </w:p>
    <w:p w:rsidR="00866CF7" w:rsidRPr="00000E4F" w:rsidRDefault="00866CF7">
      <w:pPr>
        <w:pStyle w:val="Normaltindrag"/>
      </w:pPr>
      <w:r w:rsidRPr="00000E4F">
        <w:t>Ett annat problem är att partssammansatta domstolar i sin r</w:t>
      </w:r>
      <w:r w:rsidRPr="00000E4F">
        <w:t>ättstillämpning har en tendens att fylla ut lagstiftningen och skapa praxis på ett mer långtg</w:t>
      </w:r>
      <w:r w:rsidRPr="00000E4F">
        <w:t>å</w:t>
      </w:r>
      <w:r w:rsidRPr="00000E4F">
        <w:t>ende sätt än andra domstolar. Detta undergräver lagstiftarens ställning och leder till mindre förutsägbarhet och därmed till minskad rättssäkerhet. Enligt utskottet är denna utveckling inte tillfredsställande. Utskottet delar därför Moderaternas åsikt att Arbetsdomstolen bör avskaffas och dess verksamhet övertas av de allmänna domstolarna. Härigenom gynnas förutsägbarheten och rättssäkerheten i arbetsrättsliga mål.</w:t>
      </w:r>
      <w:r w:rsidRPr="00000E4F">
        <w:t xml:space="preserve"> </w:t>
      </w:r>
    </w:p>
    <w:p w:rsidR="00866CF7" w:rsidRPr="00000E4F" w:rsidRDefault="00866CF7">
      <w:pPr>
        <w:pStyle w:val="Normaltindrag"/>
      </w:pPr>
      <w:r w:rsidRPr="00000E4F">
        <w:t>Med hänsyn till det anförda ställer sig utskottet bakom motion A715 y</w:t>
      </w:r>
      <w:r w:rsidRPr="00000E4F">
        <w:t>r</w:t>
      </w:r>
      <w:r w:rsidRPr="00000E4F">
        <w:t>kande 5 (m). Motionen bör därför bifallas i berörd del.</w:t>
      </w:r>
    </w:p>
    <w:p w:rsidR="00866CF7" w:rsidRPr="00000E4F" w:rsidRDefault="00866CF7">
      <w:r w:rsidRPr="00000E4F">
        <w:rPr>
          <w:i/>
        </w:rPr>
        <w:t>dels</w:t>
      </w:r>
      <w:r w:rsidRPr="00000E4F">
        <w:t xml:space="preserve"> att utskottets hemställan under 38 bort ha följande lydelse:</w:t>
      </w:r>
    </w:p>
    <w:p w:rsidR="00866CF7" w:rsidRPr="00000E4F" w:rsidRDefault="00866CF7">
      <w:pPr>
        <w:pStyle w:val="Resklmb"/>
      </w:pPr>
      <w:r w:rsidRPr="00000E4F">
        <w:t xml:space="preserve">38. beträffande </w:t>
      </w:r>
      <w:r w:rsidRPr="00000E4F">
        <w:rPr>
          <w:i/>
        </w:rPr>
        <w:t>avskaffande av Arbetsdomstolen</w:t>
      </w:r>
    </w:p>
    <w:p w:rsidR="00866CF7" w:rsidRPr="00000E4F" w:rsidRDefault="00866CF7">
      <w:pPr>
        <w:pStyle w:val="Resklm"/>
      </w:pPr>
      <w:r w:rsidRPr="00000E4F">
        <w:t>att riksdagen med anledning av motion 1999/2000:A715 yrkande 5 som sin mening ger regeringen till känna vad utskottet a</w:t>
      </w:r>
      <w:r w:rsidRPr="00000E4F">
        <w:t>n</w:t>
      </w:r>
      <w:r w:rsidRPr="00000E4F">
        <w:t xml:space="preserve">fört, </w:t>
      </w:r>
    </w:p>
    <w:p w:rsidR="00866CF7" w:rsidRPr="00000E4F" w:rsidRDefault="00866CF7">
      <w:pPr>
        <w:pStyle w:val="Rubrik2"/>
      </w:pPr>
      <w:bookmarkStart w:id="161" w:name="_Toc477140406"/>
      <w:r w:rsidRPr="00000E4F">
        <w:t>33. SPV:s verksamhet (mom. 39)</w:t>
      </w:r>
      <w:bookmarkEnd w:id="161"/>
    </w:p>
    <w:p w:rsidR="00866CF7" w:rsidRPr="00000E4F" w:rsidRDefault="00866CF7">
      <w:r w:rsidRPr="00000E4F">
        <w:t xml:space="preserve">Mikael Odenberg, Patrik Norinder, Christel Anderberg och Henrik Westman (alla m) anser </w:t>
      </w:r>
    </w:p>
    <w:p w:rsidR="00866CF7" w:rsidRPr="00000E4F" w:rsidRDefault="00866CF7">
      <w:r w:rsidRPr="00000E4F">
        <w:rPr>
          <w:i/>
        </w:rPr>
        <w:t>dels</w:t>
      </w:r>
      <w:r w:rsidRPr="00000E4F">
        <w:t xml:space="preserve"> att utskottets ställningstagande i Del II, avsnitt 6, bort ha följande lyde</w:t>
      </w:r>
      <w:r w:rsidRPr="00000E4F">
        <w:t>l</w:t>
      </w:r>
      <w:r w:rsidRPr="00000E4F">
        <w:t>se:</w:t>
      </w:r>
    </w:p>
    <w:p w:rsidR="00866CF7" w:rsidRPr="00000E4F" w:rsidRDefault="00866CF7">
      <w:pPr>
        <w:pStyle w:val="Normaltindrag"/>
      </w:pPr>
      <w:r w:rsidRPr="00000E4F">
        <w:t>Som mycket riktigt påpekats i motion A602 är alla statliga myndigheter skyldiga att köpa sina tjänster från SPV. Detta innebär att SPV har monopol inom området statlig pensionsförvaltning, vilket i sin tur innebär att lagen om offentlig upphandling inte gäller. Härigenom råder det en diskrepans jämfört med vad som gäller inom den kommunala sektorn. Inom denna sektor fanns det tidigare ett monopol, men detta har nu avvecklats. D</w:t>
      </w:r>
      <w:r w:rsidRPr="00000E4F">
        <w:t>etta har lett till att prisnivåerna för pensionsadministration har sänkts. Avvecklingen av mon</w:t>
      </w:r>
      <w:r w:rsidRPr="00000E4F">
        <w:t>o</w:t>
      </w:r>
      <w:r w:rsidRPr="00000E4F">
        <w:t>polet har lett till en påtaglig besparing för sektorn, samtidigt som konkurre</w:t>
      </w:r>
      <w:r w:rsidRPr="00000E4F">
        <w:t>n</w:t>
      </w:r>
      <w:r w:rsidRPr="00000E4F">
        <w:t>sen lett till bättre service och högre effektivitet vad avser pensionsadminis</w:t>
      </w:r>
      <w:r w:rsidRPr="00000E4F">
        <w:t>t</w:t>
      </w:r>
      <w:r w:rsidRPr="00000E4F">
        <w:t>rativa tjänster. Samma resultat skulle med största sannolikhet kunna åsta</w:t>
      </w:r>
      <w:r w:rsidRPr="00000E4F">
        <w:t>d</w:t>
      </w:r>
      <w:r w:rsidRPr="00000E4F">
        <w:t>kommas inom den statliga sektorn om monopolet inom denna sektor avska</w:t>
      </w:r>
      <w:r w:rsidRPr="00000E4F">
        <w:t>f</w:t>
      </w:r>
      <w:r w:rsidRPr="00000E4F">
        <w:t xml:space="preserve">fades. </w:t>
      </w:r>
    </w:p>
    <w:p w:rsidR="00866CF7" w:rsidRPr="00000E4F" w:rsidRDefault="00866CF7">
      <w:pPr>
        <w:pStyle w:val="Normaltindrag"/>
      </w:pPr>
      <w:r w:rsidRPr="00000E4F">
        <w:t>Förutom sin ställning som ensam pensionsadministratör inom den statliga sektorn kan SPV även erbjuda pensions</w:t>
      </w:r>
      <w:r w:rsidRPr="00000E4F">
        <w:t>administrativa tjänster till bolag och kommuner. Detta följer av ett regeringsbeslut från 1992. Denna verksamhet bedriver SPV som framgår av inledningen inom resultatområdet Pension Försäkring. Det ekonomiska utfallet för denna verksamhetsgren har för 1998 inte motsvarat det mål regeringen ställt upp.</w:t>
      </w:r>
    </w:p>
    <w:p w:rsidR="00866CF7" w:rsidRPr="00000E4F" w:rsidRDefault="00866CF7">
      <w:pPr>
        <w:pStyle w:val="Normaltindrag"/>
      </w:pPr>
      <w:r w:rsidRPr="00000E4F">
        <w:t>SPV har uppgett att dess verksamhetsidé är att ha en ledande position på pensionsmarknaden. För att uppnå detta krävs bl.a. investeringar i systemu</w:t>
      </w:r>
      <w:r w:rsidRPr="00000E4F">
        <w:t>t</w:t>
      </w:r>
      <w:r w:rsidRPr="00000E4F">
        <w:t xml:space="preserve">veckling. Vidare kommer SPV i framtiden att behöva ta sådana affärsrisker som statliga myndigheter normalt inte tar. Enligt utskottet finns det, med hänsyn till den pressade prisbild som konkurrensen på den kommunala marknaden visar, anledning att befara fortsatt dålig resultatutveckling inom detta område. Utskottet är därför tveksamt till om denna satsning bör fortgå. </w:t>
      </w:r>
    </w:p>
    <w:p w:rsidR="00866CF7" w:rsidRPr="00000E4F" w:rsidRDefault="00866CF7">
      <w:pPr>
        <w:pStyle w:val="Normaltindrag"/>
      </w:pPr>
      <w:r w:rsidRPr="00000E4F">
        <w:t>Vidare anser utskottet att den statliga pensionsadministrationen bör öppnas för konkurrens. Som redan påpekats skulle detta leda till pres</w:t>
      </w:r>
      <w:r w:rsidRPr="00000E4F">
        <w:t xml:space="preserve">sade kostnader för den statliga pensionsadministrationen. </w:t>
      </w:r>
    </w:p>
    <w:p w:rsidR="00866CF7" w:rsidRPr="00000E4F" w:rsidRDefault="00866CF7">
      <w:pPr>
        <w:pStyle w:val="Normaltindrag"/>
      </w:pPr>
      <w:r w:rsidRPr="00000E4F">
        <w:t xml:space="preserve">Med hänsyn till det ovan anförda ställer sig utskottet bakom motion A602 yrkandena 1 och 2 (m). </w:t>
      </w:r>
    </w:p>
    <w:p w:rsidR="00866CF7" w:rsidRPr="00000E4F" w:rsidRDefault="00866CF7">
      <w:r w:rsidRPr="00000E4F">
        <w:rPr>
          <w:i/>
        </w:rPr>
        <w:t>dels</w:t>
      </w:r>
      <w:r w:rsidRPr="00000E4F">
        <w:t xml:space="preserve"> att utskottets hemställan under 39 bort ha följande lydelse:</w:t>
      </w:r>
    </w:p>
    <w:p w:rsidR="00866CF7" w:rsidRPr="00000E4F" w:rsidRDefault="00866CF7">
      <w:pPr>
        <w:pStyle w:val="Resklmb"/>
      </w:pPr>
      <w:r w:rsidRPr="00000E4F">
        <w:t xml:space="preserve">39. beträffande </w:t>
      </w:r>
      <w:r w:rsidRPr="00000E4F">
        <w:rPr>
          <w:i/>
        </w:rPr>
        <w:t>SPV:s verksamhet</w:t>
      </w:r>
    </w:p>
    <w:p w:rsidR="00866CF7" w:rsidRPr="00000E4F" w:rsidRDefault="00866CF7">
      <w:pPr>
        <w:pStyle w:val="Resklm"/>
      </w:pPr>
      <w:r w:rsidRPr="00000E4F">
        <w:t>att riksdagen med anledning av motion 1999/2000:A602 yrkandena 1 och 2 som sin mening ger regeringen till känna vad utskottet a</w:t>
      </w:r>
      <w:r w:rsidRPr="00000E4F">
        <w:t>n</w:t>
      </w:r>
      <w:r w:rsidRPr="00000E4F">
        <w:t xml:space="preserve">fört, </w:t>
      </w:r>
    </w:p>
    <w:p w:rsidR="00866CF7" w:rsidRPr="00000E4F" w:rsidRDefault="00866CF7">
      <w:pPr>
        <w:pStyle w:val="Rubrik2"/>
      </w:pPr>
      <w:bookmarkStart w:id="162" w:name="_Toc477140407"/>
      <w:r w:rsidRPr="00000E4F">
        <w:t>34. Stuverimonopolet m.m. (mom. 40)</w:t>
      </w:r>
      <w:bookmarkEnd w:id="162"/>
    </w:p>
    <w:p w:rsidR="00866CF7" w:rsidRPr="00000E4F" w:rsidRDefault="00866CF7">
      <w:r w:rsidRPr="00000E4F">
        <w:t xml:space="preserve">Mikael Odenberg (m), Patrik Norinder (m), Christel Anderberg (m), Elver Jonsson (fp) och Henrik Westman (m) anser </w:t>
      </w:r>
    </w:p>
    <w:p w:rsidR="00866CF7" w:rsidRPr="00000E4F" w:rsidRDefault="00866CF7">
      <w:r w:rsidRPr="00000E4F">
        <w:rPr>
          <w:i/>
        </w:rPr>
        <w:t>dels</w:t>
      </w:r>
      <w:r w:rsidRPr="00000E4F">
        <w:t xml:space="preserve"> att den del av utskottets ställningstagande i Del II, avsnitt 7, som börjar med ”ILO-konventionen nr” och slutar med ”och 3 (m)” bort ha följande lyde</w:t>
      </w:r>
      <w:r w:rsidRPr="00000E4F">
        <w:t>l</w:t>
      </w:r>
      <w:r w:rsidRPr="00000E4F">
        <w:t>se:</w:t>
      </w:r>
    </w:p>
    <w:p w:rsidR="00866CF7" w:rsidRPr="00000E4F" w:rsidRDefault="00866CF7">
      <w:pPr>
        <w:pStyle w:val="Normaltindrag"/>
      </w:pPr>
      <w:r w:rsidRPr="00000E4F">
        <w:t>Vissa arbetstagarorganisationer stöder sig på ILO-konvention nr 137 när de hävdar det s.k. stuverimonopolet i svenska hamnar. Detta monopol på arbete med anknytning till godshantering i hamnarna är ett hinder för rati</w:t>
      </w:r>
      <w:r w:rsidRPr="00000E4F">
        <w:t>o</w:t>
      </w:r>
      <w:r w:rsidRPr="00000E4F">
        <w:t>nell hantering av godset. Hamnkostnaden fördyras i onödan. Ytterst innebär stuverimonopolet att sjöfartens lönsamhet påverkas negativt. Monopolet måste avvecklas eftersom det verkar hämmande på utveckling och arbet</w:t>
      </w:r>
      <w:r w:rsidRPr="00000E4F">
        <w:t>s</w:t>
      </w:r>
      <w:r w:rsidRPr="00000E4F">
        <w:t>metoder i svenska hamnar.</w:t>
      </w:r>
    </w:p>
    <w:p w:rsidR="00866CF7" w:rsidRPr="00000E4F" w:rsidRDefault="00866CF7">
      <w:pPr>
        <w:pStyle w:val="Normaltindrag"/>
      </w:pPr>
      <w:r w:rsidRPr="00000E4F">
        <w:t>Det är olyckligt att Sverige inte tog till vara möjligheterna att 1996 säga upp konventionen. Regeringen bör emellertid utreda möjligheterna att nu säga upp konventionen.</w:t>
      </w:r>
    </w:p>
    <w:p w:rsidR="00866CF7" w:rsidRPr="00000E4F" w:rsidRDefault="00866CF7">
      <w:pPr>
        <w:pStyle w:val="Normaltindrag"/>
      </w:pPr>
      <w:r w:rsidRPr="00000E4F">
        <w:t>Utskottet ställer sig med detta uttalande bakom motionerna A714 (m), T209 yrkande 14 (fp), och T616 yrkandena 2 och 3 (m).</w:t>
      </w:r>
    </w:p>
    <w:p w:rsidR="00866CF7" w:rsidRPr="00000E4F" w:rsidRDefault="00866CF7">
      <w:r w:rsidRPr="00000E4F">
        <w:rPr>
          <w:i/>
        </w:rPr>
        <w:t>dels</w:t>
      </w:r>
      <w:r w:rsidRPr="00000E4F">
        <w:t xml:space="preserve"> att utskottets hemställan under 40 bort ha följande lydelse:</w:t>
      </w:r>
    </w:p>
    <w:p w:rsidR="00866CF7" w:rsidRPr="00000E4F" w:rsidRDefault="00866CF7">
      <w:pPr>
        <w:pStyle w:val="Resklmb"/>
      </w:pPr>
      <w:r w:rsidRPr="00000E4F">
        <w:t xml:space="preserve">40. beträffande </w:t>
      </w:r>
      <w:r w:rsidRPr="00000E4F">
        <w:rPr>
          <w:i/>
        </w:rPr>
        <w:t>stuverimonopolet m.m.</w:t>
      </w:r>
    </w:p>
    <w:p w:rsidR="00866CF7" w:rsidRPr="00000E4F" w:rsidRDefault="00866CF7">
      <w:pPr>
        <w:pStyle w:val="Resklm"/>
      </w:pPr>
      <w:r w:rsidRPr="00000E4F">
        <w:t>att riksdagen med anledning av motionerna 1999/2000:A714, 1999/2000:T209 yrkande 14 och 1999/2000:T616 yrkandena 2 och 3 samt med avslag på motion 1999/2000:T210 yrkande 27 som sin m</w:t>
      </w:r>
      <w:r w:rsidRPr="00000E4F">
        <w:t>e</w:t>
      </w:r>
      <w:r w:rsidRPr="00000E4F">
        <w:t>ning ger regeringen till känna vad utskottet a</w:t>
      </w:r>
      <w:r w:rsidRPr="00000E4F">
        <w:t>n</w:t>
      </w:r>
      <w:r w:rsidRPr="00000E4F">
        <w:t xml:space="preserve">fört, </w:t>
      </w:r>
    </w:p>
    <w:p w:rsidR="00866CF7" w:rsidRPr="00000E4F" w:rsidRDefault="00866CF7">
      <w:pPr>
        <w:pStyle w:val="Rubrik2"/>
      </w:pPr>
      <w:bookmarkStart w:id="163" w:name="_Toc477140408"/>
      <w:r w:rsidRPr="00000E4F">
        <w:t>35. Stuverimonopolet m.m. (mom. 40)</w:t>
      </w:r>
      <w:bookmarkEnd w:id="163"/>
    </w:p>
    <w:p w:rsidR="00866CF7" w:rsidRPr="00000E4F" w:rsidRDefault="00866CF7">
      <w:r w:rsidRPr="00000E4F">
        <w:t xml:space="preserve">Maria Larsson och Magnus Jacobsson (båda kd) anser </w:t>
      </w:r>
    </w:p>
    <w:p w:rsidR="00866CF7" w:rsidRPr="00000E4F" w:rsidRDefault="00866CF7">
      <w:pPr>
        <w:rPr>
          <w:b/>
        </w:rPr>
      </w:pPr>
      <w:r w:rsidRPr="00000E4F">
        <w:rPr>
          <w:i/>
        </w:rPr>
        <w:t>dels</w:t>
      </w:r>
      <w:r w:rsidRPr="00000E4F">
        <w:t xml:space="preserve"> att den del av utskottets ställningstagande i Del II, avsnitt 7, som börjar med ”ILO-konventionen nr” och slutar med ”och 3 (m)” bort ha följande lyde</w:t>
      </w:r>
      <w:r w:rsidRPr="00000E4F">
        <w:t>l</w:t>
      </w:r>
      <w:r w:rsidRPr="00000E4F">
        <w:t>se:</w:t>
      </w:r>
    </w:p>
    <w:p w:rsidR="00866CF7" w:rsidRPr="00000E4F" w:rsidRDefault="00866CF7">
      <w:pPr>
        <w:pStyle w:val="Normaltindrag"/>
      </w:pPr>
      <w:r w:rsidRPr="00000E4F">
        <w:t>Det s.k. stuverimonopolet är en omtalad företeelse. Enligt många hämmar det konkurrensen och förhindrar en effektivare hantering i hamnarna. U</w:t>
      </w:r>
      <w:r w:rsidRPr="00000E4F">
        <w:t>t</w:t>
      </w:r>
      <w:r w:rsidRPr="00000E4F">
        <w:t>skottet anser därför att det finns skäl att se närmare på dessa frågor. Reg</w:t>
      </w:r>
      <w:r w:rsidRPr="00000E4F">
        <w:t>e</w:t>
      </w:r>
      <w:r w:rsidRPr="00000E4F">
        <w:t>ringen bör få i uppdrag att se över stuverimonopolet samt lägga fram förslag på hur detta skall hanteras i framtiden med tanke på konkurrenssituationen. Detta bör ges regeringen till känna. Utskottet tillstyrker därför motion A210 yrkande 27 (kd) samt avstyrker motionerna A714 (m), T209 yrkande 14 (fp) och T616 yrkandena 2 och 3 (m) i den mån de inte kan anses tillgodosedda genom vad utskottet anfört.</w:t>
      </w:r>
    </w:p>
    <w:p w:rsidR="00866CF7" w:rsidRPr="00000E4F" w:rsidRDefault="00866CF7">
      <w:r w:rsidRPr="00000E4F">
        <w:rPr>
          <w:i/>
        </w:rPr>
        <w:t>dels</w:t>
      </w:r>
      <w:r w:rsidRPr="00000E4F">
        <w:t xml:space="preserve"> att utskottets hemställan under 40 bort ha följande lydelse:</w:t>
      </w:r>
    </w:p>
    <w:p w:rsidR="00866CF7" w:rsidRPr="00000E4F" w:rsidRDefault="00866CF7">
      <w:pPr>
        <w:pStyle w:val="Resklmb"/>
      </w:pPr>
      <w:r w:rsidRPr="00000E4F">
        <w:t xml:space="preserve">40. beträffande </w:t>
      </w:r>
      <w:r w:rsidRPr="00000E4F">
        <w:rPr>
          <w:i/>
        </w:rPr>
        <w:t>stuverimonopolet m.m.</w:t>
      </w:r>
    </w:p>
    <w:p w:rsidR="00866CF7" w:rsidRPr="00000E4F" w:rsidRDefault="00866CF7">
      <w:pPr>
        <w:pStyle w:val="Resklm"/>
      </w:pPr>
      <w:r w:rsidRPr="00000E4F">
        <w:t>att riksdagen med anledning av motion 1999/2000:T210 yrkande 27 samt med avslag på motionerna 1999/2000:A714, 1999/2000:T209 yrkande 14 och 1999/2000:T616 yrkandena 2 och 3 som sin mening ger regeringen till känna vad utskottet a</w:t>
      </w:r>
      <w:r w:rsidRPr="00000E4F">
        <w:t>n</w:t>
      </w:r>
      <w:r w:rsidRPr="00000E4F">
        <w:t xml:space="preserve">fört, </w:t>
      </w:r>
    </w:p>
    <w:p w:rsidR="00866CF7" w:rsidRPr="00000E4F" w:rsidRDefault="00866CF7">
      <w:pPr>
        <w:pStyle w:val="Rubrik2"/>
      </w:pPr>
      <w:bookmarkStart w:id="164" w:name="_Toc477140409"/>
      <w:r w:rsidRPr="00000E4F">
        <w:t>36. Lex Britannia (mom. 41)</w:t>
      </w:r>
      <w:bookmarkEnd w:id="164"/>
    </w:p>
    <w:p w:rsidR="00866CF7" w:rsidRPr="00000E4F" w:rsidRDefault="00866CF7">
      <w:r w:rsidRPr="00000E4F">
        <w:t xml:space="preserve">Mikael Odenberg (m), Patrik Norinder (m), Christel Anderberg (m), Elver Jonsson (fp) och Henrik Westman (m) anser </w:t>
      </w:r>
    </w:p>
    <w:p w:rsidR="00866CF7" w:rsidRPr="00000E4F" w:rsidRDefault="00866CF7">
      <w:r w:rsidRPr="00000E4F">
        <w:rPr>
          <w:i/>
        </w:rPr>
        <w:t>dels</w:t>
      </w:r>
      <w:r w:rsidRPr="00000E4F">
        <w:t xml:space="preserve"> att den del av utskottets ställningstagande i Del II, avsnitt 7, som börjar med ”Utskottet övergår nu” och slutar med ”(m) bör avslås” bort ha följande lydelse:</w:t>
      </w:r>
    </w:p>
    <w:p w:rsidR="00866CF7" w:rsidRPr="00000E4F" w:rsidRDefault="00866CF7">
      <w:pPr>
        <w:pStyle w:val="Normaltindrag"/>
      </w:pPr>
      <w:r w:rsidRPr="00000E4F">
        <w:t>Enligt utskottets mening hör de regler som brukar benämnas Lex Britannia inte hemma på en modern arbetsmarknad med hög grad av internationalis</w:t>
      </w:r>
      <w:r w:rsidRPr="00000E4F">
        <w:t>e</w:t>
      </w:r>
      <w:r w:rsidRPr="00000E4F">
        <w:t>ring och ökade krav på flexibilitet för företagen och de anställda. Till detta kommer det förhållandet att det är osäkert om dessa regler står i överen</w:t>
      </w:r>
      <w:r w:rsidRPr="00000E4F">
        <w:t>s</w:t>
      </w:r>
      <w:r w:rsidRPr="00000E4F">
        <w:t>stämmelse med de internationella åtaganden som Sverige gjort. Utskottet delar därför motionärernas uppfattning att reglerna bör upphävas. Motione</w:t>
      </w:r>
      <w:r w:rsidRPr="00000E4F">
        <w:t>r</w:t>
      </w:r>
      <w:r w:rsidRPr="00000E4F">
        <w:t>na A231 yrkande 17 delvis (fp) och T616 yrkande 10 delvis (m) bör därför bifallas.</w:t>
      </w:r>
    </w:p>
    <w:p w:rsidR="00866CF7" w:rsidRPr="00000E4F" w:rsidRDefault="00866CF7">
      <w:r w:rsidRPr="00000E4F">
        <w:rPr>
          <w:i/>
        </w:rPr>
        <w:t>dels</w:t>
      </w:r>
      <w:r w:rsidRPr="00000E4F">
        <w:t xml:space="preserve"> att utskottets hemställan under 41 bort ha följande lydelse:</w:t>
      </w:r>
    </w:p>
    <w:p w:rsidR="00866CF7" w:rsidRPr="00000E4F" w:rsidRDefault="00866CF7">
      <w:pPr>
        <w:pStyle w:val="Resklmb"/>
      </w:pPr>
      <w:r w:rsidRPr="00000E4F">
        <w:t xml:space="preserve">41. beträffande </w:t>
      </w:r>
      <w:r w:rsidRPr="00000E4F">
        <w:rPr>
          <w:i/>
        </w:rPr>
        <w:t>Lex Britannia</w:t>
      </w:r>
    </w:p>
    <w:p w:rsidR="00866CF7" w:rsidRPr="00000E4F" w:rsidRDefault="00866CF7">
      <w:pPr>
        <w:pStyle w:val="Resklm"/>
      </w:pPr>
      <w:r w:rsidRPr="00000E4F">
        <w:t>att riksdagen med anledning av motionerna 1999/2000:A231 yrkande 17 i motsvarande del och 1999/2000:T616 yrkande 10 i motsvarande del som sin mening ger reg</w:t>
      </w:r>
      <w:r w:rsidRPr="00000E4F">
        <w:t>e</w:t>
      </w:r>
      <w:r w:rsidRPr="00000E4F">
        <w:t xml:space="preserve">ringen till känna vad utskottet anfört, </w:t>
      </w:r>
    </w:p>
    <w:p w:rsidR="00866CF7" w:rsidRPr="00000E4F" w:rsidRDefault="00866CF7">
      <w:pPr>
        <w:pStyle w:val="Rubrik2"/>
      </w:pPr>
      <w:bookmarkStart w:id="165" w:name="_Toc477140410"/>
      <w:r w:rsidRPr="00000E4F">
        <w:t>37. Övergångsdirektivet (mom. 42)</w:t>
      </w:r>
      <w:bookmarkEnd w:id="165"/>
    </w:p>
    <w:p w:rsidR="00866CF7" w:rsidRPr="00000E4F" w:rsidRDefault="00866CF7">
      <w:r w:rsidRPr="00000E4F">
        <w:t xml:space="preserve">Mikael Odenberg, Patrik Norinder, Christel Anderberg och Henrik Westman (alla m) anser </w:t>
      </w:r>
    </w:p>
    <w:p w:rsidR="00866CF7" w:rsidRPr="00000E4F" w:rsidRDefault="00866CF7">
      <w:r w:rsidRPr="00000E4F">
        <w:rPr>
          <w:i/>
        </w:rPr>
        <w:t>dels</w:t>
      </w:r>
      <w:r w:rsidRPr="00000E4F">
        <w:t xml:space="preserve"> att den del av utskottets ställningstagande i Del II, avsnitt 7, som börjar med ”Vad sedan gäller” och slutar med ”10 delvis (m)” bort ha följande lydelse:</w:t>
      </w:r>
    </w:p>
    <w:p w:rsidR="00866CF7" w:rsidRPr="00000E4F" w:rsidRDefault="00866CF7">
      <w:pPr>
        <w:pStyle w:val="Normaltindrag"/>
      </w:pPr>
      <w:r w:rsidRPr="00000E4F">
        <w:t>När det gäller Moderaternas krav på att lagens regler om personalöve</w:t>
      </w:r>
      <w:r w:rsidRPr="00000E4F">
        <w:t>r</w:t>
      </w:r>
      <w:r w:rsidRPr="00000E4F">
        <w:t>gångar vid överlåtelse av verksamhet inte skall omfatta skepp kan utskottet konstatera att den svenska lagstiftningen skiljer sig från det s.k. överlåtels</w:t>
      </w:r>
      <w:r w:rsidRPr="00000E4F">
        <w:t>e</w:t>
      </w:r>
      <w:r w:rsidRPr="00000E4F">
        <w:t>direktivet (rådets direktiv 77/187/EEG). Direktivet är till skillnad från vad som gäller enligt den svenska lagstiftningen inte tillämpligt på sjögående fartyg. Eftersom den svenska lagstiftningen därigenom kommer i konflikt med EU-reglerna delar utskottet Moderaternas uppfattning att det svenska undantaget bör avskaffas. Vad utskottet har anfört bör ges</w:t>
      </w:r>
      <w:r w:rsidRPr="00000E4F">
        <w:t xml:space="preserve"> regeringen till känna. Utskottet tillstyrker därför motion T616 yrkande 10 delvis (m).</w:t>
      </w:r>
    </w:p>
    <w:p w:rsidR="00866CF7" w:rsidRPr="00000E4F" w:rsidRDefault="00866CF7">
      <w:r w:rsidRPr="00000E4F">
        <w:rPr>
          <w:i/>
        </w:rPr>
        <w:t>dels</w:t>
      </w:r>
      <w:r w:rsidRPr="00000E4F">
        <w:t xml:space="preserve"> att utskottets hemställan under 42 bort ha följande lydelse:</w:t>
      </w:r>
    </w:p>
    <w:p w:rsidR="00866CF7" w:rsidRPr="00000E4F" w:rsidRDefault="00866CF7">
      <w:pPr>
        <w:pStyle w:val="Resklmb"/>
      </w:pPr>
      <w:r w:rsidRPr="00000E4F">
        <w:t xml:space="preserve">42. beträffande </w:t>
      </w:r>
      <w:r w:rsidRPr="00000E4F">
        <w:rPr>
          <w:i/>
        </w:rPr>
        <w:t>övergångsdirektivet</w:t>
      </w:r>
    </w:p>
    <w:p w:rsidR="00866CF7" w:rsidRPr="00000E4F" w:rsidRDefault="00866CF7">
      <w:pPr>
        <w:pStyle w:val="Resklm"/>
      </w:pPr>
      <w:r w:rsidRPr="00000E4F">
        <w:t>att riksdagen med anledning av motion 1999/2000:T616 yrkande 10 i motsvarande del som sin mening ger regeringen till känna vad utsko</w:t>
      </w:r>
      <w:r w:rsidRPr="00000E4F">
        <w:t>t</w:t>
      </w:r>
      <w:r w:rsidRPr="00000E4F">
        <w:t xml:space="preserve">tet anfört, </w:t>
      </w:r>
    </w:p>
    <w:p w:rsidR="00866CF7" w:rsidRPr="00000E4F" w:rsidRDefault="00866CF7">
      <w:pPr>
        <w:pStyle w:val="Rubrik2"/>
      </w:pPr>
      <w:bookmarkStart w:id="166" w:name="_Toc477140411"/>
      <w:r w:rsidRPr="00000E4F">
        <w:t>38. Sjuklön m.m. för sjömän (mom. 43)</w:t>
      </w:r>
      <w:bookmarkEnd w:id="166"/>
    </w:p>
    <w:p w:rsidR="00866CF7" w:rsidRPr="00000E4F" w:rsidRDefault="00866CF7">
      <w:r w:rsidRPr="00000E4F">
        <w:t xml:space="preserve">Mikael Odenberg, Patrik Norinder, Christel Anderberg och Henrik Westman (alla m) anser </w:t>
      </w:r>
    </w:p>
    <w:p w:rsidR="00866CF7" w:rsidRPr="00000E4F" w:rsidRDefault="00866CF7">
      <w:r w:rsidRPr="00000E4F">
        <w:rPr>
          <w:i/>
        </w:rPr>
        <w:t>dels</w:t>
      </w:r>
      <w:r w:rsidRPr="00000E4F">
        <w:t xml:space="preserve"> att den del av utskottets ställningstagande i Del II, i avsnitt 7, som börjar med ”Vad slutligen gäller” och slutar med ”(m) avstyrks därför” bort ha följande lydelse:</w:t>
      </w:r>
    </w:p>
    <w:p w:rsidR="00866CF7" w:rsidRPr="00000E4F" w:rsidRDefault="00866CF7">
      <w:pPr>
        <w:pStyle w:val="Normaltindrag"/>
      </w:pPr>
      <w:r w:rsidRPr="00000E4F">
        <w:t>Utskottet kan i likhet med vad som påpekas i motion T616 konstatera att det finns speciella arbetsrättsliga regler som gäller för sjöfarten, exempelvis bestämmelser om sjuklön och arbetstid. Dessa bestämmelser har historiska orsaker men saknar i dag betydelse. Utskottet anser därför i likhet med M</w:t>
      </w:r>
      <w:r w:rsidRPr="00000E4F">
        <w:t>o</w:t>
      </w:r>
      <w:r w:rsidRPr="00000E4F">
        <w:t>deraterna att dessa bestämmelser bör anpassas till de generella bestämmelser som gäller för svensk arbetsmarknad. Vad utskottet anfört bör ges regeringen till känna. Med hänsyn till det anförda tillstyrker utskottet motion T616 yrkande 10 delvis (m).</w:t>
      </w:r>
    </w:p>
    <w:p w:rsidR="00866CF7" w:rsidRPr="00000E4F" w:rsidRDefault="00866CF7">
      <w:r w:rsidRPr="00000E4F">
        <w:rPr>
          <w:i/>
        </w:rPr>
        <w:t>dels</w:t>
      </w:r>
      <w:r w:rsidRPr="00000E4F">
        <w:t xml:space="preserve"> att utskottets hemställan under 43 bort ha följande lydelse:</w:t>
      </w:r>
    </w:p>
    <w:p w:rsidR="00866CF7" w:rsidRPr="00000E4F" w:rsidRDefault="00866CF7">
      <w:pPr>
        <w:pStyle w:val="Resklmb"/>
      </w:pPr>
      <w:r w:rsidRPr="00000E4F">
        <w:t xml:space="preserve">43. beträffande </w:t>
      </w:r>
      <w:r w:rsidRPr="00000E4F">
        <w:rPr>
          <w:i/>
        </w:rPr>
        <w:t>sjuklön m.m. för sjömän</w:t>
      </w:r>
    </w:p>
    <w:p w:rsidR="00866CF7" w:rsidRPr="00000E4F" w:rsidRDefault="00866CF7">
      <w:pPr>
        <w:pStyle w:val="Resklm"/>
      </w:pPr>
      <w:r w:rsidRPr="00000E4F">
        <w:t>att riksdagen med anledning av motion 1999/2000:T616 yrkande 10 i motsvarande del som sin mening ger regeringen till känna vad utsko</w:t>
      </w:r>
      <w:r w:rsidRPr="00000E4F">
        <w:t>t</w:t>
      </w:r>
      <w:r w:rsidRPr="00000E4F">
        <w:t xml:space="preserve">tet anfört. </w:t>
      </w:r>
    </w:p>
    <w:p w:rsidR="00866CF7" w:rsidRPr="00000E4F" w:rsidRDefault="00866CF7">
      <w:pPr>
        <w:pStyle w:val="Normaltindrag"/>
        <w:sectPr w:rsidR="00000000" w:rsidRPr="00000E4F">
          <w:headerReference w:type="default" r:id="rId12"/>
          <w:footerReference w:type="default" r:id="rId13"/>
          <w:pgSz w:w="11906" w:h="16838" w:code="9"/>
          <w:pgMar w:top="567" w:right="4876" w:bottom="4508" w:left="1134" w:header="227" w:footer="227" w:gutter="0"/>
          <w:cols w:space="720"/>
        </w:sectPr>
      </w:pPr>
    </w:p>
    <w:p w:rsidR="00866CF7" w:rsidRPr="00000E4F" w:rsidRDefault="00866CF7">
      <w:pPr>
        <w:pStyle w:val="Rubrik1"/>
        <w:spacing w:before="123"/>
      </w:pPr>
      <w:bookmarkStart w:id="167" w:name="_Toc477140412"/>
      <w:r w:rsidRPr="00000E4F">
        <w:t>Särskilda yttranden</w:t>
      </w:r>
      <w:bookmarkEnd w:id="167"/>
    </w:p>
    <w:p w:rsidR="00866CF7" w:rsidRPr="00000E4F" w:rsidRDefault="00866CF7">
      <w:pPr>
        <w:pStyle w:val="Rubrik2"/>
        <w:spacing w:before="123"/>
      </w:pPr>
      <w:bookmarkStart w:id="168" w:name="_Toc477140413"/>
      <w:r w:rsidRPr="00000E4F">
        <w:t>Del I</w:t>
      </w:r>
      <w:bookmarkEnd w:id="168"/>
    </w:p>
    <w:p w:rsidR="00866CF7" w:rsidRPr="00000E4F" w:rsidRDefault="00866CF7">
      <w:pPr>
        <w:pStyle w:val="Rubrik2"/>
        <w:spacing w:before="123"/>
      </w:pPr>
      <w:bookmarkStart w:id="169" w:name="_Toc477140414"/>
      <w:r w:rsidRPr="00000E4F">
        <w:t>1. Utskottets handläggning av ärendet</w:t>
      </w:r>
      <w:bookmarkEnd w:id="169"/>
      <w:r w:rsidRPr="00000E4F">
        <w:t xml:space="preserve"> </w:t>
      </w:r>
    </w:p>
    <w:p w:rsidR="00866CF7" w:rsidRPr="00000E4F" w:rsidRDefault="00866CF7">
      <w:r w:rsidRPr="00000E4F">
        <w:t xml:space="preserve">Margareta Andersson (c), Mikael Odenberg (m), Patrik Norinder (m), Maria Larsson (kd), Christel Anderberg (m) Elver Jonsson (fp), Henrik Westman (m) och Magnus Jacobsson (kd) anför: </w:t>
      </w:r>
    </w:p>
    <w:p w:rsidR="00866CF7" w:rsidRPr="00000E4F" w:rsidRDefault="00866CF7">
      <w:r w:rsidRPr="00000E4F">
        <w:t>Som framgår av utskottets betänkande har huvudorganisationerna SACO och SAF inkommit till utskottet med en skrivelse rörande beredningen av försl</w:t>
      </w:r>
      <w:r w:rsidRPr="00000E4F">
        <w:t>a</w:t>
      </w:r>
      <w:r w:rsidRPr="00000E4F">
        <w:t xml:space="preserve">gen i regeringens proposition. </w:t>
      </w:r>
    </w:p>
    <w:p w:rsidR="00866CF7" w:rsidRPr="00000E4F" w:rsidRDefault="00866CF7">
      <w:pPr>
        <w:pStyle w:val="Normaltindrag"/>
      </w:pPr>
      <w:r w:rsidRPr="00000E4F">
        <w:t>I skrivelsen hävdade SACO och SAF att regeringen på ”punkt efter punkt fallit efter från kritik från LO”. De två organisationerna fann det oacceptabelt att regeringen på detta sätt ”för en dialog med enbart LO och dessutom til</w:t>
      </w:r>
      <w:r w:rsidRPr="00000E4F">
        <w:t>l</w:t>
      </w:r>
      <w:r w:rsidRPr="00000E4F">
        <w:t xml:space="preserve">delar LO en vetorätt”. </w:t>
      </w:r>
    </w:p>
    <w:p w:rsidR="00866CF7" w:rsidRPr="00000E4F" w:rsidRDefault="00866CF7">
      <w:pPr>
        <w:pStyle w:val="Normaltindrag"/>
      </w:pPr>
      <w:r w:rsidRPr="00000E4F">
        <w:t>”Genom att ge en part avgörande inflytande över spelreglerna för lön</w:t>
      </w:r>
      <w:r w:rsidRPr="00000E4F">
        <w:t>e</w:t>
      </w:r>
      <w:r w:rsidRPr="00000E4F">
        <w:t>bildningen äventyras legitimiteten för avtalsförhandlingarna och kollekt</w:t>
      </w:r>
      <w:r w:rsidRPr="00000E4F">
        <w:t>i</w:t>
      </w:r>
      <w:r w:rsidRPr="00000E4F">
        <w:t>v-avtalen som lönebildningsinstrument” skrev de två organisationerna och slutade: ”Det är angeläget att ovan berörda aspekter på beredningen beaktas vid rik</w:t>
      </w:r>
      <w:r w:rsidRPr="00000E4F">
        <w:t>s</w:t>
      </w:r>
      <w:r w:rsidRPr="00000E4F">
        <w:t>dagens behandling av regeringens förslag angående lönebildningen.”</w:t>
      </w:r>
    </w:p>
    <w:p w:rsidR="00866CF7" w:rsidRPr="00000E4F" w:rsidRDefault="00866CF7">
      <w:pPr>
        <w:pStyle w:val="Normaltindrag"/>
      </w:pPr>
      <w:r w:rsidRPr="00000E4F">
        <w:t>Den kritik som framfördes i skrivelsen var enligt vår mening allvarlig. Vi begärde därför att organisationerna – som ett led i utskottets beredning av ärendet – skulle ges tillfälle att inför utskottet utveckla sin</w:t>
      </w:r>
      <w:r w:rsidRPr="00000E4F">
        <w:t>a synpunkter. Utskottsmajoriteten avvisade denna begäran. Majoriteten fann det onödigt att lyssna till SACO och SAF, eftersom organisationernas kritik enligt samma majoritets mening var helt grundlös.</w:t>
      </w:r>
    </w:p>
    <w:p w:rsidR="00866CF7" w:rsidRPr="00000E4F" w:rsidRDefault="00866CF7">
      <w:pPr>
        <w:pStyle w:val="Normaltindrag"/>
      </w:pPr>
      <w:r w:rsidRPr="00000E4F">
        <w:t>Yrkande har i utskottet också ställts om genomförande av en offentlig u</w:t>
      </w:r>
      <w:r w:rsidRPr="00000E4F">
        <w:t>t</w:t>
      </w:r>
      <w:r w:rsidRPr="00000E4F">
        <w:t>skottsutfrågning med inriktning främst mot ekonomer och samhällsvetare. Syftet var att i ett bredare perspektiv belysa lönebildningens och strukturella arbetsmarknadsreformers betydelse för en uthållig tillväxt och sätta in prop</w:t>
      </w:r>
      <w:r w:rsidRPr="00000E4F">
        <w:t>o</w:t>
      </w:r>
      <w:r w:rsidRPr="00000E4F">
        <w:t>sitionens förslag i detta sammanhang. Även denna begäran avvisades av utskottets majoritet.</w:t>
      </w:r>
    </w:p>
    <w:p w:rsidR="00866CF7" w:rsidRPr="00000E4F" w:rsidRDefault="00866CF7">
      <w:pPr>
        <w:pStyle w:val="Normaltindrag"/>
      </w:pPr>
      <w:r w:rsidRPr="00000E4F">
        <w:t>Med detta yttrande vill vi med skärpa protestera mot att utskottets major</w:t>
      </w:r>
      <w:r w:rsidRPr="00000E4F">
        <w:t>i</w:t>
      </w:r>
      <w:r w:rsidRPr="00000E4F">
        <w:t>tet förvägrat minoriteten möjlighet både att låta utskottet följa upp den i</w:t>
      </w:r>
      <w:r w:rsidRPr="00000E4F">
        <w:t>n</w:t>
      </w:r>
      <w:r w:rsidRPr="00000E4F">
        <w:t>komna skrivelsen och att bredda utskottets beslutsunderlag. Majoritetens agerande strider enligt vår mening mot de krav som bör ställas på det parl</w:t>
      </w:r>
      <w:r w:rsidRPr="00000E4F">
        <w:t>a</w:t>
      </w:r>
      <w:r w:rsidRPr="00000E4F">
        <w:t>mentariska umgänget i en levande demokrati. Vår kritik understryks av att det hade varit fullt möjligt att tillmötesgå minoritetens förslag utan någon försening av ärendet.</w:t>
      </w:r>
    </w:p>
    <w:p w:rsidR="00866CF7" w:rsidRPr="00000E4F" w:rsidRDefault="00866CF7">
      <w:pPr>
        <w:pStyle w:val="Rubrik2"/>
      </w:pPr>
      <w:r w:rsidRPr="00000E4F">
        <w:br w:type="page"/>
      </w:r>
      <w:bookmarkStart w:id="170" w:name="_Toc477140415"/>
      <w:r w:rsidRPr="00000E4F">
        <w:t>2. Inrättande av Medlingsinstitutet, jämställdhet och diskriminering m.m.</w:t>
      </w:r>
      <w:bookmarkEnd w:id="170"/>
      <w:r w:rsidRPr="00000E4F">
        <w:t xml:space="preserve"> </w:t>
      </w:r>
    </w:p>
    <w:p w:rsidR="00866CF7" w:rsidRPr="00000E4F" w:rsidRDefault="00866CF7">
      <w:r w:rsidRPr="00000E4F">
        <w:t xml:space="preserve">Maria Larsson och Magnus Jacobsson (båda kd) anför: </w:t>
      </w:r>
    </w:p>
    <w:p w:rsidR="00866CF7" w:rsidRPr="00000E4F" w:rsidRDefault="00866CF7">
      <w:pPr>
        <w:pStyle w:val="R4"/>
        <w:spacing w:before="123"/>
      </w:pPr>
      <w:r w:rsidRPr="00000E4F">
        <w:t>Inrättande av Medlingsinstitutet</w:t>
      </w:r>
    </w:p>
    <w:p w:rsidR="00866CF7" w:rsidRPr="00000E4F" w:rsidRDefault="00866CF7">
      <w:r w:rsidRPr="00000E4F">
        <w:t xml:space="preserve">Kristdemokraterna ställer sig i huvudsak bakom förslaget om att utveckla dagens förlikningsmannaexpedition till ett medlingsinstitut. Denna tanke har vi kristdemokrater tidigare fört fram som ett sätt att få till stånd en bättre fungerande lönebildning. Vi anser dock att man borde överväga om inte Medlingsinstitutet skulle kunna samverka med eller dela lokaler med någon annan befintlig myndighet för att minska bl.a. de administrativa kostnaderna. </w:t>
      </w:r>
    </w:p>
    <w:p w:rsidR="00866CF7" w:rsidRPr="00000E4F" w:rsidRDefault="00866CF7">
      <w:pPr>
        <w:pStyle w:val="Normaltindrag"/>
      </w:pPr>
      <w:r w:rsidRPr="00000E4F">
        <w:t>Vi anser att det är viktigt att Medlingsinstitutets verksamhet följs upp för att se om den svarar mot de intentioner som ligger bakom inrättandet av myndigheten.</w:t>
      </w:r>
    </w:p>
    <w:p w:rsidR="00866CF7" w:rsidRPr="00000E4F" w:rsidRDefault="00866CF7">
      <w:pPr>
        <w:pStyle w:val="R4"/>
      </w:pPr>
      <w:r w:rsidRPr="00000E4F">
        <w:t>Jämställdhet och diskriminering</w:t>
      </w:r>
    </w:p>
    <w:p w:rsidR="00866CF7" w:rsidRPr="00000E4F" w:rsidRDefault="00866CF7">
      <w:r w:rsidRPr="00000E4F">
        <w:t>Vi kristdemokrater kan konstatera att propositionen redovisar vissa förbät</w:t>
      </w:r>
      <w:r w:rsidRPr="00000E4F">
        <w:t>t</w:t>
      </w:r>
      <w:r w:rsidRPr="00000E4F">
        <w:t>ringar när det gäller lönebildningen och jämställdhetsfrågorna, liksom också beträffande övriga diskrimineringsfrågor – publicering skall ske av  löneu</w:t>
      </w:r>
      <w:r w:rsidRPr="00000E4F">
        <w:t>t</w:t>
      </w:r>
      <w:r w:rsidRPr="00000E4F">
        <w:t xml:space="preserve">vecklingen ur ett jämställdhetsperspektiv, forskningsdatabasen LINDA skall förbättras m.m. </w:t>
      </w:r>
    </w:p>
    <w:p w:rsidR="00866CF7" w:rsidRPr="00000E4F" w:rsidRDefault="00866CF7">
      <w:pPr>
        <w:pStyle w:val="Normaltindrag"/>
      </w:pPr>
      <w:r w:rsidRPr="00000E4F">
        <w:t>Som vi framfört i vår motion A8 är det en anständighetsfråga att undanröja osakliga löneskillnader. Dessvärre måste vi konstatera att det som propos</w:t>
      </w:r>
      <w:r w:rsidRPr="00000E4F">
        <w:t>i</w:t>
      </w:r>
      <w:r w:rsidRPr="00000E4F">
        <w:t>tionen redovisar inte är tillräckligt för att nå en mer jämställd lönesättning. Om man finner bra former för könsneutral arbetsvärdering kan detta vara ett viktigt instrument. Det är också viktigt att poängtera att arbetsvärdering inte behöver stå i motsatsställning till principen om individuell lönesättning.</w:t>
      </w:r>
    </w:p>
    <w:p w:rsidR="00866CF7" w:rsidRPr="00000E4F" w:rsidRDefault="00866CF7">
      <w:pPr>
        <w:pStyle w:val="Normaltindrag"/>
      </w:pPr>
      <w:r w:rsidRPr="00000E4F">
        <w:t>Vi noterar att regeringen aviserat en proposition senare i vår med förslag till ändringar i jämställdhetslagen. Eftersom vi utgår från att förslagen bl.a. kommer att rikta in sig på just frågorna om l</w:t>
      </w:r>
      <w:r w:rsidRPr="00000E4F">
        <w:t xml:space="preserve">önediskriminering, och då vi kan konstatera att utskottsmajoriteten delar vår uppfattning om betydelsen av bra former för arbetsvärdering, avstår vi från att nu reservera oss mot utskottets ställningstagande i denna del av betänkandet.    </w:t>
      </w:r>
    </w:p>
    <w:p w:rsidR="00866CF7" w:rsidRPr="00000E4F" w:rsidRDefault="00866CF7">
      <w:pPr>
        <w:pStyle w:val="Rubrik2"/>
      </w:pPr>
      <w:bookmarkStart w:id="171" w:name="_Toc477140416"/>
      <w:r w:rsidRPr="00000E4F">
        <w:t>3. Lönebildningen</w:t>
      </w:r>
      <w:bookmarkEnd w:id="171"/>
    </w:p>
    <w:p w:rsidR="00866CF7" w:rsidRPr="00000E4F" w:rsidRDefault="00866CF7">
      <w:r w:rsidRPr="00000E4F">
        <w:t xml:space="preserve">Margareta Andersson (c) anför: </w:t>
      </w:r>
    </w:p>
    <w:p w:rsidR="00866CF7" w:rsidRPr="00000E4F" w:rsidRDefault="00866CF7">
      <w:r w:rsidRPr="00000E4F">
        <w:t>Sveriges framtida välstånd och möjligheterna att upprätthålla de trygghet</w:t>
      </w:r>
      <w:r w:rsidRPr="00000E4F">
        <w:t>s</w:t>
      </w:r>
      <w:r w:rsidRPr="00000E4F">
        <w:t>system som kännetecknar välfärdssamhället är avhängigt av våra företags möjligheter att konkurrera i en global ekonomi. Inte minst löneutvecklingen i Sverige måste vara i paritet med utvecklingen i viktiga konkurrentländer.</w:t>
      </w:r>
    </w:p>
    <w:p w:rsidR="00866CF7" w:rsidRPr="00000E4F" w:rsidRDefault="00866CF7">
      <w:pPr>
        <w:pStyle w:val="Normaltindrag"/>
      </w:pPr>
      <w:r w:rsidRPr="00000E4F">
        <w:t>Centerpartiet har under hela 1990-talet medverkat till en kraftfull sanering av den svenska ekonomin, både i regeringsställning och som ansvarstagande oppositionsparti. Genom omfattande ingripanden har grunden lagts för den positiva ekonomiska utveckling som vi nu ser.</w:t>
      </w:r>
    </w:p>
    <w:p w:rsidR="00866CF7" w:rsidRPr="00000E4F" w:rsidRDefault="00866CF7">
      <w:pPr>
        <w:pStyle w:val="Normaltindrag"/>
      </w:pPr>
      <w:r w:rsidRPr="00000E4F">
        <w:t>Centerpartiet har under perioden medverkat till att minska de offentliga utgifterna, att marknadsräntorna nu är låga och bostadsräntorna halverats och att ett statligt upplåningsbehov på 230 miljarder kronor under 1994 ersatts av balans och överskott.</w:t>
      </w:r>
    </w:p>
    <w:p w:rsidR="00866CF7" w:rsidRPr="00000E4F" w:rsidRDefault="00866CF7">
      <w:pPr>
        <w:pStyle w:val="Normaltindrag"/>
      </w:pPr>
      <w:r w:rsidRPr="00000E4F">
        <w:t xml:space="preserve">Den ändrade budgetprocessen, Riksbankens ökade självständighet och övergång till låginflationsekonomi är viktiga delar i grunden för en uthållig tillväxt. Avgörande är dock att den svenska ekonomin inte på nytt utsätts för en löne- och inflationsspiral. </w:t>
      </w:r>
    </w:p>
    <w:p w:rsidR="00866CF7" w:rsidRPr="00000E4F" w:rsidRDefault="00866CF7">
      <w:pPr>
        <w:pStyle w:val="Normaltindrag"/>
      </w:pPr>
      <w:r w:rsidRPr="00000E4F">
        <w:t>Vi i Centerpartiet anser att beslutet om att inrätta ett medlingsinstitut är ett viktigt steg mot en mer ansvarsfull lönebildning, som bör kunna bidra till större reala löneökningar. Vi ställer oss alltså bakom propositionen i denna del med undantag för förslaget att institutet skall vara statistikansvarig my</w:t>
      </w:r>
      <w:r w:rsidRPr="00000E4F">
        <w:t>n</w:t>
      </w:r>
      <w:r w:rsidRPr="00000E4F">
        <w:t xml:space="preserve">dighet. </w:t>
      </w:r>
    </w:p>
    <w:p w:rsidR="00866CF7" w:rsidRPr="00000E4F" w:rsidRDefault="00866CF7">
      <w:pPr>
        <w:pStyle w:val="Normaltindrag"/>
      </w:pPr>
      <w:r w:rsidRPr="00000E4F">
        <w:t>Vi kan dock konstatera att den s.k. Öbergska utredningen föreslog fler å</w:t>
      </w:r>
      <w:r w:rsidRPr="00000E4F">
        <w:t>t</w:t>
      </w:r>
      <w:r w:rsidRPr="00000E4F">
        <w:t>gärder för att förbättra maktbalansen på arbetsmarknaden och därmed föru</w:t>
      </w:r>
      <w:r w:rsidRPr="00000E4F">
        <w:t>t</w:t>
      </w:r>
      <w:r w:rsidRPr="00000E4F">
        <w:t>sättningarna för en hållbar lönebildning. Regeringen avstår från att föra dessa förslag vidare till riksdagen, ofta utan andra motiveringar än att man avser att följa utvecklingen på arbetsmarknaden. Med den beskrivning av problemen med den svenska lönebildningen som regeringen förtjänstfullt gör i propos</w:t>
      </w:r>
      <w:r w:rsidRPr="00000E4F">
        <w:t>i</w:t>
      </w:r>
      <w:r w:rsidRPr="00000E4F">
        <w:t>tionen borde det vara rimligt att dra mer långtgående slutsatser. Tillsammans med en utskottsmajoritet bestående av företrädarna fö</w:t>
      </w:r>
      <w:r w:rsidRPr="00000E4F">
        <w:t>r Moderaterna, Kris</w:t>
      </w:r>
      <w:r w:rsidRPr="00000E4F">
        <w:t>t</w:t>
      </w:r>
      <w:r w:rsidRPr="00000E4F">
        <w:t>demokraterna, Miljöpartiet och Folkpartiet föreslås därför att det införs ett förbud mot stridsåtgärder mot enmans- och familjeföretag. I en reservation tillsammans med Kristdemokraterna och Folkpartiet föreslås också en pr</w:t>
      </w:r>
      <w:r w:rsidRPr="00000E4F">
        <w:t>o</w:t>
      </w:r>
      <w:r w:rsidRPr="00000E4F">
        <w:t xml:space="preserve">portionalitetsregel av motsvarande slag som utredningen lade fram.    </w:t>
      </w:r>
    </w:p>
    <w:p w:rsidR="00866CF7" w:rsidRPr="00000E4F" w:rsidRDefault="00866CF7">
      <w:pPr>
        <w:pStyle w:val="Rubrik2"/>
      </w:pPr>
      <w:bookmarkStart w:id="172" w:name="_Toc477140417"/>
      <w:r w:rsidRPr="00000E4F">
        <w:t>Del II</w:t>
      </w:r>
      <w:bookmarkEnd w:id="172"/>
    </w:p>
    <w:p w:rsidR="00866CF7" w:rsidRPr="00000E4F" w:rsidRDefault="00866CF7">
      <w:pPr>
        <w:pStyle w:val="Rubrik2"/>
        <w:spacing w:before="123"/>
      </w:pPr>
      <w:bookmarkStart w:id="173" w:name="_Toc477140418"/>
      <w:r w:rsidRPr="00000E4F">
        <w:t>4. Ledighet för att bedriva näringsverksamhet (mom. 34)</w:t>
      </w:r>
      <w:bookmarkEnd w:id="173"/>
    </w:p>
    <w:p w:rsidR="00866CF7" w:rsidRPr="00000E4F" w:rsidRDefault="00866CF7">
      <w:r w:rsidRPr="00000E4F">
        <w:t xml:space="preserve">Elver Jonsson (fp) anför: </w:t>
      </w:r>
    </w:p>
    <w:p w:rsidR="00866CF7" w:rsidRPr="00000E4F" w:rsidRDefault="00866CF7">
      <w:pPr>
        <w:spacing w:after="240"/>
      </w:pPr>
      <w:r w:rsidRPr="00000E4F">
        <w:t>I samband med att lagen behandlades i utskottet hösten 1997 pekade vi inom Folkpartiet på att det fanns en risk för att lagen inte skulle få de avsedda effekterna men att det var svårt att överblicka detta. Vidare konstaterade vi att det var angeläget att regeringen noggrant följde hur lagstiftningen skulle komma att fungera och att den i ett nära perspektiv skulle återkomma till riksdagen med en redovisning av de erfarenheter som gjorts. Inga entydiga tecken som tyder på att lagen inneburit några negativa</w:t>
      </w:r>
      <w:r w:rsidRPr="00000E4F">
        <w:t xml:space="preserve"> effekter för arbetsg</w:t>
      </w:r>
      <w:r w:rsidRPr="00000E4F">
        <w:t>i</w:t>
      </w:r>
      <w:r w:rsidRPr="00000E4F">
        <w:t>varen har kunnat fastslås. Detta är positivt. Det är dock angeläget att reg</w:t>
      </w:r>
      <w:r w:rsidRPr="00000E4F">
        <w:t>e</w:t>
      </w:r>
      <w:r w:rsidRPr="00000E4F">
        <w:t>ringen även i fortsät</w:t>
      </w:r>
      <w:r w:rsidRPr="00000E4F">
        <w:t>t</w:t>
      </w:r>
      <w:r w:rsidRPr="00000E4F">
        <w:t>ningen noga följer utvecklingen inom detta område.</w:t>
      </w:r>
    </w:p>
    <w:p w:rsidR="00866CF7" w:rsidRPr="00000E4F" w:rsidRDefault="00866CF7">
      <w:pPr>
        <w:pStyle w:val="Rubrik2"/>
      </w:pPr>
      <w:bookmarkStart w:id="174" w:name="_Toc477140419"/>
      <w:r w:rsidRPr="00000E4F">
        <w:t>5. Avskaffande av Arbetsdomstolen (mom. 38)</w:t>
      </w:r>
      <w:bookmarkEnd w:id="174"/>
    </w:p>
    <w:p w:rsidR="00866CF7" w:rsidRPr="00000E4F" w:rsidRDefault="00866CF7">
      <w:r w:rsidRPr="00000E4F">
        <w:t xml:space="preserve">Maria Larsson och Magnus Jacobsson (båda kd) anför: </w:t>
      </w:r>
    </w:p>
    <w:p w:rsidR="00866CF7" w:rsidRPr="00000E4F" w:rsidRDefault="00866CF7">
      <w:pPr>
        <w:spacing w:after="240"/>
      </w:pPr>
      <w:r w:rsidRPr="00000E4F">
        <w:t>Vi anser att det är principiellt tveksamt att ha specialdomstolar. Enligt vår uppfattning bör dessa i möjligaste mån avskaffas och deras uppgifter övertas av de allmänna domstolarna. Samtidigt måste man konstatera att det vid Arbetsdomstolen har utvecklats en hög kompetens inom det arbetsrättsliga området. Man bör därför utreda hur den denna kompetens skall tas till vara innan eventuella beslut om avveckling av Arbetsdomstolen fattas.</w:t>
      </w:r>
    </w:p>
    <w:p w:rsidR="00866CF7" w:rsidRPr="00000E4F" w:rsidRDefault="00866CF7">
      <w:pPr>
        <w:pStyle w:val="Normaltindrag"/>
      </w:pPr>
    </w:p>
    <w:p w:rsidR="00866CF7" w:rsidRPr="00000E4F" w:rsidRDefault="00866CF7">
      <w:pPr>
        <w:pStyle w:val="Normaltindrag"/>
        <w:sectPr w:rsidR="00000000" w:rsidRPr="00000E4F">
          <w:headerReference w:type="default" r:id="rId14"/>
          <w:footerReference w:type="default" r:id="rId15"/>
          <w:pgSz w:w="11906" w:h="16838" w:code="9"/>
          <w:pgMar w:top="567" w:right="4876" w:bottom="4508" w:left="1134" w:header="227" w:footer="227" w:gutter="0"/>
          <w:cols w:space="720"/>
        </w:sectPr>
      </w:pPr>
    </w:p>
    <w:p w:rsidR="00866CF7" w:rsidRPr="00000E4F" w:rsidRDefault="00866CF7">
      <w:pPr>
        <w:pStyle w:val="Rubrik1"/>
        <w:spacing w:before="123"/>
      </w:pPr>
      <w:bookmarkStart w:id="175" w:name="_Toc477140420"/>
      <w:r w:rsidRPr="00000E4F">
        <w:t>Propositionens lagförslag</w:t>
      </w:r>
      <w:bookmarkEnd w:id="175"/>
    </w:p>
    <w:p w:rsidR="00866CF7" w:rsidRPr="00000E4F" w:rsidRDefault="00866CF7">
      <w:pPr>
        <w:pStyle w:val="R2"/>
        <w:spacing w:before="123"/>
      </w:pPr>
      <w:r w:rsidRPr="00000E4F">
        <w:t>Förslag till lag om ändring i lagen (1976:580) om medbestämmande i arbetslivet</w:t>
      </w:r>
    </w:p>
    <w:tbl>
      <w:tblPr>
        <w:tblW w:w="0" w:type="auto"/>
        <w:tblInd w:w="-142" w:type="dxa"/>
        <w:tblLayout w:type="fixed"/>
        <w:tblCellMar>
          <w:left w:w="70" w:type="dxa"/>
          <w:right w:w="70" w:type="dxa"/>
        </w:tblCellMar>
        <w:tblLook w:val="0000" w:firstRow="0" w:lastRow="0" w:firstColumn="0" w:lastColumn="0" w:noHBand="0" w:noVBand="0"/>
      </w:tblPr>
      <w:tblGrid>
        <w:gridCol w:w="29"/>
        <w:gridCol w:w="3019"/>
        <w:gridCol w:w="43"/>
        <w:gridCol w:w="3005"/>
        <w:gridCol w:w="57"/>
      </w:tblGrid>
      <w:tr w:rsidR="00000000" w:rsidRPr="00000E4F">
        <w:tblPrEx>
          <w:tblCellMar>
            <w:top w:w="0" w:type="dxa"/>
            <w:bottom w:w="0" w:type="dxa"/>
          </w:tblCellMar>
        </w:tblPrEx>
        <w:trPr>
          <w:gridAfter w:val="1"/>
          <w:wAfter w:w="57" w:type="dxa"/>
        </w:trPr>
        <w:tc>
          <w:tcPr>
            <w:tcW w:w="6096" w:type="dxa"/>
            <w:gridSpan w:val="4"/>
          </w:tcPr>
          <w:p w:rsidR="00866CF7" w:rsidRPr="00000E4F" w:rsidRDefault="00866CF7">
            <w:pPr>
              <w:pStyle w:val="Normaltindrag"/>
            </w:pPr>
            <w:r w:rsidRPr="00000E4F">
              <w:t>Härigenom föreskrivs i fråga om lagen (1976:580) om medbestämmande i arbetslivet</w:t>
            </w:r>
          </w:p>
          <w:p w:rsidR="00866CF7" w:rsidRPr="00000E4F" w:rsidRDefault="00866CF7">
            <w:pPr>
              <w:pStyle w:val="LagtextIndrag"/>
            </w:pPr>
            <w:r w:rsidRPr="00000E4F">
              <w:rPr>
                <w:i/>
              </w:rPr>
              <w:t>dels</w:t>
            </w:r>
            <w:r w:rsidRPr="00000E4F">
              <w:t xml:space="preserve"> att 52 § skall upphöra att gälla,</w:t>
            </w:r>
          </w:p>
          <w:p w:rsidR="00866CF7" w:rsidRPr="00000E4F" w:rsidRDefault="00866CF7">
            <w:pPr>
              <w:pStyle w:val="LagtextIndrag"/>
            </w:pPr>
            <w:r w:rsidRPr="00000E4F">
              <w:rPr>
                <w:i/>
              </w:rPr>
              <w:t>dels</w:t>
            </w:r>
            <w:r w:rsidRPr="00000E4F">
              <w:t xml:space="preserve"> att nuvarande 49 § skall betecknas 52 §,</w:t>
            </w:r>
          </w:p>
          <w:p w:rsidR="00866CF7" w:rsidRPr="00000E4F" w:rsidRDefault="00866CF7">
            <w:pPr>
              <w:pStyle w:val="LagtextIndrag"/>
            </w:pPr>
            <w:r w:rsidRPr="00000E4F">
              <w:rPr>
                <w:i/>
              </w:rPr>
              <w:t>dels</w:t>
            </w:r>
            <w:r w:rsidRPr="00000E4F">
              <w:t xml:space="preserve"> att 45–48, 50, 51, nya 52 och 63 §§ skall ha följa</w:t>
            </w:r>
            <w:r w:rsidRPr="00000E4F">
              <w:t>n</w:t>
            </w:r>
            <w:r w:rsidRPr="00000E4F">
              <w:t>de lydelse,</w:t>
            </w:r>
          </w:p>
          <w:p w:rsidR="00866CF7" w:rsidRPr="00000E4F" w:rsidRDefault="00866CF7">
            <w:pPr>
              <w:pStyle w:val="Normaltindrag"/>
            </w:pPr>
            <w:r w:rsidRPr="00000E4F">
              <w:rPr>
                <w:i/>
              </w:rPr>
              <w:t>dels</w:t>
            </w:r>
            <w:r w:rsidRPr="00000E4F">
              <w:t xml:space="preserve"> att det i lagen skall införas fem nya paragrafer, 47 a, 47 b, 49, 53 och 62 a §§, och närmast före 45 och 62 a §§ nya rubriker av följande lydelse. </w:t>
            </w:r>
          </w:p>
          <w:p w:rsidR="00866CF7" w:rsidRPr="00000E4F" w:rsidRDefault="00866CF7"/>
        </w:tc>
      </w:tr>
      <w:tr w:rsidR="00000000" w:rsidRPr="00000E4F">
        <w:tblPrEx>
          <w:tblCellMar>
            <w:top w:w="0" w:type="dxa"/>
            <w:left w:w="113" w:type="dxa"/>
            <w:bottom w:w="0" w:type="dxa"/>
            <w:right w:w="113" w:type="dxa"/>
          </w:tblCellMar>
        </w:tblPrEx>
        <w:trPr>
          <w:gridBefore w:val="1"/>
          <w:wBefore w:w="29" w:type="dxa"/>
          <w:tblHeader/>
        </w:trPr>
        <w:tc>
          <w:tcPr>
            <w:tcW w:w="3062" w:type="dxa"/>
            <w:gridSpan w:val="2"/>
          </w:tcPr>
          <w:p w:rsidR="00866CF7" w:rsidRPr="00000E4F" w:rsidRDefault="00866CF7">
            <w:pPr>
              <w:pStyle w:val="LagtextRubrik"/>
              <w:rPr>
                <w:i/>
              </w:rPr>
            </w:pPr>
            <w:r w:rsidRPr="00000E4F">
              <w:rPr>
                <w:i/>
              </w:rPr>
              <w:t>Nuvarande lydelse</w:t>
            </w:r>
          </w:p>
        </w:tc>
        <w:tc>
          <w:tcPr>
            <w:tcW w:w="3062" w:type="dxa"/>
            <w:gridSpan w:val="2"/>
          </w:tcPr>
          <w:p w:rsidR="00866CF7" w:rsidRPr="00000E4F" w:rsidRDefault="00866CF7">
            <w:pPr>
              <w:pStyle w:val="LagtextRubrik"/>
              <w:rPr>
                <w:i/>
              </w:rPr>
            </w:pPr>
            <w:r w:rsidRPr="00000E4F">
              <w:rPr>
                <w:i/>
              </w:rPr>
              <w:t>Föreslagen lydelse</w:t>
            </w:r>
          </w:p>
        </w:tc>
      </w:tr>
      <w:tr w:rsidR="00000000" w:rsidRPr="00000E4F">
        <w:tblPrEx>
          <w:tblCellMar>
            <w:top w:w="0" w:type="dxa"/>
            <w:left w:w="113" w:type="dxa"/>
            <w:bottom w:w="0" w:type="dxa"/>
            <w:right w:w="113" w:type="dxa"/>
          </w:tblCellMar>
        </w:tblPrEx>
        <w:trPr>
          <w:gridBefore w:val="1"/>
          <w:wBefore w:w="29" w:type="dxa"/>
        </w:trPr>
        <w:tc>
          <w:tcPr>
            <w:tcW w:w="3062" w:type="dxa"/>
            <w:gridSpan w:val="2"/>
          </w:tcPr>
          <w:p w:rsidR="00866CF7" w:rsidRPr="00000E4F" w:rsidRDefault="00866CF7">
            <w:pPr>
              <w:pStyle w:val="LagtextIndrag"/>
            </w:pPr>
          </w:p>
        </w:tc>
        <w:tc>
          <w:tcPr>
            <w:tcW w:w="3062" w:type="dxa"/>
            <w:gridSpan w:val="2"/>
          </w:tcPr>
          <w:p w:rsidR="00866CF7" w:rsidRPr="00000E4F" w:rsidRDefault="00866CF7">
            <w:pPr>
              <w:pStyle w:val="Lagtext"/>
              <w:rPr>
                <w:b/>
              </w:rPr>
            </w:pPr>
            <w:r w:rsidRPr="00000E4F">
              <w:rPr>
                <w:b/>
              </w:rPr>
              <w:t>Varsel</w:t>
            </w:r>
          </w:p>
        </w:tc>
      </w:tr>
      <w:tr w:rsidR="00000000" w:rsidRPr="00000E4F">
        <w:tblPrEx>
          <w:tblCellMar>
            <w:top w:w="0" w:type="dxa"/>
            <w:left w:w="113" w:type="dxa"/>
            <w:bottom w:w="0" w:type="dxa"/>
            <w:right w:w="113" w:type="dxa"/>
          </w:tblCellMar>
        </w:tblPrEx>
        <w:trPr>
          <w:gridBefore w:val="1"/>
          <w:wBefore w:w="29" w:type="dxa"/>
          <w:cantSplit/>
        </w:trPr>
        <w:tc>
          <w:tcPr>
            <w:tcW w:w="6124" w:type="dxa"/>
            <w:gridSpan w:val="4"/>
          </w:tcPr>
          <w:p w:rsidR="00866CF7" w:rsidRPr="00000E4F" w:rsidRDefault="00866CF7">
            <w:pPr>
              <w:pStyle w:val="Lagtext"/>
              <w:spacing w:before="120"/>
              <w:jc w:val="center"/>
            </w:pPr>
            <w:r w:rsidRPr="00000E4F">
              <w:t>45 §</w:t>
            </w:r>
            <w:r w:rsidRPr="00000E4F">
              <w:rPr>
                <w:rStyle w:val="Fotnotsreferens"/>
              </w:rPr>
              <w:footnoteReference w:id="1"/>
            </w:r>
          </w:p>
          <w:p w:rsidR="00866CF7" w:rsidRPr="00000E4F" w:rsidRDefault="00866CF7">
            <w:pPr>
              <w:pStyle w:val="Lagtext"/>
              <w:jc w:val="center"/>
              <w:rPr>
                <w:b/>
                <w:i/>
              </w:rPr>
            </w:pPr>
          </w:p>
        </w:tc>
      </w:tr>
      <w:tr w:rsidR="00000000" w:rsidRPr="00000E4F">
        <w:tblPrEx>
          <w:tblCellMar>
            <w:top w:w="0" w:type="dxa"/>
            <w:left w:w="113" w:type="dxa"/>
            <w:bottom w:w="0" w:type="dxa"/>
            <w:right w:w="113" w:type="dxa"/>
          </w:tblCellMar>
        </w:tblPrEx>
        <w:trPr>
          <w:gridBefore w:val="1"/>
          <w:wBefore w:w="29" w:type="dxa"/>
        </w:trPr>
        <w:tc>
          <w:tcPr>
            <w:tcW w:w="3062" w:type="dxa"/>
            <w:gridSpan w:val="2"/>
          </w:tcPr>
          <w:p w:rsidR="00866CF7" w:rsidRPr="00000E4F" w:rsidRDefault="00866CF7">
            <w:pPr>
              <w:pStyle w:val="LagtextIndrag"/>
            </w:pPr>
            <w:r w:rsidRPr="00000E4F">
              <w:t xml:space="preserve">Arbetsgivarorganisation </w:t>
            </w:r>
            <w:r w:rsidRPr="00000E4F">
              <w:rPr>
                <w:i/>
              </w:rPr>
              <w:t xml:space="preserve">eller </w:t>
            </w:r>
            <w:r w:rsidRPr="00000E4F">
              <w:t>a</w:t>
            </w:r>
            <w:r w:rsidRPr="00000E4F">
              <w:t>r</w:t>
            </w:r>
            <w:r w:rsidRPr="00000E4F">
              <w:t xml:space="preserve">betsgivare </w:t>
            </w:r>
            <w:r w:rsidRPr="00000E4F">
              <w:rPr>
                <w:i/>
              </w:rPr>
              <w:t>och</w:t>
            </w:r>
            <w:r w:rsidRPr="00000E4F">
              <w:t xml:space="preserve"> arbetstagarorganis</w:t>
            </w:r>
            <w:r w:rsidRPr="00000E4F">
              <w:t>a</w:t>
            </w:r>
            <w:r w:rsidRPr="00000E4F">
              <w:t xml:space="preserve">tion </w:t>
            </w:r>
            <w:r w:rsidRPr="00000E4F">
              <w:rPr>
                <w:i/>
              </w:rPr>
              <w:t>är sinsemellan skyldiga att, om giltigt hinder ej möter</w:t>
            </w:r>
            <w:r w:rsidRPr="00000E4F">
              <w:t xml:space="preserve">, skriftligen varsla motparten minst sju </w:t>
            </w:r>
            <w:r w:rsidRPr="00000E4F">
              <w:rPr>
                <w:i/>
              </w:rPr>
              <w:t xml:space="preserve">dagar </w:t>
            </w:r>
            <w:r w:rsidRPr="00000E4F">
              <w:t xml:space="preserve">i förväg, </w:t>
            </w:r>
            <w:r w:rsidRPr="00000E4F">
              <w:rPr>
                <w:i/>
              </w:rPr>
              <w:t>när de avser att vidtaga stridsåtgärd eller att utvidga påg</w:t>
            </w:r>
            <w:r w:rsidRPr="00000E4F">
              <w:rPr>
                <w:i/>
              </w:rPr>
              <w:t>å</w:t>
            </w:r>
            <w:r w:rsidRPr="00000E4F">
              <w:rPr>
                <w:i/>
              </w:rPr>
              <w:t>ende stridsåtgärd</w:t>
            </w:r>
            <w:r w:rsidRPr="00000E4F">
              <w:t>. Omfattar stridså</w:t>
            </w:r>
            <w:r w:rsidRPr="00000E4F">
              <w:t>t</w:t>
            </w:r>
            <w:r w:rsidRPr="00000E4F">
              <w:t xml:space="preserve">gärd från arbetsgivarsidan även arbetstagare som </w:t>
            </w:r>
            <w:r w:rsidRPr="00000E4F">
              <w:rPr>
                <w:i/>
              </w:rPr>
              <w:t xml:space="preserve">ej </w:t>
            </w:r>
            <w:r w:rsidRPr="00000E4F">
              <w:t>är medlemmar i berörd arbetstagarorganisation, bör de varslas genom allmänt synliga anslag på arbetsplatsen eller på annat läm</w:t>
            </w:r>
            <w:r w:rsidRPr="00000E4F">
              <w:t>p</w:t>
            </w:r>
            <w:r w:rsidRPr="00000E4F">
              <w:t>ligt sätt.</w:t>
            </w:r>
          </w:p>
          <w:p w:rsidR="00866CF7" w:rsidRPr="00000E4F" w:rsidRDefault="00866CF7">
            <w:pPr>
              <w:pStyle w:val="LagtextIndrag"/>
            </w:pPr>
          </w:p>
        </w:tc>
        <w:tc>
          <w:tcPr>
            <w:tcW w:w="3062" w:type="dxa"/>
            <w:gridSpan w:val="2"/>
          </w:tcPr>
          <w:p w:rsidR="00866CF7" w:rsidRPr="00000E4F" w:rsidRDefault="00866CF7">
            <w:pPr>
              <w:pStyle w:val="LagtextIndrag"/>
              <w:rPr>
                <w:i/>
              </w:rPr>
            </w:pPr>
            <w:r w:rsidRPr="00000E4F">
              <w:rPr>
                <w:i/>
              </w:rPr>
              <w:t>När en</w:t>
            </w:r>
            <w:r w:rsidRPr="00000E4F">
              <w:t xml:space="preserve"> arbetsgivarorganisation, arbetsgivare </w:t>
            </w:r>
            <w:r w:rsidRPr="00000E4F">
              <w:rPr>
                <w:i/>
              </w:rPr>
              <w:t xml:space="preserve">eller </w:t>
            </w:r>
            <w:r w:rsidRPr="00000E4F">
              <w:t>arbetstagarorgan</w:t>
            </w:r>
            <w:r w:rsidRPr="00000E4F">
              <w:t>i</w:t>
            </w:r>
            <w:r w:rsidRPr="00000E4F">
              <w:t xml:space="preserve">sation </w:t>
            </w:r>
            <w:r w:rsidRPr="00000E4F">
              <w:rPr>
                <w:i/>
              </w:rPr>
              <w:t xml:space="preserve">avser att vidta en stridsåtgärd eller att utvidga en pågående stridsåtgärd, skall den </w:t>
            </w:r>
            <w:r w:rsidRPr="00000E4F">
              <w:t xml:space="preserve">skriftligen varsla motparten </w:t>
            </w:r>
            <w:r w:rsidRPr="00000E4F">
              <w:rPr>
                <w:i/>
              </w:rPr>
              <w:t>och Medlingsinst</w:t>
            </w:r>
            <w:r w:rsidRPr="00000E4F">
              <w:rPr>
                <w:i/>
              </w:rPr>
              <w:t>i</w:t>
            </w:r>
            <w:r w:rsidRPr="00000E4F">
              <w:rPr>
                <w:i/>
              </w:rPr>
              <w:t xml:space="preserve">tutet </w:t>
            </w:r>
            <w:r w:rsidRPr="00000E4F">
              <w:t xml:space="preserve">minst sju </w:t>
            </w:r>
            <w:r w:rsidRPr="00000E4F">
              <w:rPr>
                <w:i/>
              </w:rPr>
              <w:t xml:space="preserve">arbetsdagar </w:t>
            </w:r>
            <w:r w:rsidRPr="00000E4F">
              <w:t xml:space="preserve">i förväg. </w:t>
            </w:r>
            <w:r w:rsidRPr="00000E4F">
              <w:rPr>
                <w:i/>
              </w:rPr>
              <w:t>Som arbetsdag räknas varje dag utom lördag, söndag, annan allmän helgdag, midsommarafton, julafton och nyårsafton. Tidsfristen skall räknas från samma tidpunkt på dagen som den då stridsåtgärden skall inl</w:t>
            </w:r>
            <w:r w:rsidRPr="00000E4F">
              <w:rPr>
                <w:i/>
              </w:rPr>
              <w:t>e</w:t>
            </w:r>
            <w:r w:rsidRPr="00000E4F">
              <w:rPr>
                <w:i/>
              </w:rPr>
              <w:t>das.</w:t>
            </w:r>
          </w:p>
          <w:p w:rsidR="00866CF7" w:rsidRPr="00000E4F" w:rsidRDefault="00866CF7">
            <w:pPr>
              <w:pStyle w:val="LagtextIndrag"/>
            </w:pPr>
          </w:p>
          <w:p w:rsidR="00866CF7" w:rsidRPr="00000E4F" w:rsidRDefault="00866CF7">
            <w:pPr>
              <w:pStyle w:val="LagtextIndrag"/>
            </w:pPr>
            <w:r w:rsidRPr="00000E4F">
              <w:t xml:space="preserve">Omfattar </w:t>
            </w:r>
            <w:r w:rsidRPr="00000E4F">
              <w:rPr>
                <w:i/>
              </w:rPr>
              <w:t>en</w:t>
            </w:r>
            <w:r w:rsidRPr="00000E4F">
              <w:t xml:space="preserve"> stridsåtgärd från a</w:t>
            </w:r>
            <w:r w:rsidRPr="00000E4F">
              <w:t>r</w:t>
            </w:r>
            <w:r w:rsidRPr="00000E4F">
              <w:t xml:space="preserve">betsgivarsidan även arbetstagare som </w:t>
            </w:r>
            <w:r w:rsidRPr="00000E4F">
              <w:rPr>
                <w:i/>
              </w:rPr>
              <w:t xml:space="preserve">inte </w:t>
            </w:r>
            <w:r w:rsidRPr="00000E4F">
              <w:t>är medlemmar i berörd arbetst</w:t>
            </w:r>
            <w:r w:rsidRPr="00000E4F">
              <w:t>a</w:t>
            </w:r>
            <w:r w:rsidRPr="00000E4F">
              <w:t>garorganisation, bör de varslas g</w:t>
            </w:r>
            <w:r w:rsidRPr="00000E4F">
              <w:t>e</w:t>
            </w:r>
            <w:r w:rsidRPr="00000E4F">
              <w:t>nom allmänt synliga anslag på a</w:t>
            </w:r>
            <w:r w:rsidRPr="00000E4F">
              <w:t>r</w:t>
            </w:r>
            <w:r w:rsidRPr="00000E4F">
              <w:t>betsplatsen eller på annat lämpligt sätt.</w:t>
            </w:r>
          </w:p>
          <w:p w:rsidR="00866CF7" w:rsidRPr="00000E4F" w:rsidRDefault="00866CF7">
            <w:pPr>
              <w:pStyle w:val="LagtextIndrag"/>
            </w:pPr>
            <w:r w:rsidRPr="00000E4F">
              <w:t>Varselskyldigheten gäller inte om det finns giltigt hinder mot att varsla. Skyldighet att varsla finns inte i fråga om stridsåtgärd som avses i 41 § tredje stycket.</w:t>
            </w:r>
          </w:p>
        </w:tc>
      </w:tr>
      <w:tr w:rsidR="00000000" w:rsidRPr="00000E4F">
        <w:tblPrEx>
          <w:tblCellMar>
            <w:top w:w="0" w:type="dxa"/>
            <w:left w:w="113" w:type="dxa"/>
            <w:bottom w:w="0" w:type="dxa"/>
            <w:right w:w="113" w:type="dxa"/>
          </w:tblCellMar>
        </w:tblPrEx>
        <w:trPr>
          <w:gridBefore w:val="1"/>
          <w:wBefore w:w="29" w:type="dxa"/>
        </w:trPr>
        <w:tc>
          <w:tcPr>
            <w:tcW w:w="3062" w:type="dxa"/>
            <w:gridSpan w:val="2"/>
          </w:tcPr>
          <w:p w:rsidR="00866CF7" w:rsidRPr="00000E4F" w:rsidRDefault="00866CF7">
            <w:pPr>
              <w:pStyle w:val="LagtextIndrag"/>
            </w:pPr>
            <w:r w:rsidRPr="00000E4F">
              <w:t>Varsel enligt första stycket skall innehålla uppgift om anledningen till stridsåtgärden och om stridsåtgä</w:t>
            </w:r>
            <w:r w:rsidRPr="00000E4F">
              <w:t>r</w:t>
            </w:r>
            <w:r w:rsidRPr="00000E4F">
              <w:t>dens omfat</w:t>
            </w:r>
            <w:r w:rsidRPr="00000E4F">
              <w:t>t</w:t>
            </w:r>
            <w:r w:rsidRPr="00000E4F">
              <w:t>ning.</w:t>
            </w:r>
          </w:p>
          <w:p w:rsidR="00866CF7" w:rsidRPr="00000E4F" w:rsidRDefault="00866CF7">
            <w:pPr>
              <w:pStyle w:val="LagtextIndrag"/>
            </w:pPr>
          </w:p>
        </w:tc>
        <w:tc>
          <w:tcPr>
            <w:tcW w:w="3062" w:type="dxa"/>
            <w:gridSpan w:val="2"/>
          </w:tcPr>
          <w:p w:rsidR="00866CF7" w:rsidRPr="00000E4F" w:rsidRDefault="00866CF7">
            <w:pPr>
              <w:pStyle w:val="LagtextIndrag"/>
            </w:pPr>
            <w:r w:rsidRPr="00000E4F">
              <w:t xml:space="preserve">Varsel enligt första </w:t>
            </w:r>
            <w:r w:rsidRPr="00000E4F">
              <w:rPr>
                <w:i/>
              </w:rPr>
              <w:t>och andra</w:t>
            </w:r>
            <w:r w:rsidRPr="00000E4F">
              <w:t xml:space="preserve"> </w:t>
            </w:r>
            <w:r w:rsidRPr="00000E4F">
              <w:rPr>
                <w:i/>
              </w:rPr>
              <w:t>styckena</w:t>
            </w:r>
            <w:r w:rsidRPr="00000E4F">
              <w:t xml:space="preserve"> skall innehålla uppgift om anledningen till stridsåtgärden och om stridsåtgärdens omfat</w:t>
            </w:r>
            <w:r w:rsidRPr="00000E4F">
              <w:t>t</w:t>
            </w:r>
            <w:r w:rsidRPr="00000E4F">
              <w:t>ning.</w:t>
            </w:r>
          </w:p>
          <w:p w:rsidR="00866CF7" w:rsidRPr="00000E4F" w:rsidRDefault="00866CF7">
            <w:pPr>
              <w:pStyle w:val="LagtextIndrag"/>
            </w:pPr>
          </w:p>
        </w:tc>
      </w:tr>
      <w:tr w:rsidR="00000000" w:rsidRPr="00000E4F">
        <w:tblPrEx>
          <w:tblCellMar>
            <w:top w:w="0" w:type="dxa"/>
            <w:left w:w="113" w:type="dxa"/>
            <w:bottom w:w="0" w:type="dxa"/>
            <w:right w:w="113" w:type="dxa"/>
          </w:tblCellMar>
        </w:tblPrEx>
        <w:trPr>
          <w:gridBefore w:val="1"/>
          <w:wBefore w:w="29" w:type="dxa"/>
        </w:trPr>
        <w:tc>
          <w:tcPr>
            <w:tcW w:w="3062" w:type="dxa"/>
            <w:gridSpan w:val="2"/>
          </w:tcPr>
          <w:p w:rsidR="00866CF7" w:rsidRPr="00000E4F" w:rsidRDefault="00866CF7">
            <w:pPr>
              <w:pStyle w:val="LagtextRubrik"/>
              <w:rPr>
                <w:i/>
              </w:rPr>
            </w:pPr>
            <w:r w:rsidRPr="00000E4F">
              <w:rPr>
                <w:i/>
              </w:rPr>
              <w:t>Nuvarande lydelse</w:t>
            </w:r>
          </w:p>
        </w:tc>
        <w:tc>
          <w:tcPr>
            <w:tcW w:w="3062" w:type="dxa"/>
            <w:gridSpan w:val="2"/>
          </w:tcPr>
          <w:p w:rsidR="00866CF7" w:rsidRPr="00000E4F" w:rsidRDefault="00866CF7">
            <w:pPr>
              <w:pStyle w:val="LagtextRubrik"/>
              <w:rPr>
                <w:b/>
                <w:i/>
              </w:rPr>
            </w:pPr>
            <w:r w:rsidRPr="00000E4F">
              <w:rPr>
                <w:i/>
              </w:rPr>
              <w:t>Föreslagen lydelse</w:t>
            </w:r>
          </w:p>
        </w:tc>
      </w:tr>
      <w:tr w:rsidR="00000000" w:rsidRPr="00000E4F">
        <w:tblPrEx>
          <w:tblCellMar>
            <w:top w:w="0" w:type="dxa"/>
            <w:left w:w="113" w:type="dxa"/>
            <w:bottom w:w="0" w:type="dxa"/>
            <w:right w:w="113" w:type="dxa"/>
          </w:tblCellMar>
        </w:tblPrEx>
        <w:trPr>
          <w:gridBefore w:val="1"/>
          <w:wBefore w:w="29" w:type="dxa"/>
        </w:trPr>
        <w:tc>
          <w:tcPr>
            <w:tcW w:w="3062" w:type="dxa"/>
            <w:gridSpan w:val="2"/>
          </w:tcPr>
          <w:p w:rsidR="00866CF7" w:rsidRPr="00000E4F" w:rsidRDefault="00866CF7">
            <w:pPr>
              <w:pStyle w:val="LagtextIndrag"/>
              <w:ind w:firstLine="0"/>
            </w:pPr>
            <w:r w:rsidRPr="00000E4F">
              <w:rPr>
                <w:i/>
              </w:rPr>
              <w:t>Skyldighet att varsla finns inte i fråga om stridsåtgärd som avses i 41 § tredje stycket.</w:t>
            </w:r>
          </w:p>
        </w:tc>
        <w:tc>
          <w:tcPr>
            <w:tcW w:w="3062" w:type="dxa"/>
            <w:gridSpan w:val="2"/>
          </w:tcPr>
          <w:p w:rsidR="00866CF7" w:rsidRPr="00000E4F" w:rsidRDefault="00866CF7">
            <w:pPr>
              <w:pStyle w:val="Lagtext"/>
              <w:rPr>
                <w:b/>
              </w:rPr>
            </w:pPr>
          </w:p>
        </w:tc>
      </w:tr>
      <w:tr w:rsidR="00000000" w:rsidRPr="00000E4F">
        <w:tblPrEx>
          <w:tblCellMar>
            <w:top w:w="0" w:type="dxa"/>
            <w:left w:w="113" w:type="dxa"/>
            <w:bottom w:w="0" w:type="dxa"/>
            <w:right w:w="113" w:type="dxa"/>
          </w:tblCellMar>
        </w:tblPrEx>
        <w:trPr>
          <w:gridBefore w:val="1"/>
          <w:wBefore w:w="29" w:type="dxa"/>
          <w:cantSplit/>
        </w:trPr>
        <w:tc>
          <w:tcPr>
            <w:tcW w:w="6124" w:type="dxa"/>
            <w:gridSpan w:val="4"/>
          </w:tcPr>
          <w:p w:rsidR="00866CF7" w:rsidRPr="00000E4F" w:rsidRDefault="00866CF7">
            <w:pPr>
              <w:pStyle w:val="Lagtext"/>
              <w:spacing w:before="120" w:after="120"/>
              <w:jc w:val="center"/>
              <w:rPr>
                <w:b/>
              </w:rPr>
            </w:pPr>
            <w:r w:rsidRPr="00000E4F">
              <w:t>46 §</w:t>
            </w:r>
          </w:p>
        </w:tc>
      </w:tr>
      <w:tr w:rsidR="00000000" w:rsidRPr="00000E4F">
        <w:tblPrEx>
          <w:tblCellMar>
            <w:top w:w="0" w:type="dxa"/>
            <w:left w:w="113" w:type="dxa"/>
            <w:bottom w:w="0" w:type="dxa"/>
            <w:right w:w="113" w:type="dxa"/>
          </w:tblCellMar>
        </w:tblPrEx>
        <w:trPr>
          <w:gridBefore w:val="1"/>
          <w:wBefore w:w="29" w:type="dxa"/>
        </w:trPr>
        <w:tc>
          <w:tcPr>
            <w:tcW w:w="3062" w:type="dxa"/>
            <w:gridSpan w:val="2"/>
          </w:tcPr>
          <w:p w:rsidR="00866CF7" w:rsidRPr="00000E4F" w:rsidRDefault="00866CF7">
            <w:pPr>
              <w:pStyle w:val="LagtextIndrag"/>
              <w:rPr>
                <w:i/>
              </w:rPr>
            </w:pPr>
            <w:r w:rsidRPr="00000E4F">
              <w:t>För medling i arbetstvister mellan å ena sidan arbetsgivare eller arbet</w:t>
            </w:r>
            <w:r w:rsidRPr="00000E4F">
              <w:t>s</w:t>
            </w:r>
            <w:r w:rsidRPr="00000E4F">
              <w:t>givarorganisation och å andra sidan arbetstagare eller arbetstagarorgan</w:t>
            </w:r>
            <w:r w:rsidRPr="00000E4F">
              <w:t>i</w:t>
            </w:r>
            <w:r w:rsidRPr="00000E4F">
              <w:t xml:space="preserve">sation finns </w:t>
            </w:r>
            <w:r w:rsidRPr="00000E4F">
              <w:rPr>
                <w:i/>
              </w:rPr>
              <w:t>en</w:t>
            </w:r>
            <w:r w:rsidRPr="00000E4F">
              <w:t xml:space="preserve"> </w:t>
            </w:r>
            <w:r w:rsidRPr="00000E4F">
              <w:rPr>
                <w:i/>
              </w:rPr>
              <w:t>statens förlikning</w:t>
            </w:r>
            <w:r w:rsidRPr="00000E4F">
              <w:rPr>
                <w:i/>
              </w:rPr>
              <w:t>s</w:t>
            </w:r>
            <w:r w:rsidRPr="00000E4F">
              <w:rPr>
                <w:i/>
              </w:rPr>
              <w:t>mannaexped</w:t>
            </w:r>
            <w:r w:rsidRPr="00000E4F">
              <w:rPr>
                <w:i/>
              </w:rPr>
              <w:t>i</w:t>
            </w:r>
            <w:r w:rsidRPr="00000E4F">
              <w:rPr>
                <w:i/>
              </w:rPr>
              <w:t>tion.</w:t>
            </w:r>
          </w:p>
          <w:p w:rsidR="00866CF7" w:rsidRPr="00000E4F" w:rsidRDefault="00866CF7">
            <w:pPr>
              <w:pStyle w:val="LagtextIndrag"/>
              <w:rPr>
                <w:i/>
              </w:rPr>
            </w:pPr>
          </w:p>
          <w:p w:rsidR="00866CF7" w:rsidRPr="00000E4F" w:rsidRDefault="00866CF7">
            <w:pPr>
              <w:pStyle w:val="LagtextIndrag"/>
              <w:rPr>
                <w:i/>
              </w:rPr>
            </w:pPr>
            <w:r w:rsidRPr="00000E4F">
              <w:rPr>
                <w:i/>
              </w:rPr>
              <w:t>Expeditionen skall följa förhålla</w:t>
            </w:r>
            <w:r w:rsidRPr="00000E4F">
              <w:rPr>
                <w:i/>
              </w:rPr>
              <w:t>n</w:t>
            </w:r>
            <w:r w:rsidRPr="00000E4F">
              <w:rPr>
                <w:i/>
              </w:rPr>
              <w:t>dena på arbetsmarknaden. Har den fått kännedom om arbetstvist som hotar att medföra eller redan har medfört stridsåtgärd, skall den utse förlikningsman att medla i tvisten, när medverkan av förlikningsman kan anses ägnad att främja en lö</w:t>
            </w:r>
            <w:r w:rsidRPr="00000E4F">
              <w:rPr>
                <w:i/>
              </w:rPr>
              <w:t>s</w:t>
            </w:r>
            <w:r w:rsidRPr="00000E4F">
              <w:rPr>
                <w:i/>
              </w:rPr>
              <w:t>ning av denna. Förlikningsmannen skall kalla parterna till förhandling eller vidtaga annan lämplig åtgärd samt verka för att part uppskjuter eller instä</w:t>
            </w:r>
            <w:r w:rsidRPr="00000E4F">
              <w:rPr>
                <w:i/>
              </w:rPr>
              <w:t>l</w:t>
            </w:r>
            <w:r w:rsidRPr="00000E4F">
              <w:rPr>
                <w:i/>
              </w:rPr>
              <w:t>ler stridsåtgärd.</w:t>
            </w:r>
          </w:p>
          <w:p w:rsidR="00866CF7" w:rsidRPr="00000E4F" w:rsidRDefault="00866CF7">
            <w:pPr>
              <w:pStyle w:val="LagtextIndrag"/>
            </w:pPr>
            <w:r w:rsidRPr="00000E4F">
              <w:rPr>
                <w:i/>
              </w:rPr>
              <w:t>Enligt expeditionens bestämmande skall förlikningsman på begäran gå parter på arbetsmarknaden till ha</w:t>
            </w:r>
            <w:r w:rsidRPr="00000E4F">
              <w:rPr>
                <w:i/>
              </w:rPr>
              <w:t>n</w:t>
            </w:r>
            <w:r w:rsidRPr="00000E4F">
              <w:rPr>
                <w:i/>
              </w:rPr>
              <w:t>da med råd och upplysningar röra</w:t>
            </w:r>
            <w:r w:rsidRPr="00000E4F">
              <w:rPr>
                <w:i/>
              </w:rPr>
              <w:t>n</w:t>
            </w:r>
            <w:r w:rsidRPr="00000E4F">
              <w:rPr>
                <w:i/>
              </w:rPr>
              <w:t>de förhandlingar och kollektivavtal samt leda förhandlingar mellan parterna.</w:t>
            </w:r>
          </w:p>
        </w:tc>
        <w:tc>
          <w:tcPr>
            <w:tcW w:w="3062" w:type="dxa"/>
            <w:gridSpan w:val="2"/>
          </w:tcPr>
          <w:p w:rsidR="00866CF7" w:rsidRPr="00000E4F" w:rsidRDefault="00866CF7">
            <w:pPr>
              <w:pStyle w:val="LagtextIndrag"/>
            </w:pPr>
            <w:r w:rsidRPr="00000E4F">
              <w:t>För medling i arbetstvister mellan å ena sidan arbetsgivare eller arbet</w:t>
            </w:r>
            <w:r w:rsidRPr="00000E4F">
              <w:t>s</w:t>
            </w:r>
            <w:r w:rsidRPr="00000E4F">
              <w:t>givarorganisation och å andra sidan arbetstagare eller arbetstagarorgan</w:t>
            </w:r>
            <w:r w:rsidRPr="00000E4F">
              <w:t>i</w:t>
            </w:r>
            <w:r w:rsidRPr="00000E4F">
              <w:t xml:space="preserve">sation finns </w:t>
            </w:r>
            <w:r w:rsidRPr="00000E4F">
              <w:rPr>
                <w:i/>
              </w:rPr>
              <w:t>Medlingsinstitutet. I</w:t>
            </w:r>
            <w:r w:rsidRPr="00000E4F">
              <w:rPr>
                <w:i/>
              </w:rPr>
              <w:t>n</w:t>
            </w:r>
            <w:r w:rsidRPr="00000E4F">
              <w:rPr>
                <w:i/>
              </w:rPr>
              <w:t>stitutet skall verka för en väl fung</w:t>
            </w:r>
            <w:r w:rsidRPr="00000E4F">
              <w:rPr>
                <w:i/>
              </w:rPr>
              <w:t>e</w:t>
            </w:r>
            <w:r w:rsidRPr="00000E4F">
              <w:rPr>
                <w:i/>
              </w:rPr>
              <w:t>rande lönebil</w:t>
            </w:r>
            <w:r w:rsidRPr="00000E4F">
              <w:rPr>
                <w:i/>
              </w:rPr>
              <w:t>d</w:t>
            </w:r>
            <w:r w:rsidRPr="00000E4F">
              <w:rPr>
                <w:i/>
              </w:rPr>
              <w:t>ning.</w:t>
            </w:r>
          </w:p>
        </w:tc>
      </w:tr>
      <w:tr w:rsidR="00000000" w:rsidRPr="00000E4F">
        <w:tblPrEx>
          <w:tblCellMar>
            <w:top w:w="0" w:type="dxa"/>
            <w:left w:w="170" w:type="dxa"/>
            <w:bottom w:w="0" w:type="dxa"/>
            <w:right w:w="170" w:type="dxa"/>
          </w:tblCellMar>
        </w:tblPrEx>
        <w:trPr>
          <w:gridAfter w:val="1"/>
          <w:wAfter w:w="57" w:type="dxa"/>
          <w:cantSplit/>
        </w:trPr>
        <w:tc>
          <w:tcPr>
            <w:tcW w:w="6096" w:type="dxa"/>
            <w:gridSpan w:val="4"/>
          </w:tcPr>
          <w:p w:rsidR="00866CF7" w:rsidRPr="00000E4F" w:rsidRDefault="00866CF7">
            <w:pPr>
              <w:pStyle w:val="Lagtext"/>
              <w:spacing w:before="120"/>
              <w:ind w:right="256"/>
              <w:jc w:val="center"/>
            </w:pPr>
            <w:r w:rsidRPr="00000E4F">
              <w:t>47 §</w:t>
            </w:r>
            <w:r w:rsidRPr="00000E4F">
              <w:rPr>
                <w:rStyle w:val="Fotnotsreferens"/>
              </w:rPr>
              <w:footnoteReference w:id="2"/>
            </w:r>
          </w:p>
          <w:p w:rsidR="00866CF7" w:rsidRPr="00000E4F" w:rsidRDefault="00866CF7">
            <w:pPr>
              <w:pStyle w:val="Lagtext"/>
              <w:jc w:val="center"/>
            </w:pPr>
          </w:p>
        </w:tc>
      </w:tr>
      <w:tr w:rsidR="00000000" w:rsidRPr="00000E4F">
        <w:tblPrEx>
          <w:tblCellMar>
            <w:top w:w="0" w:type="dxa"/>
            <w:left w:w="170" w:type="dxa"/>
            <w:bottom w:w="0" w:type="dxa"/>
            <w:right w:w="170" w:type="dxa"/>
          </w:tblCellMar>
        </w:tblPrEx>
        <w:trPr>
          <w:gridAfter w:val="1"/>
          <w:wAfter w:w="57" w:type="dxa"/>
        </w:trPr>
        <w:tc>
          <w:tcPr>
            <w:tcW w:w="3048" w:type="dxa"/>
            <w:gridSpan w:val="2"/>
          </w:tcPr>
          <w:p w:rsidR="00866CF7" w:rsidRPr="00000E4F" w:rsidRDefault="00866CF7">
            <w:pPr>
              <w:pStyle w:val="LagtextIndrag"/>
              <w:rPr>
                <w:i/>
              </w:rPr>
            </w:pPr>
            <w:r w:rsidRPr="00000E4F">
              <w:rPr>
                <w:i/>
              </w:rPr>
              <w:t>Är någon enligt 45 § skyldig att lämna varsel skall han inom tid och på sätt som där anges göra detta även till förlikningsmannae</w:t>
            </w:r>
            <w:r w:rsidRPr="00000E4F">
              <w:rPr>
                <w:i/>
              </w:rPr>
              <w:t>x</w:t>
            </w:r>
            <w:r w:rsidRPr="00000E4F">
              <w:rPr>
                <w:i/>
              </w:rPr>
              <w:t>peditionen. Den som bryter hä</w:t>
            </w:r>
            <w:r w:rsidRPr="00000E4F">
              <w:rPr>
                <w:i/>
              </w:rPr>
              <w:t>r</w:t>
            </w:r>
            <w:r w:rsidRPr="00000E4F">
              <w:rPr>
                <w:i/>
              </w:rPr>
              <w:t>emot döms till penningböter.</w:t>
            </w:r>
          </w:p>
          <w:p w:rsidR="00866CF7" w:rsidRPr="00000E4F" w:rsidRDefault="00866CF7">
            <w:pPr>
              <w:pStyle w:val="LagtextIndrag"/>
              <w:rPr>
                <w:i/>
              </w:rPr>
            </w:pPr>
          </w:p>
        </w:tc>
        <w:tc>
          <w:tcPr>
            <w:tcW w:w="3048" w:type="dxa"/>
            <w:gridSpan w:val="2"/>
          </w:tcPr>
          <w:p w:rsidR="00866CF7" w:rsidRPr="00000E4F" w:rsidRDefault="00866CF7">
            <w:pPr>
              <w:pStyle w:val="LagtextIndrag"/>
              <w:rPr>
                <w:i/>
              </w:rPr>
            </w:pPr>
            <w:r w:rsidRPr="00000E4F">
              <w:rPr>
                <w:i/>
              </w:rPr>
              <w:t>Medlingsinstitutet skall genom överläggningar med parter eller på annat sätt informera sig om ko</w:t>
            </w:r>
            <w:r w:rsidRPr="00000E4F">
              <w:rPr>
                <w:i/>
              </w:rPr>
              <w:t>m</w:t>
            </w:r>
            <w:r w:rsidRPr="00000E4F">
              <w:rPr>
                <w:i/>
              </w:rPr>
              <w:t>mande eller pågående avtalsfö</w:t>
            </w:r>
            <w:r w:rsidRPr="00000E4F">
              <w:rPr>
                <w:i/>
              </w:rPr>
              <w:t>r</w:t>
            </w:r>
            <w:r w:rsidRPr="00000E4F">
              <w:rPr>
                <w:i/>
              </w:rPr>
              <w:t>handlingar.</w:t>
            </w:r>
          </w:p>
          <w:p w:rsidR="00866CF7" w:rsidRPr="00000E4F" w:rsidRDefault="00866CF7">
            <w:pPr>
              <w:pStyle w:val="LagtextIndrag"/>
              <w:rPr>
                <w:i/>
              </w:rPr>
            </w:pPr>
            <w:r w:rsidRPr="00000E4F">
              <w:rPr>
                <w:i/>
              </w:rPr>
              <w:t>Institutet skall också ge råd och upplysningar till parterna på a</w:t>
            </w:r>
            <w:r w:rsidRPr="00000E4F">
              <w:rPr>
                <w:i/>
              </w:rPr>
              <w:t>r</w:t>
            </w:r>
            <w:r w:rsidRPr="00000E4F">
              <w:rPr>
                <w:i/>
              </w:rPr>
              <w:t>betsmarknaden om förhandlingar och kollektivavtal.</w:t>
            </w:r>
          </w:p>
          <w:p w:rsidR="00866CF7" w:rsidRPr="00000E4F" w:rsidRDefault="00866CF7">
            <w:pPr>
              <w:pStyle w:val="LagtextIndrag"/>
              <w:rPr>
                <w:i/>
              </w:rPr>
            </w:pPr>
            <w:r w:rsidRPr="00000E4F">
              <w:rPr>
                <w:i/>
              </w:rPr>
              <w:t>En part som träffat kollektivavtal om löner och allmänna anstäl</w:t>
            </w:r>
            <w:r w:rsidRPr="00000E4F">
              <w:rPr>
                <w:i/>
              </w:rPr>
              <w:t>l</w:t>
            </w:r>
            <w:r w:rsidRPr="00000E4F">
              <w:rPr>
                <w:i/>
              </w:rPr>
              <w:t>ningsvillkor skall på begäran ge in en kopia av avtalet till Medlingsi</w:t>
            </w:r>
            <w:r w:rsidRPr="00000E4F">
              <w:rPr>
                <w:i/>
              </w:rPr>
              <w:t>n</w:t>
            </w:r>
            <w:r w:rsidRPr="00000E4F">
              <w:rPr>
                <w:i/>
              </w:rPr>
              <w:t>stit</w:t>
            </w:r>
            <w:r w:rsidRPr="00000E4F">
              <w:rPr>
                <w:i/>
              </w:rPr>
              <w:t>u</w:t>
            </w:r>
            <w:r w:rsidRPr="00000E4F">
              <w:rPr>
                <w:i/>
              </w:rPr>
              <w:t>tet.</w:t>
            </w:r>
          </w:p>
        </w:tc>
      </w:tr>
    </w:tbl>
    <w:p w:rsidR="00866CF7" w:rsidRPr="00000E4F" w:rsidRDefault="00866CF7">
      <w:pPr>
        <w:pStyle w:val="Vinkelkoder"/>
      </w:pPr>
      <w:r w:rsidRPr="00000E4F">
        <w:br w:type="page"/>
      </w:r>
    </w:p>
    <w:tbl>
      <w:tblPr>
        <w:tblW w:w="0" w:type="auto"/>
        <w:tblInd w:w="-142" w:type="dxa"/>
        <w:tblLayout w:type="fixed"/>
        <w:tblCellMar>
          <w:left w:w="170" w:type="dxa"/>
          <w:right w:w="170" w:type="dxa"/>
        </w:tblCellMar>
        <w:tblLook w:val="0000" w:firstRow="0" w:lastRow="0" w:firstColumn="0" w:lastColumn="0" w:noHBand="0" w:noVBand="0"/>
      </w:tblPr>
      <w:tblGrid>
        <w:gridCol w:w="3048"/>
        <w:gridCol w:w="3048"/>
      </w:tblGrid>
      <w:tr w:rsidR="00000000" w:rsidRPr="00000E4F">
        <w:tblPrEx>
          <w:tblCellMar>
            <w:top w:w="0" w:type="dxa"/>
            <w:bottom w:w="0" w:type="dxa"/>
          </w:tblCellMar>
        </w:tblPrEx>
        <w:tc>
          <w:tcPr>
            <w:tcW w:w="3048" w:type="dxa"/>
          </w:tcPr>
          <w:p w:rsidR="00866CF7" w:rsidRPr="00000E4F" w:rsidRDefault="00866CF7">
            <w:pPr>
              <w:pStyle w:val="LagtextRubrik"/>
              <w:rPr>
                <w:i/>
              </w:rPr>
            </w:pPr>
            <w:r w:rsidRPr="00000E4F">
              <w:br w:type="page"/>
            </w:r>
            <w:r w:rsidRPr="00000E4F">
              <w:rPr>
                <w:i/>
              </w:rPr>
              <w:t>Nuvarande lydelse</w:t>
            </w:r>
          </w:p>
        </w:tc>
        <w:tc>
          <w:tcPr>
            <w:tcW w:w="3048" w:type="dxa"/>
          </w:tcPr>
          <w:p w:rsidR="00866CF7" w:rsidRPr="00000E4F" w:rsidRDefault="00866CF7">
            <w:pPr>
              <w:pStyle w:val="LagtextRubrik"/>
              <w:rPr>
                <w:i/>
              </w:rPr>
            </w:pPr>
            <w:r w:rsidRPr="00000E4F">
              <w:rPr>
                <w:i/>
              </w:rPr>
              <w:t>Föreslagen lydelse</w:t>
            </w:r>
          </w:p>
        </w:tc>
      </w:tr>
      <w:tr w:rsidR="00000000" w:rsidRPr="00000E4F">
        <w:tblPrEx>
          <w:tblCellMar>
            <w:top w:w="0" w:type="dxa"/>
            <w:bottom w:w="0" w:type="dxa"/>
          </w:tblCellMar>
        </w:tblPrEx>
        <w:tc>
          <w:tcPr>
            <w:tcW w:w="3048" w:type="dxa"/>
          </w:tcPr>
          <w:p w:rsidR="00866CF7" w:rsidRPr="00000E4F" w:rsidRDefault="00866CF7">
            <w:pPr>
              <w:pStyle w:val="LagtextIndrag"/>
            </w:pPr>
          </w:p>
        </w:tc>
        <w:tc>
          <w:tcPr>
            <w:tcW w:w="3048" w:type="dxa"/>
          </w:tcPr>
          <w:p w:rsidR="00866CF7" w:rsidRPr="00000E4F" w:rsidRDefault="00866CF7">
            <w:pPr>
              <w:pStyle w:val="Lagtext"/>
              <w:rPr>
                <w:i/>
              </w:rPr>
            </w:pPr>
            <w:r w:rsidRPr="00000E4F">
              <w:rPr>
                <w:i/>
              </w:rPr>
              <w:t>47 a §</w:t>
            </w:r>
          </w:p>
          <w:p w:rsidR="00866CF7" w:rsidRPr="00000E4F" w:rsidRDefault="00866CF7">
            <w:pPr>
              <w:pStyle w:val="LagtextIndrag"/>
              <w:rPr>
                <w:i/>
              </w:rPr>
            </w:pPr>
            <w:r w:rsidRPr="00000E4F">
              <w:rPr>
                <w:i/>
              </w:rPr>
              <w:t>Efter samtycke från parter som förhandlar om kollektivavtal kan Medlingsinstitutet utse en eller flera förhandlingsledare eller medlare.</w:t>
            </w:r>
          </w:p>
          <w:p w:rsidR="00866CF7" w:rsidRPr="00000E4F" w:rsidRDefault="00866CF7">
            <w:pPr>
              <w:pStyle w:val="LagtextIndrag"/>
              <w:rPr>
                <w:i/>
              </w:rPr>
            </w:pPr>
          </w:p>
        </w:tc>
      </w:tr>
      <w:tr w:rsidR="00000000" w:rsidRPr="00000E4F">
        <w:tblPrEx>
          <w:tblCellMar>
            <w:top w:w="0" w:type="dxa"/>
            <w:bottom w:w="0" w:type="dxa"/>
          </w:tblCellMar>
        </w:tblPrEx>
        <w:tc>
          <w:tcPr>
            <w:tcW w:w="3048" w:type="dxa"/>
          </w:tcPr>
          <w:p w:rsidR="00866CF7" w:rsidRPr="00000E4F" w:rsidRDefault="00866CF7">
            <w:pPr>
              <w:pStyle w:val="LagtextIndrag"/>
            </w:pPr>
          </w:p>
        </w:tc>
        <w:tc>
          <w:tcPr>
            <w:tcW w:w="3048" w:type="dxa"/>
          </w:tcPr>
          <w:p w:rsidR="00866CF7" w:rsidRPr="00000E4F" w:rsidRDefault="00866CF7">
            <w:pPr>
              <w:pStyle w:val="Lagtext"/>
              <w:rPr>
                <w:i/>
              </w:rPr>
            </w:pPr>
            <w:r w:rsidRPr="00000E4F">
              <w:rPr>
                <w:i/>
              </w:rPr>
              <w:t>47 b §</w:t>
            </w:r>
          </w:p>
          <w:p w:rsidR="00866CF7" w:rsidRPr="00000E4F" w:rsidRDefault="00866CF7">
            <w:pPr>
              <w:pStyle w:val="LagtextIndrag"/>
              <w:rPr>
                <w:i/>
              </w:rPr>
            </w:pPr>
            <w:r w:rsidRPr="00000E4F">
              <w:rPr>
                <w:i/>
              </w:rPr>
              <w:t>Om Medlingsinstitutet bedömer att det i en tvist finns risk för stridsåtgärder eller om stridså</w:t>
            </w:r>
            <w:r w:rsidRPr="00000E4F">
              <w:rPr>
                <w:i/>
              </w:rPr>
              <w:t>t</w:t>
            </w:r>
            <w:r w:rsidRPr="00000E4F">
              <w:rPr>
                <w:i/>
              </w:rPr>
              <w:t>gärder redan har påbörjats, får institutet även utan samtycke från parterna utse en eller flera medl</w:t>
            </w:r>
            <w:r w:rsidRPr="00000E4F">
              <w:rPr>
                <w:i/>
              </w:rPr>
              <w:t>a</w:t>
            </w:r>
            <w:r w:rsidRPr="00000E4F">
              <w:rPr>
                <w:i/>
              </w:rPr>
              <w:t xml:space="preserve">re för att medla i tvisten. </w:t>
            </w:r>
          </w:p>
          <w:p w:rsidR="00866CF7" w:rsidRPr="00000E4F" w:rsidRDefault="00866CF7">
            <w:pPr>
              <w:pStyle w:val="LagtextIndrag"/>
              <w:rPr>
                <w:i/>
              </w:rPr>
            </w:pPr>
            <w:r w:rsidRPr="00000E4F">
              <w:rPr>
                <w:i/>
              </w:rPr>
              <w:t xml:space="preserve">Medlingsinstitutets beslut enligt första stycket får inte överklagas. </w:t>
            </w:r>
          </w:p>
          <w:p w:rsidR="00866CF7" w:rsidRPr="00000E4F" w:rsidRDefault="00866CF7">
            <w:pPr>
              <w:pStyle w:val="LagtextIndrag"/>
              <w:rPr>
                <w:i/>
              </w:rPr>
            </w:pPr>
            <w:r w:rsidRPr="00000E4F">
              <w:rPr>
                <w:i/>
              </w:rPr>
              <w:t>Parter som är ense om att de är bundna av ett avtal om förhan</w:t>
            </w:r>
            <w:r w:rsidRPr="00000E4F">
              <w:rPr>
                <w:i/>
              </w:rPr>
              <w:t>d</w:t>
            </w:r>
            <w:r w:rsidRPr="00000E4F">
              <w:rPr>
                <w:i/>
              </w:rPr>
              <w:t>lingsordning som innehåller tid</w:t>
            </w:r>
            <w:r w:rsidRPr="00000E4F">
              <w:rPr>
                <w:i/>
              </w:rPr>
              <w:t>s</w:t>
            </w:r>
            <w:r w:rsidRPr="00000E4F">
              <w:rPr>
                <w:i/>
              </w:rPr>
              <w:t>planer för förhandlingar, tidsr</w:t>
            </w:r>
            <w:r w:rsidRPr="00000E4F">
              <w:rPr>
                <w:i/>
              </w:rPr>
              <w:t>a</w:t>
            </w:r>
            <w:r w:rsidRPr="00000E4F">
              <w:rPr>
                <w:i/>
              </w:rPr>
              <w:t>mar och regler för tillsättning av medlare, regler om medlarens befogenheter och regler om up</w:t>
            </w:r>
            <w:r w:rsidRPr="00000E4F">
              <w:rPr>
                <w:i/>
              </w:rPr>
              <w:t>p</w:t>
            </w:r>
            <w:r w:rsidRPr="00000E4F">
              <w:rPr>
                <w:i/>
              </w:rPr>
              <w:t>sägning av avtalet kan anmäla avtalet till Medlingsinstitutet för registrering. När avtalet har r</w:t>
            </w:r>
            <w:r w:rsidRPr="00000E4F">
              <w:rPr>
                <w:i/>
              </w:rPr>
              <w:t>e</w:t>
            </w:r>
            <w:r w:rsidRPr="00000E4F">
              <w:rPr>
                <w:i/>
              </w:rPr>
              <w:t>gistrerats, får under dess gilti</w:t>
            </w:r>
            <w:r w:rsidRPr="00000E4F">
              <w:rPr>
                <w:i/>
              </w:rPr>
              <w:t>g</w:t>
            </w:r>
            <w:r w:rsidRPr="00000E4F">
              <w:rPr>
                <w:i/>
              </w:rPr>
              <w:t>hetstid medlare inte utses utan samtycke från pa</w:t>
            </w:r>
            <w:r w:rsidRPr="00000E4F">
              <w:rPr>
                <w:i/>
              </w:rPr>
              <w:t>r</w:t>
            </w:r>
            <w:r w:rsidRPr="00000E4F">
              <w:rPr>
                <w:i/>
              </w:rPr>
              <w:t>terna.</w:t>
            </w:r>
          </w:p>
        </w:tc>
      </w:tr>
      <w:tr w:rsidR="00000000" w:rsidRPr="00000E4F">
        <w:tblPrEx>
          <w:tblCellMar>
            <w:top w:w="0" w:type="dxa"/>
            <w:bottom w:w="0" w:type="dxa"/>
          </w:tblCellMar>
        </w:tblPrEx>
        <w:trPr>
          <w:cantSplit/>
        </w:trPr>
        <w:tc>
          <w:tcPr>
            <w:tcW w:w="6096" w:type="dxa"/>
            <w:gridSpan w:val="2"/>
          </w:tcPr>
          <w:p w:rsidR="00866CF7" w:rsidRPr="00000E4F" w:rsidRDefault="00866CF7">
            <w:pPr>
              <w:pStyle w:val="Lagtext"/>
              <w:spacing w:before="120"/>
              <w:jc w:val="center"/>
            </w:pPr>
            <w:r w:rsidRPr="00000E4F">
              <w:t>48 §</w:t>
            </w:r>
          </w:p>
          <w:p w:rsidR="00866CF7" w:rsidRPr="00000E4F" w:rsidRDefault="00866CF7">
            <w:pPr>
              <w:pStyle w:val="Lagtext"/>
              <w:jc w:val="center"/>
            </w:pPr>
          </w:p>
        </w:tc>
      </w:tr>
      <w:tr w:rsidR="00000000" w:rsidRPr="00000E4F">
        <w:tblPrEx>
          <w:tblCellMar>
            <w:top w:w="0" w:type="dxa"/>
            <w:bottom w:w="0" w:type="dxa"/>
          </w:tblCellMar>
        </w:tblPrEx>
        <w:tc>
          <w:tcPr>
            <w:tcW w:w="3048" w:type="dxa"/>
          </w:tcPr>
          <w:p w:rsidR="00866CF7" w:rsidRPr="00000E4F" w:rsidRDefault="00866CF7">
            <w:pPr>
              <w:pStyle w:val="LagtextIndrag"/>
            </w:pPr>
            <w:r w:rsidRPr="00000E4F">
              <w:rPr>
                <w:i/>
              </w:rPr>
              <w:t xml:space="preserve">Vid förhandling enligt 46 § skall förlikningsman söka </w:t>
            </w:r>
            <w:r w:rsidRPr="00000E4F">
              <w:t xml:space="preserve">få till stånd överenskommelse mellan parterna </w:t>
            </w:r>
            <w:r w:rsidRPr="00000E4F">
              <w:rPr>
                <w:i/>
              </w:rPr>
              <w:t>på grundval av förslag som ko</w:t>
            </w:r>
            <w:r w:rsidRPr="00000E4F">
              <w:rPr>
                <w:i/>
              </w:rPr>
              <w:t>m</w:t>
            </w:r>
            <w:r w:rsidRPr="00000E4F">
              <w:rPr>
                <w:i/>
              </w:rPr>
              <w:t>mer från dem själva. Förlikning</w:t>
            </w:r>
            <w:r w:rsidRPr="00000E4F">
              <w:rPr>
                <w:i/>
              </w:rPr>
              <w:t>s</w:t>
            </w:r>
            <w:r w:rsidRPr="00000E4F">
              <w:rPr>
                <w:i/>
              </w:rPr>
              <w:t xml:space="preserve">mannen är dock oförhindrad att </w:t>
            </w:r>
            <w:r w:rsidRPr="00000E4F">
              <w:t>föreslå jämkningar och medgiva</w:t>
            </w:r>
            <w:r w:rsidRPr="00000E4F">
              <w:t>n</w:t>
            </w:r>
            <w:r w:rsidRPr="00000E4F">
              <w:t xml:space="preserve">den för att </w:t>
            </w:r>
            <w:r w:rsidRPr="00000E4F">
              <w:rPr>
                <w:i/>
              </w:rPr>
              <w:t>främja en god lösning av tvisten</w:t>
            </w:r>
            <w:r w:rsidRPr="00000E4F">
              <w:t>.</w:t>
            </w:r>
          </w:p>
        </w:tc>
        <w:tc>
          <w:tcPr>
            <w:tcW w:w="3048" w:type="dxa"/>
          </w:tcPr>
          <w:p w:rsidR="00866CF7" w:rsidRPr="00000E4F" w:rsidRDefault="00866CF7">
            <w:pPr>
              <w:pStyle w:val="LagtextIndrag"/>
              <w:rPr>
                <w:i/>
              </w:rPr>
            </w:pPr>
            <w:r w:rsidRPr="00000E4F">
              <w:rPr>
                <w:i/>
              </w:rPr>
              <w:t>En medlare som utsetts av Me</w:t>
            </w:r>
            <w:r w:rsidRPr="00000E4F">
              <w:rPr>
                <w:i/>
              </w:rPr>
              <w:t>d</w:t>
            </w:r>
            <w:r w:rsidRPr="00000E4F">
              <w:rPr>
                <w:i/>
              </w:rPr>
              <w:t xml:space="preserve">lingsinstitutet skall försöka </w:t>
            </w:r>
            <w:r w:rsidRPr="00000E4F">
              <w:t xml:space="preserve">få till stånd </w:t>
            </w:r>
            <w:r w:rsidRPr="00000E4F">
              <w:rPr>
                <w:i/>
              </w:rPr>
              <w:t xml:space="preserve">en </w:t>
            </w:r>
            <w:r w:rsidRPr="00000E4F">
              <w:t xml:space="preserve">överenskommelse mellan parterna. </w:t>
            </w:r>
            <w:r w:rsidRPr="00000E4F">
              <w:rPr>
                <w:i/>
              </w:rPr>
              <w:t>Medlaren skall för det ändamålet kalla parterna till fö</w:t>
            </w:r>
            <w:r w:rsidRPr="00000E4F">
              <w:rPr>
                <w:i/>
              </w:rPr>
              <w:t>r</w:t>
            </w:r>
            <w:r w:rsidRPr="00000E4F">
              <w:rPr>
                <w:i/>
              </w:rPr>
              <w:t>handling eller vidta annan lämplig åtgärd. För att främja en god lösning av tvisten, kan medlaren lägga fram egna förslag till öve</w:t>
            </w:r>
            <w:r w:rsidRPr="00000E4F">
              <w:rPr>
                <w:i/>
              </w:rPr>
              <w:t>r</w:t>
            </w:r>
            <w:r w:rsidRPr="00000E4F">
              <w:rPr>
                <w:i/>
              </w:rPr>
              <w:t>ensko</w:t>
            </w:r>
            <w:r w:rsidRPr="00000E4F">
              <w:rPr>
                <w:i/>
              </w:rPr>
              <w:t>m</w:t>
            </w:r>
            <w:r w:rsidRPr="00000E4F">
              <w:rPr>
                <w:i/>
              </w:rPr>
              <w:t>melse.</w:t>
            </w:r>
          </w:p>
          <w:p w:rsidR="00866CF7" w:rsidRPr="00000E4F" w:rsidRDefault="00866CF7">
            <w:pPr>
              <w:pStyle w:val="LagtextIndrag"/>
            </w:pPr>
            <w:r w:rsidRPr="00000E4F">
              <w:rPr>
                <w:i/>
              </w:rPr>
              <w:t>Medlaren skall också verka för att en part uppskjuter eller instä</w:t>
            </w:r>
            <w:r w:rsidRPr="00000E4F">
              <w:rPr>
                <w:i/>
              </w:rPr>
              <w:t>l</w:t>
            </w:r>
            <w:r w:rsidRPr="00000E4F">
              <w:rPr>
                <w:i/>
              </w:rPr>
              <w:t>ler en stridsåtgärd.</w:t>
            </w:r>
          </w:p>
        </w:tc>
      </w:tr>
    </w:tbl>
    <w:p w:rsidR="00866CF7" w:rsidRPr="00000E4F" w:rsidRDefault="00866CF7">
      <w:pPr>
        <w:pStyle w:val="Odefinierat"/>
        <w:spacing w:before="0"/>
        <w:rPr>
          <w:sz w:val="6"/>
        </w:rPr>
      </w:pPr>
      <w:r w:rsidRPr="00000E4F">
        <w:br w:type="page"/>
      </w:r>
    </w:p>
    <w:tbl>
      <w:tblPr>
        <w:tblW w:w="0" w:type="auto"/>
        <w:tblInd w:w="-142" w:type="dxa"/>
        <w:tblLayout w:type="fixed"/>
        <w:tblCellMar>
          <w:left w:w="170" w:type="dxa"/>
          <w:right w:w="170" w:type="dxa"/>
        </w:tblCellMar>
        <w:tblLook w:val="0000" w:firstRow="0" w:lastRow="0" w:firstColumn="0" w:lastColumn="0" w:noHBand="0" w:noVBand="0"/>
      </w:tblPr>
      <w:tblGrid>
        <w:gridCol w:w="3048"/>
        <w:gridCol w:w="3048"/>
      </w:tblGrid>
      <w:tr w:rsidR="00000000" w:rsidRPr="00000E4F">
        <w:tblPrEx>
          <w:tblCellMar>
            <w:top w:w="0" w:type="dxa"/>
            <w:bottom w:w="0" w:type="dxa"/>
          </w:tblCellMar>
        </w:tblPrEx>
        <w:tc>
          <w:tcPr>
            <w:tcW w:w="3048" w:type="dxa"/>
          </w:tcPr>
          <w:p w:rsidR="00866CF7" w:rsidRPr="00000E4F" w:rsidRDefault="00866CF7">
            <w:pPr>
              <w:pStyle w:val="LagtextRubrik"/>
              <w:rPr>
                <w:i/>
              </w:rPr>
            </w:pPr>
            <w:r w:rsidRPr="00000E4F">
              <w:rPr>
                <w:i/>
              </w:rPr>
              <w:t>Nuvarande lydelse</w:t>
            </w:r>
          </w:p>
        </w:tc>
        <w:tc>
          <w:tcPr>
            <w:tcW w:w="3048" w:type="dxa"/>
          </w:tcPr>
          <w:p w:rsidR="00866CF7" w:rsidRPr="00000E4F" w:rsidRDefault="00866CF7">
            <w:pPr>
              <w:pStyle w:val="LagtextRubrik"/>
              <w:rPr>
                <w:i/>
              </w:rPr>
            </w:pPr>
            <w:r w:rsidRPr="00000E4F">
              <w:rPr>
                <w:i/>
              </w:rPr>
              <w:t>Föreslagen lydelse</w:t>
            </w:r>
          </w:p>
        </w:tc>
      </w:tr>
      <w:tr w:rsidR="00000000" w:rsidRPr="00000E4F">
        <w:tblPrEx>
          <w:tblCellMar>
            <w:top w:w="0" w:type="dxa"/>
            <w:bottom w:w="0" w:type="dxa"/>
          </w:tblCellMar>
        </w:tblPrEx>
        <w:trPr>
          <w:cantSplit/>
        </w:trPr>
        <w:tc>
          <w:tcPr>
            <w:tcW w:w="6096" w:type="dxa"/>
            <w:gridSpan w:val="2"/>
          </w:tcPr>
          <w:p w:rsidR="00866CF7" w:rsidRPr="00000E4F" w:rsidRDefault="00866CF7">
            <w:pPr>
              <w:pStyle w:val="Lagtext"/>
              <w:jc w:val="center"/>
            </w:pPr>
            <w:r w:rsidRPr="00000E4F">
              <w:t>49 §</w:t>
            </w:r>
          </w:p>
          <w:p w:rsidR="00866CF7" w:rsidRPr="00000E4F" w:rsidRDefault="00866CF7">
            <w:pPr>
              <w:pStyle w:val="LagtextIndrag"/>
            </w:pPr>
          </w:p>
        </w:tc>
      </w:tr>
      <w:tr w:rsidR="00000000" w:rsidRPr="00000E4F">
        <w:tblPrEx>
          <w:tblCellMar>
            <w:top w:w="0" w:type="dxa"/>
            <w:bottom w:w="0" w:type="dxa"/>
          </w:tblCellMar>
        </w:tblPrEx>
        <w:tc>
          <w:tcPr>
            <w:tcW w:w="3048" w:type="dxa"/>
          </w:tcPr>
          <w:p w:rsidR="00866CF7" w:rsidRPr="00000E4F" w:rsidRDefault="00866CF7">
            <w:pPr>
              <w:pStyle w:val="LagtextIndrag"/>
              <w:rPr>
                <w:i/>
              </w:rPr>
            </w:pPr>
            <w:r w:rsidRPr="00000E4F">
              <w:rPr>
                <w:i/>
              </w:rPr>
              <w:t>Har en part som enligt 10 § är förhandlingsskyldig kallats till förhandling inför förlikningsman och försummar parten att inställa sig eller underlåter han annars att fullgöra vad som åligger honom enligt 15 §, kan förlikningsmannen på begäran av motpart anmäla förhållandet hos arbetsdomstolen. Denna kan förelägga parten vid vite att fullgöra sin förhandling</w:t>
            </w:r>
            <w:r w:rsidRPr="00000E4F">
              <w:rPr>
                <w:i/>
              </w:rPr>
              <w:t>s</w:t>
            </w:r>
            <w:r w:rsidRPr="00000E4F">
              <w:rPr>
                <w:i/>
              </w:rPr>
              <w:t>skyldighet och kan på anmälan av förlikningsma</w:t>
            </w:r>
            <w:r w:rsidRPr="00000E4F">
              <w:rPr>
                <w:i/>
              </w:rPr>
              <w:t>n</w:t>
            </w:r>
            <w:r w:rsidRPr="00000E4F">
              <w:rPr>
                <w:i/>
              </w:rPr>
              <w:t>nen utdöma vitet</w:t>
            </w:r>
          </w:p>
        </w:tc>
        <w:tc>
          <w:tcPr>
            <w:tcW w:w="3048" w:type="dxa"/>
          </w:tcPr>
          <w:p w:rsidR="00866CF7" w:rsidRPr="00000E4F" w:rsidRDefault="00866CF7">
            <w:pPr>
              <w:pStyle w:val="LagtextIndrag"/>
              <w:rPr>
                <w:i/>
              </w:rPr>
            </w:pPr>
            <w:r w:rsidRPr="00000E4F">
              <w:rPr>
                <w:i/>
              </w:rPr>
              <w:t>Om det främjar en god lösning av tvisten, får Medlingsinstitutet på medlarens begäran besluta att en part skall skjuta upp varslade stridsåtgärder under en samma</w:t>
            </w:r>
            <w:r w:rsidRPr="00000E4F">
              <w:rPr>
                <w:i/>
              </w:rPr>
              <w:t>n</w:t>
            </w:r>
            <w:r w:rsidRPr="00000E4F">
              <w:rPr>
                <w:i/>
              </w:rPr>
              <w:t>hängande tid av högst 14 dagar för varje stridsåtgärd eller utvidgning av en stridsåtgärd. Ett sådant beslut får meddelas endast en gång för varje medlingsuppdrag. Tid</w:t>
            </w:r>
            <w:r w:rsidRPr="00000E4F">
              <w:rPr>
                <w:i/>
              </w:rPr>
              <w:t>s</w:t>
            </w:r>
            <w:r w:rsidRPr="00000E4F">
              <w:rPr>
                <w:i/>
              </w:rPr>
              <w:t>fristen skall räknas från den dag då åtgärden enligt varselmedd</w:t>
            </w:r>
            <w:r w:rsidRPr="00000E4F">
              <w:rPr>
                <w:i/>
              </w:rPr>
              <w:t>e</w:t>
            </w:r>
            <w:r w:rsidRPr="00000E4F">
              <w:rPr>
                <w:i/>
              </w:rPr>
              <w:t>landet skall påbörjas eller utvi</w:t>
            </w:r>
            <w:r w:rsidRPr="00000E4F">
              <w:rPr>
                <w:i/>
              </w:rPr>
              <w:t>d</w:t>
            </w:r>
            <w:r w:rsidRPr="00000E4F">
              <w:rPr>
                <w:i/>
              </w:rPr>
              <w:t>gas. Beslutet skall om möjligt föregås av samråd med parterna.</w:t>
            </w:r>
          </w:p>
          <w:p w:rsidR="00866CF7" w:rsidRPr="00000E4F" w:rsidRDefault="00866CF7">
            <w:pPr>
              <w:pStyle w:val="LagtextIndrag"/>
              <w:rPr>
                <w:i/>
              </w:rPr>
            </w:pPr>
          </w:p>
        </w:tc>
      </w:tr>
      <w:tr w:rsidR="00000000" w:rsidRPr="00000E4F">
        <w:tblPrEx>
          <w:tblCellMar>
            <w:top w:w="0" w:type="dxa"/>
            <w:bottom w:w="0" w:type="dxa"/>
          </w:tblCellMar>
        </w:tblPrEx>
        <w:tc>
          <w:tcPr>
            <w:tcW w:w="3048" w:type="dxa"/>
          </w:tcPr>
          <w:p w:rsidR="00866CF7" w:rsidRPr="00000E4F" w:rsidRDefault="00866CF7">
            <w:pPr>
              <w:pStyle w:val="Lagtext"/>
              <w:rPr>
                <w:i/>
              </w:rPr>
            </w:pPr>
          </w:p>
        </w:tc>
        <w:tc>
          <w:tcPr>
            <w:tcW w:w="3048" w:type="dxa"/>
          </w:tcPr>
          <w:p w:rsidR="00866CF7" w:rsidRPr="00000E4F" w:rsidRDefault="00866CF7">
            <w:pPr>
              <w:pStyle w:val="LagtextIndrag"/>
              <w:rPr>
                <w:i/>
              </w:rPr>
            </w:pPr>
            <w:r w:rsidRPr="00000E4F">
              <w:rPr>
                <w:i/>
              </w:rPr>
              <w:t>Medlingsinstitutets beslut enligt första stycket får inte överkl</w:t>
            </w:r>
            <w:r w:rsidRPr="00000E4F">
              <w:rPr>
                <w:i/>
              </w:rPr>
              <w:t>a</w:t>
            </w:r>
            <w:r w:rsidRPr="00000E4F">
              <w:rPr>
                <w:i/>
              </w:rPr>
              <w:t>gas</w:t>
            </w:r>
          </w:p>
        </w:tc>
      </w:tr>
      <w:tr w:rsidR="00000000" w:rsidRPr="00000E4F">
        <w:tblPrEx>
          <w:tblCellMar>
            <w:top w:w="0" w:type="dxa"/>
            <w:bottom w:w="0" w:type="dxa"/>
          </w:tblCellMar>
        </w:tblPrEx>
        <w:trPr>
          <w:cantSplit/>
        </w:trPr>
        <w:tc>
          <w:tcPr>
            <w:tcW w:w="6096" w:type="dxa"/>
            <w:gridSpan w:val="2"/>
          </w:tcPr>
          <w:p w:rsidR="00866CF7" w:rsidRPr="00000E4F" w:rsidRDefault="00866CF7">
            <w:pPr>
              <w:pStyle w:val="Lagtext"/>
              <w:spacing w:before="120"/>
              <w:jc w:val="center"/>
            </w:pPr>
            <w:r w:rsidRPr="00000E4F">
              <w:t>50 §</w:t>
            </w:r>
          </w:p>
          <w:p w:rsidR="00866CF7" w:rsidRPr="00000E4F" w:rsidRDefault="00866CF7">
            <w:pPr>
              <w:pStyle w:val="Lagtext"/>
              <w:jc w:val="center"/>
            </w:pPr>
          </w:p>
        </w:tc>
      </w:tr>
      <w:tr w:rsidR="00000000" w:rsidRPr="00000E4F">
        <w:tblPrEx>
          <w:tblCellMar>
            <w:top w:w="0" w:type="dxa"/>
            <w:bottom w:w="0" w:type="dxa"/>
          </w:tblCellMar>
        </w:tblPrEx>
        <w:tc>
          <w:tcPr>
            <w:tcW w:w="3048" w:type="dxa"/>
          </w:tcPr>
          <w:p w:rsidR="00866CF7" w:rsidRPr="00000E4F" w:rsidRDefault="00866CF7">
            <w:pPr>
              <w:pStyle w:val="LagtextIndrag"/>
            </w:pPr>
            <w:r w:rsidRPr="00000E4F">
              <w:t xml:space="preserve">Parts skyldighet enligt 18 § att vid förhandling hålla skriftlig handling tillgänglig för motparten gäller även i förhållande till </w:t>
            </w:r>
            <w:r w:rsidRPr="00000E4F">
              <w:rPr>
                <w:i/>
              </w:rPr>
              <w:t>förli</w:t>
            </w:r>
            <w:r w:rsidRPr="00000E4F">
              <w:rPr>
                <w:i/>
              </w:rPr>
              <w:t>k</w:t>
            </w:r>
            <w:r w:rsidRPr="00000E4F">
              <w:rPr>
                <w:i/>
              </w:rPr>
              <w:t>ningsman</w:t>
            </w:r>
            <w:r w:rsidRPr="00000E4F">
              <w:t xml:space="preserve"> som medverkar vid förhan</w:t>
            </w:r>
            <w:r w:rsidRPr="00000E4F">
              <w:t>d</w:t>
            </w:r>
            <w:r w:rsidRPr="00000E4F">
              <w:t>lingen.</w:t>
            </w:r>
          </w:p>
        </w:tc>
        <w:tc>
          <w:tcPr>
            <w:tcW w:w="3048" w:type="dxa"/>
          </w:tcPr>
          <w:p w:rsidR="00866CF7" w:rsidRPr="00000E4F" w:rsidRDefault="00866CF7">
            <w:pPr>
              <w:pStyle w:val="LagtextIndrag"/>
            </w:pPr>
            <w:r w:rsidRPr="00000E4F">
              <w:rPr>
                <w:i/>
              </w:rPr>
              <w:t>En</w:t>
            </w:r>
            <w:r w:rsidRPr="00000E4F">
              <w:t xml:space="preserve"> parts skyldighet enligt 18 § att vid förhandling hålla skriftlig handling tillgänglig för motparten gäller även i förhållande till </w:t>
            </w:r>
            <w:r w:rsidRPr="00000E4F">
              <w:rPr>
                <w:i/>
              </w:rPr>
              <w:t xml:space="preserve">en medlare </w:t>
            </w:r>
            <w:r w:rsidRPr="00000E4F">
              <w:t>som medverkar vid fö</w:t>
            </w:r>
            <w:r w:rsidRPr="00000E4F">
              <w:t>r</w:t>
            </w:r>
            <w:r w:rsidRPr="00000E4F">
              <w:t>handlingen.</w:t>
            </w:r>
          </w:p>
        </w:tc>
      </w:tr>
      <w:tr w:rsidR="00000000" w:rsidRPr="00000E4F">
        <w:tblPrEx>
          <w:tblCellMar>
            <w:top w:w="0" w:type="dxa"/>
            <w:bottom w:w="0" w:type="dxa"/>
          </w:tblCellMar>
        </w:tblPrEx>
        <w:trPr>
          <w:cantSplit/>
        </w:trPr>
        <w:tc>
          <w:tcPr>
            <w:tcW w:w="6096" w:type="dxa"/>
            <w:gridSpan w:val="2"/>
          </w:tcPr>
          <w:p w:rsidR="00866CF7" w:rsidRPr="00000E4F" w:rsidRDefault="00866CF7">
            <w:pPr>
              <w:pStyle w:val="Lagtext"/>
              <w:spacing w:before="120"/>
              <w:jc w:val="center"/>
            </w:pPr>
            <w:r w:rsidRPr="00000E4F">
              <w:t>51 §</w:t>
            </w:r>
          </w:p>
          <w:p w:rsidR="00866CF7" w:rsidRPr="00000E4F" w:rsidRDefault="00866CF7">
            <w:pPr>
              <w:pStyle w:val="Lagtext"/>
              <w:jc w:val="center"/>
              <w:rPr>
                <w:i/>
              </w:rPr>
            </w:pPr>
          </w:p>
        </w:tc>
      </w:tr>
      <w:tr w:rsidR="00000000" w:rsidRPr="00000E4F">
        <w:tblPrEx>
          <w:tblCellMar>
            <w:top w:w="0" w:type="dxa"/>
            <w:bottom w:w="0" w:type="dxa"/>
          </w:tblCellMar>
        </w:tblPrEx>
        <w:tc>
          <w:tcPr>
            <w:tcW w:w="3048" w:type="dxa"/>
          </w:tcPr>
          <w:p w:rsidR="00866CF7" w:rsidRPr="00000E4F" w:rsidRDefault="00866CF7">
            <w:pPr>
              <w:pStyle w:val="LagtextIndrag"/>
            </w:pPr>
            <w:r w:rsidRPr="00000E4F">
              <w:rPr>
                <w:i/>
              </w:rPr>
              <w:t>Uppnås icke enighet mellan parterna vid förhandling inför förlikningsman</w:t>
            </w:r>
            <w:r w:rsidRPr="00000E4F">
              <w:t xml:space="preserve">, kan </w:t>
            </w:r>
            <w:r w:rsidRPr="00000E4F">
              <w:rPr>
                <w:i/>
              </w:rPr>
              <w:t xml:space="preserve">han </w:t>
            </w:r>
            <w:r w:rsidRPr="00000E4F">
              <w:t xml:space="preserve">föreslå </w:t>
            </w:r>
            <w:r w:rsidRPr="00000E4F">
              <w:rPr>
                <w:i/>
              </w:rPr>
              <w:t xml:space="preserve">dem </w:t>
            </w:r>
            <w:r w:rsidRPr="00000E4F">
              <w:t xml:space="preserve">att låta </w:t>
            </w:r>
            <w:r w:rsidRPr="00000E4F">
              <w:rPr>
                <w:i/>
              </w:rPr>
              <w:t xml:space="preserve">tvisten </w:t>
            </w:r>
            <w:r w:rsidRPr="00000E4F">
              <w:t xml:space="preserve">avgöras </w:t>
            </w:r>
            <w:r w:rsidRPr="00000E4F">
              <w:rPr>
                <w:i/>
              </w:rPr>
              <w:t>av skiljemän</w:t>
            </w:r>
            <w:r w:rsidRPr="00000E4F">
              <w:t xml:space="preserve">. </w:t>
            </w:r>
            <w:r w:rsidRPr="00000E4F">
              <w:rPr>
                <w:i/>
              </w:rPr>
              <w:t xml:space="preserve">Han </w:t>
            </w:r>
            <w:r w:rsidRPr="00000E4F">
              <w:t xml:space="preserve">kan </w:t>
            </w:r>
            <w:r w:rsidRPr="00000E4F">
              <w:rPr>
                <w:i/>
              </w:rPr>
              <w:t xml:space="preserve">också </w:t>
            </w:r>
            <w:r w:rsidRPr="00000E4F">
              <w:t>medve</w:t>
            </w:r>
            <w:r w:rsidRPr="00000E4F">
              <w:t>r</w:t>
            </w:r>
            <w:r w:rsidRPr="00000E4F">
              <w:t>ka vid uts</w:t>
            </w:r>
            <w:r w:rsidRPr="00000E4F">
              <w:t>e</w:t>
            </w:r>
            <w:r w:rsidRPr="00000E4F">
              <w:t>ende av skiljemän.</w:t>
            </w:r>
          </w:p>
          <w:p w:rsidR="00866CF7" w:rsidRPr="00000E4F" w:rsidRDefault="00866CF7">
            <w:pPr>
              <w:pStyle w:val="LagtextIndrag"/>
            </w:pPr>
          </w:p>
          <w:p w:rsidR="00866CF7" w:rsidRPr="00000E4F" w:rsidRDefault="00866CF7">
            <w:pPr>
              <w:pStyle w:val="LagtextIndrag"/>
            </w:pPr>
          </w:p>
          <w:p w:rsidR="00866CF7" w:rsidRPr="00000E4F" w:rsidRDefault="00866CF7">
            <w:pPr>
              <w:pStyle w:val="LagtextIndrag"/>
            </w:pPr>
          </w:p>
          <w:p w:rsidR="00866CF7" w:rsidRPr="00000E4F" w:rsidRDefault="00866CF7">
            <w:pPr>
              <w:pStyle w:val="LagtextIndrag"/>
            </w:pPr>
            <w:r w:rsidRPr="00000E4F">
              <w:rPr>
                <w:i/>
              </w:rPr>
              <w:t>Förlikningsman</w:t>
            </w:r>
            <w:r w:rsidRPr="00000E4F">
              <w:t xml:space="preserve"> får </w:t>
            </w:r>
            <w:r w:rsidRPr="00000E4F">
              <w:rPr>
                <w:i/>
              </w:rPr>
              <w:t xml:space="preserve">ej åtaga </w:t>
            </w:r>
            <w:r w:rsidRPr="00000E4F">
              <w:t xml:space="preserve">sig skiljemannauppdrag i arbetstvist, om </w:t>
            </w:r>
            <w:r w:rsidRPr="00000E4F">
              <w:rPr>
                <w:i/>
              </w:rPr>
              <w:t>icke förlikningsmannaexped</w:t>
            </w:r>
            <w:r w:rsidRPr="00000E4F">
              <w:rPr>
                <w:i/>
              </w:rPr>
              <w:t>i</w:t>
            </w:r>
            <w:r w:rsidRPr="00000E4F">
              <w:rPr>
                <w:i/>
              </w:rPr>
              <w:t xml:space="preserve">tionen </w:t>
            </w:r>
            <w:r w:rsidRPr="00000E4F">
              <w:t>i särskilt fall me</w:t>
            </w:r>
            <w:r w:rsidRPr="00000E4F">
              <w:t>d</w:t>
            </w:r>
            <w:r w:rsidRPr="00000E4F">
              <w:t>ger det.</w:t>
            </w:r>
          </w:p>
        </w:tc>
        <w:tc>
          <w:tcPr>
            <w:tcW w:w="3048" w:type="dxa"/>
          </w:tcPr>
          <w:p w:rsidR="00866CF7" w:rsidRPr="00000E4F" w:rsidRDefault="00866CF7">
            <w:pPr>
              <w:pStyle w:val="LagtextIndrag"/>
            </w:pPr>
            <w:r w:rsidRPr="00000E4F">
              <w:rPr>
                <w:i/>
              </w:rPr>
              <w:t xml:space="preserve">En medlare </w:t>
            </w:r>
            <w:r w:rsidRPr="00000E4F">
              <w:t xml:space="preserve">kan föreslå </w:t>
            </w:r>
            <w:r w:rsidRPr="00000E4F">
              <w:rPr>
                <w:i/>
              </w:rPr>
              <w:t xml:space="preserve">parterna </w:t>
            </w:r>
            <w:r w:rsidRPr="00000E4F">
              <w:t xml:space="preserve">att låta </w:t>
            </w:r>
            <w:r w:rsidRPr="00000E4F">
              <w:rPr>
                <w:i/>
              </w:rPr>
              <w:t xml:space="preserve">en tvist </w:t>
            </w:r>
            <w:r w:rsidRPr="00000E4F">
              <w:t xml:space="preserve">avgöras </w:t>
            </w:r>
            <w:r w:rsidRPr="00000E4F">
              <w:rPr>
                <w:i/>
              </w:rPr>
              <w:t>genom skiljeförf</w:t>
            </w:r>
            <w:r w:rsidRPr="00000E4F">
              <w:rPr>
                <w:i/>
              </w:rPr>
              <w:t>a</w:t>
            </w:r>
            <w:r w:rsidRPr="00000E4F">
              <w:rPr>
                <w:i/>
              </w:rPr>
              <w:t>rande</w:t>
            </w:r>
            <w:r w:rsidRPr="00000E4F">
              <w:t xml:space="preserve">. </w:t>
            </w:r>
          </w:p>
          <w:p w:rsidR="00866CF7" w:rsidRPr="00000E4F" w:rsidRDefault="00866CF7">
            <w:pPr>
              <w:pStyle w:val="LagtextIndrag"/>
            </w:pPr>
            <w:r w:rsidRPr="00000E4F">
              <w:rPr>
                <w:i/>
              </w:rPr>
              <w:t>Medlingsinstitutet</w:t>
            </w:r>
            <w:r w:rsidRPr="00000E4F">
              <w:t xml:space="preserve"> kan medverka vid utseende av skiljemän.</w:t>
            </w:r>
          </w:p>
          <w:p w:rsidR="00866CF7" w:rsidRPr="00000E4F" w:rsidRDefault="00866CF7">
            <w:pPr>
              <w:pStyle w:val="LagtextIndrag"/>
            </w:pPr>
            <w:r w:rsidRPr="00000E4F">
              <w:rPr>
                <w:i/>
              </w:rPr>
              <w:t>Om stridsåtgärder har påbö</w:t>
            </w:r>
            <w:r w:rsidRPr="00000E4F">
              <w:rPr>
                <w:i/>
              </w:rPr>
              <w:t>r</w:t>
            </w:r>
            <w:r w:rsidRPr="00000E4F">
              <w:rPr>
                <w:i/>
              </w:rPr>
              <w:t>jats, kan Medlingsinstitutet up</w:t>
            </w:r>
            <w:r w:rsidRPr="00000E4F">
              <w:rPr>
                <w:i/>
              </w:rPr>
              <w:t>p</w:t>
            </w:r>
            <w:r w:rsidRPr="00000E4F">
              <w:rPr>
                <w:i/>
              </w:rPr>
              <w:t>mana parterna att låta tvisten avgöras genom skiljefö</w:t>
            </w:r>
            <w:r w:rsidRPr="00000E4F">
              <w:rPr>
                <w:i/>
              </w:rPr>
              <w:t>r</w:t>
            </w:r>
            <w:r w:rsidRPr="00000E4F">
              <w:rPr>
                <w:i/>
              </w:rPr>
              <w:t>farande</w:t>
            </w:r>
            <w:r w:rsidRPr="00000E4F">
              <w:t>.</w:t>
            </w:r>
          </w:p>
          <w:p w:rsidR="00866CF7" w:rsidRPr="00000E4F" w:rsidRDefault="00866CF7">
            <w:pPr>
              <w:pStyle w:val="LagtextIndrag"/>
            </w:pPr>
            <w:r w:rsidRPr="00000E4F">
              <w:rPr>
                <w:i/>
              </w:rPr>
              <w:t>En medlare</w:t>
            </w:r>
            <w:r w:rsidRPr="00000E4F">
              <w:t xml:space="preserve"> får </w:t>
            </w:r>
            <w:r w:rsidRPr="00000E4F">
              <w:rPr>
                <w:i/>
              </w:rPr>
              <w:t xml:space="preserve">inte åta </w:t>
            </w:r>
            <w:r w:rsidRPr="00000E4F">
              <w:t>sig ski</w:t>
            </w:r>
            <w:r w:rsidRPr="00000E4F">
              <w:t>l</w:t>
            </w:r>
            <w:r w:rsidRPr="00000E4F">
              <w:t xml:space="preserve">jemannauppdrag i arbetstvist, om </w:t>
            </w:r>
            <w:r w:rsidRPr="00000E4F">
              <w:rPr>
                <w:i/>
              </w:rPr>
              <w:t xml:space="preserve">inte Medlingsinstitutet </w:t>
            </w:r>
            <w:r w:rsidRPr="00000E4F">
              <w:t>i särskilt fall me</w:t>
            </w:r>
            <w:r w:rsidRPr="00000E4F">
              <w:t>d</w:t>
            </w:r>
            <w:r w:rsidRPr="00000E4F">
              <w:t>ger det.</w:t>
            </w:r>
          </w:p>
        </w:tc>
      </w:tr>
    </w:tbl>
    <w:p w:rsidR="00866CF7" w:rsidRPr="00000E4F" w:rsidRDefault="00866CF7">
      <w:pPr>
        <w:pStyle w:val="Vinkelkoder"/>
        <w:rPr>
          <w:sz w:val="2"/>
        </w:rPr>
      </w:pPr>
      <w:r w:rsidRPr="00000E4F">
        <w:br w:type="page"/>
      </w:r>
    </w:p>
    <w:tbl>
      <w:tblPr>
        <w:tblW w:w="0" w:type="auto"/>
        <w:tblInd w:w="-142" w:type="dxa"/>
        <w:tblLayout w:type="fixed"/>
        <w:tblCellMar>
          <w:left w:w="170" w:type="dxa"/>
          <w:right w:w="170" w:type="dxa"/>
        </w:tblCellMar>
        <w:tblLook w:val="0000" w:firstRow="0" w:lastRow="0" w:firstColumn="0" w:lastColumn="0" w:noHBand="0" w:noVBand="0"/>
      </w:tblPr>
      <w:tblGrid>
        <w:gridCol w:w="3048"/>
        <w:gridCol w:w="3048"/>
      </w:tblGrid>
      <w:tr w:rsidR="00000000" w:rsidRPr="00000E4F">
        <w:tblPrEx>
          <w:tblCellMar>
            <w:top w:w="0" w:type="dxa"/>
            <w:bottom w:w="0" w:type="dxa"/>
          </w:tblCellMar>
        </w:tblPrEx>
        <w:tc>
          <w:tcPr>
            <w:tcW w:w="3048" w:type="dxa"/>
          </w:tcPr>
          <w:p w:rsidR="00866CF7" w:rsidRPr="00000E4F" w:rsidRDefault="00866CF7">
            <w:pPr>
              <w:pStyle w:val="LagtextRubrik"/>
              <w:rPr>
                <w:i/>
              </w:rPr>
            </w:pPr>
            <w:r w:rsidRPr="00000E4F">
              <w:rPr>
                <w:i/>
              </w:rPr>
              <w:t>Nuvarande lydelse</w:t>
            </w:r>
          </w:p>
        </w:tc>
        <w:tc>
          <w:tcPr>
            <w:tcW w:w="3048" w:type="dxa"/>
          </w:tcPr>
          <w:p w:rsidR="00866CF7" w:rsidRPr="00000E4F" w:rsidRDefault="00866CF7">
            <w:pPr>
              <w:pStyle w:val="LagtextRubrik"/>
              <w:rPr>
                <w:i/>
              </w:rPr>
            </w:pPr>
            <w:r w:rsidRPr="00000E4F">
              <w:rPr>
                <w:i/>
              </w:rPr>
              <w:t>Föreslagen lydelse</w:t>
            </w:r>
          </w:p>
        </w:tc>
      </w:tr>
      <w:tr w:rsidR="00000000" w:rsidRPr="00000E4F">
        <w:tblPrEx>
          <w:tblCellMar>
            <w:top w:w="0" w:type="dxa"/>
            <w:bottom w:w="0" w:type="dxa"/>
          </w:tblCellMar>
        </w:tblPrEx>
        <w:trPr>
          <w:cantSplit/>
        </w:trPr>
        <w:tc>
          <w:tcPr>
            <w:tcW w:w="6096" w:type="dxa"/>
            <w:gridSpan w:val="2"/>
          </w:tcPr>
          <w:p w:rsidR="00866CF7" w:rsidRPr="00000E4F" w:rsidRDefault="00866CF7">
            <w:pPr>
              <w:pStyle w:val="Lagtext"/>
              <w:spacing w:before="120"/>
              <w:jc w:val="center"/>
            </w:pPr>
            <w:r w:rsidRPr="00000E4F">
              <w:t>52 §</w:t>
            </w:r>
          </w:p>
          <w:p w:rsidR="00866CF7" w:rsidRPr="00000E4F" w:rsidRDefault="00866CF7">
            <w:pPr>
              <w:pStyle w:val="Lagtext"/>
              <w:jc w:val="center"/>
            </w:pPr>
          </w:p>
        </w:tc>
      </w:tr>
      <w:tr w:rsidR="00000000" w:rsidRPr="00000E4F">
        <w:tblPrEx>
          <w:tblCellMar>
            <w:top w:w="0" w:type="dxa"/>
            <w:bottom w:w="0" w:type="dxa"/>
          </w:tblCellMar>
        </w:tblPrEx>
        <w:tc>
          <w:tcPr>
            <w:tcW w:w="3048" w:type="dxa"/>
          </w:tcPr>
          <w:p w:rsidR="00866CF7" w:rsidRPr="00000E4F" w:rsidRDefault="00866CF7">
            <w:pPr>
              <w:pStyle w:val="LagtextIndrag"/>
              <w:rPr>
                <w:i/>
              </w:rPr>
            </w:pPr>
            <w:r w:rsidRPr="00000E4F">
              <w:rPr>
                <w:i/>
              </w:rPr>
              <w:t>I arbetstvist av större betydenhet kan regeringen utse förlikning</w:t>
            </w:r>
            <w:r w:rsidRPr="00000E4F">
              <w:rPr>
                <w:i/>
              </w:rPr>
              <w:t>s</w:t>
            </w:r>
            <w:r w:rsidRPr="00000E4F">
              <w:rPr>
                <w:i/>
              </w:rPr>
              <w:t>kommission att medla i tvisten. Även enskild person kan av reg</w:t>
            </w:r>
            <w:r w:rsidRPr="00000E4F">
              <w:rPr>
                <w:i/>
              </w:rPr>
              <w:t>e</w:t>
            </w:r>
            <w:r w:rsidRPr="00000E4F">
              <w:rPr>
                <w:i/>
              </w:rPr>
              <w:t>ringen utses att som särskild fö</w:t>
            </w:r>
            <w:r w:rsidRPr="00000E4F">
              <w:rPr>
                <w:i/>
              </w:rPr>
              <w:t>r</w:t>
            </w:r>
            <w:r w:rsidRPr="00000E4F">
              <w:rPr>
                <w:i/>
              </w:rPr>
              <w:t>likning</w:t>
            </w:r>
            <w:r w:rsidRPr="00000E4F">
              <w:rPr>
                <w:i/>
              </w:rPr>
              <w:t>s</w:t>
            </w:r>
            <w:r w:rsidRPr="00000E4F">
              <w:rPr>
                <w:i/>
              </w:rPr>
              <w:t>man medla i sådan tvist.</w:t>
            </w:r>
          </w:p>
          <w:p w:rsidR="00866CF7" w:rsidRPr="00000E4F" w:rsidRDefault="00866CF7">
            <w:pPr>
              <w:pStyle w:val="LagtextIndrag"/>
              <w:rPr>
                <w:i/>
              </w:rPr>
            </w:pPr>
            <w:r w:rsidRPr="00000E4F">
              <w:rPr>
                <w:i/>
              </w:rPr>
              <w:t>Föreskrifterna i 49 och 50 §§ äger motsvarande tillämpning vid medling av förlikningskommission eller särskild förlikning</w:t>
            </w:r>
            <w:r w:rsidRPr="00000E4F">
              <w:rPr>
                <w:i/>
              </w:rPr>
              <w:t>s</w:t>
            </w:r>
            <w:r w:rsidRPr="00000E4F">
              <w:rPr>
                <w:i/>
              </w:rPr>
              <w:t>man.</w:t>
            </w:r>
          </w:p>
        </w:tc>
        <w:tc>
          <w:tcPr>
            <w:tcW w:w="3048" w:type="dxa"/>
          </w:tcPr>
          <w:p w:rsidR="00866CF7" w:rsidRPr="00000E4F" w:rsidRDefault="00866CF7">
            <w:pPr>
              <w:pStyle w:val="LagtextIndrag"/>
              <w:rPr>
                <w:i/>
              </w:rPr>
            </w:pPr>
            <w:r w:rsidRPr="00000E4F">
              <w:rPr>
                <w:i/>
              </w:rPr>
              <w:t>Om en part har kallats till en överläggning enligt 47 § första stycket och inte infinner sig, kan Medlingsinstitutet förelägga parten vid vite att komma till en överläg</w:t>
            </w:r>
            <w:r w:rsidRPr="00000E4F">
              <w:rPr>
                <w:i/>
              </w:rPr>
              <w:t>g</w:t>
            </w:r>
            <w:r w:rsidRPr="00000E4F">
              <w:rPr>
                <w:i/>
              </w:rPr>
              <w:t>ning.</w:t>
            </w:r>
          </w:p>
          <w:p w:rsidR="00866CF7" w:rsidRPr="00000E4F" w:rsidRDefault="00866CF7">
            <w:pPr>
              <w:pStyle w:val="LagtextIndrag"/>
              <w:rPr>
                <w:i/>
              </w:rPr>
            </w:pPr>
            <w:r w:rsidRPr="00000E4F">
              <w:rPr>
                <w:i/>
              </w:rPr>
              <w:t>Om en part, som enligt 10 § är förhandlingsskyldig, har kallats till en förhandling inför medlare men inte infinner sig eller om parten på annat sätt underlåter att fullgöra sina skyldigheter enligt 15 § första stycket, kan Medlingsinstitutet på begäran av medlaren förelägga parten vid vite att fullgöra sin förhandlingssky</w:t>
            </w:r>
            <w:r w:rsidRPr="00000E4F">
              <w:rPr>
                <w:i/>
              </w:rPr>
              <w:t>l</w:t>
            </w:r>
            <w:r w:rsidRPr="00000E4F">
              <w:rPr>
                <w:i/>
              </w:rPr>
              <w:t xml:space="preserve">dighet. </w:t>
            </w:r>
          </w:p>
        </w:tc>
      </w:tr>
      <w:tr w:rsidR="00000000" w:rsidRPr="00000E4F">
        <w:tblPrEx>
          <w:tblCellMar>
            <w:top w:w="0" w:type="dxa"/>
            <w:bottom w:w="0" w:type="dxa"/>
          </w:tblCellMar>
        </w:tblPrEx>
        <w:tc>
          <w:tcPr>
            <w:tcW w:w="3048" w:type="dxa"/>
          </w:tcPr>
          <w:p w:rsidR="00866CF7" w:rsidRPr="00000E4F" w:rsidRDefault="00866CF7">
            <w:pPr>
              <w:pStyle w:val="LagtextIndrag"/>
              <w:rPr>
                <w:i/>
              </w:rPr>
            </w:pPr>
          </w:p>
        </w:tc>
        <w:tc>
          <w:tcPr>
            <w:tcW w:w="3048" w:type="dxa"/>
          </w:tcPr>
          <w:p w:rsidR="00866CF7" w:rsidRPr="00000E4F" w:rsidRDefault="00866CF7">
            <w:pPr>
              <w:pStyle w:val="LagtextIndrag"/>
              <w:rPr>
                <w:i/>
              </w:rPr>
            </w:pPr>
            <w:r w:rsidRPr="00000E4F">
              <w:rPr>
                <w:i/>
              </w:rPr>
              <w:t>Medlingsinstitutets beslut enligt första och andra styckena får inte öve</w:t>
            </w:r>
            <w:r w:rsidRPr="00000E4F">
              <w:rPr>
                <w:i/>
              </w:rPr>
              <w:t>r</w:t>
            </w:r>
            <w:r w:rsidRPr="00000E4F">
              <w:rPr>
                <w:i/>
              </w:rPr>
              <w:t>klagas.</w:t>
            </w:r>
          </w:p>
          <w:p w:rsidR="00866CF7" w:rsidRPr="00000E4F" w:rsidRDefault="00866CF7">
            <w:pPr>
              <w:pStyle w:val="LagtextIndrag"/>
              <w:rPr>
                <w:i/>
              </w:rPr>
            </w:pPr>
            <w:r w:rsidRPr="00000E4F">
              <w:rPr>
                <w:i/>
              </w:rPr>
              <w:t>Talan om utdömande av vite förs av Medlingsinstitutet vid Arbet</w:t>
            </w:r>
            <w:r w:rsidRPr="00000E4F">
              <w:rPr>
                <w:i/>
              </w:rPr>
              <w:t>s</w:t>
            </w:r>
            <w:r w:rsidRPr="00000E4F">
              <w:rPr>
                <w:i/>
              </w:rPr>
              <w:t>domstolen. I mål om utdömande av vite får Arbetsdomstolen bedöma även vitets läm</w:t>
            </w:r>
            <w:r w:rsidRPr="00000E4F">
              <w:rPr>
                <w:i/>
              </w:rPr>
              <w:t>p</w:t>
            </w:r>
            <w:r w:rsidRPr="00000E4F">
              <w:rPr>
                <w:i/>
              </w:rPr>
              <w:t>lighet.</w:t>
            </w:r>
          </w:p>
        </w:tc>
      </w:tr>
      <w:tr w:rsidR="00000000" w:rsidRPr="00000E4F">
        <w:tblPrEx>
          <w:tblCellMar>
            <w:top w:w="0" w:type="dxa"/>
            <w:bottom w:w="0" w:type="dxa"/>
          </w:tblCellMar>
        </w:tblPrEx>
        <w:trPr>
          <w:cantSplit/>
        </w:trPr>
        <w:tc>
          <w:tcPr>
            <w:tcW w:w="6096" w:type="dxa"/>
            <w:gridSpan w:val="2"/>
          </w:tcPr>
          <w:p w:rsidR="00866CF7" w:rsidRPr="00000E4F" w:rsidRDefault="00866CF7">
            <w:pPr>
              <w:pStyle w:val="Lagtext"/>
              <w:spacing w:before="120"/>
              <w:jc w:val="center"/>
            </w:pPr>
            <w:r w:rsidRPr="00000E4F">
              <w:t>53 §</w:t>
            </w:r>
            <w:r w:rsidRPr="00000E4F">
              <w:rPr>
                <w:rStyle w:val="Fotnotsreferens"/>
              </w:rPr>
              <w:footnoteReference w:id="3"/>
            </w:r>
          </w:p>
          <w:p w:rsidR="00866CF7" w:rsidRPr="00000E4F" w:rsidRDefault="00866CF7">
            <w:pPr>
              <w:pStyle w:val="Lagtext"/>
              <w:jc w:val="center"/>
            </w:pPr>
          </w:p>
        </w:tc>
      </w:tr>
      <w:tr w:rsidR="00000000" w:rsidRPr="00000E4F">
        <w:tblPrEx>
          <w:tblCellMar>
            <w:top w:w="0" w:type="dxa"/>
            <w:bottom w:w="0" w:type="dxa"/>
          </w:tblCellMar>
        </w:tblPrEx>
        <w:tc>
          <w:tcPr>
            <w:tcW w:w="3048" w:type="dxa"/>
          </w:tcPr>
          <w:p w:rsidR="00866CF7" w:rsidRPr="00000E4F" w:rsidRDefault="00866CF7">
            <w:pPr>
              <w:pStyle w:val="LagtextIndrag"/>
            </w:pPr>
          </w:p>
        </w:tc>
        <w:tc>
          <w:tcPr>
            <w:tcW w:w="3048" w:type="dxa"/>
          </w:tcPr>
          <w:p w:rsidR="00866CF7" w:rsidRPr="00000E4F" w:rsidRDefault="00866CF7">
            <w:pPr>
              <w:pStyle w:val="LagtextIndrag"/>
              <w:rPr>
                <w:i/>
              </w:rPr>
            </w:pPr>
            <w:r w:rsidRPr="00000E4F">
              <w:rPr>
                <w:i/>
              </w:rPr>
              <w:t>Om en part underlåter att fullg</w:t>
            </w:r>
            <w:r w:rsidRPr="00000E4F">
              <w:rPr>
                <w:i/>
              </w:rPr>
              <w:t>ö</w:t>
            </w:r>
            <w:r w:rsidRPr="00000E4F">
              <w:rPr>
                <w:i/>
              </w:rPr>
              <w:t>ra sin skyldighet enligt 47 § tredje stycket att ge in en kopia av ett kollektivavtal, kan Medlingsinst</w:t>
            </w:r>
            <w:r w:rsidRPr="00000E4F">
              <w:rPr>
                <w:i/>
              </w:rPr>
              <w:t>i</w:t>
            </w:r>
            <w:r w:rsidRPr="00000E4F">
              <w:rPr>
                <w:i/>
              </w:rPr>
              <w:t>tutet förelägga parten vid vite att ge in kopian.</w:t>
            </w:r>
          </w:p>
          <w:p w:rsidR="00866CF7" w:rsidRPr="00000E4F" w:rsidRDefault="00866CF7">
            <w:pPr>
              <w:pStyle w:val="LagtextIndrag"/>
              <w:rPr>
                <w:i/>
              </w:rPr>
            </w:pPr>
            <w:r w:rsidRPr="00000E4F">
              <w:rPr>
                <w:i/>
              </w:rPr>
              <w:t>Medlingsinstitutets beslut enligt första stycket får inte överkl</w:t>
            </w:r>
            <w:r w:rsidRPr="00000E4F">
              <w:rPr>
                <w:i/>
              </w:rPr>
              <w:t>a</w:t>
            </w:r>
            <w:r w:rsidRPr="00000E4F">
              <w:rPr>
                <w:i/>
              </w:rPr>
              <w:t>gas.</w:t>
            </w:r>
          </w:p>
          <w:p w:rsidR="00866CF7" w:rsidRPr="00000E4F" w:rsidRDefault="00866CF7">
            <w:pPr>
              <w:pStyle w:val="LagtextIndrag"/>
            </w:pPr>
            <w:r w:rsidRPr="00000E4F">
              <w:rPr>
                <w:i/>
              </w:rPr>
              <w:t>Talan om utdömande av vite förs av Medlingsinstitutet vid Arbet</w:t>
            </w:r>
            <w:r w:rsidRPr="00000E4F">
              <w:rPr>
                <w:i/>
              </w:rPr>
              <w:t>s</w:t>
            </w:r>
            <w:r w:rsidRPr="00000E4F">
              <w:rPr>
                <w:i/>
              </w:rPr>
              <w:t>domstolen. I mål om utdömande av vite får Arbetsdomstolen bedöma även vitets läm</w:t>
            </w:r>
            <w:r w:rsidRPr="00000E4F">
              <w:rPr>
                <w:i/>
              </w:rPr>
              <w:t>p</w:t>
            </w:r>
            <w:r w:rsidRPr="00000E4F">
              <w:rPr>
                <w:i/>
              </w:rPr>
              <w:t>lighet.</w:t>
            </w:r>
          </w:p>
        </w:tc>
      </w:tr>
    </w:tbl>
    <w:p w:rsidR="00866CF7" w:rsidRPr="00000E4F" w:rsidRDefault="00866CF7">
      <w:pPr>
        <w:pStyle w:val="Vinkelkoder"/>
      </w:pPr>
      <w:r w:rsidRPr="00000E4F">
        <w:br w:type="page"/>
      </w:r>
    </w:p>
    <w:tbl>
      <w:tblPr>
        <w:tblW w:w="0" w:type="auto"/>
        <w:tblInd w:w="-142" w:type="dxa"/>
        <w:tblLayout w:type="fixed"/>
        <w:tblCellMar>
          <w:left w:w="170" w:type="dxa"/>
          <w:right w:w="170" w:type="dxa"/>
        </w:tblCellMar>
        <w:tblLook w:val="0000" w:firstRow="0" w:lastRow="0" w:firstColumn="0" w:lastColumn="0" w:noHBand="0" w:noVBand="0"/>
      </w:tblPr>
      <w:tblGrid>
        <w:gridCol w:w="3048"/>
        <w:gridCol w:w="3048"/>
      </w:tblGrid>
      <w:tr w:rsidR="00000000" w:rsidRPr="00000E4F">
        <w:tblPrEx>
          <w:tblCellMar>
            <w:top w:w="0" w:type="dxa"/>
            <w:bottom w:w="0" w:type="dxa"/>
          </w:tblCellMar>
        </w:tblPrEx>
        <w:tc>
          <w:tcPr>
            <w:tcW w:w="3048" w:type="dxa"/>
          </w:tcPr>
          <w:p w:rsidR="00866CF7" w:rsidRPr="00000E4F" w:rsidRDefault="00866CF7">
            <w:pPr>
              <w:pStyle w:val="LagtextRubrik"/>
              <w:rPr>
                <w:i/>
              </w:rPr>
            </w:pPr>
            <w:r w:rsidRPr="00000E4F">
              <w:rPr>
                <w:i/>
              </w:rPr>
              <w:t>Nuvarande lydelse</w:t>
            </w:r>
          </w:p>
        </w:tc>
        <w:tc>
          <w:tcPr>
            <w:tcW w:w="3048" w:type="dxa"/>
          </w:tcPr>
          <w:p w:rsidR="00866CF7" w:rsidRPr="00000E4F" w:rsidRDefault="00866CF7">
            <w:pPr>
              <w:pStyle w:val="LagtextRubrik"/>
              <w:rPr>
                <w:i/>
              </w:rPr>
            </w:pPr>
            <w:r w:rsidRPr="00000E4F">
              <w:rPr>
                <w:i/>
              </w:rPr>
              <w:t>Föreslagen lydelse</w:t>
            </w:r>
          </w:p>
        </w:tc>
      </w:tr>
      <w:tr w:rsidR="00000000" w:rsidRPr="00000E4F">
        <w:tblPrEx>
          <w:tblCellMar>
            <w:top w:w="0" w:type="dxa"/>
            <w:bottom w:w="0" w:type="dxa"/>
          </w:tblCellMar>
        </w:tblPrEx>
        <w:tc>
          <w:tcPr>
            <w:tcW w:w="3048" w:type="dxa"/>
          </w:tcPr>
          <w:p w:rsidR="00866CF7" w:rsidRPr="00000E4F" w:rsidRDefault="00866CF7">
            <w:pPr>
              <w:pStyle w:val="LagtextIndrag"/>
            </w:pPr>
          </w:p>
        </w:tc>
        <w:tc>
          <w:tcPr>
            <w:tcW w:w="3048" w:type="dxa"/>
          </w:tcPr>
          <w:p w:rsidR="00866CF7" w:rsidRPr="00000E4F" w:rsidRDefault="00866CF7">
            <w:pPr>
              <w:pStyle w:val="Lagtext"/>
              <w:spacing w:before="120"/>
              <w:rPr>
                <w:b/>
              </w:rPr>
            </w:pPr>
            <w:r w:rsidRPr="00000E4F">
              <w:rPr>
                <w:b/>
              </w:rPr>
              <w:t>Varselavgift</w:t>
            </w:r>
          </w:p>
          <w:p w:rsidR="00866CF7" w:rsidRPr="00000E4F" w:rsidRDefault="00866CF7"/>
          <w:p w:rsidR="00866CF7" w:rsidRPr="00000E4F" w:rsidRDefault="00866CF7">
            <w:pPr>
              <w:pStyle w:val="Lagtext"/>
            </w:pPr>
            <w:r w:rsidRPr="00000E4F">
              <w:t>62 a §</w:t>
            </w:r>
          </w:p>
          <w:p w:rsidR="00866CF7" w:rsidRPr="00000E4F" w:rsidRDefault="00866CF7">
            <w:pPr>
              <w:pStyle w:val="LagtextIndrag"/>
              <w:rPr>
                <w:i/>
              </w:rPr>
            </w:pPr>
            <w:r w:rsidRPr="00000E4F">
              <w:rPr>
                <w:i/>
              </w:rPr>
              <w:t>Den som underlåter att varsla Medlingsinstitutet enligt 45 § skall åläggas att betala en varselavgift till staten. Varselavgiften skall bestämmas till lägst 30 000 kronor och högst 100 000 kronor. Om det finns särskilda skäl kan varsela</w:t>
            </w:r>
            <w:r w:rsidRPr="00000E4F">
              <w:rPr>
                <w:i/>
              </w:rPr>
              <w:t>v</w:t>
            </w:r>
            <w:r w:rsidRPr="00000E4F">
              <w:rPr>
                <w:i/>
              </w:rPr>
              <w:t>giften bestämmas till ett lägre belopp eller helt falla bort.</w:t>
            </w:r>
          </w:p>
          <w:p w:rsidR="00866CF7" w:rsidRPr="00000E4F" w:rsidRDefault="00866CF7">
            <w:pPr>
              <w:pStyle w:val="LagtextIndrag"/>
              <w:rPr>
                <w:i/>
              </w:rPr>
            </w:pPr>
            <w:r w:rsidRPr="00000E4F">
              <w:rPr>
                <w:i/>
              </w:rPr>
              <w:t>Den som vidtar en stridsåtgärd i strid mot Medlingsinstitutets beslut enligt 49 § att en varslad stridså</w:t>
            </w:r>
            <w:r w:rsidRPr="00000E4F">
              <w:rPr>
                <w:i/>
              </w:rPr>
              <w:t>t</w:t>
            </w:r>
            <w:r w:rsidRPr="00000E4F">
              <w:rPr>
                <w:i/>
              </w:rPr>
              <w:t>gärd skall skjutas upp skall ålä</w:t>
            </w:r>
            <w:r w:rsidRPr="00000E4F">
              <w:rPr>
                <w:i/>
              </w:rPr>
              <w:t>g</w:t>
            </w:r>
            <w:r w:rsidRPr="00000E4F">
              <w:rPr>
                <w:i/>
              </w:rPr>
              <w:t>gas att betala en förhöjd varsela</w:t>
            </w:r>
            <w:r w:rsidRPr="00000E4F">
              <w:rPr>
                <w:i/>
              </w:rPr>
              <w:t>v</w:t>
            </w:r>
            <w:r w:rsidRPr="00000E4F">
              <w:rPr>
                <w:i/>
              </w:rPr>
              <w:t>gift om minst 300 000 kronor och högst 1 000 000 kronor till staten. Om det finns särskilda skäl kan varselavgiften bestämmas till ett lägre belopp eller helt falla bort.</w:t>
            </w:r>
          </w:p>
          <w:p w:rsidR="00866CF7" w:rsidRPr="00000E4F" w:rsidRDefault="00866CF7">
            <w:pPr>
              <w:pStyle w:val="LagtextIndrag"/>
            </w:pPr>
            <w:r w:rsidRPr="00000E4F">
              <w:rPr>
                <w:i/>
              </w:rPr>
              <w:t>Varselavgiften åläggs av ting</w:t>
            </w:r>
            <w:r w:rsidRPr="00000E4F">
              <w:rPr>
                <w:i/>
              </w:rPr>
              <w:t>s</w:t>
            </w:r>
            <w:r w:rsidRPr="00000E4F">
              <w:rPr>
                <w:i/>
              </w:rPr>
              <w:t>rätt på talan av Medlingsinstitutet. Talan skall väckas inom ett år från</w:t>
            </w:r>
          </w:p>
        </w:tc>
      </w:tr>
      <w:tr w:rsidR="00000000" w:rsidRPr="00000E4F">
        <w:tblPrEx>
          <w:tblCellMar>
            <w:top w:w="0" w:type="dxa"/>
            <w:bottom w:w="0" w:type="dxa"/>
          </w:tblCellMar>
        </w:tblPrEx>
        <w:tc>
          <w:tcPr>
            <w:tcW w:w="3048" w:type="dxa"/>
          </w:tcPr>
          <w:p w:rsidR="00866CF7" w:rsidRPr="00000E4F" w:rsidRDefault="00866CF7">
            <w:pPr>
              <w:pStyle w:val="LagtextIndrag"/>
            </w:pPr>
          </w:p>
        </w:tc>
        <w:tc>
          <w:tcPr>
            <w:tcW w:w="3048" w:type="dxa"/>
          </w:tcPr>
          <w:p w:rsidR="00866CF7" w:rsidRPr="00000E4F" w:rsidRDefault="00866CF7">
            <w:pPr>
              <w:pStyle w:val="Lagtext"/>
              <w:rPr>
                <w:b/>
              </w:rPr>
            </w:pPr>
            <w:r w:rsidRPr="00000E4F">
              <w:rPr>
                <w:i/>
              </w:rPr>
              <w:t>den dag varsel skulle ha lämnats eller, när det gäller förhöjd va</w:t>
            </w:r>
            <w:r w:rsidRPr="00000E4F">
              <w:rPr>
                <w:i/>
              </w:rPr>
              <w:t>r</w:t>
            </w:r>
            <w:r w:rsidRPr="00000E4F">
              <w:rPr>
                <w:i/>
              </w:rPr>
              <w:t>selavgift enligt andra stycket, den dag då stridsåtgärden vidtogs. Försummas det får talan inte väc</w:t>
            </w:r>
            <w:r w:rsidRPr="00000E4F">
              <w:rPr>
                <w:i/>
              </w:rPr>
              <w:t>k</w:t>
            </w:r>
            <w:r w:rsidRPr="00000E4F">
              <w:rPr>
                <w:i/>
              </w:rPr>
              <w:t>as.</w:t>
            </w:r>
          </w:p>
        </w:tc>
      </w:tr>
      <w:tr w:rsidR="00000000" w:rsidRPr="00000E4F">
        <w:tblPrEx>
          <w:tblCellMar>
            <w:top w:w="0" w:type="dxa"/>
            <w:bottom w:w="0" w:type="dxa"/>
          </w:tblCellMar>
        </w:tblPrEx>
        <w:trPr>
          <w:cantSplit/>
        </w:trPr>
        <w:tc>
          <w:tcPr>
            <w:tcW w:w="6096" w:type="dxa"/>
            <w:gridSpan w:val="2"/>
          </w:tcPr>
          <w:p w:rsidR="00866CF7" w:rsidRPr="00000E4F" w:rsidRDefault="00866CF7">
            <w:pPr>
              <w:pStyle w:val="Lagtext"/>
              <w:spacing w:before="120"/>
              <w:jc w:val="center"/>
            </w:pPr>
            <w:r w:rsidRPr="00000E4F">
              <w:t>63 §</w:t>
            </w:r>
          </w:p>
          <w:p w:rsidR="00866CF7" w:rsidRPr="00000E4F" w:rsidRDefault="00866CF7">
            <w:pPr>
              <w:pStyle w:val="Lagtext"/>
              <w:jc w:val="center"/>
              <w:rPr>
                <w:b/>
              </w:rPr>
            </w:pPr>
          </w:p>
        </w:tc>
      </w:tr>
      <w:tr w:rsidR="00000000" w:rsidRPr="00000E4F">
        <w:tblPrEx>
          <w:tblCellMar>
            <w:top w:w="0" w:type="dxa"/>
            <w:bottom w:w="0" w:type="dxa"/>
          </w:tblCellMar>
        </w:tblPrEx>
        <w:tc>
          <w:tcPr>
            <w:tcW w:w="3048" w:type="dxa"/>
          </w:tcPr>
          <w:p w:rsidR="00866CF7" w:rsidRPr="00000E4F" w:rsidRDefault="00866CF7">
            <w:pPr>
              <w:pStyle w:val="LagtextIndrag"/>
            </w:pPr>
            <w:r w:rsidRPr="00000E4F">
              <w:t>I mål, vari denna lag skall ti</w:t>
            </w:r>
            <w:r w:rsidRPr="00000E4F">
              <w:t>l</w:t>
            </w:r>
            <w:r w:rsidRPr="00000E4F">
              <w:t>lämpas, gäller lagen (1974:371) om rättegången i arbetstvister.</w:t>
            </w:r>
            <w:r w:rsidRPr="00000E4F">
              <w:rPr>
                <w:i/>
              </w:rPr>
              <w:t xml:space="preserve"> Är fråga om överträdelse av 47 eller 53 §, gäller dock vad som är föreskrivet om rättegång i allmänhet</w:t>
            </w:r>
            <w:r w:rsidRPr="00000E4F">
              <w:t>.</w:t>
            </w:r>
          </w:p>
        </w:tc>
        <w:tc>
          <w:tcPr>
            <w:tcW w:w="3048" w:type="dxa"/>
          </w:tcPr>
          <w:p w:rsidR="00866CF7" w:rsidRPr="00000E4F" w:rsidRDefault="00866CF7">
            <w:pPr>
              <w:pStyle w:val="LagtextIndrag"/>
            </w:pPr>
            <w:r w:rsidRPr="00000E4F">
              <w:t>I mål, vari denna lag skall ti</w:t>
            </w:r>
            <w:r w:rsidRPr="00000E4F">
              <w:t>l</w:t>
            </w:r>
            <w:r w:rsidRPr="00000E4F">
              <w:t>lämpas, gäller lagen (1974:371) om rättegången i a</w:t>
            </w:r>
            <w:r w:rsidRPr="00000E4F">
              <w:t>r</w:t>
            </w:r>
            <w:r w:rsidRPr="00000E4F">
              <w:t>betstvister.</w:t>
            </w:r>
          </w:p>
        </w:tc>
      </w:tr>
    </w:tbl>
    <w:p w:rsidR="00866CF7" w:rsidRPr="00000E4F" w:rsidRDefault="00866CF7">
      <w:pPr>
        <w:pStyle w:val="Vinkelkoder"/>
      </w:pPr>
      <w:r w:rsidRPr="00000E4F">
        <w:br w:type="page"/>
      </w:r>
    </w:p>
    <w:tbl>
      <w:tblPr>
        <w:tblW w:w="0" w:type="auto"/>
        <w:tblInd w:w="-142" w:type="dxa"/>
        <w:tblLayout w:type="fixed"/>
        <w:tblCellMar>
          <w:left w:w="170" w:type="dxa"/>
          <w:right w:w="170" w:type="dxa"/>
        </w:tblCellMar>
        <w:tblLook w:val="0000" w:firstRow="0" w:lastRow="0" w:firstColumn="0" w:lastColumn="0" w:noHBand="0" w:noVBand="0"/>
      </w:tblPr>
      <w:tblGrid>
        <w:gridCol w:w="3048"/>
        <w:gridCol w:w="3048"/>
      </w:tblGrid>
      <w:tr w:rsidR="00000000" w:rsidRPr="00000E4F">
        <w:tblPrEx>
          <w:tblCellMar>
            <w:top w:w="0" w:type="dxa"/>
            <w:bottom w:w="0" w:type="dxa"/>
          </w:tblCellMar>
        </w:tblPrEx>
        <w:tc>
          <w:tcPr>
            <w:tcW w:w="3048" w:type="dxa"/>
          </w:tcPr>
          <w:p w:rsidR="00866CF7" w:rsidRPr="00000E4F" w:rsidRDefault="00866CF7">
            <w:pPr>
              <w:pStyle w:val="LagtextRubrik"/>
              <w:rPr>
                <w:i/>
              </w:rPr>
            </w:pPr>
            <w:r w:rsidRPr="00000E4F">
              <w:rPr>
                <w:i/>
              </w:rPr>
              <w:t>Nuvarande lydelse</w:t>
            </w:r>
          </w:p>
        </w:tc>
        <w:tc>
          <w:tcPr>
            <w:tcW w:w="3048" w:type="dxa"/>
          </w:tcPr>
          <w:p w:rsidR="00866CF7" w:rsidRPr="00000E4F" w:rsidRDefault="00866CF7">
            <w:pPr>
              <w:pStyle w:val="LagtextRubrik"/>
              <w:rPr>
                <w:i/>
              </w:rPr>
            </w:pPr>
            <w:r w:rsidRPr="00000E4F">
              <w:rPr>
                <w:i/>
              </w:rPr>
              <w:t>Föreslagen lydelse</w:t>
            </w:r>
          </w:p>
        </w:tc>
      </w:tr>
      <w:tr w:rsidR="00000000" w:rsidRPr="00000E4F">
        <w:tblPrEx>
          <w:tblCellMar>
            <w:top w:w="0" w:type="dxa"/>
            <w:bottom w:w="0" w:type="dxa"/>
          </w:tblCellMar>
        </w:tblPrEx>
        <w:tc>
          <w:tcPr>
            <w:tcW w:w="3048" w:type="dxa"/>
          </w:tcPr>
          <w:p w:rsidR="00866CF7" w:rsidRPr="00000E4F" w:rsidRDefault="00866CF7">
            <w:pPr>
              <w:pStyle w:val="LagtextIndrag"/>
            </w:pPr>
          </w:p>
        </w:tc>
        <w:tc>
          <w:tcPr>
            <w:tcW w:w="3048" w:type="dxa"/>
          </w:tcPr>
          <w:p w:rsidR="00866CF7" w:rsidRPr="00000E4F" w:rsidRDefault="00866CF7">
            <w:pPr>
              <w:pStyle w:val="LagtextIndrag"/>
              <w:rPr>
                <w:i/>
              </w:rPr>
            </w:pPr>
            <w:r w:rsidRPr="00000E4F">
              <w:rPr>
                <w:i/>
              </w:rPr>
              <w:t>I fråga om mål enligt 62 a § ti</w:t>
            </w:r>
            <w:r w:rsidRPr="00000E4F">
              <w:rPr>
                <w:i/>
              </w:rPr>
              <w:t>l</w:t>
            </w:r>
            <w:r w:rsidRPr="00000E4F">
              <w:rPr>
                <w:i/>
              </w:rPr>
              <w:t>lämpas för rättegången vad som är föreskrivet om tvistemål där förli</w:t>
            </w:r>
            <w:r w:rsidRPr="00000E4F">
              <w:rPr>
                <w:i/>
              </w:rPr>
              <w:t>k</w:t>
            </w:r>
            <w:r w:rsidRPr="00000E4F">
              <w:rPr>
                <w:i/>
              </w:rPr>
              <w:t>ning om saken inte är tillåten. Överklagande av tingsrättens avgörande sker till Arbetsdomst</w:t>
            </w:r>
            <w:r w:rsidRPr="00000E4F">
              <w:rPr>
                <w:i/>
              </w:rPr>
              <w:t>o</w:t>
            </w:r>
            <w:r w:rsidRPr="00000E4F">
              <w:rPr>
                <w:i/>
              </w:rPr>
              <w:t>len. I sådant fall tillämpas lagen om rättegången i arbetstvister med beaktande av första meningen i detta stycke.</w:t>
            </w:r>
          </w:p>
          <w:p w:rsidR="00866CF7" w:rsidRPr="00000E4F" w:rsidRDefault="00866CF7">
            <w:pPr>
              <w:pStyle w:val="LagtextIndrag"/>
              <w:rPr>
                <w:i/>
              </w:rPr>
            </w:pPr>
            <w:r w:rsidRPr="00000E4F">
              <w:rPr>
                <w:i/>
              </w:rPr>
              <w:t>I fråga om mål om utdömande av vite enligt 52 § tredje stycket och 53 § andra stycket gäller vad som i 8 § lagen (1985:206) om viten föreskrivs om allmän domstols handläggning av mål om vitets utdömande.</w:t>
            </w:r>
          </w:p>
        </w:tc>
      </w:tr>
    </w:tbl>
    <w:p w:rsidR="00866CF7" w:rsidRPr="00000E4F" w:rsidRDefault="00866CF7">
      <w:pPr>
        <w:pStyle w:val="Proputanindrag"/>
        <w:spacing w:after="10"/>
        <w:rPr>
          <w:u w:val="single"/>
        </w:rPr>
      </w:pPr>
    </w:p>
    <w:p w:rsidR="00866CF7" w:rsidRPr="00000E4F" w:rsidRDefault="00866CF7">
      <w:pPr>
        <w:pStyle w:val="Proputanindrag"/>
        <w:spacing w:after="10"/>
        <w:rPr>
          <w:u w:val="single"/>
        </w:rPr>
      </w:pPr>
      <w:r w:rsidRPr="00000E4F">
        <w:rPr>
          <w:u w:val="single"/>
        </w:rPr>
        <w:t>                                     </w:t>
      </w:r>
    </w:p>
    <w:p w:rsidR="00866CF7" w:rsidRPr="00000E4F" w:rsidRDefault="00866CF7">
      <w:pPr>
        <w:pStyle w:val="Proputanindrag"/>
      </w:pPr>
    </w:p>
    <w:p w:rsidR="00866CF7" w:rsidRPr="00000E4F" w:rsidRDefault="00866CF7">
      <w:pPr>
        <w:pStyle w:val="LagtextIndrag"/>
      </w:pPr>
      <w:r w:rsidRPr="00000E4F">
        <w:t>Denna lag träder i kraft den 1 juni 2000.</w:t>
      </w:r>
    </w:p>
    <w:p w:rsidR="00866CF7" w:rsidRPr="00000E4F" w:rsidRDefault="00866CF7">
      <w:pPr>
        <w:pStyle w:val="R2"/>
      </w:pPr>
      <w:r w:rsidRPr="00000E4F">
        <w:br w:type="page"/>
        <w:t>Förslag till lag om ändring i sekretesslagen (1980:100)</w:t>
      </w:r>
    </w:p>
    <w:p w:rsidR="00866CF7" w:rsidRPr="00000E4F" w:rsidRDefault="00866CF7">
      <w:pPr>
        <w:pStyle w:val="Normaltindrag"/>
        <w:spacing w:before="123"/>
      </w:pPr>
      <w:r w:rsidRPr="00000E4F">
        <w:t>Härigenom föreskrivs i fråga om sekretesslagen (1980:100)</w:t>
      </w:r>
      <w:r w:rsidRPr="00000E4F">
        <w:rPr>
          <w:rStyle w:val="Fotnotsreferens"/>
        </w:rPr>
        <w:footnoteReference w:id="4"/>
      </w:r>
      <w:r w:rsidRPr="00000E4F">
        <w:t xml:space="preserve"> att 8 kap. 15 § och 16 kap. 1 § skall ha följande lydelse.</w:t>
      </w:r>
    </w:p>
    <w:p w:rsidR="00866CF7" w:rsidRPr="00000E4F" w:rsidRDefault="00866CF7">
      <w:pPr>
        <w:pStyle w:val="Proputanindrag"/>
      </w:pPr>
    </w:p>
    <w:tbl>
      <w:tblPr>
        <w:tblW w:w="0" w:type="auto"/>
        <w:tblInd w:w="-170" w:type="dxa"/>
        <w:tblLayout w:type="fixed"/>
        <w:tblCellMar>
          <w:left w:w="170" w:type="dxa"/>
          <w:right w:w="170" w:type="dxa"/>
        </w:tblCellMar>
        <w:tblLook w:val="0000" w:firstRow="0" w:lastRow="0" w:firstColumn="0" w:lastColumn="0" w:noHBand="0" w:noVBand="0"/>
      </w:tblPr>
      <w:tblGrid>
        <w:gridCol w:w="3133"/>
        <w:gridCol w:w="3133"/>
      </w:tblGrid>
      <w:tr w:rsidR="00000000" w:rsidRPr="00000E4F">
        <w:tblPrEx>
          <w:tblCellMar>
            <w:top w:w="0" w:type="dxa"/>
            <w:bottom w:w="0" w:type="dxa"/>
          </w:tblCellMar>
        </w:tblPrEx>
        <w:tc>
          <w:tcPr>
            <w:tcW w:w="3133" w:type="dxa"/>
          </w:tcPr>
          <w:p w:rsidR="00866CF7" w:rsidRPr="00000E4F" w:rsidRDefault="00866CF7">
            <w:pPr>
              <w:pStyle w:val="LagtextRubrik"/>
              <w:rPr>
                <w:i/>
              </w:rPr>
            </w:pPr>
            <w:r w:rsidRPr="00000E4F">
              <w:rPr>
                <w:i/>
              </w:rPr>
              <w:t>Nuvarande lydelse</w:t>
            </w:r>
          </w:p>
        </w:tc>
        <w:tc>
          <w:tcPr>
            <w:tcW w:w="3133" w:type="dxa"/>
          </w:tcPr>
          <w:p w:rsidR="00866CF7" w:rsidRPr="00000E4F" w:rsidRDefault="00866CF7">
            <w:pPr>
              <w:pStyle w:val="Lagtext"/>
              <w:rPr>
                <w:i/>
              </w:rPr>
            </w:pPr>
            <w:r w:rsidRPr="00000E4F">
              <w:rPr>
                <w:i/>
              </w:rPr>
              <w:t>Föreslagen lydelse</w:t>
            </w:r>
          </w:p>
        </w:tc>
      </w:tr>
      <w:tr w:rsidR="00000000" w:rsidRPr="00000E4F">
        <w:tblPrEx>
          <w:tblCellMar>
            <w:top w:w="0" w:type="dxa"/>
            <w:bottom w:w="0" w:type="dxa"/>
          </w:tblCellMar>
        </w:tblPrEx>
        <w:trPr>
          <w:cantSplit/>
        </w:trPr>
        <w:tc>
          <w:tcPr>
            <w:tcW w:w="6266" w:type="dxa"/>
            <w:gridSpan w:val="2"/>
          </w:tcPr>
          <w:p w:rsidR="00866CF7" w:rsidRPr="00000E4F" w:rsidRDefault="00866CF7">
            <w:pPr>
              <w:pStyle w:val="Lagtext"/>
              <w:jc w:val="center"/>
              <w:rPr>
                <w:b/>
              </w:rPr>
            </w:pPr>
            <w:r w:rsidRPr="00000E4F">
              <w:rPr>
                <w:b/>
              </w:rPr>
              <w:t>8 kap.</w:t>
            </w:r>
          </w:p>
          <w:p w:rsidR="00866CF7" w:rsidRPr="00000E4F" w:rsidRDefault="00866CF7">
            <w:pPr>
              <w:pStyle w:val="Lagtext"/>
              <w:jc w:val="center"/>
            </w:pPr>
          </w:p>
          <w:p w:rsidR="00866CF7" w:rsidRPr="00000E4F" w:rsidRDefault="00866CF7">
            <w:pPr>
              <w:pStyle w:val="Lagtext"/>
              <w:jc w:val="center"/>
            </w:pPr>
            <w:r w:rsidRPr="00000E4F">
              <w:t>15 §</w:t>
            </w:r>
          </w:p>
          <w:p w:rsidR="00866CF7" w:rsidRPr="00000E4F" w:rsidRDefault="00866CF7">
            <w:pPr>
              <w:pStyle w:val="Lagtext"/>
              <w:jc w:val="center"/>
              <w:rPr>
                <w:i/>
              </w:rPr>
            </w:pPr>
          </w:p>
        </w:tc>
      </w:tr>
      <w:tr w:rsidR="00000000" w:rsidRPr="00000E4F">
        <w:tblPrEx>
          <w:tblCellMar>
            <w:top w:w="0" w:type="dxa"/>
            <w:bottom w:w="0" w:type="dxa"/>
          </w:tblCellMar>
        </w:tblPrEx>
        <w:tc>
          <w:tcPr>
            <w:tcW w:w="3133" w:type="dxa"/>
          </w:tcPr>
          <w:p w:rsidR="00866CF7" w:rsidRPr="00000E4F" w:rsidRDefault="00866CF7">
            <w:pPr>
              <w:pStyle w:val="LagtextIndrag"/>
            </w:pPr>
            <w:r w:rsidRPr="00000E4F">
              <w:t xml:space="preserve">Sekretess gäller för uppgift som part i arbetstvist har lämnat till </w:t>
            </w:r>
            <w:r w:rsidRPr="00000E4F">
              <w:rPr>
                <w:i/>
              </w:rPr>
              <w:t>förlikningsman, särskild förli</w:t>
            </w:r>
            <w:r w:rsidRPr="00000E4F">
              <w:rPr>
                <w:i/>
              </w:rPr>
              <w:t>k</w:t>
            </w:r>
            <w:r w:rsidRPr="00000E4F">
              <w:rPr>
                <w:i/>
              </w:rPr>
              <w:t>ningsman eller förlikningskommi</w:t>
            </w:r>
            <w:r w:rsidRPr="00000E4F">
              <w:rPr>
                <w:i/>
              </w:rPr>
              <w:t>s</w:t>
            </w:r>
            <w:r w:rsidRPr="00000E4F">
              <w:rPr>
                <w:i/>
              </w:rPr>
              <w:t>sion,</w:t>
            </w:r>
            <w:r w:rsidRPr="00000E4F">
              <w:t xml:space="preserve"> om uppgiftslämnaren har gjort förbehåll </w:t>
            </w:r>
            <w:r w:rsidRPr="00000E4F">
              <w:rPr>
                <w:i/>
              </w:rPr>
              <w:t>dä</w:t>
            </w:r>
            <w:r w:rsidRPr="00000E4F">
              <w:rPr>
                <w:i/>
              </w:rPr>
              <w:t>r</w:t>
            </w:r>
            <w:r w:rsidRPr="00000E4F">
              <w:rPr>
                <w:i/>
              </w:rPr>
              <w:t>om</w:t>
            </w:r>
            <w:r w:rsidRPr="00000E4F">
              <w:t>.</w:t>
            </w:r>
          </w:p>
        </w:tc>
        <w:tc>
          <w:tcPr>
            <w:tcW w:w="3133" w:type="dxa"/>
          </w:tcPr>
          <w:p w:rsidR="00866CF7" w:rsidRPr="00000E4F" w:rsidRDefault="00866CF7">
            <w:pPr>
              <w:pStyle w:val="LagtextIndrag"/>
            </w:pPr>
            <w:r w:rsidRPr="00000E4F">
              <w:t xml:space="preserve">Sekretess gäller för uppgift som </w:t>
            </w:r>
            <w:r w:rsidRPr="00000E4F">
              <w:rPr>
                <w:i/>
              </w:rPr>
              <w:t>en</w:t>
            </w:r>
            <w:r w:rsidRPr="00000E4F">
              <w:t xml:space="preserve"> part i </w:t>
            </w:r>
            <w:r w:rsidRPr="00000E4F">
              <w:rPr>
                <w:i/>
              </w:rPr>
              <w:t>en</w:t>
            </w:r>
            <w:r w:rsidRPr="00000E4F">
              <w:t xml:space="preserve"> arbetstvist har lämnat till </w:t>
            </w:r>
            <w:r w:rsidRPr="00000E4F">
              <w:rPr>
                <w:i/>
              </w:rPr>
              <w:t>en medlare</w:t>
            </w:r>
            <w:r w:rsidRPr="00000E4F">
              <w:t xml:space="preserve"> </w:t>
            </w:r>
            <w:r w:rsidRPr="00000E4F">
              <w:rPr>
                <w:i/>
              </w:rPr>
              <w:t>eller till Medlingsinst</w:t>
            </w:r>
            <w:r w:rsidRPr="00000E4F">
              <w:rPr>
                <w:i/>
              </w:rPr>
              <w:t>i</w:t>
            </w:r>
            <w:r w:rsidRPr="00000E4F">
              <w:rPr>
                <w:i/>
              </w:rPr>
              <w:t>tutet,</w:t>
            </w:r>
            <w:r w:rsidRPr="00000E4F">
              <w:t xml:space="preserve"> om uppgiftslämnaren har gjort förbehåll </w:t>
            </w:r>
            <w:r w:rsidRPr="00000E4F">
              <w:rPr>
                <w:i/>
              </w:rPr>
              <w:t>om de</w:t>
            </w:r>
            <w:r w:rsidRPr="00000E4F">
              <w:rPr>
                <w:i/>
              </w:rPr>
              <w:t>t</w:t>
            </w:r>
            <w:r w:rsidRPr="00000E4F">
              <w:rPr>
                <w:i/>
              </w:rPr>
              <w:t>ta</w:t>
            </w:r>
            <w:r w:rsidRPr="00000E4F">
              <w:t>.</w:t>
            </w:r>
          </w:p>
          <w:p w:rsidR="00866CF7" w:rsidRPr="00000E4F" w:rsidRDefault="00866CF7">
            <w:pPr>
              <w:pStyle w:val="LagtextIndrag"/>
            </w:pPr>
            <w:r w:rsidRPr="00000E4F">
              <w:rPr>
                <w:i/>
              </w:rPr>
              <w:t>Sekretess gäller hos Medlingsi</w:t>
            </w:r>
            <w:r w:rsidRPr="00000E4F">
              <w:rPr>
                <w:i/>
              </w:rPr>
              <w:t>n</w:t>
            </w:r>
            <w:r w:rsidRPr="00000E4F">
              <w:rPr>
                <w:i/>
              </w:rPr>
              <w:t>stitutet även för uppgift i ett kolle</w:t>
            </w:r>
            <w:r w:rsidRPr="00000E4F">
              <w:rPr>
                <w:i/>
              </w:rPr>
              <w:t>k</w:t>
            </w:r>
            <w:r w:rsidRPr="00000E4F">
              <w:rPr>
                <w:i/>
              </w:rPr>
              <w:t>tivavtal om en parts affärs- eller driftförhållanden eller en annan enskilds personliga eller ekonomi</w:t>
            </w:r>
            <w:r w:rsidRPr="00000E4F">
              <w:rPr>
                <w:i/>
              </w:rPr>
              <w:t>s</w:t>
            </w:r>
            <w:r w:rsidRPr="00000E4F">
              <w:rPr>
                <w:i/>
              </w:rPr>
              <w:t>ka förhållanden, om det kan antas att parten eller den enskilde lider skada eller men om uppgiften röjs.</w:t>
            </w:r>
          </w:p>
        </w:tc>
      </w:tr>
      <w:tr w:rsidR="00000000" w:rsidRPr="00000E4F">
        <w:tblPrEx>
          <w:tblCellMar>
            <w:top w:w="0" w:type="dxa"/>
            <w:bottom w:w="0" w:type="dxa"/>
          </w:tblCellMar>
        </w:tblPrEx>
        <w:trPr>
          <w:cantSplit/>
        </w:trPr>
        <w:tc>
          <w:tcPr>
            <w:tcW w:w="6266" w:type="dxa"/>
            <w:gridSpan w:val="2"/>
          </w:tcPr>
          <w:p w:rsidR="00866CF7" w:rsidRPr="00000E4F" w:rsidRDefault="00866CF7">
            <w:pPr>
              <w:pStyle w:val="LagtextIndrag"/>
            </w:pPr>
            <w:r w:rsidRPr="00000E4F">
              <w:t xml:space="preserve">I fråga om uppgift i allmän handling gäller sekretessen i högst tjugo år. </w:t>
            </w:r>
          </w:p>
        </w:tc>
      </w:tr>
      <w:tr w:rsidR="00000000" w:rsidRPr="00000E4F">
        <w:tblPrEx>
          <w:tblCellMar>
            <w:top w:w="0" w:type="dxa"/>
            <w:bottom w:w="0" w:type="dxa"/>
          </w:tblCellMar>
        </w:tblPrEx>
        <w:tc>
          <w:tcPr>
            <w:tcW w:w="3133" w:type="dxa"/>
          </w:tcPr>
          <w:p w:rsidR="00866CF7" w:rsidRPr="00000E4F" w:rsidRDefault="00866CF7">
            <w:pPr>
              <w:pStyle w:val="Lagtext"/>
              <w:rPr>
                <w:i/>
              </w:rPr>
            </w:pPr>
          </w:p>
          <w:p w:rsidR="00866CF7" w:rsidRPr="00000E4F" w:rsidRDefault="00866CF7">
            <w:pPr>
              <w:pStyle w:val="Lagtext"/>
            </w:pPr>
            <w:r w:rsidRPr="00000E4F">
              <w:t>Nuvarande lydelse</w:t>
            </w:r>
          </w:p>
        </w:tc>
        <w:tc>
          <w:tcPr>
            <w:tcW w:w="3133" w:type="dxa"/>
          </w:tcPr>
          <w:p w:rsidR="00866CF7" w:rsidRPr="00000E4F" w:rsidRDefault="00866CF7">
            <w:pPr>
              <w:pStyle w:val="Lagtext"/>
              <w:rPr>
                <w:i/>
              </w:rPr>
            </w:pPr>
          </w:p>
        </w:tc>
      </w:tr>
      <w:tr w:rsidR="00000000" w:rsidRPr="00000E4F">
        <w:tblPrEx>
          <w:tblCellMar>
            <w:top w:w="0" w:type="dxa"/>
            <w:bottom w:w="0" w:type="dxa"/>
          </w:tblCellMar>
        </w:tblPrEx>
        <w:trPr>
          <w:cantSplit/>
        </w:trPr>
        <w:tc>
          <w:tcPr>
            <w:tcW w:w="6266" w:type="dxa"/>
            <w:gridSpan w:val="2"/>
          </w:tcPr>
          <w:p w:rsidR="00866CF7" w:rsidRPr="00000E4F" w:rsidRDefault="00866CF7">
            <w:pPr>
              <w:pStyle w:val="Lagtext"/>
              <w:jc w:val="center"/>
              <w:rPr>
                <w:b/>
              </w:rPr>
            </w:pPr>
            <w:r w:rsidRPr="00000E4F">
              <w:rPr>
                <w:b/>
              </w:rPr>
              <w:t>16 kap.</w:t>
            </w:r>
          </w:p>
          <w:p w:rsidR="00866CF7" w:rsidRPr="00000E4F" w:rsidRDefault="00866CF7">
            <w:pPr>
              <w:pStyle w:val="Lagtext"/>
              <w:jc w:val="center"/>
            </w:pPr>
          </w:p>
          <w:p w:rsidR="00866CF7" w:rsidRPr="00000E4F" w:rsidRDefault="00866CF7">
            <w:pPr>
              <w:pStyle w:val="Lagtext"/>
              <w:jc w:val="center"/>
            </w:pPr>
            <w:r w:rsidRPr="00000E4F">
              <w:t>1 §</w:t>
            </w:r>
            <w:r w:rsidRPr="00000E4F">
              <w:rPr>
                <w:rStyle w:val="Fotnotsreferens"/>
              </w:rPr>
              <w:footnoteReference w:id="5"/>
            </w:r>
          </w:p>
          <w:p w:rsidR="00866CF7" w:rsidRPr="00000E4F" w:rsidRDefault="00866CF7">
            <w:pPr>
              <w:pStyle w:val="LagtextIndrag"/>
            </w:pPr>
          </w:p>
          <w:p w:rsidR="00866CF7" w:rsidRPr="00000E4F" w:rsidRDefault="00866CF7">
            <w:pPr>
              <w:pStyle w:val="LagtextIndrag"/>
            </w:pPr>
            <w:r w:rsidRPr="00000E4F">
              <w:t>Att friheten enligt 1 kap. 1 § tryckfrihetsförordningen och 1 kap. 2 § yt</w:t>
            </w:r>
            <w:r w:rsidRPr="00000E4F">
              <w:t>t</w:t>
            </w:r>
            <w:r w:rsidRPr="00000E4F">
              <w:t>randefrihetsgrundlagen att meddela och offentliggöra uppgifter i vissa fall är begränsad framgår av 7 kap. 3 § första stycket 1 och 2, 4 § 1–8 samt 5 § 1 och 3 tryckfrihetsförordningen och av 5 kap. 1 § första stycket samt 3 § första stycket 1 och 2 yttrandefrihetsgrundlagen. De fall av uppsåtligt åsidosättande av tystnadsplikt, i vilka nämnda frihet enligt 7 kap. 3 § första stycket 3 och 5 § 2 tryckfrihetsförordningen samt 5 kap. 1 § första stycket och 3 § första stycket 3 yttrandefrihetsgrundlagen i övri</w:t>
            </w:r>
            <w:r w:rsidRPr="00000E4F">
              <w:t>gt är begränsad, är de där tystnad</w:t>
            </w:r>
            <w:r w:rsidRPr="00000E4F">
              <w:t>s</w:t>
            </w:r>
            <w:r w:rsidRPr="00000E4F">
              <w:t xml:space="preserve">plikten följer av </w:t>
            </w:r>
          </w:p>
          <w:p w:rsidR="00866CF7" w:rsidRPr="00000E4F" w:rsidRDefault="00866CF7">
            <w:pPr>
              <w:pStyle w:val="LagtextIndrag"/>
            </w:pPr>
          </w:p>
        </w:tc>
      </w:tr>
    </w:tbl>
    <w:p w:rsidR="00866CF7" w:rsidRPr="00000E4F" w:rsidRDefault="00866CF7">
      <w:pPr>
        <w:pStyle w:val="Proputanindrag"/>
      </w:pPr>
    </w:p>
    <w:p w:rsidR="00866CF7" w:rsidRPr="00000E4F" w:rsidRDefault="00866CF7">
      <w:pPr>
        <w:pStyle w:val="Proputanindrag"/>
      </w:pPr>
      <w:r w:rsidRPr="00000E4F">
        <w:t xml:space="preserve">_ _ _ _ _ _ _ _ _ _ _ _ _ _ _ _ _ _ _ _ _ _ _ _ _ _ _ _ _ _ _ </w:t>
      </w:r>
    </w:p>
    <w:p w:rsidR="00866CF7" w:rsidRPr="00000E4F" w:rsidRDefault="00866CF7">
      <w:pPr>
        <w:pStyle w:val="Proputanindrag"/>
      </w:pPr>
    </w:p>
    <w:p w:rsidR="00866CF7" w:rsidRPr="00000E4F" w:rsidRDefault="00866CF7">
      <w:pPr>
        <w:pStyle w:val="LagtextIndrag"/>
      </w:pPr>
      <w:r w:rsidRPr="00000E4F">
        <w:t>3. denna lag enligt</w:t>
      </w:r>
    </w:p>
    <w:p w:rsidR="00866CF7" w:rsidRPr="00000E4F" w:rsidRDefault="00866CF7">
      <w:pPr>
        <w:pStyle w:val="Proputanindrag"/>
      </w:pPr>
      <w:r w:rsidRPr="00000E4F">
        <w:t xml:space="preserve">_ _ _ _ _ _ _ _ _ _ _ _ _ _ _ _ _ _ _ _ _ _ _ _ _ _ _ _ _ _ _ </w:t>
      </w:r>
    </w:p>
    <w:p w:rsidR="00866CF7" w:rsidRPr="00000E4F" w:rsidRDefault="00866CF7">
      <w:pPr>
        <w:pStyle w:val="Propmedindrag"/>
      </w:pPr>
    </w:p>
    <w:p w:rsidR="00866CF7" w:rsidRPr="00000E4F" w:rsidRDefault="00866CF7">
      <w:pPr>
        <w:pStyle w:val="Proputanindrag"/>
      </w:pPr>
    </w:p>
    <w:tbl>
      <w:tblPr>
        <w:tblW w:w="0" w:type="auto"/>
        <w:tblInd w:w="-170" w:type="dxa"/>
        <w:tblLayout w:type="fixed"/>
        <w:tblCellMar>
          <w:left w:w="170" w:type="dxa"/>
          <w:right w:w="170" w:type="dxa"/>
        </w:tblCellMar>
        <w:tblLook w:val="0000" w:firstRow="0" w:lastRow="0" w:firstColumn="0" w:lastColumn="0" w:noHBand="0" w:noVBand="0"/>
      </w:tblPr>
      <w:tblGrid>
        <w:gridCol w:w="3133"/>
        <w:gridCol w:w="3133"/>
      </w:tblGrid>
      <w:tr w:rsidR="00000000" w:rsidRPr="00000E4F">
        <w:tblPrEx>
          <w:tblCellMar>
            <w:top w:w="0" w:type="dxa"/>
            <w:bottom w:w="0" w:type="dxa"/>
          </w:tblCellMar>
        </w:tblPrEx>
        <w:tc>
          <w:tcPr>
            <w:tcW w:w="3133" w:type="dxa"/>
          </w:tcPr>
          <w:p w:rsidR="00866CF7" w:rsidRPr="00000E4F" w:rsidRDefault="00866CF7">
            <w:pPr>
              <w:pStyle w:val="LagtextIndrag"/>
            </w:pPr>
            <w:r w:rsidRPr="00000E4F">
              <w:t>8 kap. 8 § andra stycket</w:t>
            </w:r>
          </w:p>
          <w:p w:rsidR="00866CF7" w:rsidRPr="00000E4F" w:rsidRDefault="00866CF7">
            <w:pPr>
              <w:pStyle w:val="LagtextIndrag"/>
            </w:pPr>
          </w:p>
          <w:p w:rsidR="00866CF7" w:rsidRPr="00000E4F" w:rsidRDefault="00866CF7">
            <w:pPr>
              <w:pStyle w:val="LagtextIndrag"/>
            </w:pPr>
          </w:p>
          <w:p w:rsidR="00866CF7" w:rsidRPr="00000E4F" w:rsidRDefault="00866CF7">
            <w:pPr>
              <w:pStyle w:val="LagtextIndrag"/>
            </w:pPr>
            <w:r w:rsidRPr="00000E4F">
              <w:t>8 kap. 9 §, 12 § första stycket, 13 § eller 15 §</w:t>
            </w:r>
          </w:p>
          <w:p w:rsidR="00866CF7" w:rsidRPr="00000E4F" w:rsidRDefault="00866CF7">
            <w:pPr>
              <w:pStyle w:val="LagtextIndrag"/>
            </w:pPr>
          </w:p>
          <w:p w:rsidR="00866CF7" w:rsidRPr="00000E4F" w:rsidRDefault="00866CF7">
            <w:pPr>
              <w:pStyle w:val="LagtextIndrag"/>
            </w:pPr>
            <w:r w:rsidRPr="00000E4F">
              <w:t>8 kap. 21 §</w:t>
            </w:r>
          </w:p>
          <w:p w:rsidR="00866CF7" w:rsidRPr="00000E4F" w:rsidRDefault="00866CF7">
            <w:pPr>
              <w:pStyle w:val="LagtextIndrag"/>
            </w:pPr>
          </w:p>
        </w:tc>
        <w:tc>
          <w:tcPr>
            <w:tcW w:w="3133" w:type="dxa"/>
          </w:tcPr>
          <w:p w:rsidR="00866CF7" w:rsidRPr="00000E4F" w:rsidRDefault="00866CF7">
            <w:pPr>
              <w:pStyle w:val="LagtextIndrag"/>
            </w:pPr>
            <w:r w:rsidRPr="00000E4F">
              <w:t>såvitt avser uppgift som hänför sig till myndighets affärsmässiga utlåning</w:t>
            </w:r>
            <w:r w:rsidRPr="00000E4F">
              <w:t>s</w:t>
            </w:r>
            <w:r w:rsidRPr="00000E4F">
              <w:t>verksamhet</w:t>
            </w:r>
          </w:p>
          <w:p w:rsidR="00866CF7" w:rsidRPr="00000E4F" w:rsidRDefault="00866CF7">
            <w:pPr>
              <w:pStyle w:val="LagtextIndrag"/>
            </w:pPr>
          </w:p>
          <w:p w:rsidR="00866CF7" w:rsidRPr="00000E4F" w:rsidRDefault="00866CF7">
            <w:pPr>
              <w:pStyle w:val="LagtextIndrag"/>
            </w:pPr>
          </w:p>
          <w:p w:rsidR="00866CF7" w:rsidRPr="00000E4F" w:rsidRDefault="00866CF7">
            <w:pPr>
              <w:pStyle w:val="LagtextIndrag"/>
            </w:pPr>
          </w:p>
          <w:p w:rsidR="00866CF7" w:rsidRPr="00000E4F" w:rsidRDefault="00866CF7">
            <w:pPr>
              <w:pStyle w:val="LagtextIndrag"/>
            </w:pPr>
            <w:r w:rsidRPr="00000E4F">
              <w:t>såvitt avser uppgift om enskilds personliga förhållanden vars röjande kan vålla allvarligt men</w:t>
            </w:r>
          </w:p>
          <w:p w:rsidR="00866CF7" w:rsidRPr="00000E4F" w:rsidRDefault="00866CF7">
            <w:pPr>
              <w:pStyle w:val="LagtextIndrag"/>
            </w:pPr>
          </w:p>
        </w:tc>
      </w:tr>
    </w:tbl>
    <w:p w:rsidR="00866CF7" w:rsidRPr="00000E4F" w:rsidRDefault="00866CF7">
      <w:pPr>
        <w:pStyle w:val="Proputanindrag"/>
      </w:pPr>
    </w:p>
    <w:p w:rsidR="00866CF7" w:rsidRPr="00000E4F" w:rsidRDefault="00866CF7">
      <w:pPr>
        <w:pStyle w:val="Proputanindrag"/>
      </w:pPr>
      <w:r w:rsidRPr="00000E4F">
        <w:t xml:space="preserve">_ _ _ _ _ _ _ _ _ _ _ _ _ _ _ _ _ _ _ _ _ _ _ _ _ _ _ _ _ _ _ </w:t>
      </w:r>
    </w:p>
    <w:p w:rsidR="00866CF7" w:rsidRPr="00000E4F" w:rsidRDefault="00866CF7">
      <w:pPr>
        <w:pStyle w:val="Propmedindrag"/>
      </w:pPr>
    </w:p>
    <w:tbl>
      <w:tblPr>
        <w:tblW w:w="0" w:type="auto"/>
        <w:tblInd w:w="-170" w:type="dxa"/>
        <w:tblLayout w:type="fixed"/>
        <w:tblCellMar>
          <w:left w:w="170" w:type="dxa"/>
          <w:right w:w="170" w:type="dxa"/>
        </w:tblCellMar>
        <w:tblLook w:val="0000" w:firstRow="0" w:lastRow="0" w:firstColumn="0" w:lastColumn="0" w:noHBand="0" w:noVBand="0"/>
      </w:tblPr>
      <w:tblGrid>
        <w:gridCol w:w="3133"/>
        <w:gridCol w:w="3133"/>
      </w:tblGrid>
      <w:tr w:rsidR="00000000" w:rsidRPr="00000E4F">
        <w:tblPrEx>
          <w:tblCellMar>
            <w:top w:w="0" w:type="dxa"/>
            <w:bottom w:w="0" w:type="dxa"/>
          </w:tblCellMar>
        </w:tblPrEx>
        <w:tc>
          <w:tcPr>
            <w:tcW w:w="3133" w:type="dxa"/>
          </w:tcPr>
          <w:p w:rsidR="00866CF7" w:rsidRPr="00000E4F" w:rsidRDefault="00866CF7">
            <w:pPr>
              <w:pStyle w:val="Lagtext"/>
              <w:rPr>
                <w:i/>
              </w:rPr>
            </w:pPr>
            <w:r w:rsidRPr="00000E4F">
              <w:rPr>
                <w:i/>
              </w:rPr>
              <w:t>Föreslagen lydelse</w:t>
            </w:r>
          </w:p>
          <w:p w:rsidR="00866CF7" w:rsidRPr="00000E4F" w:rsidRDefault="00866CF7"/>
        </w:tc>
        <w:tc>
          <w:tcPr>
            <w:tcW w:w="3133" w:type="dxa"/>
          </w:tcPr>
          <w:p w:rsidR="00866CF7" w:rsidRPr="00000E4F" w:rsidRDefault="00866CF7">
            <w:pPr>
              <w:pStyle w:val="Lagtext"/>
              <w:rPr>
                <w:i/>
              </w:rPr>
            </w:pPr>
          </w:p>
        </w:tc>
      </w:tr>
      <w:tr w:rsidR="00000000" w:rsidRPr="00000E4F">
        <w:tblPrEx>
          <w:tblCellMar>
            <w:top w:w="0" w:type="dxa"/>
            <w:bottom w:w="0" w:type="dxa"/>
          </w:tblCellMar>
        </w:tblPrEx>
        <w:trPr>
          <w:cantSplit/>
        </w:trPr>
        <w:tc>
          <w:tcPr>
            <w:tcW w:w="6266" w:type="dxa"/>
            <w:gridSpan w:val="2"/>
          </w:tcPr>
          <w:p w:rsidR="00866CF7" w:rsidRPr="00000E4F" w:rsidRDefault="00866CF7">
            <w:pPr>
              <w:pStyle w:val="LagtextIndrag"/>
            </w:pPr>
            <w:r w:rsidRPr="00000E4F">
              <w:t>Att friheten enligt 1 kap. 1 § tryckfrihetsförordningen och 1 kap. 2 § yt</w:t>
            </w:r>
            <w:r w:rsidRPr="00000E4F">
              <w:t>t</w:t>
            </w:r>
            <w:r w:rsidRPr="00000E4F">
              <w:t>randefrihetsgrundlagen att meddela och offentliggöra uppgifter i vissa fall är begränsad framgår av 7 kap. 3 § första stycket 1 och 2, 4 § 1–8 samt 5 § 1 och 3 tryckfrihetsförordningen och av 5 kap. 1 § första stycket samt 3 § första stycket 1 och 2 yttrandefrihetsgrundlagen. De fall av uppsåtligt åsidosättande av tystnadsplikt, i vilka nämnda frihet enligt 7 kap. 3 § första stycket 3 och 5 § 2 tryckfrihetsförordningen samt 5 kap. 1 § första stycket och 3 § första stycket 3 yttrandefrihetsgrundlagen i övri</w:t>
            </w:r>
            <w:r w:rsidRPr="00000E4F">
              <w:t>gt är begränsad, är de där tystnad</w:t>
            </w:r>
            <w:r w:rsidRPr="00000E4F">
              <w:t>s</w:t>
            </w:r>
            <w:r w:rsidRPr="00000E4F">
              <w:t xml:space="preserve">plikten följer av </w:t>
            </w:r>
          </w:p>
          <w:p w:rsidR="00866CF7" w:rsidRPr="00000E4F" w:rsidRDefault="00866CF7">
            <w:pPr>
              <w:pStyle w:val="LagtextIndrag"/>
              <w:rPr>
                <w:i/>
              </w:rPr>
            </w:pPr>
          </w:p>
        </w:tc>
      </w:tr>
    </w:tbl>
    <w:p w:rsidR="00866CF7" w:rsidRPr="00000E4F" w:rsidRDefault="00866CF7">
      <w:pPr>
        <w:pStyle w:val="Proputanindrag"/>
        <w:rPr>
          <w:sz w:val="18"/>
        </w:rPr>
      </w:pPr>
    </w:p>
    <w:p w:rsidR="00866CF7" w:rsidRPr="00000E4F" w:rsidRDefault="00866CF7">
      <w:pPr>
        <w:pStyle w:val="Proputanindrag"/>
        <w:rPr>
          <w:sz w:val="18"/>
        </w:rPr>
      </w:pPr>
    </w:p>
    <w:p w:rsidR="00866CF7" w:rsidRPr="00000E4F" w:rsidRDefault="00866CF7">
      <w:pPr>
        <w:pStyle w:val="Proputanindrag"/>
      </w:pPr>
      <w:r w:rsidRPr="00000E4F">
        <w:t xml:space="preserve">_ _ _ _ _ _ _ _ _ _ _ _ _ _ _ _ _ _ _ _ _ _ _ _ _ _ _ _ _ _ _ </w:t>
      </w:r>
    </w:p>
    <w:p w:rsidR="00866CF7" w:rsidRPr="00000E4F" w:rsidRDefault="00866CF7">
      <w:pPr>
        <w:pStyle w:val="Proputanindrag"/>
        <w:rPr>
          <w:sz w:val="18"/>
        </w:rPr>
      </w:pPr>
    </w:p>
    <w:p w:rsidR="00866CF7" w:rsidRPr="00000E4F" w:rsidRDefault="00866CF7">
      <w:pPr>
        <w:pStyle w:val="LagtextIndrag"/>
      </w:pPr>
      <w:r w:rsidRPr="00000E4F">
        <w:t>3. denna lag enligt</w:t>
      </w:r>
    </w:p>
    <w:p w:rsidR="00866CF7" w:rsidRPr="00000E4F" w:rsidRDefault="00866CF7">
      <w:pPr>
        <w:pStyle w:val="Proputanindrag"/>
      </w:pPr>
      <w:r w:rsidRPr="00000E4F">
        <w:t xml:space="preserve">_ _ _ _ _ _ _ _ _ _ _ _ _ _ _ _ _ _ _ _ _ _ _ _ _ _ _ _ _ _ _ </w:t>
      </w:r>
    </w:p>
    <w:p w:rsidR="00866CF7" w:rsidRPr="00000E4F" w:rsidRDefault="00866CF7">
      <w:pPr>
        <w:pStyle w:val="Proputanindrag"/>
        <w:rPr>
          <w:sz w:val="6"/>
        </w:rPr>
      </w:pPr>
    </w:p>
    <w:tbl>
      <w:tblPr>
        <w:tblW w:w="0" w:type="auto"/>
        <w:tblInd w:w="-170" w:type="dxa"/>
        <w:tblLayout w:type="fixed"/>
        <w:tblCellMar>
          <w:left w:w="170" w:type="dxa"/>
          <w:right w:w="170" w:type="dxa"/>
        </w:tblCellMar>
        <w:tblLook w:val="0000" w:firstRow="0" w:lastRow="0" w:firstColumn="0" w:lastColumn="0" w:noHBand="0" w:noVBand="0"/>
      </w:tblPr>
      <w:tblGrid>
        <w:gridCol w:w="3133"/>
        <w:gridCol w:w="3133"/>
      </w:tblGrid>
      <w:tr w:rsidR="00000000" w:rsidRPr="00000E4F">
        <w:tblPrEx>
          <w:tblCellMar>
            <w:top w:w="0" w:type="dxa"/>
            <w:bottom w:w="0" w:type="dxa"/>
          </w:tblCellMar>
        </w:tblPrEx>
        <w:tc>
          <w:tcPr>
            <w:tcW w:w="3133" w:type="dxa"/>
          </w:tcPr>
          <w:p w:rsidR="00866CF7" w:rsidRPr="00000E4F" w:rsidRDefault="00866CF7">
            <w:pPr>
              <w:pStyle w:val="LagtextIndrag"/>
            </w:pPr>
            <w:r w:rsidRPr="00000E4F">
              <w:br w:type="page"/>
              <w:t>8 kap. 8 § andra stycket</w:t>
            </w:r>
          </w:p>
          <w:p w:rsidR="00866CF7" w:rsidRPr="00000E4F" w:rsidRDefault="00866CF7">
            <w:pPr>
              <w:pStyle w:val="LagtextIndrag"/>
            </w:pPr>
          </w:p>
          <w:p w:rsidR="00866CF7" w:rsidRPr="00000E4F" w:rsidRDefault="00866CF7">
            <w:pPr>
              <w:pStyle w:val="LagtextIndrag"/>
            </w:pPr>
          </w:p>
          <w:p w:rsidR="00866CF7" w:rsidRPr="00000E4F" w:rsidRDefault="00866CF7">
            <w:pPr>
              <w:pStyle w:val="LagtextIndrag"/>
              <w:rPr>
                <w:i/>
              </w:rPr>
            </w:pPr>
            <w:r w:rsidRPr="00000E4F">
              <w:t xml:space="preserve">8 kap. 9 §, 12 § första stycket, 13 § eller 15 § </w:t>
            </w:r>
            <w:r w:rsidRPr="00000E4F">
              <w:rPr>
                <w:i/>
              </w:rPr>
              <w:t>första stycket</w:t>
            </w:r>
          </w:p>
          <w:p w:rsidR="00866CF7" w:rsidRPr="00000E4F" w:rsidRDefault="00866CF7">
            <w:pPr>
              <w:pStyle w:val="LagtextIndrag"/>
            </w:pPr>
          </w:p>
          <w:p w:rsidR="00866CF7" w:rsidRPr="00000E4F" w:rsidRDefault="00866CF7">
            <w:pPr>
              <w:pStyle w:val="LagtextIndrag"/>
            </w:pPr>
            <w:r w:rsidRPr="00000E4F">
              <w:t>8 kap. 21 §</w:t>
            </w:r>
          </w:p>
        </w:tc>
        <w:tc>
          <w:tcPr>
            <w:tcW w:w="3133" w:type="dxa"/>
          </w:tcPr>
          <w:p w:rsidR="00866CF7" w:rsidRPr="00000E4F" w:rsidRDefault="00866CF7">
            <w:pPr>
              <w:pStyle w:val="LagtextIndrag"/>
            </w:pPr>
            <w:r w:rsidRPr="00000E4F">
              <w:t>såvitt avser uppgift som hänför sig till myndighets affärsmässiga utlåning</w:t>
            </w:r>
            <w:r w:rsidRPr="00000E4F">
              <w:t>s</w:t>
            </w:r>
            <w:r w:rsidRPr="00000E4F">
              <w:t>verksamhet</w:t>
            </w:r>
          </w:p>
          <w:p w:rsidR="00866CF7" w:rsidRPr="00000E4F" w:rsidRDefault="00866CF7">
            <w:pPr>
              <w:pStyle w:val="LagtextIndrag"/>
            </w:pPr>
          </w:p>
          <w:p w:rsidR="00866CF7" w:rsidRPr="00000E4F" w:rsidRDefault="00866CF7">
            <w:pPr>
              <w:pStyle w:val="LagtextIndrag"/>
            </w:pPr>
          </w:p>
          <w:p w:rsidR="00866CF7" w:rsidRPr="00000E4F" w:rsidRDefault="00866CF7">
            <w:pPr>
              <w:pStyle w:val="LagtextIndrag"/>
            </w:pPr>
          </w:p>
          <w:p w:rsidR="00866CF7" w:rsidRPr="00000E4F" w:rsidRDefault="00866CF7">
            <w:pPr>
              <w:pStyle w:val="LagtextIndrag"/>
            </w:pPr>
            <w:r w:rsidRPr="00000E4F">
              <w:t>såvitt avser uppgift om enskilds personliga förhållanden vars röjande kan vålla allvarligt men</w:t>
            </w:r>
          </w:p>
          <w:p w:rsidR="00866CF7" w:rsidRPr="00000E4F" w:rsidRDefault="00866CF7">
            <w:pPr>
              <w:pStyle w:val="LagtextIndrag"/>
            </w:pPr>
          </w:p>
        </w:tc>
      </w:tr>
    </w:tbl>
    <w:p w:rsidR="00866CF7" w:rsidRPr="00000E4F" w:rsidRDefault="00866CF7">
      <w:pPr>
        <w:pStyle w:val="Propmedindrag"/>
        <w:rPr>
          <w:sz w:val="18"/>
        </w:rPr>
      </w:pPr>
    </w:p>
    <w:p w:rsidR="00866CF7" w:rsidRPr="00000E4F" w:rsidRDefault="00866CF7">
      <w:pPr>
        <w:pStyle w:val="Proputanindrag"/>
      </w:pPr>
      <w:r w:rsidRPr="00000E4F">
        <w:t xml:space="preserve">_ _ _ _ _ _ _ _ _ _ _ _ _ _ _ _ _ _ _ _ _ _ _ _ _ _ _ _ _ _ _ </w:t>
      </w:r>
    </w:p>
    <w:p w:rsidR="00866CF7" w:rsidRPr="00000E4F" w:rsidRDefault="00866CF7">
      <w:pPr>
        <w:pStyle w:val="Proputanindrag"/>
        <w:rPr>
          <w:sz w:val="18"/>
        </w:rPr>
      </w:pPr>
    </w:p>
    <w:p w:rsidR="00866CF7" w:rsidRPr="00000E4F" w:rsidRDefault="00866CF7">
      <w:pPr>
        <w:pStyle w:val="Proputanindrag"/>
        <w:spacing w:after="10"/>
        <w:rPr>
          <w:u w:val="single"/>
        </w:rPr>
      </w:pPr>
      <w:r w:rsidRPr="00000E4F">
        <w:rPr>
          <w:u w:val="single"/>
        </w:rPr>
        <w:t>                                     </w:t>
      </w:r>
    </w:p>
    <w:p w:rsidR="00866CF7" w:rsidRPr="00000E4F" w:rsidRDefault="00866CF7">
      <w:pPr>
        <w:pStyle w:val="Propmedindrag"/>
        <w:rPr>
          <w:sz w:val="18"/>
        </w:rPr>
      </w:pPr>
    </w:p>
    <w:p w:rsidR="00866CF7" w:rsidRPr="00000E4F" w:rsidRDefault="00866CF7">
      <w:pPr>
        <w:pStyle w:val="LagtextIndrag"/>
      </w:pPr>
      <w:r w:rsidRPr="00000E4F">
        <w:t>Denna lag träder i kraft den 1 juni 2000.</w:t>
      </w:r>
    </w:p>
    <w:p w:rsidR="00866CF7" w:rsidRPr="00000E4F" w:rsidRDefault="00866CF7">
      <w:pPr>
        <w:pStyle w:val="Normaltindrag"/>
      </w:pPr>
    </w:p>
    <w:p w:rsidR="00866CF7" w:rsidRPr="00000E4F" w:rsidRDefault="00866CF7">
      <w:pPr>
        <w:pStyle w:val="Normaltindrag"/>
        <w:sectPr w:rsidR="00000000" w:rsidRPr="00000E4F">
          <w:headerReference w:type="default" r:id="rId16"/>
          <w:footerReference w:type="default" r:id="rId17"/>
          <w:pgSz w:w="11906" w:h="16838" w:code="9"/>
          <w:pgMar w:top="426" w:right="4876" w:bottom="4508" w:left="1134" w:header="227" w:footer="227" w:gutter="0"/>
          <w:cols w:space="720"/>
        </w:sectPr>
      </w:pPr>
    </w:p>
    <w:p w:rsidR="00866CF7" w:rsidRPr="00000E4F" w:rsidRDefault="00866CF7">
      <w:pPr>
        <w:pStyle w:val="Rubrik1"/>
        <w:spacing w:before="123"/>
      </w:pPr>
      <w:bookmarkStart w:id="176" w:name="_Toc477140421"/>
      <w:r w:rsidRPr="00000E4F">
        <w:t>Av utskottet framlagda lagförslag</w:t>
      </w:r>
      <w:bookmarkEnd w:id="176"/>
    </w:p>
    <w:p w:rsidR="00866CF7" w:rsidRPr="00000E4F" w:rsidRDefault="00866CF7">
      <w:pPr>
        <w:pStyle w:val="R2"/>
        <w:spacing w:before="123"/>
      </w:pPr>
      <w:r w:rsidRPr="00000E4F">
        <w:t>Förslag till lag om ändring i lagen (1976:580) om medbestämmande i arbetslivet</w:t>
      </w:r>
    </w:p>
    <w:p w:rsidR="00866CF7" w:rsidRPr="00000E4F" w:rsidRDefault="00866CF7">
      <w:pPr>
        <w:pStyle w:val="Normaltindrag"/>
        <w:spacing w:before="123"/>
      </w:pPr>
      <w:r w:rsidRPr="00000E4F">
        <w:t>Härigenom föreskrivs i fråga om lagen (1976:580) om medbestämmande i arbetslivet</w:t>
      </w:r>
    </w:p>
    <w:p w:rsidR="00866CF7" w:rsidRPr="00000E4F" w:rsidRDefault="00866CF7">
      <w:pPr>
        <w:pStyle w:val="Vinkelkoder"/>
      </w:pPr>
      <w:r w:rsidRPr="00000E4F">
        <w:rPr>
          <w:i/>
        </w:rPr>
        <w:t>dels</w:t>
      </w:r>
      <w:r w:rsidRPr="00000E4F">
        <w:t xml:space="preserve"> att 4 § skall ha följande lydelse,</w:t>
      </w:r>
    </w:p>
    <w:p w:rsidR="00866CF7" w:rsidRPr="00000E4F" w:rsidRDefault="00866CF7">
      <w:pPr>
        <w:pStyle w:val="Vinkelkoder"/>
        <w:spacing w:after="120"/>
      </w:pPr>
      <w:r w:rsidRPr="00000E4F">
        <w:rPr>
          <w:i/>
        </w:rPr>
        <w:t>dels</w:t>
      </w:r>
      <w:r w:rsidRPr="00000E4F">
        <w:t xml:space="preserve"> att det i lagen skall införas en ny paragraf, 41 b §, av följande lydelse.</w:t>
      </w:r>
    </w:p>
    <w:tbl>
      <w:tblPr>
        <w:tblW w:w="0" w:type="auto"/>
        <w:tblInd w:w="-170" w:type="dxa"/>
        <w:tblLayout w:type="fixed"/>
        <w:tblCellMar>
          <w:left w:w="170" w:type="dxa"/>
          <w:right w:w="170" w:type="dxa"/>
        </w:tblCellMar>
        <w:tblLook w:val="0000" w:firstRow="0" w:lastRow="0" w:firstColumn="0" w:lastColumn="0" w:noHBand="0" w:noVBand="0"/>
      </w:tblPr>
      <w:tblGrid>
        <w:gridCol w:w="3062"/>
        <w:gridCol w:w="3062"/>
      </w:tblGrid>
      <w:tr w:rsidR="00000000" w:rsidRPr="00000E4F">
        <w:tblPrEx>
          <w:tblCellMar>
            <w:top w:w="0" w:type="dxa"/>
            <w:bottom w:w="0" w:type="dxa"/>
          </w:tblCellMar>
        </w:tblPrEx>
        <w:tc>
          <w:tcPr>
            <w:tcW w:w="3062" w:type="dxa"/>
            <w:vAlign w:val="center"/>
          </w:tcPr>
          <w:p w:rsidR="00866CF7" w:rsidRPr="00000E4F" w:rsidRDefault="00866CF7">
            <w:pPr>
              <w:pStyle w:val="LagtextRubrik"/>
              <w:rPr>
                <w:i/>
              </w:rPr>
            </w:pPr>
            <w:r w:rsidRPr="00000E4F">
              <w:rPr>
                <w:i/>
              </w:rPr>
              <w:t>Nuvarande lydelse</w:t>
            </w:r>
          </w:p>
        </w:tc>
        <w:tc>
          <w:tcPr>
            <w:tcW w:w="3062" w:type="dxa"/>
            <w:vAlign w:val="center"/>
          </w:tcPr>
          <w:p w:rsidR="00866CF7" w:rsidRPr="00000E4F" w:rsidRDefault="00866CF7">
            <w:pPr>
              <w:pStyle w:val="LagtextRubrik"/>
              <w:rPr>
                <w:i/>
              </w:rPr>
            </w:pPr>
            <w:r w:rsidRPr="00000E4F">
              <w:rPr>
                <w:i/>
              </w:rPr>
              <w:t>Föreslagen lydelse</w:t>
            </w:r>
          </w:p>
        </w:tc>
      </w:tr>
    </w:tbl>
    <w:p w:rsidR="00866CF7" w:rsidRPr="00000E4F" w:rsidRDefault="00866CF7">
      <w:pPr>
        <w:pStyle w:val="Lagtext"/>
        <w:spacing w:before="120" w:after="120"/>
        <w:jc w:val="center"/>
      </w:pPr>
      <w:r w:rsidRPr="00000E4F">
        <w:t>4 §</w:t>
      </w:r>
    </w:p>
    <w:p w:rsidR="00866CF7" w:rsidRPr="00000E4F" w:rsidRDefault="00866CF7">
      <w:pPr>
        <w:pStyle w:val="Normaltindrag"/>
      </w:pPr>
      <w:r w:rsidRPr="00000E4F">
        <w:t>Ett avtal är ogiltigt i den mån det innebär att rättighet eller skyldighet e</w:t>
      </w:r>
      <w:r w:rsidRPr="00000E4F">
        <w:t>n</w:t>
      </w:r>
      <w:r w:rsidRPr="00000E4F">
        <w:t>ligt denna lag up</w:t>
      </w:r>
      <w:r w:rsidRPr="00000E4F">
        <w:t>p</w:t>
      </w:r>
      <w:r w:rsidRPr="00000E4F">
        <w:t>hävs eller inskränks.</w:t>
      </w:r>
    </w:p>
    <w:tbl>
      <w:tblPr>
        <w:tblW w:w="0" w:type="auto"/>
        <w:tblInd w:w="-170" w:type="dxa"/>
        <w:tblLayout w:type="fixed"/>
        <w:tblCellMar>
          <w:left w:w="170" w:type="dxa"/>
          <w:right w:w="170" w:type="dxa"/>
        </w:tblCellMar>
        <w:tblLook w:val="0000" w:firstRow="0" w:lastRow="0" w:firstColumn="0" w:lastColumn="0" w:noHBand="0" w:noVBand="0"/>
      </w:tblPr>
      <w:tblGrid>
        <w:gridCol w:w="3062"/>
        <w:gridCol w:w="3062"/>
      </w:tblGrid>
      <w:tr w:rsidR="00000000" w:rsidRPr="00000E4F">
        <w:tblPrEx>
          <w:tblCellMar>
            <w:top w:w="0" w:type="dxa"/>
            <w:bottom w:w="0" w:type="dxa"/>
          </w:tblCellMar>
        </w:tblPrEx>
        <w:trPr>
          <w:cantSplit/>
        </w:trPr>
        <w:tc>
          <w:tcPr>
            <w:tcW w:w="6124" w:type="dxa"/>
            <w:gridSpan w:val="2"/>
          </w:tcPr>
          <w:p w:rsidR="00866CF7" w:rsidRPr="00000E4F" w:rsidRDefault="00866CF7">
            <w:pPr>
              <w:pStyle w:val="LagtextIndrag"/>
            </w:pPr>
            <w:r w:rsidRPr="00000E4F">
              <w:t>Genom ett kollektivavtal får det dock göras avvikelser från 11, 12, 14, 19–22 och 28 §§, 29 § tredje meningen, 33–40 §§, 43 § andra stycket samt 64 och 65 §§. Kollektivavtalet får inte innebära att mindre förmånliga re</w:t>
            </w:r>
            <w:r w:rsidRPr="00000E4F">
              <w:t>g</w:t>
            </w:r>
            <w:r w:rsidRPr="00000E4F">
              <w:t>ler skall tillämpas för arbetstagarsidan än som följer av EG-rådets direktiv 75/129/EEG av den 17 februari 1975, 77/187/EEG av den 14 februari 1977 och 92/56/EEG av den 24 juni 1992.</w:t>
            </w:r>
          </w:p>
        </w:tc>
      </w:tr>
      <w:tr w:rsidR="00000000" w:rsidRPr="00000E4F">
        <w:tblPrEx>
          <w:tblCellMar>
            <w:top w:w="0" w:type="dxa"/>
            <w:bottom w:w="0" w:type="dxa"/>
          </w:tblCellMar>
        </w:tblPrEx>
        <w:tc>
          <w:tcPr>
            <w:tcW w:w="3062" w:type="dxa"/>
          </w:tcPr>
          <w:p w:rsidR="00866CF7" w:rsidRPr="00000E4F" w:rsidRDefault="00866CF7">
            <w:pPr>
              <w:pStyle w:val="LagtextIndrag"/>
            </w:pPr>
            <w:r w:rsidRPr="00000E4F">
              <w:t>I ett kollektivavtal får det också föreskrivas längre gående freds</w:t>
            </w:r>
            <w:r w:rsidRPr="00000E4F">
              <w:softHyphen/>
              <w:t>plikt än som anges i 41, 41 a och 44 §§ eller ett längre gående skad</w:t>
            </w:r>
            <w:r w:rsidRPr="00000E4F">
              <w:t>e</w:t>
            </w:r>
            <w:r w:rsidRPr="00000E4F">
              <w:t>ståndsansvar än som följer av de</w:t>
            </w:r>
            <w:r w:rsidRPr="00000E4F">
              <w:t>n</w:t>
            </w:r>
            <w:r w:rsidRPr="00000E4F">
              <w:t>na lag.</w:t>
            </w:r>
          </w:p>
          <w:p w:rsidR="00866CF7" w:rsidRPr="00000E4F" w:rsidRDefault="00866CF7">
            <w:pPr>
              <w:pStyle w:val="LagtextIndrag"/>
            </w:pPr>
          </w:p>
        </w:tc>
        <w:tc>
          <w:tcPr>
            <w:tcW w:w="3062" w:type="dxa"/>
          </w:tcPr>
          <w:p w:rsidR="00866CF7" w:rsidRPr="00000E4F" w:rsidRDefault="00866CF7">
            <w:pPr>
              <w:pStyle w:val="LagtextIndrag"/>
            </w:pPr>
            <w:r w:rsidRPr="00000E4F">
              <w:t>I ett kollektivavtal får det också föreskrivas längre gående freds</w:t>
            </w:r>
            <w:r w:rsidRPr="00000E4F">
              <w:softHyphen/>
              <w:t xml:space="preserve">plikt än som anges i 41, 41 a, </w:t>
            </w:r>
            <w:r w:rsidRPr="00000E4F">
              <w:rPr>
                <w:i/>
              </w:rPr>
              <w:t xml:space="preserve">41 b </w:t>
            </w:r>
            <w:r w:rsidRPr="00000E4F">
              <w:t>och 44 §§ eller ett längre gående skadeståndsansvar än som följer av denna lag.</w:t>
            </w:r>
          </w:p>
          <w:p w:rsidR="00866CF7" w:rsidRPr="00000E4F" w:rsidRDefault="00866CF7">
            <w:pPr>
              <w:pStyle w:val="LagtextIndrag"/>
            </w:pPr>
          </w:p>
        </w:tc>
      </w:tr>
      <w:tr w:rsidR="00000000" w:rsidRPr="00000E4F">
        <w:tblPrEx>
          <w:tblCellMar>
            <w:top w:w="0" w:type="dxa"/>
            <w:bottom w:w="0" w:type="dxa"/>
          </w:tblCellMar>
        </w:tblPrEx>
        <w:trPr>
          <w:cantSplit/>
        </w:trPr>
        <w:tc>
          <w:tcPr>
            <w:tcW w:w="6124" w:type="dxa"/>
            <w:gridSpan w:val="2"/>
          </w:tcPr>
          <w:p w:rsidR="00866CF7" w:rsidRPr="00000E4F" w:rsidRDefault="00866CF7">
            <w:pPr>
              <w:pStyle w:val="LagtextIndrag"/>
              <w:spacing w:before="120"/>
              <w:ind w:firstLine="0"/>
              <w:jc w:val="center"/>
            </w:pPr>
            <w:r w:rsidRPr="00000E4F">
              <w:t>41 b §</w:t>
            </w:r>
          </w:p>
          <w:p w:rsidR="00866CF7" w:rsidRPr="00000E4F" w:rsidRDefault="00866CF7">
            <w:pPr>
              <w:pStyle w:val="LagtextIndrag"/>
              <w:ind w:firstLine="0"/>
              <w:jc w:val="center"/>
            </w:pPr>
          </w:p>
        </w:tc>
      </w:tr>
      <w:tr w:rsidR="00000000" w:rsidRPr="00000E4F">
        <w:tblPrEx>
          <w:tblCellMar>
            <w:top w:w="0" w:type="dxa"/>
            <w:bottom w:w="0" w:type="dxa"/>
          </w:tblCellMar>
        </w:tblPrEx>
        <w:tc>
          <w:tcPr>
            <w:tcW w:w="3062" w:type="dxa"/>
          </w:tcPr>
          <w:p w:rsidR="00866CF7" w:rsidRPr="00000E4F" w:rsidRDefault="00866CF7">
            <w:pPr>
              <w:pStyle w:val="Propmedindrag"/>
              <w:rPr>
                <w:i/>
              </w:rPr>
            </w:pPr>
          </w:p>
        </w:tc>
        <w:tc>
          <w:tcPr>
            <w:tcW w:w="3062" w:type="dxa"/>
          </w:tcPr>
          <w:p w:rsidR="00866CF7" w:rsidRPr="00000E4F" w:rsidRDefault="00866CF7">
            <w:pPr>
              <w:pStyle w:val="LagtextIndrag"/>
              <w:rPr>
                <w:i/>
              </w:rPr>
            </w:pPr>
            <w:r w:rsidRPr="00000E4F">
              <w:rPr>
                <w:i/>
              </w:rPr>
              <w:t>En arbetstagare får inte vidta eller delta i en stridsåtgärd som har till ändamål att kollektivavtal skall träffas med ett företag som inte har några arbetstagare eller där bara företagaren eller föret</w:t>
            </w:r>
            <w:r w:rsidRPr="00000E4F">
              <w:rPr>
                <w:i/>
              </w:rPr>
              <w:t>a</w:t>
            </w:r>
            <w:r w:rsidRPr="00000E4F">
              <w:rPr>
                <w:i/>
              </w:rPr>
              <w:t>garens familjemedlemmar är a</w:t>
            </w:r>
            <w:r w:rsidRPr="00000E4F">
              <w:rPr>
                <w:i/>
              </w:rPr>
              <w:t>r</w:t>
            </w:r>
            <w:r w:rsidRPr="00000E4F">
              <w:rPr>
                <w:i/>
              </w:rPr>
              <w:t>betstagare och ensamma ägare. Detsamma gäller när en stridså</w:t>
            </w:r>
            <w:r w:rsidRPr="00000E4F">
              <w:rPr>
                <w:i/>
              </w:rPr>
              <w:t>t</w:t>
            </w:r>
            <w:r w:rsidRPr="00000E4F">
              <w:rPr>
                <w:i/>
              </w:rPr>
              <w:t>gärd har till ändamål att stödja någon som vill träffa kollektivavtal med ett sådant företag. Vad som nu sagts hindrar inte en arbetstagare från att delta i en anställning</w:t>
            </w:r>
            <w:r w:rsidRPr="00000E4F">
              <w:rPr>
                <w:i/>
              </w:rPr>
              <w:t>s</w:t>
            </w:r>
            <w:r w:rsidRPr="00000E4F">
              <w:rPr>
                <w:i/>
              </w:rPr>
              <w:t>blockad som riktar sig mot ett sådant företag och som har besl</w:t>
            </w:r>
            <w:r w:rsidRPr="00000E4F">
              <w:rPr>
                <w:i/>
              </w:rPr>
              <w:t>u</w:t>
            </w:r>
            <w:r w:rsidRPr="00000E4F">
              <w:rPr>
                <w:i/>
              </w:rPr>
              <w:t>tats i behörig ordning av en a</w:t>
            </w:r>
            <w:r w:rsidRPr="00000E4F">
              <w:rPr>
                <w:i/>
              </w:rPr>
              <w:t>r</w:t>
            </w:r>
            <w:r w:rsidRPr="00000E4F">
              <w:rPr>
                <w:i/>
              </w:rPr>
              <w:t>betstagarorganisation.</w:t>
            </w:r>
          </w:p>
          <w:p w:rsidR="00866CF7" w:rsidRPr="00000E4F" w:rsidRDefault="00866CF7">
            <w:pPr>
              <w:pStyle w:val="LagtextIndrag"/>
              <w:rPr>
                <w:i/>
              </w:rPr>
            </w:pPr>
          </w:p>
        </w:tc>
      </w:tr>
    </w:tbl>
    <w:p w:rsidR="00866CF7" w:rsidRPr="00000E4F" w:rsidRDefault="00866CF7">
      <w:pPr>
        <w:pStyle w:val="Vinkelkoder"/>
        <w:spacing w:line="20" w:lineRule="exact"/>
      </w:pPr>
      <w:r w:rsidRPr="00000E4F">
        <w:br w:type="page"/>
      </w:r>
    </w:p>
    <w:tbl>
      <w:tblPr>
        <w:tblW w:w="0" w:type="auto"/>
        <w:tblInd w:w="-170" w:type="dxa"/>
        <w:tblLayout w:type="fixed"/>
        <w:tblCellMar>
          <w:left w:w="170" w:type="dxa"/>
          <w:right w:w="170" w:type="dxa"/>
        </w:tblCellMar>
        <w:tblLook w:val="0000" w:firstRow="0" w:lastRow="0" w:firstColumn="0" w:lastColumn="0" w:noHBand="0" w:noVBand="0"/>
      </w:tblPr>
      <w:tblGrid>
        <w:gridCol w:w="3062"/>
        <w:gridCol w:w="3062"/>
      </w:tblGrid>
      <w:tr w:rsidR="00000000" w:rsidRPr="00000E4F">
        <w:tblPrEx>
          <w:tblCellMar>
            <w:top w:w="0" w:type="dxa"/>
            <w:bottom w:w="0" w:type="dxa"/>
          </w:tblCellMar>
        </w:tblPrEx>
        <w:tc>
          <w:tcPr>
            <w:tcW w:w="3062" w:type="dxa"/>
            <w:vAlign w:val="center"/>
          </w:tcPr>
          <w:p w:rsidR="00866CF7" w:rsidRPr="00000E4F" w:rsidRDefault="00866CF7">
            <w:pPr>
              <w:pStyle w:val="LagtextRubrik"/>
              <w:rPr>
                <w:i/>
              </w:rPr>
            </w:pPr>
            <w:r w:rsidRPr="00000E4F">
              <w:rPr>
                <w:i/>
              </w:rPr>
              <w:t>Nuvarande lydelse</w:t>
            </w:r>
          </w:p>
        </w:tc>
        <w:tc>
          <w:tcPr>
            <w:tcW w:w="3062" w:type="dxa"/>
            <w:vAlign w:val="center"/>
          </w:tcPr>
          <w:p w:rsidR="00866CF7" w:rsidRPr="00000E4F" w:rsidRDefault="00866CF7">
            <w:pPr>
              <w:pStyle w:val="LagtextRubrik"/>
              <w:rPr>
                <w:i/>
              </w:rPr>
            </w:pPr>
            <w:r w:rsidRPr="00000E4F">
              <w:rPr>
                <w:i/>
              </w:rPr>
              <w:t>Föreslagen lydelse</w:t>
            </w:r>
          </w:p>
        </w:tc>
      </w:tr>
      <w:tr w:rsidR="00000000" w:rsidRPr="00000E4F">
        <w:tblPrEx>
          <w:tblCellMar>
            <w:top w:w="0" w:type="dxa"/>
            <w:bottom w:w="0" w:type="dxa"/>
          </w:tblCellMar>
        </w:tblPrEx>
        <w:tc>
          <w:tcPr>
            <w:tcW w:w="3062" w:type="dxa"/>
          </w:tcPr>
          <w:p w:rsidR="00866CF7" w:rsidRPr="00000E4F" w:rsidRDefault="00866CF7">
            <w:pPr>
              <w:pStyle w:val="Propmedindrag"/>
              <w:rPr>
                <w:i/>
              </w:rPr>
            </w:pPr>
          </w:p>
        </w:tc>
        <w:tc>
          <w:tcPr>
            <w:tcW w:w="3062" w:type="dxa"/>
          </w:tcPr>
          <w:p w:rsidR="00866CF7" w:rsidRPr="00000E4F" w:rsidRDefault="00866CF7">
            <w:pPr>
              <w:pStyle w:val="LagtextIndrag"/>
              <w:rPr>
                <w:i/>
              </w:rPr>
            </w:pPr>
            <w:r w:rsidRPr="00000E4F">
              <w:rPr>
                <w:i/>
              </w:rPr>
              <w:t>Stridsåtgärder som har vidtagits i strid mot första stycket är att anse som olovliga. Förändringar i a</w:t>
            </w:r>
            <w:r w:rsidRPr="00000E4F">
              <w:rPr>
                <w:i/>
              </w:rPr>
              <w:t>n</w:t>
            </w:r>
            <w:r w:rsidRPr="00000E4F">
              <w:rPr>
                <w:i/>
              </w:rPr>
              <w:t>ställnings- eller ägarförhållanden som har inträffat sedan en stridså</w:t>
            </w:r>
            <w:r w:rsidRPr="00000E4F">
              <w:rPr>
                <w:i/>
              </w:rPr>
              <w:t>t</w:t>
            </w:r>
            <w:r w:rsidRPr="00000E4F">
              <w:rPr>
                <w:i/>
              </w:rPr>
              <w:t>gärd har varslats eller inletts skall inte beaktas vid bedömningen av om en stridsåtgärd är att anse som olovlig enligt första stycket.</w:t>
            </w:r>
          </w:p>
        </w:tc>
      </w:tr>
    </w:tbl>
    <w:p w:rsidR="00866CF7" w:rsidRPr="00000E4F" w:rsidRDefault="00866CF7">
      <w:r w:rsidRPr="00000E4F">
        <w:t>__________________</w:t>
      </w:r>
    </w:p>
    <w:p w:rsidR="00866CF7" w:rsidRPr="00000E4F" w:rsidRDefault="00866CF7">
      <w:pPr>
        <w:pStyle w:val="Normaltindrag"/>
      </w:pPr>
      <w:r w:rsidRPr="00000E4F">
        <w:t>Denna lag träder i kraft den 1 juni 2000.</w:t>
      </w:r>
    </w:p>
    <w:p w:rsidR="00866CF7" w:rsidRPr="00000E4F" w:rsidRDefault="00866CF7">
      <w:pPr>
        <w:pStyle w:val="R2"/>
      </w:pPr>
      <w:r w:rsidRPr="00000E4F">
        <w:br w:type="page"/>
        <w:t>Förslag till lag om ändring i lagen (1974: 371) om rättegången i arbe</w:t>
      </w:r>
      <w:r w:rsidRPr="00000E4F">
        <w:t>t</w:t>
      </w:r>
      <w:r w:rsidRPr="00000E4F">
        <w:t>stvister</w:t>
      </w:r>
    </w:p>
    <w:p w:rsidR="00866CF7" w:rsidRPr="00000E4F" w:rsidRDefault="00866CF7">
      <w:pPr>
        <w:pStyle w:val="Normaltindrag"/>
        <w:spacing w:before="120"/>
      </w:pPr>
      <w:r w:rsidRPr="00000E4F">
        <w:t xml:space="preserve">Härigenom föreskrivs i fråga om lagen (1974:371) om rättegången i </w:t>
      </w:r>
    </w:p>
    <w:p w:rsidR="00866CF7" w:rsidRPr="00000E4F" w:rsidRDefault="00866CF7">
      <w:pPr>
        <w:pStyle w:val="Vinkelkoder"/>
        <w:spacing w:after="120"/>
      </w:pPr>
      <w:r w:rsidRPr="00000E4F">
        <w:t>arbe</w:t>
      </w:r>
      <w:r w:rsidRPr="00000E4F">
        <w:t>t</w:t>
      </w:r>
      <w:r w:rsidRPr="00000E4F">
        <w:t>stvister att 2 kap. 1 § skall ha följande lydelse.</w:t>
      </w:r>
    </w:p>
    <w:tbl>
      <w:tblPr>
        <w:tblW w:w="0" w:type="auto"/>
        <w:tblInd w:w="-170" w:type="dxa"/>
        <w:tblLayout w:type="fixed"/>
        <w:tblCellMar>
          <w:left w:w="170" w:type="dxa"/>
          <w:right w:w="170" w:type="dxa"/>
        </w:tblCellMar>
        <w:tblLook w:val="0000" w:firstRow="0" w:lastRow="0" w:firstColumn="0" w:lastColumn="0" w:noHBand="0" w:noVBand="0"/>
      </w:tblPr>
      <w:tblGrid>
        <w:gridCol w:w="3133"/>
        <w:gridCol w:w="3133"/>
      </w:tblGrid>
      <w:tr w:rsidR="00000000" w:rsidRPr="00000E4F">
        <w:tblPrEx>
          <w:tblCellMar>
            <w:top w:w="0" w:type="dxa"/>
            <w:bottom w:w="0" w:type="dxa"/>
          </w:tblCellMar>
        </w:tblPrEx>
        <w:tc>
          <w:tcPr>
            <w:tcW w:w="3133" w:type="dxa"/>
          </w:tcPr>
          <w:p w:rsidR="00866CF7" w:rsidRPr="00000E4F" w:rsidRDefault="00866CF7">
            <w:pPr>
              <w:pStyle w:val="Lagtext"/>
              <w:spacing w:before="120"/>
              <w:rPr>
                <w:i/>
              </w:rPr>
            </w:pPr>
            <w:r w:rsidRPr="00000E4F">
              <w:rPr>
                <w:i/>
              </w:rPr>
              <w:t>Nuvarande lydelse</w:t>
            </w:r>
          </w:p>
        </w:tc>
        <w:tc>
          <w:tcPr>
            <w:tcW w:w="3133" w:type="dxa"/>
          </w:tcPr>
          <w:p w:rsidR="00866CF7" w:rsidRPr="00000E4F" w:rsidRDefault="00866CF7">
            <w:pPr>
              <w:pStyle w:val="Lagtext"/>
              <w:spacing w:before="120"/>
              <w:rPr>
                <w:i/>
              </w:rPr>
            </w:pPr>
            <w:r w:rsidRPr="00000E4F">
              <w:rPr>
                <w:i/>
              </w:rPr>
              <w:t>Föreslagen lydelse</w:t>
            </w:r>
          </w:p>
        </w:tc>
      </w:tr>
      <w:tr w:rsidR="00000000" w:rsidRPr="00000E4F">
        <w:tblPrEx>
          <w:tblCellMar>
            <w:top w:w="0" w:type="dxa"/>
            <w:bottom w:w="0" w:type="dxa"/>
          </w:tblCellMar>
        </w:tblPrEx>
        <w:trPr>
          <w:cantSplit/>
        </w:trPr>
        <w:tc>
          <w:tcPr>
            <w:tcW w:w="6266" w:type="dxa"/>
            <w:gridSpan w:val="2"/>
          </w:tcPr>
          <w:p w:rsidR="00866CF7" w:rsidRPr="00000E4F" w:rsidRDefault="00866CF7">
            <w:pPr>
              <w:pStyle w:val="Lagtext"/>
              <w:spacing w:before="120"/>
              <w:jc w:val="center"/>
            </w:pPr>
            <w:r w:rsidRPr="00000E4F">
              <w:rPr>
                <w:b/>
              </w:rPr>
              <w:t>2 kap.</w:t>
            </w:r>
          </w:p>
          <w:p w:rsidR="00866CF7" w:rsidRPr="00000E4F" w:rsidRDefault="00866CF7">
            <w:pPr>
              <w:pStyle w:val="Lagtext"/>
              <w:jc w:val="center"/>
            </w:pPr>
            <w:r w:rsidRPr="00000E4F">
              <w:t>1 §</w:t>
            </w:r>
          </w:p>
          <w:p w:rsidR="00866CF7" w:rsidRPr="00000E4F" w:rsidRDefault="00866CF7">
            <w:pPr>
              <w:pStyle w:val="Lagtext"/>
              <w:jc w:val="center"/>
              <w:rPr>
                <w:i/>
              </w:rPr>
            </w:pPr>
          </w:p>
          <w:p w:rsidR="00866CF7" w:rsidRPr="00000E4F" w:rsidRDefault="00866CF7">
            <w:pPr>
              <w:pStyle w:val="LagtextIndrag"/>
            </w:pPr>
            <w:r w:rsidRPr="00000E4F">
              <w:t>Arbetsdomstolen skall som första domstol uppta och avgöra tvist som väcks av arbetsgivar- eller arbetstagarorganisation eller av arbetsgivare som själv slutit kollektiva</w:t>
            </w:r>
            <w:r w:rsidRPr="00000E4F">
              <w:t>v</w:t>
            </w:r>
            <w:r w:rsidRPr="00000E4F">
              <w:t>tal, om målet gäller</w:t>
            </w:r>
          </w:p>
          <w:p w:rsidR="00866CF7" w:rsidRPr="00000E4F" w:rsidRDefault="00866CF7">
            <w:pPr>
              <w:pStyle w:val="LagtextIndrag"/>
            </w:pPr>
            <w:r w:rsidRPr="00000E4F">
              <w:t>1. tvist om kollektivavtal eller annan arbetstvist som avses i lagen (1976:580) om medbestämmande i arbetslivet,</w:t>
            </w:r>
          </w:p>
          <w:p w:rsidR="00866CF7" w:rsidRPr="00000E4F" w:rsidRDefault="00866CF7">
            <w:pPr>
              <w:pStyle w:val="LagtextIndrag"/>
            </w:pPr>
            <w:r w:rsidRPr="00000E4F">
              <w:t>2. arbetstvist i övrigt under förutsättning att kollektivavtal gäller mellan parterna eller att enskild arbetstagare som berörs av tvisten sysselsätts i arbete som avses med kollektivavtal vilket arbetsgivaren är bunden av.</w:t>
            </w:r>
          </w:p>
          <w:p w:rsidR="00866CF7" w:rsidRPr="00000E4F" w:rsidRDefault="00866CF7">
            <w:pPr>
              <w:pStyle w:val="LagtextIndrag"/>
            </w:pPr>
            <w:r w:rsidRPr="00000E4F">
              <w:t>Arbetsdomstolen är behörig domstol enligt första stycket även när kollek-</w:t>
            </w:r>
          </w:p>
          <w:p w:rsidR="00866CF7" w:rsidRPr="00000E4F" w:rsidRDefault="00866CF7">
            <w:pPr>
              <w:pStyle w:val="Vinkelkoder"/>
            </w:pPr>
            <w:r w:rsidRPr="00000E4F">
              <w:t>t</w:t>
            </w:r>
            <w:r w:rsidRPr="00000E4F">
              <w:t>i</w:t>
            </w:r>
            <w:r w:rsidRPr="00000E4F">
              <w:t>vavtal tillfälligt inte gäller.</w:t>
            </w:r>
          </w:p>
          <w:p w:rsidR="00866CF7" w:rsidRPr="00000E4F" w:rsidRDefault="00866CF7">
            <w:pPr>
              <w:pStyle w:val="LagtextIndrag"/>
            </w:pPr>
            <w:r w:rsidRPr="00000E4F">
              <w:t xml:space="preserve">Gemensamt med arbetstvist enligt första eller andra stycket får handläggas även annan arbetstvist mellan samma eller olika parter, om domstolen med hänsyn till utredningen och övriga omständigheter finner sådan handläggning lämplig. När det föreligger skäl, kan domstolen åter särskilja målen. </w:t>
            </w:r>
          </w:p>
        </w:tc>
      </w:tr>
      <w:tr w:rsidR="00000000" w:rsidRPr="00000E4F">
        <w:tblPrEx>
          <w:tblCellMar>
            <w:top w:w="0" w:type="dxa"/>
            <w:bottom w:w="0" w:type="dxa"/>
          </w:tblCellMar>
        </w:tblPrEx>
        <w:tc>
          <w:tcPr>
            <w:tcW w:w="3133" w:type="dxa"/>
          </w:tcPr>
          <w:p w:rsidR="00866CF7" w:rsidRPr="00000E4F" w:rsidRDefault="00866CF7">
            <w:pPr>
              <w:pStyle w:val="LagtextIndrag"/>
            </w:pPr>
            <w:r w:rsidRPr="00000E4F">
              <w:t xml:space="preserve">Arbetsdomstolen är alltid behörig att som första domstol </w:t>
            </w:r>
            <w:r w:rsidRPr="00000E4F">
              <w:rPr>
                <w:i/>
              </w:rPr>
              <w:t>uppta</w:t>
            </w:r>
            <w:r w:rsidRPr="00000E4F">
              <w:t xml:space="preserve"> och avgöra tvist om stridsåtgärd som avses i 41 § lagen (1976:580) om medbestämmande i arbet</w:t>
            </w:r>
            <w:r w:rsidRPr="00000E4F">
              <w:t>s</w:t>
            </w:r>
            <w:r w:rsidRPr="00000E4F">
              <w:t>livet.</w:t>
            </w:r>
          </w:p>
        </w:tc>
        <w:tc>
          <w:tcPr>
            <w:tcW w:w="3133" w:type="dxa"/>
          </w:tcPr>
          <w:p w:rsidR="00866CF7" w:rsidRPr="00000E4F" w:rsidRDefault="00866CF7">
            <w:pPr>
              <w:pStyle w:val="LagtextIndrag"/>
            </w:pPr>
            <w:r w:rsidRPr="00000E4F">
              <w:t xml:space="preserve">Arbetsdomstolen är alltid behörig att som första domstol </w:t>
            </w:r>
            <w:r w:rsidRPr="00000E4F">
              <w:rPr>
                <w:i/>
              </w:rPr>
              <w:t>ta upp</w:t>
            </w:r>
            <w:r w:rsidRPr="00000E4F">
              <w:t xml:space="preserve"> och avgöra </w:t>
            </w:r>
            <w:r w:rsidRPr="00000E4F">
              <w:rPr>
                <w:i/>
              </w:rPr>
              <w:t>en</w:t>
            </w:r>
            <w:r w:rsidRPr="00000E4F">
              <w:t xml:space="preserve"> tvist om stridsåtgärd som avses i 41 </w:t>
            </w:r>
            <w:r w:rsidRPr="00000E4F">
              <w:rPr>
                <w:i/>
              </w:rPr>
              <w:t xml:space="preserve">och 41 b §§ </w:t>
            </w:r>
            <w:r w:rsidRPr="00000E4F">
              <w:t>lagen (1976:580) om medbestämmande i arbetslivet.</w:t>
            </w:r>
          </w:p>
        </w:tc>
      </w:tr>
    </w:tbl>
    <w:p w:rsidR="00866CF7" w:rsidRPr="00000E4F" w:rsidRDefault="00866CF7">
      <w:pPr>
        <w:pStyle w:val="Propmedindrag"/>
      </w:pPr>
    </w:p>
    <w:p w:rsidR="00866CF7" w:rsidRPr="00000E4F" w:rsidRDefault="00866CF7">
      <w:r w:rsidRPr="00000E4F">
        <w:t>––––––––––––––––</w:t>
      </w:r>
    </w:p>
    <w:p w:rsidR="00866CF7" w:rsidRPr="00000E4F" w:rsidRDefault="00866CF7">
      <w:pPr>
        <w:pStyle w:val="LagtextIndrag"/>
      </w:pPr>
      <w:r w:rsidRPr="00000E4F">
        <w:t>Denna lag träder i kraft den 1 juni 2000.</w:t>
      </w:r>
    </w:p>
    <w:p w:rsidR="00866CF7" w:rsidRPr="00000E4F" w:rsidRDefault="00866CF7"/>
    <w:p w:rsidR="00866CF7" w:rsidRPr="00000E4F" w:rsidRDefault="00866CF7"/>
    <w:p w:rsidR="00866CF7" w:rsidRPr="00000E4F" w:rsidRDefault="00866CF7">
      <w:pPr>
        <w:pStyle w:val="Normaltindrag"/>
      </w:pPr>
    </w:p>
    <w:p w:rsidR="00866CF7" w:rsidRPr="00000E4F" w:rsidRDefault="00866CF7">
      <w:pPr>
        <w:pStyle w:val="Normaltindrag"/>
        <w:sectPr w:rsidR="00000000" w:rsidRPr="00000E4F">
          <w:headerReference w:type="default" r:id="rId18"/>
          <w:footerReference w:type="default" r:id="rId19"/>
          <w:pgSz w:w="11906" w:h="16838" w:code="9"/>
          <w:pgMar w:top="567" w:right="4876" w:bottom="4508" w:left="1134" w:header="227" w:footer="227" w:gutter="0"/>
          <w:cols w:space="720"/>
        </w:sectPr>
      </w:pPr>
    </w:p>
    <w:p w:rsidR="00866CF7" w:rsidRPr="00000E4F" w:rsidRDefault="00866CF7">
      <w:pPr>
        <w:pStyle w:val="Rubrik1"/>
        <w:spacing w:before="123"/>
      </w:pPr>
      <w:bookmarkStart w:id="177" w:name="_Toc477140422"/>
      <w:r w:rsidRPr="00000E4F">
        <w:t>Reservanternas lagförslag</w:t>
      </w:r>
      <w:bookmarkEnd w:id="177"/>
    </w:p>
    <w:p w:rsidR="00866CF7" w:rsidRPr="00000E4F" w:rsidRDefault="00866CF7">
      <w:pPr>
        <w:pStyle w:val="R2"/>
        <w:spacing w:before="123"/>
      </w:pPr>
      <w:r w:rsidRPr="00000E4F">
        <w:t>Förslag till lag om ändring i lagen (1976:580) om medbestämmande i arbetslivet</w:t>
      </w:r>
    </w:p>
    <w:p w:rsidR="00866CF7" w:rsidRPr="00000E4F" w:rsidRDefault="00866CF7">
      <w:pPr>
        <w:pStyle w:val="Normaltindrag"/>
        <w:spacing w:before="123"/>
      </w:pPr>
      <w:r w:rsidRPr="00000E4F">
        <w:t>Härigenom föreskrivs i fråga om lagen (1976:580) om medbestämmande i arbetslivet</w:t>
      </w:r>
    </w:p>
    <w:p w:rsidR="00866CF7" w:rsidRPr="00000E4F" w:rsidRDefault="00866CF7">
      <w:pPr>
        <w:pStyle w:val="Odefinierat"/>
        <w:spacing w:before="0"/>
      </w:pPr>
      <w:r w:rsidRPr="00000E4F">
        <w:rPr>
          <w:i/>
        </w:rPr>
        <w:t>dels</w:t>
      </w:r>
      <w:r w:rsidRPr="00000E4F">
        <w:t xml:space="preserve"> att 4 § skall ha följande lydelse,</w:t>
      </w:r>
    </w:p>
    <w:p w:rsidR="00866CF7" w:rsidRPr="00000E4F" w:rsidRDefault="00866CF7">
      <w:pPr>
        <w:pStyle w:val="Vinkelkoder"/>
        <w:spacing w:after="120"/>
      </w:pPr>
      <w:r w:rsidRPr="00000E4F">
        <w:rPr>
          <w:i/>
        </w:rPr>
        <w:t>dels</w:t>
      </w:r>
      <w:r w:rsidRPr="00000E4F">
        <w:t xml:space="preserve"> att det i lagen skall införas en ny paragraf, 41 c §, av följande lydelse:</w:t>
      </w:r>
    </w:p>
    <w:tbl>
      <w:tblPr>
        <w:tblW w:w="0" w:type="auto"/>
        <w:tblInd w:w="-170" w:type="dxa"/>
        <w:tblLayout w:type="fixed"/>
        <w:tblCellMar>
          <w:left w:w="170" w:type="dxa"/>
          <w:right w:w="170" w:type="dxa"/>
        </w:tblCellMar>
        <w:tblLook w:val="0000" w:firstRow="0" w:lastRow="0" w:firstColumn="0" w:lastColumn="0" w:noHBand="0" w:noVBand="0"/>
      </w:tblPr>
      <w:tblGrid>
        <w:gridCol w:w="57"/>
        <w:gridCol w:w="3005"/>
        <w:gridCol w:w="57"/>
        <w:gridCol w:w="3005"/>
        <w:gridCol w:w="57"/>
      </w:tblGrid>
      <w:tr w:rsidR="00000000" w:rsidRPr="00000E4F">
        <w:tblPrEx>
          <w:tblCellMar>
            <w:top w:w="0" w:type="dxa"/>
            <w:bottom w:w="0" w:type="dxa"/>
          </w:tblCellMar>
        </w:tblPrEx>
        <w:trPr>
          <w:gridAfter w:val="1"/>
          <w:wAfter w:w="57" w:type="dxa"/>
        </w:trPr>
        <w:tc>
          <w:tcPr>
            <w:tcW w:w="3062" w:type="dxa"/>
            <w:gridSpan w:val="2"/>
          </w:tcPr>
          <w:p w:rsidR="00866CF7" w:rsidRPr="00000E4F" w:rsidRDefault="00866CF7">
            <w:pPr>
              <w:rPr>
                <w:i/>
              </w:rPr>
            </w:pPr>
            <w:r w:rsidRPr="00000E4F">
              <w:rPr>
                <w:i/>
              </w:rPr>
              <w:t>Nuvarande lydelse</w:t>
            </w:r>
          </w:p>
        </w:tc>
        <w:tc>
          <w:tcPr>
            <w:tcW w:w="3062" w:type="dxa"/>
            <w:gridSpan w:val="2"/>
          </w:tcPr>
          <w:p w:rsidR="00866CF7" w:rsidRPr="00000E4F" w:rsidRDefault="00866CF7">
            <w:pPr>
              <w:rPr>
                <w:i/>
              </w:rPr>
            </w:pPr>
            <w:r w:rsidRPr="00000E4F">
              <w:rPr>
                <w:i/>
              </w:rPr>
              <w:t>Föreslagen lydelse (med beaktande av lagförslag  enligt bilaga 2)</w:t>
            </w:r>
          </w:p>
        </w:tc>
      </w:tr>
      <w:tr w:rsidR="00000000" w:rsidRPr="00000E4F">
        <w:tblPrEx>
          <w:tblCellMar>
            <w:top w:w="0" w:type="dxa"/>
            <w:bottom w:w="0" w:type="dxa"/>
          </w:tblCellMar>
        </w:tblPrEx>
        <w:trPr>
          <w:gridAfter w:val="1"/>
          <w:wAfter w:w="57" w:type="dxa"/>
          <w:cantSplit/>
        </w:trPr>
        <w:tc>
          <w:tcPr>
            <w:tcW w:w="6124" w:type="dxa"/>
            <w:gridSpan w:val="4"/>
          </w:tcPr>
          <w:p w:rsidR="00866CF7" w:rsidRPr="00000E4F" w:rsidRDefault="00866CF7">
            <w:pPr>
              <w:spacing w:after="120"/>
              <w:jc w:val="center"/>
            </w:pPr>
            <w:r w:rsidRPr="00000E4F">
              <w:t>4  §</w:t>
            </w:r>
          </w:p>
        </w:tc>
      </w:tr>
      <w:tr w:rsidR="00000000" w:rsidRPr="00000E4F">
        <w:tblPrEx>
          <w:tblCellMar>
            <w:top w:w="0" w:type="dxa"/>
            <w:bottom w:w="0" w:type="dxa"/>
          </w:tblCellMar>
        </w:tblPrEx>
        <w:trPr>
          <w:gridAfter w:val="1"/>
          <w:wAfter w:w="57" w:type="dxa"/>
          <w:cantSplit/>
        </w:trPr>
        <w:tc>
          <w:tcPr>
            <w:tcW w:w="6124" w:type="dxa"/>
            <w:gridSpan w:val="4"/>
          </w:tcPr>
          <w:p w:rsidR="00866CF7" w:rsidRPr="00000E4F" w:rsidRDefault="00866CF7">
            <w:pPr>
              <w:pStyle w:val="LagtextIndrag"/>
            </w:pPr>
            <w:r w:rsidRPr="00000E4F">
              <w:t>Ett avtal är ogiltigt i den mån det innebär att rättighet eller skyldighet e</w:t>
            </w:r>
            <w:r w:rsidRPr="00000E4F">
              <w:t>n</w:t>
            </w:r>
            <w:r w:rsidRPr="00000E4F">
              <w:t>ligt denna lag upphävs eller inskränks.</w:t>
            </w:r>
          </w:p>
        </w:tc>
      </w:tr>
      <w:tr w:rsidR="00000000" w:rsidRPr="00000E4F">
        <w:tblPrEx>
          <w:tblCellMar>
            <w:top w:w="0" w:type="dxa"/>
            <w:bottom w:w="0" w:type="dxa"/>
          </w:tblCellMar>
        </w:tblPrEx>
        <w:trPr>
          <w:gridAfter w:val="1"/>
          <w:wAfter w:w="57" w:type="dxa"/>
          <w:cantSplit/>
        </w:trPr>
        <w:tc>
          <w:tcPr>
            <w:tcW w:w="6124" w:type="dxa"/>
            <w:gridSpan w:val="4"/>
          </w:tcPr>
          <w:p w:rsidR="00866CF7" w:rsidRPr="00000E4F" w:rsidRDefault="00866CF7">
            <w:pPr>
              <w:pStyle w:val="LagtextIndrag"/>
            </w:pPr>
            <w:r w:rsidRPr="00000E4F">
              <w:t>Genom ett kollektivavtal får det dock göras avvikelser från 11, 12, 14, 19–22 och 28 §§, 29 § tredje meningen, 33–40 §§, 43 § andra stycket samt 64 och 65 §§. Kollektivavtalet får inte innebära att mindre förmånliga re</w:t>
            </w:r>
            <w:r w:rsidRPr="00000E4F">
              <w:t>g</w:t>
            </w:r>
            <w:r w:rsidRPr="00000E4F">
              <w:t>ler skall tillämpas för arbetstagarsidan än som följer av EG-rådets direktiv 75/129/EEG av den 17 februari 1975, 77/187/EEG av den 14 februari 1977 och 92/56/EEG av den 24 juni 1992.</w:t>
            </w:r>
          </w:p>
        </w:tc>
      </w:tr>
      <w:tr w:rsidR="00000000" w:rsidRPr="00000E4F">
        <w:tblPrEx>
          <w:tblCellMar>
            <w:top w:w="0" w:type="dxa"/>
            <w:bottom w:w="0" w:type="dxa"/>
          </w:tblCellMar>
        </w:tblPrEx>
        <w:trPr>
          <w:gridAfter w:val="1"/>
          <w:wAfter w:w="57" w:type="dxa"/>
        </w:trPr>
        <w:tc>
          <w:tcPr>
            <w:tcW w:w="3062" w:type="dxa"/>
            <w:gridSpan w:val="2"/>
          </w:tcPr>
          <w:p w:rsidR="00866CF7" w:rsidRPr="00000E4F" w:rsidRDefault="00866CF7">
            <w:pPr>
              <w:pStyle w:val="LagtextIndrag"/>
            </w:pPr>
            <w:r w:rsidRPr="00000E4F">
              <w:t>I ett kollektivavtal får det också föreskrivas längre gående fredsplikt än som anges i 41, 41 a och 44 §§ eller ett längre gående skadeståndsansvar än som följer av de</w:t>
            </w:r>
            <w:r w:rsidRPr="00000E4F">
              <w:t>n</w:t>
            </w:r>
            <w:r w:rsidRPr="00000E4F">
              <w:t>na lag.</w:t>
            </w:r>
          </w:p>
          <w:p w:rsidR="00866CF7" w:rsidRPr="00000E4F" w:rsidRDefault="00866CF7">
            <w:pPr>
              <w:pStyle w:val="LagtextIndrag"/>
            </w:pPr>
          </w:p>
        </w:tc>
        <w:tc>
          <w:tcPr>
            <w:tcW w:w="3062" w:type="dxa"/>
            <w:gridSpan w:val="2"/>
          </w:tcPr>
          <w:p w:rsidR="00866CF7" w:rsidRPr="00000E4F" w:rsidRDefault="00866CF7">
            <w:pPr>
              <w:pStyle w:val="LagtextIndrag"/>
            </w:pPr>
            <w:r w:rsidRPr="00000E4F">
              <w:t xml:space="preserve">I ett kollektivavtal får det också föreskrivas längre gående fredsplikt än som anges i 41, 41 a, </w:t>
            </w:r>
            <w:r w:rsidRPr="00000E4F">
              <w:rPr>
                <w:i/>
              </w:rPr>
              <w:t xml:space="preserve">41 b, 41 c </w:t>
            </w:r>
            <w:r w:rsidRPr="00000E4F">
              <w:t>och 44 §§ eller ett längre gående skadeståndsansvar än som följer av denna lag.</w:t>
            </w:r>
          </w:p>
          <w:p w:rsidR="00866CF7" w:rsidRPr="00000E4F" w:rsidRDefault="00866CF7">
            <w:pPr>
              <w:pStyle w:val="LagtextIndrag"/>
            </w:pPr>
          </w:p>
        </w:tc>
      </w:tr>
      <w:tr w:rsidR="00000000" w:rsidRPr="00000E4F">
        <w:tblPrEx>
          <w:tblCellMar>
            <w:top w:w="0" w:type="dxa"/>
            <w:left w:w="113" w:type="dxa"/>
            <w:bottom w:w="0" w:type="dxa"/>
            <w:right w:w="113" w:type="dxa"/>
          </w:tblCellMar>
        </w:tblPrEx>
        <w:trPr>
          <w:gridBefore w:val="1"/>
          <w:wBefore w:w="57" w:type="dxa"/>
          <w:cantSplit/>
        </w:trPr>
        <w:tc>
          <w:tcPr>
            <w:tcW w:w="6124" w:type="dxa"/>
            <w:gridSpan w:val="4"/>
          </w:tcPr>
          <w:p w:rsidR="00866CF7" w:rsidRPr="00000E4F" w:rsidRDefault="00866CF7">
            <w:pPr>
              <w:pStyle w:val="LagtextIndrag"/>
              <w:spacing w:before="120" w:after="120"/>
              <w:jc w:val="center"/>
            </w:pPr>
            <w:r w:rsidRPr="00000E4F">
              <w:t>41 c  §</w:t>
            </w:r>
          </w:p>
        </w:tc>
      </w:tr>
      <w:tr w:rsidR="00000000" w:rsidRPr="00000E4F">
        <w:tblPrEx>
          <w:tblCellMar>
            <w:top w:w="0" w:type="dxa"/>
            <w:left w:w="113" w:type="dxa"/>
            <w:bottom w:w="0" w:type="dxa"/>
            <w:right w:w="113" w:type="dxa"/>
          </w:tblCellMar>
        </w:tblPrEx>
        <w:trPr>
          <w:gridBefore w:val="1"/>
          <w:wBefore w:w="57" w:type="dxa"/>
        </w:trPr>
        <w:tc>
          <w:tcPr>
            <w:tcW w:w="3062" w:type="dxa"/>
            <w:gridSpan w:val="2"/>
          </w:tcPr>
          <w:p w:rsidR="00866CF7" w:rsidRPr="00000E4F" w:rsidRDefault="00866CF7">
            <w:pPr>
              <w:pStyle w:val="LagtextIndrag"/>
            </w:pPr>
          </w:p>
        </w:tc>
        <w:tc>
          <w:tcPr>
            <w:tcW w:w="3062" w:type="dxa"/>
            <w:gridSpan w:val="2"/>
          </w:tcPr>
          <w:p w:rsidR="00866CF7" w:rsidRPr="00000E4F" w:rsidRDefault="00866CF7">
            <w:pPr>
              <w:pStyle w:val="LagtextIndrag"/>
              <w:rPr>
                <w:i/>
                <w:snapToGrid w:val="0"/>
                <w:lang w:eastAsia="sv-SE"/>
              </w:rPr>
            </w:pPr>
            <w:r w:rsidRPr="00000E4F">
              <w:rPr>
                <w:i/>
                <w:snapToGrid w:val="0"/>
                <w:lang w:eastAsia="sv-SE"/>
              </w:rPr>
              <w:t>För stridsåtgärder som vidtas i samband med avtalsförhandlingar mellan parter som är eller brukar vara bundna av kollektivavtal i förhållande till varandra skall fö</w:t>
            </w:r>
            <w:r w:rsidRPr="00000E4F">
              <w:rPr>
                <w:i/>
                <w:snapToGrid w:val="0"/>
                <w:lang w:eastAsia="sv-SE"/>
              </w:rPr>
              <w:t>l</w:t>
            </w:r>
            <w:r w:rsidRPr="00000E4F">
              <w:rPr>
                <w:i/>
                <w:snapToGrid w:val="0"/>
                <w:lang w:eastAsia="sv-SE"/>
              </w:rPr>
              <w:t>jande gälla.</w:t>
            </w:r>
          </w:p>
          <w:p w:rsidR="00866CF7" w:rsidRPr="00000E4F" w:rsidRDefault="00866CF7">
            <w:pPr>
              <w:pStyle w:val="LagtextIndrag"/>
              <w:rPr>
                <w:i/>
              </w:rPr>
            </w:pPr>
            <w:r w:rsidRPr="00000E4F">
              <w:rPr>
                <w:i/>
                <w:snapToGrid w:val="0"/>
                <w:lang w:eastAsia="sv-SE"/>
              </w:rPr>
              <w:t>Om en part har varslat om en stridsåtgärd som är partiell eller på annat sätt begränsad och åtgärden kan förväntas leda till skada eller annan olägenhet som står i uppe</w:t>
            </w:r>
            <w:r w:rsidRPr="00000E4F">
              <w:rPr>
                <w:i/>
                <w:snapToGrid w:val="0"/>
                <w:lang w:eastAsia="sv-SE"/>
              </w:rPr>
              <w:t>n</w:t>
            </w:r>
            <w:r w:rsidRPr="00000E4F">
              <w:rPr>
                <w:i/>
                <w:snapToGrid w:val="0"/>
                <w:lang w:eastAsia="sv-SE"/>
              </w:rPr>
              <w:t>bart missförhållande till åtgärdens omfattning, kan åtgärden förklaras</w:t>
            </w:r>
            <w:r w:rsidRPr="00000E4F">
              <w:rPr>
                <w:i/>
              </w:rPr>
              <w:t xml:space="preserve"> </w:t>
            </w:r>
            <w:r w:rsidRPr="00000E4F">
              <w:rPr>
                <w:i/>
                <w:snapToGrid w:val="0"/>
                <w:lang w:eastAsia="sv-SE"/>
              </w:rPr>
              <w:t>olovlig</w:t>
            </w:r>
            <w:r w:rsidRPr="00000E4F">
              <w:rPr>
                <w:snapToGrid w:val="0"/>
                <w:lang w:eastAsia="sv-SE"/>
              </w:rPr>
              <w:t>.</w:t>
            </w:r>
          </w:p>
          <w:p w:rsidR="00866CF7" w:rsidRPr="00000E4F" w:rsidRDefault="00866CF7">
            <w:pPr>
              <w:pStyle w:val="LagtextIndrag"/>
              <w:rPr>
                <w:i/>
              </w:rPr>
            </w:pPr>
          </w:p>
        </w:tc>
      </w:tr>
    </w:tbl>
    <w:p w:rsidR="00866CF7" w:rsidRPr="00000E4F" w:rsidRDefault="00866CF7">
      <w:pPr>
        <w:pStyle w:val="Vinkelkoder"/>
        <w:tabs>
          <w:tab w:val="left" w:pos="3119"/>
        </w:tabs>
        <w:spacing w:line="20" w:lineRule="exact"/>
      </w:pPr>
      <w:r w:rsidRPr="00000E4F">
        <w:br w:type="page"/>
      </w:r>
    </w:p>
    <w:tbl>
      <w:tblPr>
        <w:tblW w:w="0" w:type="auto"/>
        <w:tblInd w:w="-113" w:type="dxa"/>
        <w:tblLayout w:type="fixed"/>
        <w:tblCellMar>
          <w:left w:w="113" w:type="dxa"/>
          <w:right w:w="113" w:type="dxa"/>
        </w:tblCellMar>
        <w:tblLook w:val="0000" w:firstRow="0" w:lastRow="0" w:firstColumn="0" w:lastColumn="0" w:noHBand="0" w:noVBand="0"/>
      </w:tblPr>
      <w:tblGrid>
        <w:gridCol w:w="3062"/>
        <w:gridCol w:w="3062"/>
      </w:tblGrid>
      <w:tr w:rsidR="00000000" w:rsidRPr="00000E4F">
        <w:tblPrEx>
          <w:tblCellMar>
            <w:top w:w="0" w:type="dxa"/>
            <w:bottom w:w="0" w:type="dxa"/>
          </w:tblCellMar>
        </w:tblPrEx>
        <w:tc>
          <w:tcPr>
            <w:tcW w:w="3062" w:type="dxa"/>
          </w:tcPr>
          <w:p w:rsidR="00866CF7" w:rsidRPr="00000E4F" w:rsidRDefault="00866CF7">
            <w:pPr>
              <w:rPr>
                <w:i/>
              </w:rPr>
            </w:pPr>
            <w:r w:rsidRPr="00000E4F">
              <w:rPr>
                <w:i/>
              </w:rPr>
              <w:t>Nuvarande lydelse</w:t>
            </w:r>
          </w:p>
        </w:tc>
        <w:tc>
          <w:tcPr>
            <w:tcW w:w="3062" w:type="dxa"/>
          </w:tcPr>
          <w:p w:rsidR="00866CF7" w:rsidRPr="00000E4F" w:rsidRDefault="00866CF7">
            <w:pPr>
              <w:rPr>
                <w:i/>
              </w:rPr>
            </w:pPr>
            <w:r w:rsidRPr="00000E4F">
              <w:rPr>
                <w:i/>
              </w:rPr>
              <w:t>Föreslagen lydelse (med beaktande av lagförslag  enligt bilaga 2)</w:t>
            </w:r>
          </w:p>
        </w:tc>
      </w:tr>
      <w:tr w:rsidR="00000000" w:rsidRPr="00000E4F">
        <w:tblPrEx>
          <w:tblCellMar>
            <w:top w:w="0" w:type="dxa"/>
            <w:bottom w:w="0" w:type="dxa"/>
          </w:tblCellMar>
        </w:tblPrEx>
        <w:tc>
          <w:tcPr>
            <w:tcW w:w="3062" w:type="dxa"/>
          </w:tcPr>
          <w:p w:rsidR="00866CF7" w:rsidRPr="00000E4F" w:rsidRDefault="00866CF7">
            <w:pPr>
              <w:pStyle w:val="LagtextIndrag"/>
            </w:pPr>
          </w:p>
        </w:tc>
        <w:tc>
          <w:tcPr>
            <w:tcW w:w="3062" w:type="dxa"/>
          </w:tcPr>
          <w:p w:rsidR="00866CF7" w:rsidRPr="00000E4F" w:rsidRDefault="00866CF7">
            <w:pPr>
              <w:spacing w:before="0"/>
              <w:rPr>
                <w:snapToGrid w:val="0"/>
                <w:lang w:eastAsia="sv-SE"/>
              </w:rPr>
            </w:pPr>
          </w:p>
          <w:p w:rsidR="00866CF7" w:rsidRPr="00000E4F" w:rsidRDefault="00866CF7">
            <w:pPr>
              <w:pStyle w:val="LagtextIndrag"/>
              <w:rPr>
                <w:i/>
                <w:snapToGrid w:val="0"/>
                <w:lang w:eastAsia="sv-SE"/>
              </w:rPr>
            </w:pPr>
            <w:r w:rsidRPr="00000E4F">
              <w:rPr>
                <w:i/>
                <w:snapToGrid w:val="0"/>
                <w:lang w:eastAsia="sv-SE"/>
              </w:rPr>
              <w:t>En stridsåtgärd som har varslats som svar på en annan stridsåtgärd kan också förklaras olovlig, om den är väsentligt mer omfattande än vad som är rimligt med hänsyn till den åtgärd som orsakat svarsåtgärden.</w:t>
            </w:r>
          </w:p>
          <w:p w:rsidR="00866CF7" w:rsidRPr="00000E4F" w:rsidRDefault="00866CF7">
            <w:pPr>
              <w:pStyle w:val="LagtextIndrag"/>
              <w:rPr>
                <w:i/>
                <w:snapToGrid w:val="0"/>
                <w:color w:val="000000"/>
                <w:sz w:val="18"/>
                <w:lang w:eastAsia="sv-SE"/>
              </w:rPr>
            </w:pPr>
            <w:r w:rsidRPr="00000E4F">
              <w:rPr>
                <w:i/>
                <w:snapToGrid w:val="0"/>
                <w:color w:val="000000"/>
                <w:sz w:val="18"/>
                <w:lang w:eastAsia="sv-SE"/>
              </w:rPr>
              <w:t>Även en sympatiåtgärd som har varslats till stöd för en part i en tvist mellan parter, som är eller brukar vara bundna av kollektivavtal i fö</w:t>
            </w:r>
            <w:r w:rsidRPr="00000E4F">
              <w:rPr>
                <w:i/>
                <w:snapToGrid w:val="0"/>
                <w:color w:val="000000"/>
                <w:sz w:val="18"/>
                <w:lang w:eastAsia="sv-SE"/>
              </w:rPr>
              <w:t>r</w:t>
            </w:r>
            <w:r w:rsidRPr="00000E4F">
              <w:rPr>
                <w:i/>
                <w:snapToGrid w:val="0"/>
                <w:color w:val="000000"/>
                <w:sz w:val="18"/>
                <w:lang w:eastAsia="sv-SE"/>
              </w:rPr>
              <w:t>hållande till varandra, kan förklaras olovlig. Det kan ske om den varslade sympatiåtgärden kan förväntas leda till skada eller annan olägenhet som står i ett uppenbart missförhållande till åtgärdens eller primäråtgärdens o</w:t>
            </w:r>
            <w:r w:rsidRPr="00000E4F">
              <w:rPr>
                <w:i/>
                <w:snapToGrid w:val="0"/>
                <w:color w:val="000000"/>
                <w:sz w:val="18"/>
                <w:lang w:eastAsia="sv-SE"/>
              </w:rPr>
              <w:t>m</w:t>
            </w:r>
            <w:r w:rsidRPr="00000E4F">
              <w:rPr>
                <w:i/>
                <w:snapToGrid w:val="0"/>
                <w:color w:val="000000"/>
                <w:sz w:val="18"/>
                <w:lang w:eastAsia="sv-SE"/>
              </w:rPr>
              <w:t>fat</w:t>
            </w:r>
            <w:r w:rsidRPr="00000E4F">
              <w:rPr>
                <w:i/>
                <w:snapToGrid w:val="0"/>
                <w:color w:val="000000"/>
                <w:sz w:val="18"/>
                <w:lang w:eastAsia="sv-SE"/>
              </w:rPr>
              <w:t>t</w:t>
            </w:r>
            <w:r w:rsidRPr="00000E4F">
              <w:rPr>
                <w:i/>
                <w:snapToGrid w:val="0"/>
                <w:color w:val="000000"/>
                <w:sz w:val="18"/>
                <w:lang w:eastAsia="sv-SE"/>
              </w:rPr>
              <w:t>ning.</w:t>
            </w:r>
          </w:p>
          <w:p w:rsidR="00866CF7" w:rsidRPr="00000E4F" w:rsidRDefault="00866CF7">
            <w:pPr>
              <w:pStyle w:val="LagtextIndrag"/>
              <w:rPr>
                <w:i/>
                <w:snapToGrid w:val="0"/>
                <w:color w:val="000000"/>
                <w:sz w:val="18"/>
                <w:lang w:eastAsia="sv-SE"/>
              </w:rPr>
            </w:pPr>
            <w:r w:rsidRPr="00000E4F">
              <w:rPr>
                <w:i/>
                <w:snapToGrid w:val="0"/>
                <w:color w:val="000000"/>
                <w:sz w:val="18"/>
                <w:lang w:eastAsia="sv-SE"/>
              </w:rPr>
              <w:t>Talan om olovligförklaring enligt andra, tredje och fjärde styckena kan endast föras av den arbetsgivare eller organisation mot vilken åtgärden riktas. Med stöd av bestämmelserna i andra, tredje eller fjärde stycket kan en stridsåtgärd interimistiskt förklaras olovlig för tiden</w:t>
            </w:r>
            <w:r w:rsidRPr="00000E4F">
              <w:rPr>
                <w:i/>
                <w:snapToGrid w:val="0"/>
                <w:color w:val="000000"/>
                <w:sz w:val="18"/>
                <w:lang w:eastAsia="sv-SE"/>
              </w:rPr>
              <w:t xml:space="preserve"> fram till dess ett slutligt avgörande föreligger.</w:t>
            </w:r>
          </w:p>
          <w:p w:rsidR="00866CF7" w:rsidRPr="00000E4F" w:rsidRDefault="00866CF7">
            <w:pPr>
              <w:pStyle w:val="LagtextIndrag"/>
              <w:rPr>
                <w:i/>
                <w:snapToGrid w:val="0"/>
                <w:lang w:eastAsia="sv-SE"/>
              </w:rPr>
            </w:pPr>
            <w:r w:rsidRPr="00000E4F">
              <w:rPr>
                <w:i/>
                <w:snapToGrid w:val="0"/>
                <w:color w:val="000000"/>
                <w:sz w:val="18"/>
                <w:lang w:eastAsia="sv-SE"/>
              </w:rPr>
              <w:t>Yrkande om olovligförklaring enligt andra, tredje eller fjärde stycket och yrkande om interimistisk prövning enligt femte stycket skall framställas inom sju dagar från den dag då varsel lämnades till motparten enligt 45 § första stycket. Försummas det får sådana yrkanden inte framställas.</w:t>
            </w:r>
          </w:p>
        </w:tc>
      </w:tr>
    </w:tbl>
    <w:p w:rsidR="00866CF7" w:rsidRPr="00000E4F" w:rsidRDefault="00866CF7">
      <w:pPr>
        <w:pStyle w:val="Rubrik2"/>
      </w:pPr>
    </w:p>
    <w:p w:rsidR="00866CF7" w:rsidRPr="00000E4F" w:rsidRDefault="00866CF7">
      <w:pPr>
        <w:pStyle w:val="R2"/>
      </w:pPr>
      <w:r w:rsidRPr="00000E4F">
        <w:br w:type="page"/>
        <w:t>Förslag till lag om ändring i lagen (1974:371) om rättegången i arbetstvister</w:t>
      </w:r>
    </w:p>
    <w:p w:rsidR="00866CF7" w:rsidRPr="00000E4F" w:rsidRDefault="00866CF7">
      <w:pPr>
        <w:pStyle w:val="Normaltindrag"/>
        <w:spacing w:before="123"/>
      </w:pPr>
      <w:r w:rsidRPr="00000E4F">
        <w:t xml:space="preserve">Härigenom föreskrivs i fråga om lagen (1974:371) om rättegången i </w:t>
      </w:r>
    </w:p>
    <w:p w:rsidR="00866CF7" w:rsidRPr="00000E4F" w:rsidRDefault="00866CF7">
      <w:pPr>
        <w:pStyle w:val="Vinkelkoder"/>
      </w:pPr>
      <w:r w:rsidRPr="00000E4F">
        <w:t>arbe</w:t>
      </w:r>
      <w:r w:rsidRPr="00000E4F">
        <w:t>t</w:t>
      </w:r>
      <w:r w:rsidRPr="00000E4F">
        <w:t>stvister att 2 kap. 1 § skall ha följande lydelse.</w:t>
      </w:r>
    </w:p>
    <w:tbl>
      <w:tblPr>
        <w:tblW w:w="0" w:type="auto"/>
        <w:tblInd w:w="-142" w:type="dxa"/>
        <w:tblLayout w:type="fixed"/>
        <w:tblCellMar>
          <w:left w:w="113" w:type="dxa"/>
          <w:right w:w="113" w:type="dxa"/>
        </w:tblCellMar>
        <w:tblLook w:val="0000" w:firstRow="0" w:lastRow="0" w:firstColumn="0" w:lastColumn="0" w:noHBand="0" w:noVBand="0"/>
      </w:tblPr>
      <w:tblGrid>
        <w:gridCol w:w="29"/>
        <w:gridCol w:w="3062"/>
        <w:gridCol w:w="28"/>
        <w:gridCol w:w="3034"/>
        <w:gridCol w:w="85"/>
      </w:tblGrid>
      <w:tr w:rsidR="00000000" w:rsidRPr="00000E4F">
        <w:tblPrEx>
          <w:tblCellMar>
            <w:top w:w="0" w:type="dxa"/>
            <w:bottom w:w="0" w:type="dxa"/>
          </w:tblCellMar>
        </w:tblPrEx>
        <w:trPr>
          <w:gridBefore w:val="1"/>
          <w:gridAfter w:val="1"/>
          <w:wBefore w:w="29" w:type="dxa"/>
          <w:wAfter w:w="85" w:type="dxa"/>
          <w:tblHeader/>
        </w:trPr>
        <w:tc>
          <w:tcPr>
            <w:tcW w:w="3062" w:type="dxa"/>
          </w:tcPr>
          <w:p w:rsidR="00866CF7" w:rsidRPr="00000E4F" w:rsidRDefault="00866CF7">
            <w:pPr>
              <w:pStyle w:val="LagtextRubrik"/>
              <w:spacing w:before="120"/>
              <w:rPr>
                <w:i/>
              </w:rPr>
            </w:pPr>
            <w:r w:rsidRPr="00000E4F">
              <w:rPr>
                <w:i/>
              </w:rPr>
              <w:t>Nuvarande lydelse</w:t>
            </w:r>
          </w:p>
        </w:tc>
        <w:tc>
          <w:tcPr>
            <w:tcW w:w="3062" w:type="dxa"/>
            <w:gridSpan w:val="2"/>
          </w:tcPr>
          <w:p w:rsidR="00866CF7" w:rsidRPr="00000E4F" w:rsidRDefault="00866CF7">
            <w:pPr>
              <w:pStyle w:val="LagtextRubrik"/>
              <w:spacing w:before="120"/>
              <w:rPr>
                <w:i/>
              </w:rPr>
            </w:pPr>
            <w:r w:rsidRPr="00000E4F">
              <w:rPr>
                <w:i/>
              </w:rPr>
              <w:t>Föreslagen lydelse (med beaktande av lagförslag enligt bil</w:t>
            </w:r>
            <w:r w:rsidRPr="00000E4F">
              <w:rPr>
                <w:i/>
              </w:rPr>
              <w:t>a</w:t>
            </w:r>
            <w:r w:rsidRPr="00000E4F">
              <w:rPr>
                <w:i/>
              </w:rPr>
              <w:t>ga 2)</w:t>
            </w:r>
          </w:p>
        </w:tc>
      </w:tr>
      <w:tr w:rsidR="00000000" w:rsidRPr="00000E4F">
        <w:tblPrEx>
          <w:tblCellMar>
            <w:top w:w="0" w:type="dxa"/>
            <w:bottom w:w="0" w:type="dxa"/>
          </w:tblCellMar>
        </w:tblPrEx>
        <w:trPr>
          <w:gridBefore w:val="1"/>
          <w:gridAfter w:val="1"/>
          <w:wBefore w:w="29" w:type="dxa"/>
          <w:wAfter w:w="85" w:type="dxa"/>
          <w:cantSplit/>
        </w:trPr>
        <w:tc>
          <w:tcPr>
            <w:tcW w:w="6124" w:type="dxa"/>
            <w:gridSpan w:val="3"/>
          </w:tcPr>
          <w:p w:rsidR="00866CF7" w:rsidRPr="00000E4F" w:rsidRDefault="00866CF7">
            <w:pPr>
              <w:pStyle w:val="Lagtext"/>
              <w:jc w:val="center"/>
              <w:rPr>
                <w:b/>
              </w:rPr>
            </w:pPr>
            <w:r w:rsidRPr="00000E4F">
              <w:rPr>
                <w:b/>
              </w:rPr>
              <w:t>2 kap.</w:t>
            </w:r>
          </w:p>
          <w:p w:rsidR="00866CF7" w:rsidRPr="00000E4F" w:rsidRDefault="00866CF7">
            <w:pPr>
              <w:pStyle w:val="Lagtext"/>
              <w:jc w:val="center"/>
            </w:pPr>
          </w:p>
          <w:p w:rsidR="00866CF7" w:rsidRPr="00000E4F" w:rsidRDefault="00866CF7">
            <w:pPr>
              <w:pStyle w:val="Lagtext"/>
              <w:jc w:val="center"/>
            </w:pPr>
            <w:r w:rsidRPr="00000E4F">
              <w:t>1 §</w:t>
            </w:r>
          </w:p>
          <w:p w:rsidR="00866CF7" w:rsidRPr="00000E4F" w:rsidRDefault="00866CF7">
            <w:pPr>
              <w:pStyle w:val="Lagtext"/>
              <w:jc w:val="center"/>
              <w:rPr>
                <w:i/>
              </w:rPr>
            </w:pPr>
          </w:p>
          <w:p w:rsidR="00866CF7" w:rsidRPr="00000E4F" w:rsidRDefault="00866CF7">
            <w:pPr>
              <w:pStyle w:val="LagtextIndrag"/>
            </w:pPr>
            <w:r w:rsidRPr="00000E4F">
              <w:t>Arbetsdomstolen skall som första domstol uppta och avgöra tvist som väcks av arbetsgivar- eller arbetstagarorganisation eller av arbetsgivare som själv slutit kollektiva</w:t>
            </w:r>
            <w:r w:rsidRPr="00000E4F">
              <w:t>v</w:t>
            </w:r>
            <w:r w:rsidRPr="00000E4F">
              <w:t>tal, om målet gäller</w:t>
            </w:r>
          </w:p>
          <w:p w:rsidR="00866CF7" w:rsidRPr="00000E4F" w:rsidRDefault="00866CF7">
            <w:pPr>
              <w:pStyle w:val="LagtextIndrag"/>
            </w:pPr>
            <w:r w:rsidRPr="00000E4F">
              <w:t>1. tvist om kollektivavtal eller annan arbetstvist som avses i lagen (1976:580) om medbestämmande i arbetslivet,</w:t>
            </w:r>
          </w:p>
          <w:p w:rsidR="00866CF7" w:rsidRPr="00000E4F" w:rsidRDefault="00866CF7">
            <w:pPr>
              <w:pStyle w:val="LagtextIndrag"/>
            </w:pPr>
            <w:r w:rsidRPr="00000E4F">
              <w:t>2. arbetstvist i övrigt under förutsättning att kollektivavtal gäller mellan parterna eller att enskild arbetstagare som berörs av tvisten sysselsätts i a</w:t>
            </w:r>
            <w:r w:rsidRPr="00000E4F">
              <w:t>r</w:t>
            </w:r>
            <w:r w:rsidRPr="00000E4F">
              <w:t>bete som avses med kollektivavtal vilket arbetsgivaren är bunden av.</w:t>
            </w:r>
          </w:p>
          <w:p w:rsidR="00866CF7" w:rsidRPr="00000E4F" w:rsidRDefault="00866CF7">
            <w:pPr>
              <w:pStyle w:val="LagtextIndrag"/>
            </w:pPr>
            <w:r w:rsidRPr="00000E4F">
              <w:t>Arbetsdomstolen är behörig domstol enligt första stycket även när kolle</w:t>
            </w:r>
            <w:r w:rsidRPr="00000E4F">
              <w:t>k</w:t>
            </w:r>
            <w:r w:rsidRPr="00000E4F">
              <w:t>tivavtal tillfälligt inte gäller.</w:t>
            </w:r>
          </w:p>
          <w:p w:rsidR="00866CF7" w:rsidRPr="00000E4F" w:rsidRDefault="00866CF7">
            <w:pPr>
              <w:pStyle w:val="LagtextIndrag"/>
            </w:pPr>
            <w:r w:rsidRPr="00000E4F">
              <w:t xml:space="preserve">Gemensamt med arbetstvist enligt första eller andra stycket får handläggas även annan arbetstvist mellan samma eller olika parter, om domstolen med hänsyn till utredningen och övriga omständigheter finner sådan handläggning lämplig. När det föreligger skäl, kan domstolen åter särskilja målen. </w:t>
            </w:r>
          </w:p>
        </w:tc>
      </w:tr>
      <w:tr w:rsidR="00000000" w:rsidRPr="00000E4F">
        <w:tblPrEx>
          <w:tblCellMar>
            <w:top w:w="0" w:type="dxa"/>
            <w:left w:w="170" w:type="dxa"/>
            <w:bottom w:w="0" w:type="dxa"/>
            <w:right w:w="170" w:type="dxa"/>
          </w:tblCellMar>
        </w:tblPrEx>
        <w:tc>
          <w:tcPr>
            <w:tcW w:w="3119" w:type="dxa"/>
            <w:gridSpan w:val="3"/>
          </w:tcPr>
          <w:p w:rsidR="00866CF7" w:rsidRPr="00000E4F" w:rsidRDefault="00866CF7">
            <w:pPr>
              <w:pStyle w:val="LagtextIndrag"/>
            </w:pPr>
            <w:r w:rsidRPr="00000E4F">
              <w:t xml:space="preserve">Arbetsdomstolen är alltid behörig att som första domstol </w:t>
            </w:r>
            <w:r w:rsidRPr="00000E4F">
              <w:rPr>
                <w:i/>
              </w:rPr>
              <w:t>uppta</w:t>
            </w:r>
            <w:r w:rsidRPr="00000E4F">
              <w:t xml:space="preserve"> och avgöra tvist om stridsåtgärd som avses i 41 § lagen (1976:580) om medbestämmande i arbet</w:t>
            </w:r>
            <w:r w:rsidRPr="00000E4F">
              <w:t>s</w:t>
            </w:r>
            <w:r w:rsidRPr="00000E4F">
              <w:t>livet.</w:t>
            </w:r>
          </w:p>
        </w:tc>
        <w:tc>
          <w:tcPr>
            <w:tcW w:w="3119" w:type="dxa"/>
            <w:gridSpan w:val="2"/>
          </w:tcPr>
          <w:p w:rsidR="00866CF7" w:rsidRPr="00000E4F" w:rsidRDefault="00866CF7">
            <w:pPr>
              <w:pStyle w:val="LagtextIndrag"/>
            </w:pPr>
            <w:r w:rsidRPr="00000E4F">
              <w:t xml:space="preserve">Arbetsdomstolen är alltid behörig att som första domstol </w:t>
            </w:r>
            <w:r w:rsidRPr="00000E4F">
              <w:rPr>
                <w:i/>
              </w:rPr>
              <w:t>ta upp</w:t>
            </w:r>
            <w:r w:rsidRPr="00000E4F">
              <w:t xml:space="preserve"> och avgöra </w:t>
            </w:r>
            <w:r w:rsidRPr="00000E4F">
              <w:rPr>
                <w:i/>
              </w:rPr>
              <w:t>en</w:t>
            </w:r>
            <w:r w:rsidRPr="00000E4F">
              <w:t xml:space="preserve"> tvist om stridsåtgärd som avses i 41, </w:t>
            </w:r>
            <w:r w:rsidRPr="00000E4F">
              <w:rPr>
                <w:i/>
              </w:rPr>
              <w:t>41 b och 41 c §§</w:t>
            </w:r>
            <w:r w:rsidRPr="00000E4F">
              <w:t xml:space="preserve"> lagen (1976:580) om medbestämmande i arbetslivet.</w:t>
            </w:r>
          </w:p>
        </w:tc>
      </w:tr>
    </w:tbl>
    <w:p w:rsidR="00866CF7" w:rsidRPr="00000E4F" w:rsidRDefault="00866CF7">
      <w:r w:rsidRPr="00000E4F">
        <w:t>–––––––––––––</w:t>
      </w:r>
    </w:p>
    <w:p w:rsidR="00866CF7" w:rsidRPr="00000E4F" w:rsidRDefault="00866CF7">
      <w:pPr>
        <w:pStyle w:val="Normaltindrag"/>
      </w:pPr>
      <w:r w:rsidRPr="00000E4F">
        <w:t>Denna lag träder i kraft den 1 juni 2000.</w:t>
      </w:r>
    </w:p>
    <w:p w:rsidR="00866CF7" w:rsidRPr="00000E4F" w:rsidRDefault="00866CF7"/>
    <w:p w:rsidR="00866CF7" w:rsidRPr="00000E4F" w:rsidRDefault="00866CF7">
      <w:pPr>
        <w:pStyle w:val="Normaltindrag"/>
      </w:pPr>
    </w:p>
    <w:p w:rsidR="00866CF7" w:rsidRPr="00000E4F" w:rsidRDefault="00866CF7">
      <w:pPr>
        <w:pStyle w:val="Normaltindrag"/>
      </w:pPr>
    </w:p>
    <w:p w:rsidR="00866CF7" w:rsidRPr="00000E4F" w:rsidRDefault="00866CF7">
      <w:pPr>
        <w:pStyle w:val="Normaltindrag"/>
      </w:pPr>
    </w:p>
    <w:p w:rsidR="00866CF7" w:rsidRPr="00000E4F" w:rsidRDefault="00866CF7">
      <w:pPr>
        <w:pStyle w:val="Normaltindrag"/>
      </w:pPr>
    </w:p>
    <w:p w:rsidR="00866CF7" w:rsidRPr="00000E4F" w:rsidRDefault="00866CF7"/>
    <w:p w:rsidR="00866CF7" w:rsidRPr="00000E4F" w:rsidRDefault="00866CF7">
      <w:pPr>
        <w:pStyle w:val="Normaltindrag"/>
        <w:sectPr w:rsidR="00000000" w:rsidRPr="00000E4F">
          <w:headerReference w:type="default" r:id="rId20"/>
          <w:footerReference w:type="default" r:id="rId21"/>
          <w:pgSz w:w="11906" w:h="16838" w:code="9"/>
          <w:pgMar w:top="567" w:right="4876" w:bottom="4508" w:left="1134" w:header="227" w:footer="227" w:gutter="0"/>
          <w:cols w:space="720"/>
        </w:sectPr>
      </w:pPr>
    </w:p>
    <w:p w:rsidR="00866CF7" w:rsidRPr="00000E4F" w:rsidRDefault="00866CF7">
      <w:pPr>
        <w:pStyle w:val="Innehll"/>
        <w:outlineLvl w:val="0"/>
      </w:pPr>
      <w:r w:rsidRPr="00000E4F">
        <w:t>Innehållsförteckning</w:t>
      </w:r>
    </w:p>
    <w:p w:rsidR="00866CF7" w:rsidRPr="00000E4F" w:rsidRDefault="00866CF7">
      <w:pPr>
        <w:pStyle w:val="Innehll1"/>
      </w:pPr>
      <w:r w:rsidRPr="00000E4F">
        <w:t>Sammanfattning</w:t>
      </w:r>
      <w:r w:rsidRPr="00000E4F">
        <w:tab/>
        <w:t>1</w:t>
      </w:r>
    </w:p>
    <w:p w:rsidR="00866CF7" w:rsidRPr="00000E4F" w:rsidRDefault="00866CF7">
      <w:pPr>
        <w:pStyle w:val="Innehll1"/>
      </w:pPr>
      <w:r w:rsidRPr="00000E4F">
        <w:t>Propositionen</w:t>
      </w:r>
      <w:r w:rsidRPr="00000E4F">
        <w:tab/>
        <w:t>2</w:t>
      </w:r>
    </w:p>
    <w:p w:rsidR="00866CF7" w:rsidRPr="00000E4F" w:rsidRDefault="00866CF7">
      <w:pPr>
        <w:pStyle w:val="Innehll1"/>
      </w:pPr>
      <w:r w:rsidRPr="00000E4F">
        <w:t>Motionerna</w:t>
      </w:r>
      <w:r w:rsidRPr="00000E4F">
        <w:tab/>
        <w:t>2</w:t>
      </w:r>
    </w:p>
    <w:p w:rsidR="00866CF7" w:rsidRPr="00000E4F" w:rsidRDefault="00866CF7">
      <w:pPr>
        <w:pStyle w:val="Innehll1"/>
      </w:pPr>
      <w:r w:rsidRPr="00000E4F">
        <w:t>UTSKOTTET</w:t>
      </w:r>
      <w:r w:rsidRPr="00000E4F">
        <w:tab/>
        <w:t>10</w:t>
      </w:r>
    </w:p>
    <w:p w:rsidR="00866CF7" w:rsidRPr="00000E4F" w:rsidRDefault="00866CF7">
      <w:pPr>
        <w:pStyle w:val="Innehll1"/>
      </w:pPr>
      <w:r w:rsidRPr="00000E4F">
        <w:t>DEL I LÖNEBILDNINGEN</w:t>
      </w:r>
      <w:r w:rsidRPr="00000E4F">
        <w:tab/>
        <w:t>10</w:t>
      </w:r>
    </w:p>
    <w:p w:rsidR="00866CF7" w:rsidRPr="00000E4F" w:rsidRDefault="00866CF7">
      <w:pPr>
        <w:pStyle w:val="Innehll1"/>
      </w:pPr>
      <w:r w:rsidRPr="00000E4F">
        <w:t>1 Bakgrund</w:t>
      </w:r>
      <w:r w:rsidRPr="00000E4F">
        <w:tab/>
        <w:t>10</w:t>
      </w:r>
    </w:p>
    <w:p w:rsidR="00866CF7" w:rsidRPr="00000E4F" w:rsidRDefault="00866CF7">
      <w:pPr>
        <w:pStyle w:val="Innehll1"/>
      </w:pPr>
      <w:r w:rsidRPr="00000E4F">
        <w:t>2 Propositionen i huvuddrag</w:t>
      </w:r>
      <w:r w:rsidRPr="00000E4F">
        <w:tab/>
        <w:t>11</w:t>
      </w:r>
    </w:p>
    <w:p w:rsidR="00866CF7" w:rsidRPr="00000E4F" w:rsidRDefault="00866CF7">
      <w:pPr>
        <w:pStyle w:val="Innehll1"/>
      </w:pPr>
      <w:r w:rsidRPr="00000E4F">
        <w:t>3 Utgångspunkter för förslagen m.m., statens resp. parternas roll och ansvar för lönebildningen</w:t>
      </w:r>
      <w:r w:rsidRPr="00000E4F">
        <w:tab/>
        <w:t>11</w:t>
      </w:r>
    </w:p>
    <w:p w:rsidR="00866CF7" w:rsidRPr="00000E4F" w:rsidRDefault="00866CF7">
      <w:pPr>
        <w:pStyle w:val="Innehll1"/>
      </w:pPr>
      <w:r w:rsidRPr="00000E4F">
        <w:t>4 Inrättande av Medlingsinstitutet m.m.</w:t>
      </w:r>
      <w:r w:rsidRPr="00000E4F">
        <w:tab/>
        <w:t>22</w:t>
      </w:r>
    </w:p>
    <w:p w:rsidR="00866CF7" w:rsidRPr="00000E4F" w:rsidRDefault="00866CF7">
      <w:pPr>
        <w:pStyle w:val="Innehll1"/>
      </w:pPr>
      <w:r w:rsidRPr="00000E4F">
        <w:t>5 Regler vid avtalsförhandlingar och konflikt</w:t>
      </w:r>
      <w:r w:rsidRPr="00000E4F">
        <w:tab/>
        <w:t>27</w:t>
      </w:r>
    </w:p>
    <w:p w:rsidR="00866CF7" w:rsidRPr="00000E4F" w:rsidRDefault="00866CF7">
      <w:pPr>
        <w:pStyle w:val="Innehll2"/>
      </w:pPr>
      <w:r w:rsidRPr="00000E4F">
        <w:t>5.1 Medling m.m.</w:t>
      </w:r>
      <w:r w:rsidRPr="00000E4F">
        <w:tab/>
        <w:t>27</w:t>
      </w:r>
    </w:p>
    <w:p w:rsidR="00866CF7" w:rsidRPr="00000E4F" w:rsidRDefault="00866CF7">
      <w:pPr>
        <w:pStyle w:val="Innehll2"/>
      </w:pPr>
      <w:r w:rsidRPr="00000E4F">
        <w:t>5.2 Särregler för parter med förhandlingsordning</w:t>
      </w:r>
      <w:r w:rsidRPr="00000E4F">
        <w:tab/>
        <w:t>27</w:t>
      </w:r>
    </w:p>
    <w:p w:rsidR="00866CF7" w:rsidRPr="00000E4F" w:rsidRDefault="00866CF7">
      <w:pPr>
        <w:pStyle w:val="Innehll2"/>
      </w:pPr>
      <w:r w:rsidRPr="00000E4F">
        <w:t>5.3 Förlängd varseltid</w:t>
      </w:r>
      <w:r w:rsidRPr="00000E4F">
        <w:tab/>
        <w:t>28</w:t>
      </w:r>
    </w:p>
    <w:p w:rsidR="00866CF7" w:rsidRPr="00000E4F" w:rsidRDefault="00866CF7">
      <w:pPr>
        <w:pStyle w:val="Innehll2"/>
      </w:pPr>
      <w:r w:rsidRPr="00000E4F">
        <w:t>5.4 Varselavgift, uppskjutande av en varslad stridsåtgärd m.m.</w:t>
      </w:r>
      <w:r w:rsidRPr="00000E4F">
        <w:tab/>
        <w:t>29</w:t>
      </w:r>
    </w:p>
    <w:p w:rsidR="00866CF7" w:rsidRPr="00000E4F" w:rsidRDefault="00866CF7">
      <w:pPr>
        <w:pStyle w:val="Innehll2"/>
      </w:pPr>
      <w:r w:rsidRPr="00000E4F">
        <w:t>5.5 Verkan av uteblivet varsel</w:t>
      </w:r>
      <w:r w:rsidRPr="00000E4F">
        <w:tab/>
        <w:t>30</w:t>
      </w:r>
    </w:p>
    <w:p w:rsidR="00866CF7" w:rsidRPr="00000E4F" w:rsidRDefault="00866CF7">
      <w:pPr>
        <w:pStyle w:val="Innehll2"/>
      </w:pPr>
      <w:r w:rsidRPr="00000E4F">
        <w:t>5.6 Skiljeförfarande och skiljenämnd, förlikningsman, förlikningskommission m.m.</w:t>
      </w:r>
      <w:r w:rsidRPr="00000E4F">
        <w:tab/>
        <w:t>31</w:t>
      </w:r>
    </w:p>
    <w:p w:rsidR="00866CF7" w:rsidRPr="00000E4F" w:rsidRDefault="00866CF7">
      <w:pPr>
        <w:pStyle w:val="Innehll1"/>
      </w:pPr>
      <w:r w:rsidRPr="00000E4F">
        <w:t>6 Stridsåtgärder</w:t>
      </w:r>
      <w:r w:rsidRPr="00000E4F">
        <w:tab/>
        <w:t>32</w:t>
      </w:r>
    </w:p>
    <w:p w:rsidR="00866CF7" w:rsidRPr="00000E4F" w:rsidRDefault="00866CF7">
      <w:pPr>
        <w:pStyle w:val="Innehll2"/>
      </w:pPr>
      <w:r w:rsidRPr="00000E4F">
        <w:t>6.1 Stridsåtgärder mot enmans- och familjeföretag</w:t>
      </w:r>
      <w:r w:rsidRPr="00000E4F">
        <w:tab/>
        <w:t>32</w:t>
      </w:r>
    </w:p>
    <w:p w:rsidR="00866CF7" w:rsidRPr="00000E4F" w:rsidRDefault="00866CF7">
      <w:pPr>
        <w:pStyle w:val="Innehll2"/>
      </w:pPr>
      <w:r w:rsidRPr="00000E4F">
        <w:t>6.2 Stridsåtgärders proportionalitet m.m.</w:t>
      </w:r>
      <w:r w:rsidRPr="00000E4F">
        <w:tab/>
        <w:t>34</w:t>
      </w:r>
    </w:p>
    <w:p w:rsidR="00866CF7" w:rsidRPr="00000E4F" w:rsidRDefault="00866CF7">
      <w:pPr>
        <w:pStyle w:val="Innehll2"/>
      </w:pPr>
      <w:r w:rsidRPr="00000E4F">
        <w:t>6.3 Sympatiåtgärder</w:t>
      </w:r>
      <w:r w:rsidRPr="00000E4F">
        <w:tab/>
        <w:t>37</w:t>
      </w:r>
    </w:p>
    <w:p w:rsidR="00866CF7" w:rsidRPr="00000E4F" w:rsidRDefault="00866CF7">
      <w:pPr>
        <w:pStyle w:val="Innehll1"/>
      </w:pPr>
      <w:r w:rsidRPr="00000E4F">
        <w:t>7 Andra ändringar</w:t>
      </w:r>
      <w:r w:rsidRPr="00000E4F">
        <w:tab/>
        <w:t>38</w:t>
      </w:r>
    </w:p>
    <w:p w:rsidR="00866CF7" w:rsidRPr="00000E4F" w:rsidRDefault="00866CF7">
      <w:pPr>
        <w:pStyle w:val="Innehll1"/>
      </w:pPr>
      <w:r w:rsidRPr="00000E4F">
        <w:t>8 Antagande av propositionens lagförslag m.m.</w:t>
      </w:r>
      <w:r w:rsidRPr="00000E4F">
        <w:tab/>
        <w:t>42</w:t>
      </w:r>
    </w:p>
    <w:p w:rsidR="00866CF7" w:rsidRPr="00000E4F" w:rsidRDefault="00866CF7">
      <w:pPr>
        <w:pStyle w:val="Innehll2"/>
      </w:pPr>
      <w:r w:rsidRPr="00000E4F">
        <w:t>8.1 Ändringar i medbestämmandelagen</w:t>
      </w:r>
      <w:r w:rsidRPr="00000E4F">
        <w:tab/>
        <w:t>42</w:t>
      </w:r>
    </w:p>
    <w:p w:rsidR="00866CF7" w:rsidRPr="00000E4F" w:rsidRDefault="00866CF7">
      <w:pPr>
        <w:pStyle w:val="Innehll2"/>
      </w:pPr>
      <w:r w:rsidRPr="00000E4F">
        <w:t>8.2 Ändringar i sekretesslagen</w:t>
      </w:r>
      <w:r w:rsidRPr="00000E4F">
        <w:tab/>
        <w:t>42</w:t>
      </w:r>
    </w:p>
    <w:p w:rsidR="00866CF7" w:rsidRPr="00000E4F" w:rsidRDefault="00866CF7">
      <w:pPr>
        <w:pStyle w:val="Innehll1"/>
      </w:pPr>
      <w:r w:rsidRPr="00000E4F">
        <w:t>DEL II ARBETSRÄTTSLIGA MOTIONER</w:t>
      </w:r>
      <w:r w:rsidRPr="00000E4F">
        <w:tab/>
        <w:t>43</w:t>
      </w:r>
    </w:p>
    <w:p w:rsidR="00866CF7" w:rsidRPr="00000E4F" w:rsidRDefault="00866CF7">
      <w:pPr>
        <w:pStyle w:val="Innehll1"/>
      </w:pPr>
      <w:r w:rsidRPr="00000E4F">
        <w:t>1 Utredningar m.m.</w:t>
      </w:r>
      <w:r w:rsidRPr="00000E4F">
        <w:tab/>
        <w:t>43</w:t>
      </w:r>
    </w:p>
    <w:p w:rsidR="00866CF7" w:rsidRPr="00000E4F" w:rsidRDefault="00866CF7">
      <w:pPr>
        <w:pStyle w:val="Innehll1"/>
      </w:pPr>
      <w:r w:rsidRPr="00000E4F">
        <w:t>2 Anställningsskyddslagen</w:t>
      </w:r>
      <w:r w:rsidRPr="00000E4F">
        <w:tab/>
        <w:t>48</w:t>
      </w:r>
    </w:p>
    <w:p w:rsidR="00866CF7" w:rsidRPr="00000E4F" w:rsidRDefault="00866CF7">
      <w:pPr>
        <w:pStyle w:val="Innehll2"/>
      </w:pPr>
      <w:r w:rsidRPr="00000E4F">
        <w:t>2.1 Anställningsformer</w:t>
      </w:r>
      <w:r w:rsidRPr="00000E4F">
        <w:tab/>
        <w:t>48</w:t>
      </w:r>
    </w:p>
    <w:p w:rsidR="00866CF7" w:rsidRPr="00000E4F" w:rsidRDefault="00866CF7">
      <w:pPr>
        <w:pStyle w:val="Innehll2"/>
      </w:pPr>
      <w:r w:rsidRPr="00000E4F">
        <w:t>2.2 Dispositivitet m.m.</w:t>
      </w:r>
      <w:r w:rsidRPr="00000E4F">
        <w:tab/>
        <w:t>50</w:t>
      </w:r>
    </w:p>
    <w:p w:rsidR="00866CF7" w:rsidRPr="00000E4F" w:rsidRDefault="00866CF7">
      <w:pPr>
        <w:pStyle w:val="Innehll2"/>
      </w:pPr>
      <w:r w:rsidRPr="00000E4F">
        <w:t>2.3 Företrädesrätt</w:t>
      </w:r>
      <w:r w:rsidRPr="00000E4F">
        <w:tab/>
        <w:t>51</w:t>
      </w:r>
    </w:p>
    <w:p w:rsidR="00866CF7" w:rsidRPr="00000E4F" w:rsidRDefault="00866CF7">
      <w:pPr>
        <w:pStyle w:val="Innehll2"/>
      </w:pPr>
      <w:r w:rsidRPr="00000E4F">
        <w:t>2.4 Skadeståndsregler</w:t>
      </w:r>
      <w:r w:rsidRPr="00000E4F">
        <w:tab/>
        <w:t>53</w:t>
      </w:r>
    </w:p>
    <w:p w:rsidR="00866CF7" w:rsidRPr="00000E4F" w:rsidRDefault="00866CF7">
      <w:pPr>
        <w:pStyle w:val="Innehll1"/>
      </w:pPr>
      <w:r w:rsidRPr="00000E4F">
        <w:t>3 Medbestämmandelagen</w:t>
      </w:r>
      <w:r w:rsidRPr="00000E4F">
        <w:tab/>
        <w:t>54</w:t>
      </w:r>
    </w:p>
    <w:p w:rsidR="00866CF7" w:rsidRPr="00000E4F" w:rsidRDefault="00866CF7">
      <w:pPr>
        <w:pStyle w:val="Innehll1"/>
      </w:pPr>
      <w:r w:rsidRPr="00000E4F">
        <w:t>4 Rätt till ledighet</w:t>
      </w:r>
      <w:r w:rsidRPr="00000E4F">
        <w:tab/>
        <w:t>55</w:t>
      </w:r>
    </w:p>
    <w:p w:rsidR="00866CF7" w:rsidRPr="00000E4F" w:rsidRDefault="00866CF7">
      <w:pPr>
        <w:pStyle w:val="Innehll2"/>
      </w:pPr>
      <w:r w:rsidRPr="00000E4F">
        <w:t>4.1 Semesterlagen</w:t>
      </w:r>
      <w:r w:rsidRPr="00000E4F">
        <w:tab/>
        <w:t>55</w:t>
      </w:r>
    </w:p>
    <w:p w:rsidR="00866CF7" w:rsidRPr="00000E4F" w:rsidRDefault="00866CF7">
      <w:pPr>
        <w:pStyle w:val="Innehll2"/>
      </w:pPr>
      <w:r w:rsidRPr="00000E4F">
        <w:t>4.2 Föräldraledighetslagen</w:t>
      </w:r>
      <w:r w:rsidRPr="00000E4F">
        <w:tab/>
        <w:t>57</w:t>
      </w:r>
    </w:p>
    <w:p w:rsidR="00866CF7" w:rsidRPr="00000E4F" w:rsidRDefault="00866CF7">
      <w:pPr>
        <w:pStyle w:val="Innehll2"/>
      </w:pPr>
      <w:r w:rsidRPr="00000E4F">
        <w:t>4.3 Rätt till ledighet för att bedriva näringsverksamhet</w:t>
      </w:r>
      <w:r w:rsidRPr="00000E4F">
        <w:tab/>
        <w:t>59</w:t>
      </w:r>
    </w:p>
    <w:p w:rsidR="00866CF7" w:rsidRPr="00000E4F" w:rsidRDefault="00866CF7">
      <w:pPr>
        <w:pStyle w:val="Innehll2"/>
      </w:pPr>
      <w:r w:rsidRPr="00000E4F">
        <w:t>4.4 Övriga ledighetsfrågor</w:t>
      </w:r>
      <w:r w:rsidRPr="00000E4F">
        <w:tab/>
        <w:t>59</w:t>
      </w:r>
    </w:p>
    <w:p w:rsidR="00866CF7" w:rsidRPr="00000E4F" w:rsidRDefault="00866CF7">
      <w:pPr>
        <w:pStyle w:val="Innehll1"/>
      </w:pPr>
      <w:r w:rsidRPr="00000E4F">
        <w:t>5 Arbetsdomstolen</w:t>
      </w:r>
      <w:r w:rsidRPr="00000E4F">
        <w:tab/>
        <w:t>61</w:t>
      </w:r>
    </w:p>
    <w:p w:rsidR="00866CF7" w:rsidRPr="00000E4F" w:rsidRDefault="00866CF7">
      <w:pPr>
        <w:pStyle w:val="Innehll1"/>
      </w:pPr>
      <w:r w:rsidRPr="00000E4F">
        <w:t>6 Statens pensionsverk (SPV)</w:t>
      </w:r>
      <w:r w:rsidRPr="00000E4F">
        <w:tab/>
        <w:t>62</w:t>
      </w:r>
    </w:p>
    <w:p w:rsidR="00866CF7" w:rsidRPr="00000E4F" w:rsidRDefault="00866CF7">
      <w:pPr>
        <w:pStyle w:val="Innehll1"/>
      </w:pPr>
      <w:r w:rsidRPr="00000E4F">
        <w:t>7 Stuverimonopolet m.m.</w:t>
      </w:r>
      <w:r w:rsidRPr="00000E4F">
        <w:tab/>
        <w:t>63</w:t>
      </w:r>
    </w:p>
    <w:p w:rsidR="00866CF7" w:rsidRPr="00000E4F" w:rsidRDefault="00866CF7">
      <w:pPr>
        <w:pStyle w:val="Innehll2"/>
      </w:pPr>
      <w:r w:rsidRPr="00000E4F">
        <w:t>Hemställan</w:t>
      </w:r>
      <w:r w:rsidRPr="00000E4F">
        <w:tab/>
        <w:t>66</w:t>
      </w:r>
    </w:p>
    <w:p w:rsidR="00866CF7" w:rsidRPr="00000E4F" w:rsidRDefault="00866CF7">
      <w:pPr>
        <w:pStyle w:val="Innehll1"/>
      </w:pPr>
      <w:r w:rsidRPr="00000E4F">
        <w:t>Reservationer</w:t>
      </w:r>
      <w:r w:rsidRPr="00000E4F">
        <w:tab/>
        <w:t>71</w:t>
      </w:r>
    </w:p>
    <w:p w:rsidR="00866CF7" w:rsidRPr="00000E4F" w:rsidRDefault="00866CF7">
      <w:pPr>
        <w:pStyle w:val="Innehll2"/>
      </w:pPr>
      <w:r w:rsidRPr="00000E4F">
        <w:t>Del I</w:t>
      </w:r>
      <w:r w:rsidRPr="00000E4F">
        <w:tab/>
        <w:t>71</w:t>
      </w:r>
    </w:p>
    <w:p w:rsidR="00866CF7" w:rsidRPr="00000E4F" w:rsidRDefault="00866CF7">
      <w:pPr>
        <w:pStyle w:val="Innehll2"/>
      </w:pPr>
      <w:r w:rsidRPr="00000E4F">
        <w:t>1. Statsmakternas ansvar för lönebildningen (mom. 1), (m)</w:t>
      </w:r>
      <w:r w:rsidRPr="00000E4F">
        <w:tab/>
        <w:t>71</w:t>
      </w:r>
    </w:p>
    <w:p w:rsidR="00866CF7" w:rsidRPr="00000E4F" w:rsidRDefault="00866CF7">
      <w:pPr>
        <w:pStyle w:val="Innehll2"/>
      </w:pPr>
      <w:r w:rsidRPr="00000E4F">
        <w:t>2. Innebörden av en välfungerande lönebildning m.m. (mom. 2), (m, kd, fp)</w:t>
      </w:r>
      <w:r w:rsidRPr="00000E4F">
        <w:tab/>
        <w:t>72</w:t>
      </w:r>
    </w:p>
    <w:p w:rsidR="00866CF7" w:rsidRPr="00000E4F" w:rsidRDefault="00866CF7">
      <w:pPr>
        <w:pStyle w:val="Innehll2"/>
      </w:pPr>
      <w:r w:rsidRPr="00000E4F">
        <w:t>3. Avslag på förslaget om Medlingsinstitutet m.m. (mom. 3), (m)</w:t>
      </w:r>
      <w:r w:rsidRPr="00000E4F">
        <w:tab/>
        <w:t>74</w:t>
      </w:r>
    </w:p>
    <w:p w:rsidR="00866CF7" w:rsidRPr="00000E4F" w:rsidRDefault="00866CF7">
      <w:pPr>
        <w:pStyle w:val="Innehll2"/>
      </w:pPr>
      <w:r w:rsidRPr="00000E4F">
        <w:t>4. Utvärdering av Medlingsinstitutet m.m. (mom. 5), (fp)</w:t>
      </w:r>
      <w:r w:rsidRPr="00000E4F">
        <w:tab/>
        <w:t>75</w:t>
      </w:r>
    </w:p>
    <w:p w:rsidR="00866CF7" w:rsidRPr="00000E4F" w:rsidRDefault="00866CF7">
      <w:pPr>
        <w:pStyle w:val="Innehll2"/>
      </w:pPr>
      <w:r w:rsidRPr="00000E4F">
        <w:t>5. Förlängd varseltid (mom. 7), (m)</w:t>
      </w:r>
      <w:r w:rsidRPr="00000E4F">
        <w:tab/>
        <w:t>75</w:t>
      </w:r>
    </w:p>
    <w:p w:rsidR="00866CF7" w:rsidRPr="00000E4F" w:rsidRDefault="00866CF7">
      <w:pPr>
        <w:pStyle w:val="Innehll2"/>
      </w:pPr>
      <w:r w:rsidRPr="00000E4F">
        <w:t>6. Verkan av uteblivet varsel (mom. 8), (m)</w:t>
      </w:r>
      <w:r w:rsidRPr="00000E4F">
        <w:tab/>
        <w:t>76</w:t>
      </w:r>
    </w:p>
    <w:p w:rsidR="00866CF7" w:rsidRPr="00000E4F" w:rsidRDefault="00866CF7">
      <w:pPr>
        <w:pStyle w:val="Innehll2"/>
      </w:pPr>
      <w:r w:rsidRPr="00000E4F">
        <w:t>7. Blockad mot enmans- och familjeföretag (mom. 9), (s, v)</w:t>
      </w:r>
      <w:r w:rsidRPr="00000E4F">
        <w:tab/>
        <w:t>77</w:t>
      </w:r>
    </w:p>
    <w:p w:rsidR="00866CF7" w:rsidRPr="00000E4F" w:rsidRDefault="00866CF7">
      <w:pPr>
        <w:pStyle w:val="Innehll2"/>
      </w:pPr>
      <w:r w:rsidRPr="00000E4F">
        <w:t>8. Stridsåtgärders proportionalitet (mom. 10), (m)</w:t>
      </w:r>
      <w:r w:rsidRPr="00000E4F">
        <w:tab/>
        <w:t>78</w:t>
      </w:r>
    </w:p>
    <w:p w:rsidR="00866CF7" w:rsidRPr="00000E4F" w:rsidRDefault="00866CF7">
      <w:pPr>
        <w:pStyle w:val="Innehll2"/>
      </w:pPr>
      <w:r w:rsidRPr="00000E4F">
        <w:t>9. Stridsåtgärders proportionalitet (mom. 10), (kd, c, fp)</w:t>
      </w:r>
      <w:r w:rsidRPr="00000E4F">
        <w:tab/>
        <w:t>79</w:t>
      </w:r>
    </w:p>
    <w:p w:rsidR="00866CF7" w:rsidRPr="00000E4F" w:rsidRDefault="00866CF7">
      <w:pPr>
        <w:pStyle w:val="Innehll2"/>
      </w:pPr>
      <w:r w:rsidRPr="00000E4F">
        <w:t>10. Samhällsfarliga konflikter (mom. 11), (kd, fp)</w:t>
      </w:r>
      <w:r w:rsidRPr="00000E4F">
        <w:tab/>
        <w:t>80</w:t>
      </w:r>
    </w:p>
    <w:p w:rsidR="00866CF7" w:rsidRPr="00000E4F" w:rsidRDefault="00866CF7">
      <w:pPr>
        <w:pStyle w:val="Innehll2"/>
      </w:pPr>
      <w:r w:rsidRPr="00000E4F">
        <w:t>11. Sympatiåtgärder (mom. 12), (m, kd)</w:t>
      </w:r>
      <w:r w:rsidRPr="00000E4F">
        <w:tab/>
        <w:t>80</w:t>
      </w:r>
    </w:p>
    <w:p w:rsidR="00866CF7" w:rsidRPr="00000E4F" w:rsidRDefault="00866CF7">
      <w:pPr>
        <w:pStyle w:val="Innehll2"/>
      </w:pPr>
      <w:r w:rsidRPr="00000E4F">
        <w:t>12. Statistikansvarig myndighet (mom. 13), (m, kd, c, fp)</w:t>
      </w:r>
      <w:r w:rsidRPr="00000E4F">
        <w:tab/>
        <w:t>81</w:t>
      </w:r>
    </w:p>
    <w:p w:rsidR="00866CF7" w:rsidRPr="00000E4F" w:rsidRDefault="00866CF7">
      <w:pPr>
        <w:pStyle w:val="Innehll2"/>
      </w:pPr>
      <w:r w:rsidRPr="00000E4F">
        <w:t>13. Övriga uppgifter för Medlingsinstitutet (mom. 14), (m)</w:t>
      </w:r>
      <w:r w:rsidRPr="00000E4F">
        <w:tab/>
        <w:t>82</w:t>
      </w:r>
    </w:p>
    <w:p w:rsidR="00866CF7" w:rsidRPr="00000E4F" w:rsidRDefault="00866CF7">
      <w:pPr>
        <w:pStyle w:val="Innehll2"/>
      </w:pPr>
      <w:r w:rsidRPr="00000E4F">
        <w:t>Del II</w:t>
      </w:r>
      <w:r w:rsidRPr="00000E4F">
        <w:tab/>
        <w:t>82</w:t>
      </w:r>
    </w:p>
    <w:p w:rsidR="00866CF7" w:rsidRPr="00000E4F" w:rsidRDefault="00866CF7">
      <w:pPr>
        <w:pStyle w:val="Innehll2"/>
      </w:pPr>
      <w:r w:rsidRPr="00000E4F">
        <w:t>14. Utredning av arbetsrätten m.m. (mom. 17), (m, kd, c, fp)</w:t>
      </w:r>
      <w:r w:rsidRPr="00000E4F">
        <w:tab/>
        <w:t>82</w:t>
      </w:r>
    </w:p>
    <w:p w:rsidR="00866CF7" w:rsidRPr="00000E4F" w:rsidRDefault="00866CF7">
      <w:pPr>
        <w:pStyle w:val="Innehll2"/>
      </w:pPr>
      <w:r w:rsidRPr="00000E4F">
        <w:t>15. Visstidsanställningar m.m. (mom. 19), (m, kd)</w:t>
      </w:r>
      <w:r w:rsidRPr="00000E4F">
        <w:tab/>
        <w:t>83</w:t>
      </w:r>
    </w:p>
    <w:p w:rsidR="00866CF7" w:rsidRPr="00000E4F" w:rsidRDefault="00866CF7">
      <w:pPr>
        <w:pStyle w:val="Innehll2"/>
      </w:pPr>
      <w:r w:rsidRPr="00000E4F">
        <w:t>16. Visstidsanställningar m.m. (mom. 19), (v)</w:t>
      </w:r>
      <w:r w:rsidRPr="00000E4F">
        <w:tab/>
        <w:t>84</w:t>
      </w:r>
    </w:p>
    <w:p w:rsidR="00866CF7" w:rsidRPr="00000E4F" w:rsidRDefault="00866CF7">
      <w:pPr>
        <w:pStyle w:val="Innehll2"/>
      </w:pPr>
      <w:r w:rsidRPr="00000E4F">
        <w:t>17. Pensionsförmåner (mom. 20), (m)</w:t>
      </w:r>
      <w:r w:rsidRPr="00000E4F">
        <w:tab/>
        <w:t>85</w:t>
      </w:r>
    </w:p>
    <w:p w:rsidR="00866CF7" w:rsidRPr="00000E4F" w:rsidRDefault="00866CF7">
      <w:pPr>
        <w:pStyle w:val="Innehll2"/>
      </w:pPr>
      <w:r w:rsidRPr="00000E4F">
        <w:t>18. Lokala avtal (mom. 21), (m, kd, c)</w:t>
      </w:r>
      <w:r w:rsidRPr="00000E4F">
        <w:tab/>
        <w:t>85</w:t>
      </w:r>
    </w:p>
    <w:p w:rsidR="00866CF7" w:rsidRPr="00000E4F" w:rsidRDefault="00866CF7">
      <w:pPr>
        <w:pStyle w:val="Innehll2"/>
      </w:pPr>
      <w:r w:rsidRPr="00000E4F">
        <w:t>19. Lokala avtal (mom. 21), (v)</w:t>
      </w:r>
      <w:r w:rsidRPr="00000E4F">
        <w:tab/>
        <w:t>86</w:t>
      </w:r>
    </w:p>
    <w:p w:rsidR="00866CF7" w:rsidRPr="00000E4F" w:rsidRDefault="00866CF7">
      <w:pPr>
        <w:pStyle w:val="Innehll2"/>
      </w:pPr>
      <w:r w:rsidRPr="00000E4F">
        <w:t>20. Avsteg från anställningsskyddslagen (mom. 22), (m)</w:t>
      </w:r>
      <w:r w:rsidRPr="00000E4F">
        <w:tab/>
        <w:t>87</w:t>
      </w:r>
    </w:p>
    <w:p w:rsidR="00866CF7" w:rsidRPr="00000E4F" w:rsidRDefault="00866CF7">
      <w:pPr>
        <w:pStyle w:val="Innehll2"/>
      </w:pPr>
      <w:r w:rsidRPr="00000E4F">
        <w:t>21. Återanställningsrätt (mom. 23), (m, kd)</w:t>
      </w:r>
      <w:r w:rsidRPr="00000E4F">
        <w:tab/>
        <w:t>88</w:t>
      </w:r>
    </w:p>
    <w:p w:rsidR="00866CF7" w:rsidRPr="00000E4F" w:rsidRDefault="00866CF7">
      <w:pPr>
        <w:pStyle w:val="Innehll2"/>
      </w:pPr>
      <w:r w:rsidRPr="00000E4F">
        <w:t>22. Återanställningsrätt (mom. 23), (v)</w:t>
      </w:r>
      <w:r w:rsidRPr="00000E4F">
        <w:tab/>
        <w:t>88</w:t>
      </w:r>
    </w:p>
    <w:p w:rsidR="00866CF7" w:rsidRPr="00000E4F" w:rsidRDefault="00866CF7">
      <w:pPr>
        <w:pStyle w:val="Innehll2"/>
      </w:pPr>
      <w:r w:rsidRPr="00000E4F">
        <w:t>23. Tillräckliga kvalifikationer (mom. 24), (v)</w:t>
      </w:r>
      <w:r w:rsidRPr="00000E4F">
        <w:tab/>
        <w:t>89</w:t>
      </w:r>
    </w:p>
    <w:p w:rsidR="00866CF7" w:rsidRPr="00000E4F" w:rsidRDefault="00866CF7">
      <w:pPr>
        <w:pStyle w:val="Innehll2"/>
      </w:pPr>
      <w:r w:rsidRPr="00000E4F">
        <w:t>24. Skadestånd vid ogiltigförklaring av uppsägning (mom. 25), (v)</w:t>
      </w:r>
      <w:r w:rsidRPr="00000E4F">
        <w:tab/>
        <w:t>89</w:t>
      </w:r>
    </w:p>
    <w:p w:rsidR="00866CF7" w:rsidRPr="00000E4F" w:rsidRDefault="00866CF7">
      <w:pPr>
        <w:pStyle w:val="Innehll2"/>
      </w:pPr>
      <w:r w:rsidRPr="00000E4F">
        <w:t>25. Vetoregler (mom. 27), (m, kd, fp)</w:t>
      </w:r>
      <w:r w:rsidRPr="00000E4F">
        <w:tab/>
        <w:t>90</w:t>
      </w:r>
    </w:p>
    <w:p w:rsidR="00866CF7" w:rsidRPr="00000E4F" w:rsidRDefault="00866CF7">
      <w:pPr>
        <w:pStyle w:val="Innehll2"/>
      </w:pPr>
      <w:r w:rsidRPr="00000E4F">
        <w:t>26. Semesterlön vid särskilt utbildningsbidrag (mom. 29), (m, kd, c, fp)</w:t>
      </w:r>
      <w:r w:rsidRPr="00000E4F">
        <w:tab/>
        <w:t>91</w:t>
      </w:r>
    </w:p>
    <w:p w:rsidR="00866CF7" w:rsidRPr="00000E4F" w:rsidRDefault="00866CF7">
      <w:pPr>
        <w:pStyle w:val="Innehll2"/>
      </w:pPr>
      <w:r w:rsidRPr="00000E4F">
        <w:t>27. Utredning om semesterlagen (mom. 30), (m, kd, c, fp)</w:t>
      </w:r>
      <w:r w:rsidRPr="00000E4F">
        <w:tab/>
        <w:t>91</w:t>
      </w:r>
    </w:p>
    <w:p w:rsidR="00866CF7" w:rsidRPr="00000E4F" w:rsidRDefault="00866CF7">
      <w:pPr>
        <w:pStyle w:val="Innehll2"/>
      </w:pPr>
      <w:r w:rsidRPr="00000E4F">
        <w:t>28. Förlängd föräldraledighet (mom. 31), (kd)</w:t>
      </w:r>
      <w:r w:rsidRPr="00000E4F">
        <w:tab/>
        <w:t>92</w:t>
      </w:r>
    </w:p>
    <w:p w:rsidR="00866CF7" w:rsidRPr="00000E4F" w:rsidRDefault="00866CF7">
      <w:pPr>
        <w:pStyle w:val="Innehll2"/>
      </w:pPr>
      <w:r w:rsidRPr="00000E4F">
        <w:t>29. Föräldraledighetslagens skyddsregler (mom. 32), (v, mp)</w:t>
      </w:r>
      <w:r w:rsidRPr="00000E4F">
        <w:tab/>
        <w:t>92</w:t>
      </w:r>
    </w:p>
    <w:p w:rsidR="00866CF7" w:rsidRPr="00000E4F" w:rsidRDefault="00866CF7">
      <w:pPr>
        <w:pStyle w:val="Innehll2"/>
      </w:pPr>
      <w:r w:rsidRPr="00000E4F">
        <w:t>30. Ledighet för att bedriva näringsverksamhet (mom. 34), (m)</w:t>
      </w:r>
      <w:r w:rsidRPr="00000E4F">
        <w:tab/>
        <w:t>93</w:t>
      </w:r>
    </w:p>
    <w:p w:rsidR="00866CF7" w:rsidRPr="00000E4F" w:rsidRDefault="00866CF7">
      <w:pPr>
        <w:pStyle w:val="Innehll2"/>
      </w:pPr>
      <w:r w:rsidRPr="00000E4F">
        <w:t>31. Ledighet för närståendevård (mom. 35), (kd)</w:t>
      </w:r>
      <w:r w:rsidRPr="00000E4F">
        <w:tab/>
        <w:t>94</w:t>
      </w:r>
    </w:p>
    <w:p w:rsidR="00866CF7" w:rsidRPr="00000E4F" w:rsidRDefault="00866CF7">
      <w:pPr>
        <w:pStyle w:val="Innehll2"/>
      </w:pPr>
      <w:r w:rsidRPr="00000E4F">
        <w:t>32. Avskaffande av Arbetsdomstolen (mom. 38), (m)</w:t>
      </w:r>
      <w:r w:rsidRPr="00000E4F">
        <w:tab/>
        <w:t>94</w:t>
      </w:r>
    </w:p>
    <w:p w:rsidR="00866CF7" w:rsidRPr="00000E4F" w:rsidRDefault="00866CF7">
      <w:pPr>
        <w:pStyle w:val="Innehll2"/>
      </w:pPr>
      <w:r w:rsidRPr="00000E4F">
        <w:t>33. SPV:s verksamhet (mom. 39), (m)</w:t>
      </w:r>
      <w:r w:rsidRPr="00000E4F">
        <w:tab/>
        <w:t>95</w:t>
      </w:r>
    </w:p>
    <w:p w:rsidR="00866CF7" w:rsidRPr="00000E4F" w:rsidRDefault="00866CF7">
      <w:pPr>
        <w:pStyle w:val="Innehll2"/>
      </w:pPr>
      <w:r w:rsidRPr="00000E4F">
        <w:t>34. Stuverimonopolet m.m. (mom. 40), (m, fp)</w:t>
      </w:r>
      <w:r w:rsidRPr="00000E4F">
        <w:tab/>
        <w:t>96</w:t>
      </w:r>
    </w:p>
    <w:p w:rsidR="00866CF7" w:rsidRPr="00000E4F" w:rsidRDefault="00866CF7">
      <w:pPr>
        <w:pStyle w:val="Innehll2"/>
      </w:pPr>
      <w:r w:rsidRPr="00000E4F">
        <w:t>35. Stuverimonopolet m.m. (mom. 40), (kd)</w:t>
      </w:r>
      <w:r w:rsidRPr="00000E4F">
        <w:tab/>
        <w:t>96</w:t>
      </w:r>
    </w:p>
    <w:p w:rsidR="00866CF7" w:rsidRPr="00000E4F" w:rsidRDefault="00866CF7">
      <w:pPr>
        <w:pStyle w:val="Innehll2"/>
      </w:pPr>
      <w:r w:rsidRPr="00000E4F">
        <w:t>36. Lex Britannia (mom. 41), (m, fp)</w:t>
      </w:r>
      <w:r w:rsidRPr="00000E4F">
        <w:tab/>
        <w:t>97</w:t>
      </w:r>
    </w:p>
    <w:p w:rsidR="00866CF7" w:rsidRPr="00000E4F" w:rsidRDefault="00866CF7">
      <w:pPr>
        <w:pStyle w:val="Innehll2"/>
      </w:pPr>
      <w:r w:rsidRPr="00000E4F">
        <w:t>37. Övergångsdirektivet (mom. 42), (m)</w:t>
      </w:r>
      <w:r w:rsidRPr="00000E4F">
        <w:tab/>
        <w:t>97</w:t>
      </w:r>
    </w:p>
    <w:p w:rsidR="00866CF7" w:rsidRPr="00000E4F" w:rsidRDefault="00866CF7">
      <w:pPr>
        <w:pStyle w:val="Innehll2"/>
      </w:pPr>
      <w:r w:rsidRPr="00000E4F">
        <w:t>38. Sjuklön m.m. för sjömän (mom. 43), (m)</w:t>
      </w:r>
      <w:r w:rsidRPr="00000E4F">
        <w:tab/>
        <w:t>98</w:t>
      </w:r>
    </w:p>
    <w:p w:rsidR="00866CF7" w:rsidRPr="00000E4F" w:rsidRDefault="00866CF7">
      <w:pPr>
        <w:pStyle w:val="Innehll1"/>
      </w:pPr>
      <w:r w:rsidRPr="00000E4F">
        <w:t>Särskilda yttranden</w:t>
      </w:r>
      <w:r w:rsidRPr="00000E4F">
        <w:tab/>
        <w:t>99</w:t>
      </w:r>
    </w:p>
    <w:p w:rsidR="00866CF7" w:rsidRPr="00000E4F" w:rsidRDefault="00866CF7">
      <w:pPr>
        <w:pStyle w:val="Innehll2"/>
      </w:pPr>
      <w:r w:rsidRPr="00000E4F">
        <w:t>Del I</w:t>
      </w:r>
      <w:r w:rsidRPr="00000E4F">
        <w:tab/>
        <w:t>99</w:t>
      </w:r>
    </w:p>
    <w:p w:rsidR="00866CF7" w:rsidRPr="00000E4F" w:rsidRDefault="00866CF7">
      <w:pPr>
        <w:pStyle w:val="Innehll2"/>
      </w:pPr>
      <w:r w:rsidRPr="00000E4F">
        <w:t>1. Utskottets handläggning av ärendet, (m, kd, c, fp)</w:t>
      </w:r>
      <w:r w:rsidRPr="00000E4F">
        <w:tab/>
        <w:t>99</w:t>
      </w:r>
    </w:p>
    <w:p w:rsidR="00866CF7" w:rsidRPr="00000E4F" w:rsidRDefault="00866CF7">
      <w:pPr>
        <w:pStyle w:val="Innehll2"/>
      </w:pPr>
      <w:r w:rsidRPr="00000E4F">
        <w:t>2. Inrättande av Medlingsinstitutet, jämställdhet och diskriminering m.m., (kd)</w:t>
      </w:r>
      <w:r w:rsidRPr="00000E4F">
        <w:tab/>
        <w:t>100</w:t>
      </w:r>
    </w:p>
    <w:p w:rsidR="00866CF7" w:rsidRPr="00000E4F" w:rsidRDefault="00866CF7">
      <w:pPr>
        <w:pStyle w:val="Innehll2"/>
      </w:pPr>
      <w:r w:rsidRPr="00000E4F">
        <w:t>3. Lönebildningen, (c)</w:t>
      </w:r>
      <w:r w:rsidRPr="00000E4F">
        <w:tab/>
        <w:t>100</w:t>
      </w:r>
    </w:p>
    <w:p w:rsidR="00866CF7" w:rsidRPr="00000E4F" w:rsidRDefault="00866CF7">
      <w:pPr>
        <w:pStyle w:val="Innehll2"/>
      </w:pPr>
      <w:r w:rsidRPr="00000E4F">
        <w:t>Del II</w:t>
      </w:r>
      <w:r w:rsidRPr="00000E4F">
        <w:tab/>
        <w:t>101</w:t>
      </w:r>
    </w:p>
    <w:p w:rsidR="00866CF7" w:rsidRPr="00000E4F" w:rsidRDefault="00866CF7">
      <w:pPr>
        <w:pStyle w:val="Innehll2"/>
      </w:pPr>
      <w:r w:rsidRPr="00000E4F">
        <w:t>4. Ledighet för att bedriva näringsverksamhet (mom. 34), (fp)</w:t>
      </w:r>
      <w:r w:rsidRPr="00000E4F">
        <w:tab/>
        <w:t>101</w:t>
      </w:r>
    </w:p>
    <w:p w:rsidR="00866CF7" w:rsidRPr="00000E4F" w:rsidRDefault="00866CF7">
      <w:pPr>
        <w:pStyle w:val="Innehll2"/>
      </w:pPr>
      <w:r w:rsidRPr="00000E4F">
        <w:t>5. Avskaffande av Arbetsdomstolen (mom. 38), (kd)</w:t>
      </w:r>
      <w:r w:rsidRPr="00000E4F">
        <w:tab/>
        <w:t>101</w:t>
      </w:r>
    </w:p>
    <w:p w:rsidR="00866CF7" w:rsidRPr="00000E4F" w:rsidRDefault="00866CF7">
      <w:pPr>
        <w:pStyle w:val="Innehll1"/>
        <w:rPr>
          <w:b/>
        </w:rPr>
      </w:pPr>
      <w:r w:rsidRPr="00000E4F">
        <w:rPr>
          <w:b/>
        </w:rPr>
        <w:t>Bilagor</w:t>
      </w:r>
    </w:p>
    <w:p w:rsidR="00866CF7" w:rsidRPr="00000E4F" w:rsidRDefault="00866CF7">
      <w:pPr>
        <w:pStyle w:val="Innehll1"/>
      </w:pPr>
      <w:r w:rsidRPr="00000E4F">
        <w:t>Propositionens lagförslag</w:t>
      </w:r>
      <w:r w:rsidRPr="00000E4F">
        <w:tab/>
        <w:t>103</w:t>
      </w:r>
    </w:p>
    <w:p w:rsidR="00866CF7" w:rsidRPr="00000E4F" w:rsidRDefault="00866CF7">
      <w:pPr>
        <w:pStyle w:val="Innehll1"/>
      </w:pPr>
      <w:r w:rsidRPr="00000E4F">
        <w:t>Av utskottet framlagda lagförslag</w:t>
      </w:r>
      <w:r w:rsidRPr="00000E4F">
        <w:tab/>
        <w:t>112</w:t>
      </w:r>
    </w:p>
    <w:p w:rsidR="00866CF7" w:rsidRPr="00000E4F" w:rsidRDefault="00866CF7">
      <w:pPr>
        <w:pStyle w:val="Innehll1"/>
      </w:pPr>
      <w:r w:rsidRPr="00000E4F">
        <w:t>Reservanternas lagförslag</w:t>
      </w:r>
      <w:r w:rsidRPr="00000E4F">
        <w:tab/>
        <w:t>115</w:t>
      </w:r>
    </w:p>
    <w:p w:rsidR="00866CF7" w:rsidRPr="00000E4F" w:rsidRDefault="00866CF7"/>
    <w:p w:rsidR="00866CF7" w:rsidRPr="00000E4F" w:rsidRDefault="00866CF7">
      <w:pPr>
        <w:pStyle w:val="Tryckort"/>
        <w:framePr w:wrap="around"/>
      </w:pPr>
      <w:r w:rsidRPr="00000E4F">
        <w:t>Elanders Gotab, Stockholm  2000</w:t>
      </w:r>
    </w:p>
    <w:p w:rsidR="00866CF7" w:rsidRPr="00000E4F" w:rsidRDefault="00866CF7">
      <w:pPr>
        <w:pStyle w:val="Normaltindrag"/>
      </w:pPr>
    </w:p>
    <w:sectPr w:rsidR="00866CF7" w:rsidRPr="00000E4F">
      <w:headerReference w:type="default" r:id="rId22"/>
      <w:footerReference w:type="default" r:id="rId23"/>
      <w:pgSz w:w="11906" w:h="16838" w:code="9"/>
      <w:pgMar w:top="567" w:right="4876" w:bottom="4508" w:left="1134" w:header="227" w:footer="22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66CF7" w:rsidRDefault="00866CF7">
      <w:pPr>
        <w:spacing w:before="0" w:line="240" w:lineRule="auto"/>
      </w:pPr>
      <w:r>
        <w:separator/>
      </w:r>
    </w:p>
  </w:endnote>
  <w:endnote w:type="continuationSeparator" w:id="0">
    <w:p w:rsidR="00866CF7" w:rsidRDefault="00866CF7">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66CF7" w:rsidRDefault="00866CF7">
    <w:pPr>
      <w:pStyle w:val="SidfotH"/>
      <w:framePr w:wrap="around"/>
    </w:pPr>
    <w:r>
      <w:fldChar w:fldCharType="begin" w:fldLock="1"/>
    </w:r>
    <w:r>
      <w:instrText xml:space="preserve"> P</w:instrText>
    </w:r>
    <w:r>
      <w:instrText>A</w:instrText>
    </w:r>
    <w:r>
      <w:instrText xml:space="preserve">GE </w:instrText>
    </w:r>
    <w:r>
      <w:fldChar w:fldCharType="separate"/>
    </w:r>
    <w:r>
      <w:rPr>
        <w:noProof/>
      </w:rPr>
      <w:t>1</w:t>
    </w:r>
    <w:r>
      <w:fldChar w:fldCharType="end"/>
    </w:r>
  </w:p>
  <w:p w:rsidR="00866CF7" w:rsidRDefault="00866CF7">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66CF7" w:rsidRDefault="00866CF7">
    <w:pPr>
      <w:pStyle w:val="SidfotH"/>
      <w:framePr w:wrap="around"/>
    </w:pPr>
    <w:r>
      <w:fldChar w:fldCharType="begin" w:fldLock="1"/>
    </w:r>
    <w:r>
      <w:instrText xml:space="preserve"> P</w:instrText>
    </w:r>
    <w:r>
      <w:instrText>A</w:instrText>
    </w:r>
    <w:r>
      <w:instrText xml:space="preserve">GE </w:instrText>
    </w:r>
    <w:r>
      <w:fldChar w:fldCharType="separate"/>
    </w:r>
    <w:r>
      <w:rPr>
        <w:noProof/>
      </w:rPr>
      <w:t>71</w:t>
    </w:r>
    <w:r>
      <w:fldChar w:fldCharType="end"/>
    </w:r>
  </w:p>
  <w:p w:rsidR="00866CF7" w:rsidRDefault="00866CF7">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66CF7" w:rsidRDefault="00866CF7">
    <w:pPr>
      <w:pStyle w:val="SidfotH"/>
      <w:framePr w:wrap="around"/>
    </w:pPr>
    <w:r>
      <w:fldChar w:fldCharType="begin" w:fldLock="1"/>
    </w:r>
    <w:r>
      <w:instrText xml:space="preserve"> P</w:instrText>
    </w:r>
    <w:r>
      <w:instrText>A</w:instrText>
    </w:r>
    <w:r>
      <w:instrText xml:space="preserve">GE </w:instrText>
    </w:r>
    <w:r>
      <w:fldChar w:fldCharType="separate"/>
    </w:r>
    <w:r>
      <w:rPr>
        <w:noProof/>
      </w:rPr>
      <w:t>102</w:t>
    </w:r>
    <w:r>
      <w:fldChar w:fldCharType="end"/>
    </w:r>
  </w:p>
  <w:p w:rsidR="00866CF7" w:rsidRDefault="00866CF7">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66CF7" w:rsidRDefault="00866CF7">
    <w:pPr>
      <w:pStyle w:val="SidfotH"/>
      <w:framePr w:wrap="around"/>
    </w:pPr>
    <w:r>
      <w:fldChar w:fldCharType="begin" w:fldLock="1"/>
    </w:r>
    <w:r>
      <w:instrText xml:space="preserve"> P</w:instrText>
    </w:r>
    <w:r>
      <w:instrText>A</w:instrText>
    </w:r>
    <w:r>
      <w:instrText xml:space="preserve">GE </w:instrText>
    </w:r>
    <w:r>
      <w:fldChar w:fldCharType="separate"/>
    </w:r>
    <w:r>
      <w:rPr>
        <w:noProof/>
      </w:rPr>
      <w:t>111</w:t>
    </w:r>
    <w:r>
      <w:fldChar w:fldCharType="end"/>
    </w:r>
  </w:p>
  <w:p w:rsidR="00866CF7" w:rsidRDefault="00866CF7">
    <w:pPr>
      <w:pStyle w:val="Sidfo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66CF7" w:rsidRDefault="00866CF7">
    <w:pPr>
      <w:pStyle w:val="SidfotH"/>
      <w:framePr w:wrap="around"/>
    </w:pPr>
    <w:r>
      <w:fldChar w:fldCharType="begin" w:fldLock="1"/>
    </w:r>
    <w:r>
      <w:instrText xml:space="preserve"> P</w:instrText>
    </w:r>
    <w:r>
      <w:instrText>A</w:instrText>
    </w:r>
    <w:r>
      <w:instrText xml:space="preserve">GE </w:instrText>
    </w:r>
    <w:r>
      <w:fldChar w:fldCharType="separate"/>
    </w:r>
    <w:r>
      <w:rPr>
        <w:noProof/>
      </w:rPr>
      <w:t>114</w:t>
    </w:r>
    <w:r>
      <w:fldChar w:fldCharType="end"/>
    </w:r>
  </w:p>
  <w:p w:rsidR="00866CF7" w:rsidRDefault="00866CF7">
    <w:pPr>
      <w:pStyle w:val="Sidfo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66CF7" w:rsidRDefault="00866CF7">
    <w:pPr>
      <w:pStyle w:val="SidfotH"/>
      <w:framePr w:wrap="around"/>
    </w:pPr>
    <w:r>
      <w:fldChar w:fldCharType="begin" w:fldLock="1"/>
    </w:r>
    <w:r>
      <w:instrText xml:space="preserve"> P</w:instrText>
    </w:r>
    <w:r>
      <w:instrText>A</w:instrText>
    </w:r>
    <w:r>
      <w:instrText xml:space="preserve">GE </w:instrText>
    </w:r>
    <w:r>
      <w:fldChar w:fldCharType="separate"/>
    </w:r>
    <w:r>
      <w:rPr>
        <w:noProof/>
      </w:rPr>
      <w:t>117</w:t>
    </w:r>
    <w:r>
      <w:fldChar w:fldCharType="end"/>
    </w:r>
  </w:p>
  <w:p w:rsidR="00866CF7" w:rsidRDefault="00866CF7">
    <w:pPr>
      <w:pStyle w:val="Sidfo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66CF7" w:rsidRDefault="00866CF7">
    <w:pPr>
      <w:pStyle w:val="SidfotH"/>
      <w:framePr w:wrap="around"/>
    </w:pPr>
    <w:r>
      <w:fldChar w:fldCharType="begin" w:fldLock="1"/>
    </w:r>
    <w:r>
      <w:instrText xml:space="preserve"> P</w:instrText>
    </w:r>
    <w:r>
      <w:instrText>A</w:instrText>
    </w:r>
    <w:r>
      <w:instrText xml:space="preserve">GE </w:instrText>
    </w:r>
    <w:r>
      <w:fldChar w:fldCharType="separate"/>
    </w:r>
    <w:r>
      <w:rPr>
        <w:noProof/>
      </w:rPr>
      <w:t>118</w:t>
    </w:r>
    <w:r>
      <w:fldChar w:fldCharType="end"/>
    </w:r>
  </w:p>
  <w:p w:rsidR="00866CF7" w:rsidRDefault="00866CF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66CF7" w:rsidRDefault="00866CF7">
      <w:pPr>
        <w:pStyle w:val="Sidfot"/>
      </w:pPr>
    </w:p>
  </w:footnote>
  <w:footnote w:type="continuationSeparator" w:id="0">
    <w:p w:rsidR="00866CF7" w:rsidRDefault="00866CF7">
      <w:pPr>
        <w:spacing w:before="0" w:line="240" w:lineRule="auto"/>
      </w:pPr>
      <w:r>
        <w:continuationSeparator/>
      </w:r>
    </w:p>
  </w:footnote>
  <w:footnote w:id="1">
    <w:p w:rsidR="00866CF7" w:rsidRDefault="00866CF7">
      <w:pPr>
        <w:pStyle w:val="Fotnotstext"/>
      </w:pPr>
      <w:r>
        <w:rPr>
          <w:rStyle w:val="Fotnotsreferens"/>
        </w:rPr>
        <w:footnoteRef/>
      </w:r>
      <w:r>
        <w:t xml:space="preserve"> Senaste lydelse 1993:1498.</w:t>
      </w:r>
    </w:p>
  </w:footnote>
  <w:footnote w:id="2">
    <w:p w:rsidR="00866CF7" w:rsidRDefault="00866CF7">
      <w:pPr>
        <w:pStyle w:val="Fotnotstext"/>
      </w:pPr>
      <w:r>
        <w:rPr>
          <w:rStyle w:val="Fotnotsreferens"/>
        </w:rPr>
        <w:footnoteRef/>
      </w:r>
      <w:r>
        <w:t xml:space="preserve"> Senaste lydelse 1991:306.</w:t>
      </w:r>
    </w:p>
  </w:footnote>
  <w:footnote w:id="3">
    <w:p w:rsidR="00866CF7" w:rsidRDefault="00866CF7">
      <w:pPr>
        <w:pStyle w:val="Fotnotstext"/>
      </w:pPr>
      <w:r>
        <w:rPr>
          <w:rStyle w:val="Fotnotsreferens"/>
        </w:rPr>
        <w:footnoteRef/>
      </w:r>
      <w:r>
        <w:t xml:space="preserve"> Tidigare 53 § upphävd genom 1980:238.</w:t>
      </w:r>
    </w:p>
  </w:footnote>
  <w:footnote w:id="4">
    <w:p w:rsidR="00866CF7" w:rsidRDefault="00866CF7">
      <w:pPr>
        <w:pStyle w:val="Fotnotstext"/>
      </w:pPr>
      <w:r>
        <w:rPr>
          <w:rStyle w:val="Fotnotsreferens"/>
        </w:rPr>
        <w:footnoteRef/>
      </w:r>
      <w:r>
        <w:t xml:space="preserve"> Lagen omtryckt 1992:1474.</w:t>
      </w:r>
    </w:p>
  </w:footnote>
  <w:footnote w:id="5">
    <w:p w:rsidR="00866CF7" w:rsidRDefault="00866CF7">
      <w:pPr>
        <w:pStyle w:val="Fotnotstext"/>
      </w:pPr>
      <w:r>
        <w:rPr>
          <w:rStyle w:val="Fotnotsreferens"/>
        </w:rPr>
        <w:footnoteRef/>
      </w:r>
      <w:r>
        <w:t xml:space="preserve"> Senaste lydelse 1999:575.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66CF7" w:rsidRDefault="00866CF7">
    <w:pPr>
      <w:pStyle w:val="SidhuvudKant"/>
      <w:framePr w:w="1758" w:h="2744" w:hRule="exact" w:wrap="around" w:vAnchor="page" w:hAnchor="page" w:x="7372" w:y="568" w:anchorLock="0"/>
      <w:rPr>
        <w:noProof/>
      </w:rPr>
    </w:pPr>
    <w:r>
      <w:rPr>
        <w:noProof/>
      </w:rPr>
      <w:t>1999/2000:AU5</w:t>
    </w:r>
  </w:p>
  <w:p w:rsidR="00866CF7" w:rsidRDefault="00866CF7">
    <w:pPr>
      <w:pStyle w:val="SidhuvudKantBilaga"/>
      <w:framePr w:w="1758" w:h="2744" w:hRule="exact" w:wrap="around" w:vAnchor="page" w:hAnchor="page" w:x="7372" w:y="568" w:anchorLock="0"/>
      <w:rPr>
        <w:noProof/>
      </w:rPr>
    </w:pPr>
  </w:p>
  <w:p w:rsidR="00866CF7" w:rsidRDefault="00866CF7">
    <w:pPr>
      <w:pStyle w:val="SidhuvudKant"/>
      <w:framePr w:w="1758" w:h="2744" w:hRule="exact" w:wrap="around" w:vAnchor="page" w:hAnchor="page" w:x="7372" w:y="568" w:anchorLock="0"/>
    </w:pPr>
  </w:p>
  <w:p w:rsidR="00866CF7" w:rsidRDefault="00866CF7">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66CF7" w:rsidRDefault="00866CF7">
    <w:pPr>
      <w:pStyle w:val="SidhuvudKant"/>
      <w:framePr w:w="1758" w:h="2744" w:hRule="exact" w:wrap="around" w:vAnchor="page" w:hAnchor="page" w:x="7372" w:y="568" w:anchorLock="0"/>
      <w:rPr>
        <w:noProof/>
      </w:rPr>
    </w:pPr>
    <w:r>
      <w:rPr>
        <w:noProof/>
      </w:rPr>
      <w:t>1999/2000:AU5</w:t>
    </w:r>
  </w:p>
  <w:p w:rsidR="00866CF7" w:rsidRDefault="00866CF7">
    <w:pPr>
      <w:pStyle w:val="SidhuvudKantBilaga"/>
      <w:framePr w:w="1758" w:h="2744" w:hRule="exact" w:wrap="around" w:vAnchor="page" w:hAnchor="page" w:x="7372" w:y="568" w:anchorLock="0"/>
      <w:rPr>
        <w:noProof/>
      </w:rPr>
    </w:pPr>
    <w:r>
      <w:rPr>
        <w:noProof/>
      </w:rPr>
      <w:t>Reservationer</w:t>
    </w:r>
  </w:p>
  <w:p w:rsidR="00866CF7" w:rsidRDefault="00866CF7">
    <w:pPr>
      <w:pStyle w:val="SidhuvudKant"/>
      <w:framePr w:w="1758" w:h="2744" w:hRule="exact" w:wrap="around" w:vAnchor="page" w:hAnchor="page" w:x="7372" w:y="568" w:anchorLock="0"/>
    </w:pPr>
  </w:p>
  <w:p w:rsidR="00866CF7" w:rsidRDefault="00866CF7">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66CF7" w:rsidRDefault="00866CF7">
    <w:pPr>
      <w:pStyle w:val="SidhuvudKant"/>
      <w:framePr w:w="1758" w:h="2744" w:hRule="exact" w:wrap="around" w:vAnchor="page" w:hAnchor="page" w:x="7372" w:y="568" w:anchorLock="0"/>
      <w:rPr>
        <w:noProof/>
      </w:rPr>
    </w:pPr>
    <w:r>
      <w:rPr>
        <w:noProof/>
      </w:rPr>
      <w:t>1999/2000:AU5</w:t>
    </w:r>
  </w:p>
  <w:p w:rsidR="00866CF7" w:rsidRDefault="00866CF7">
    <w:pPr>
      <w:pStyle w:val="SidhuvudKantBilaga"/>
      <w:framePr w:w="1758" w:h="2744" w:hRule="exact" w:wrap="around" w:vAnchor="page" w:hAnchor="page" w:x="7372" w:y="568" w:anchorLock="0"/>
      <w:rPr>
        <w:noProof/>
      </w:rPr>
    </w:pPr>
    <w:r>
      <w:rPr>
        <w:noProof/>
      </w:rPr>
      <w:t>Särskilda yttranden</w:t>
    </w:r>
  </w:p>
  <w:p w:rsidR="00866CF7" w:rsidRDefault="00866CF7">
    <w:pPr>
      <w:pStyle w:val="SidhuvudKant"/>
      <w:framePr w:w="1758" w:h="2744" w:hRule="exact" w:wrap="around" w:vAnchor="page" w:hAnchor="page" w:x="7372" w:y="568" w:anchorLock="0"/>
    </w:pPr>
  </w:p>
  <w:p w:rsidR="00866CF7" w:rsidRDefault="00866CF7">
    <w:pPr>
      <w:pStyle w:val="Sidhuvud"/>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66CF7" w:rsidRDefault="00866CF7">
    <w:pPr>
      <w:pStyle w:val="SidhuvudKant"/>
      <w:framePr w:w="1758" w:h="2744" w:hRule="exact" w:wrap="around" w:vAnchor="page" w:hAnchor="page" w:x="7372" w:y="568" w:anchorLock="0"/>
      <w:rPr>
        <w:noProof/>
      </w:rPr>
    </w:pPr>
    <w:r>
      <w:rPr>
        <w:noProof/>
      </w:rPr>
      <w:t>1999/2000:AU5</w:t>
    </w:r>
  </w:p>
  <w:p w:rsidR="00866CF7" w:rsidRDefault="00866CF7">
    <w:pPr>
      <w:pStyle w:val="SidhuvudKantBilaga"/>
      <w:framePr w:w="1758" w:h="2744" w:hRule="exact" w:wrap="around" w:vAnchor="page" w:hAnchor="page" w:x="7372" w:y="568" w:anchorLock="0"/>
      <w:rPr>
        <w:noProof/>
      </w:rPr>
    </w:pPr>
    <w:r>
      <w:rPr>
        <w:noProof/>
      </w:rPr>
      <w:t>Bilaga 1                             Propositionens lagförslag</w:t>
    </w:r>
  </w:p>
  <w:p w:rsidR="00866CF7" w:rsidRDefault="00866CF7">
    <w:pPr>
      <w:pStyle w:val="SidhuvudKant"/>
      <w:framePr w:w="1758" w:h="2744" w:hRule="exact" w:wrap="around" w:vAnchor="page" w:hAnchor="page" w:x="7372" w:y="568" w:anchorLock="0"/>
    </w:pPr>
  </w:p>
  <w:p w:rsidR="00866CF7" w:rsidRDefault="00866CF7">
    <w:pPr>
      <w:pStyle w:val="Sidhuvud"/>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66CF7" w:rsidRDefault="00866CF7">
    <w:pPr>
      <w:pStyle w:val="SidhuvudKant"/>
      <w:framePr w:w="1758" w:h="2744" w:hRule="exact" w:wrap="around" w:vAnchor="page" w:hAnchor="page" w:x="7372" w:y="568" w:anchorLock="0"/>
      <w:rPr>
        <w:noProof/>
      </w:rPr>
    </w:pPr>
    <w:r>
      <w:rPr>
        <w:noProof/>
      </w:rPr>
      <w:t>1999/2000:AU5</w:t>
    </w:r>
  </w:p>
  <w:p w:rsidR="00866CF7" w:rsidRDefault="00866CF7">
    <w:pPr>
      <w:pStyle w:val="SidhuvudKantBilaga"/>
      <w:framePr w:w="1758" w:h="2744" w:hRule="exact" w:wrap="around" w:vAnchor="page" w:hAnchor="page" w:x="7372" w:y="568" w:anchorLock="0"/>
      <w:rPr>
        <w:noProof/>
      </w:rPr>
    </w:pPr>
    <w:r>
      <w:rPr>
        <w:noProof/>
      </w:rPr>
      <w:t>Bilaga 2                                       Utskottets lagförslag</w:t>
    </w:r>
  </w:p>
  <w:p w:rsidR="00866CF7" w:rsidRDefault="00866CF7">
    <w:pPr>
      <w:pStyle w:val="SidhuvudKant"/>
      <w:framePr w:w="1758" w:h="2744" w:hRule="exact" w:wrap="around" w:vAnchor="page" w:hAnchor="page" w:x="7372" w:y="568" w:anchorLock="0"/>
    </w:pPr>
  </w:p>
  <w:p w:rsidR="00866CF7" w:rsidRDefault="00866CF7">
    <w:pPr>
      <w:pStyle w:val="Sidhuvud"/>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66CF7" w:rsidRDefault="00866CF7">
    <w:pPr>
      <w:pStyle w:val="SidhuvudKant"/>
      <w:framePr w:w="1758" w:h="2744" w:hRule="exact" w:wrap="around" w:vAnchor="page" w:hAnchor="page" w:x="7372" w:y="568" w:anchorLock="0"/>
      <w:rPr>
        <w:noProof/>
      </w:rPr>
    </w:pPr>
    <w:r>
      <w:rPr>
        <w:noProof/>
      </w:rPr>
      <w:t>1999/2000:AU5</w:t>
    </w:r>
  </w:p>
  <w:p w:rsidR="00866CF7" w:rsidRDefault="00866CF7">
    <w:pPr>
      <w:pStyle w:val="SidhuvudKantBilaga"/>
      <w:framePr w:w="1758" w:h="2744" w:hRule="exact" w:wrap="around" w:vAnchor="page" w:hAnchor="page" w:x="7372" w:y="568" w:anchorLock="0"/>
      <w:rPr>
        <w:noProof/>
      </w:rPr>
    </w:pPr>
    <w:r>
      <w:rPr>
        <w:noProof/>
      </w:rPr>
      <w:t>Bilaga 3 Reservanternas lagförslag</w:t>
    </w:r>
  </w:p>
  <w:p w:rsidR="00866CF7" w:rsidRDefault="00866CF7">
    <w:pPr>
      <w:pStyle w:val="SidhuvudKant"/>
      <w:framePr w:w="1758" w:h="2744" w:hRule="exact" w:wrap="around" w:vAnchor="page" w:hAnchor="page" w:x="7372" w:y="568" w:anchorLock="0"/>
    </w:pPr>
  </w:p>
  <w:p w:rsidR="00866CF7" w:rsidRDefault="00866CF7">
    <w:pPr>
      <w:pStyle w:val="Sidhuvud"/>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66CF7" w:rsidRDefault="00866CF7">
    <w:pPr>
      <w:pStyle w:val="SidhuvudKant"/>
      <w:framePr w:w="1758" w:h="2744" w:hRule="exact" w:wrap="around" w:vAnchor="page" w:hAnchor="page" w:x="7372" w:y="568" w:anchorLock="0"/>
      <w:rPr>
        <w:noProof/>
      </w:rPr>
    </w:pPr>
    <w:r>
      <w:rPr>
        <w:noProof/>
      </w:rPr>
      <w:t>1999/2000:AU5</w:t>
    </w:r>
  </w:p>
  <w:p w:rsidR="00866CF7" w:rsidRDefault="00866CF7">
    <w:pPr>
      <w:pStyle w:val="SidhuvudKantBilaga"/>
      <w:framePr w:w="1758" w:h="2744" w:hRule="exact" w:wrap="around" w:vAnchor="page" w:hAnchor="page" w:x="7372" w:y="568" w:anchorLock="0"/>
      <w:rPr>
        <w:noProof/>
      </w:rPr>
    </w:pPr>
  </w:p>
  <w:p w:rsidR="00866CF7" w:rsidRDefault="00866CF7">
    <w:pPr>
      <w:pStyle w:val="SidhuvudKant"/>
      <w:framePr w:w="1758" w:h="2744" w:hRule="exact" w:wrap="around" w:vAnchor="page" w:hAnchor="page" w:x="7372" w:y="568" w:anchorLock="0"/>
    </w:pPr>
  </w:p>
  <w:p w:rsidR="00866CF7" w:rsidRDefault="00866CF7">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6786FEA4"/>
    <w:lvl w:ilvl="0">
      <w:start w:val="1"/>
      <w:numFmt w:val="decimal"/>
      <w:lvlText w:val="%1."/>
      <w:lvlJc w:val="left"/>
      <w:pPr>
        <w:tabs>
          <w:tab w:val="num" w:pos="643"/>
        </w:tabs>
        <w:ind w:left="643" w:hanging="360"/>
      </w:pPr>
    </w:lvl>
  </w:abstractNum>
  <w:abstractNum w:abstractNumId="1" w15:restartNumberingAfterBreak="0">
    <w:nsid w:val="01F0727A"/>
    <w:multiLevelType w:val="singleLevel"/>
    <w:tmpl w:val="4EB039BC"/>
    <w:lvl w:ilvl="0">
      <w:start w:val="97"/>
      <w:numFmt w:val="bullet"/>
      <w:lvlText w:val="-"/>
      <w:lvlJc w:val="left"/>
      <w:pPr>
        <w:tabs>
          <w:tab w:val="num" w:pos="360"/>
        </w:tabs>
        <w:ind w:left="360" w:hanging="360"/>
      </w:pPr>
      <w:rPr>
        <w:rFonts w:hint="default"/>
      </w:rPr>
    </w:lvl>
  </w:abstractNum>
  <w:abstractNum w:abstractNumId="2" w15:restartNumberingAfterBreak="0">
    <w:nsid w:val="062F72CA"/>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3" w15:restartNumberingAfterBreak="0">
    <w:nsid w:val="06726D78"/>
    <w:multiLevelType w:val="singleLevel"/>
    <w:tmpl w:val="4EB039BC"/>
    <w:lvl w:ilvl="0">
      <w:start w:val="97"/>
      <w:numFmt w:val="bullet"/>
      <w:lvlText w:val="-"/>
      <w:lvlJc w:val="left"/>
      <w:pPr>
        <w:tabs>
          <w:tab w:val="num" w:pos="360"/>
        </w:tabs>
        <w:ind w:left="360" w:hanging="360"/>
      </w:pPr>
      <w:rPr>
        <w:rFonts w:hint="default"/>
      </w:rPr>
    </w:lvl>
  </w:abstractNum>
  <w:abstractNum w:abstractNumId="4" w15:restartNumberingAfterBreak="0">
    <w:nsid w:val="070E4958"/>
    <w:multiLevelType w:val="singleLevel"/>
    <w:tmpl w:val="041D000F"/>
    <w:lvl w:ilvl="0">
      <w:start w:val="2"/>
      <w:numFmt w:val="decimal"/>
      <w:lvlText w:val="%1."/>
      <w:lvlJc w:val="left"/>
      <w:pPr>
        <w:tabs>
          <w:tab w:val="num" w:pos="360"/>
        </w:tabs>
        <w:ind w:left="360" w:hanging="360"/>
      </w:pPr>
      <w:rPr>
        <w:rFonts w:hint="default"/>
      </w:rPr>
    </w:lvl>
  </w:abstractNum>
  <w:abstractNum w:abstractNumId="5" w15:restartNumberingAfterBreak="0">
    <w:nsid w:val="090363CA"/>
    <w:multiLevelType w:val="singleLevel"/>
    <w:tmpl w:val="9CFA99DE"/>
    <w:lvl w:ilvl="0">
      <w:start w:val="1"/>
      <w:numFmt w:val="bullet"/>
      <w:lvlText w:val="–"/>
      <w:lvlJc w:val="left"/>
      <w:pPr>
        <w:tabs>
          <w:tab w:val="num" w:pos="360"/>
        </w:tabs>
        <w:ind w:left="360" w:hanging="360"/>
      </w:pPr>
      <w:rPr>
        <w:rFonts w:hint="default"/>
      </w:rPr>
    </w:lvl>
  </w:abstractNum>
  <w:abstractNum w:abstractNumId="6" w15:restartNumberingAfterBreak="0">
    <w:nsid w:val="09A11B37"/>
    <w:multiLevelType w:val="singleLevel"/>
    <w:tmpl w:val="041D000F"/>
    <w:lvl w:ilvl="0">
      <w:start w:val="1"/>
      <w:numFmt w:val="decimal"/>
      <w:lvlText w:val="%1."/>
      <w:lvlJc w:val="left"/>
      <w:pPr>
        <w:tabs>
          <w:tab w:val="num" w:pos="360"/>
        </w:tabs>
        <w:ind w:left="360" w:hanging="360"/>
      </w:pPr>
    </w:lvl>
  </w:abstractNum>
  <w:abstractNum w:abstractNumId="7" w15:restartNumberingAfterBreak="0">
    <w:nsid w:val="0DD31775"/>
    <w:multiLevelType w:val="singleLevel"/>
    <w:tmpl w:val="4EB039BC"/>
    <w:lvl w:ilvl="0">
      <w:start w:val="97"/>
      <w:numFmt w:val="bullet"/>
      <w:lvlText w:val="-"/>
      <w:lvlJc w:val="left"/>
      <w:pPr>
        <w:tabs>
          <w:tab w:val="num" w:pos="360"/>
        </w:tabs>
        <w:ind w:left="360" w:hanging="360"/>
      </w:pPr>
      <w:rPr>
        <w:rFonts w:hint="default"/>
      </w:rPr>
    </w:lvl>
  </w:abstractNum>
  <w:abstractNum w:abstractNumId="8" w15:restartNumberingAfterBreak="0">
    <w:nsid w:val="0EF57379"/>
    <w:multiLevelType w:val="singleLevel"/>
    <w:tmpl w:val="4EB039BC"/>
    <w:lvl w:ilvl="0">
      <w:start w:val="97"/>
      <w:numFmt w:val="bullet"/>
      <w:lvlText w:val="-"/>
      <w:lvlJc w:val="left"/>
      <w:pPr>
        <w:tabs>
          <w:tab w:val="num" w:pos="360"/>
        </w:tabs>
        <w:ind w:left="360" w:hanging="360"/>
      </w:pPr>
      <w:rPr>
        <w:rFonts w:hint="default"/>
      </w:rPr>
    </w:lvl>
  </w:abstractNum>
  <w:abstractNum w:abstractNumId="9" w15:restartNumberingAfterBreak="0">
    <w:nsid w:val="0F881865"/>
    <w:multiLevelType w:val="singleLevel"/>
    <w:tmpl w:val="041D000F"/>
    <w:lvl w:ilvl="0">
      <w:start w:val="1"/>
      <w:numFmt w:val="decimal"/>
      <w:lvlText w:val="%1."/>
      <w:lvlJc w:val="left"/>
      <w:pPr>
        <w:tabs>
          <w:tab w:val="num" w:pos="360"/>
        </w:tabs>
        <w:ind w:left="360" w:hanging="360"/>
      </w:pPr>
    </w:lvl>
  </w:abstractNum>
  <w:abstractNum w:abstractNumId="10" w15:restartNumberingAfterBreak="0">
    <w:nsid w:val="10F00A83"/>
    <w:multiLevelType w:val="singleLevel"/>
    <w:tmpl w:val="041D0013"/>
    <w:lvl w:ilvl="0">
      <w:start w:val="1"/>
      <w:numFmt w:val="upperRoman"/>
      <w:lvlText w:val="%1."/>
      <w:lvlJc w:val="left"/>
      <w:pPr>
        <w:tabs>
          <w:tab w:val="num" w:pos="720"/>
        </w:tabs>
        <w:ind w:left="720" w:hanging="720"/>
      </w:pPr>
      <w:rPr>
        <w:rFonts w:hint="default"/>
      </w:rPr>
    </w:lvl>
  </w:abstractNum>
  <w:abstractNum w:abstractNumId="11" w15:restartNumberingAfterBreak="0">
    <w:nsid w:val="157C581D"/>
    <w:multiLevelType w:val="singleLevel"/>
    <w:tmpl w:val="4EB039BC"/>
    <w:lvl w:ilvl="0">
      <w:start w:val="97"/>
      <w:numFmt w:val="bullet"/>
      <w:lvlText w:val="-"/>
      <w:lvlJc w:val="left"/>
      <w:pPr>
        <w:tabs>
          <w:tab w:val="num" w:pos="360"/>
        </w:tabs>
        <w:ind w:left="360" w:hanging="360"/>
      </w:pPr>
      <w:rPr>
        <w:rFonts w:hint="default"/>
      </w:rPr>
    </w:lvl>
  </w:abstractNum>
  <w:abstractNum w:abstractNumId="12" w15:restartNumberingAfterBreak="0">
    <w:nsid w:val="15CA2C0F"/>
    <w:multiLevelType w:val="singleLevel"/>
    <w:tmpl w:val="4EB039BC"/>
    <w:lvl w:ilvl="0">
      <w:start w:val="97"/>
      <w:numFmt w:val="bullet"/>
      <w:lvlText w:val="-"/>
      <w:lvlJc w:val="left"/>
      <w:pPr>
        <w:tabs>
          <w:tab w:val="num" w:pos="360"/>
        </w:tabs>
        <w:ind w:left="360" w:hanging="360"/>
      </w:pPr>
      <w:rPr>
        <w:rFonts w:hint="default"/>
      </w:rPr>
    </w:lvl>
  </w:abstractNum>
  <w:abstractNum w:abstractNumId="13" w15:restartNumberingAfterBreak="0">
    <w:nsid w:val="15DB17F6"/>
    <w:multiLevelType w:val="singleLevel"/>
    <w:tmpl w:val="4EB039BC"/>
    <w:lvl w:ilvl="0">
      <w:start w:val="97"/>
      <w:numFmt w:val="bullet"/>
      <w:lvlText w:val="-"/>
      <w:lvlJc w:val="left"/>
      <w:pPr>
        <w:tabs>
          <w:tab w:val="num" w:pos="360"/>
        </w:tabs>
        <w:ind w:left="360" w:hanging="360"/>
      </w:pPr>
      <w:rPr>
        <w:rFonts w:hint="default"/>
      </w:rPr>
    </w:lvl>
  </w:abstractNum>
  <w:abstractNum w:abstractNumId="14" w15:restartNumberingAfterBreak="0">
    <w:nsid w:val="161962EF"/>
    <w:multiLevelType w:val="singleLevel"/>
    <w:tmpl w:val="041D000F"/>
    <w:lvl w:ilvl="0">
      <w:start w:val="1"/>
      <w:numFmt w:val="decimal"/>
      <w:lvlText w:val="%1."/>
      <w:lvlJc w:val="left"/>
      <w:pPr>
        <w:tabs>
          <w:tab w:val="num" w:pos="360"/>
        </w:tabs>
        <w:ind w:left="360" w:hanging="360"/>
      </w:pPr>
    </w:lvl>
  </w:abstractNum>
  <w:abstractNum w:abstractNumId="15" w15:restartNumberingAfterBreak="0">
    <w:nsid w:val="18C3321E"/>
    <w:multiLevelType w:val="singleLevel"/>
    <w:tmpl w:val="9CFA99DE"/>
    <w:lvl w:ilvl="0">
      <w:start w:val="1"/>
      <w:numFmt w:val="bullet"/>
      <w:lvlText w:val="–"/>
      <w:lvlJc w:val="left"/>
      <w:pPr>
        <w:tabs>
          <w:tab w:val="num" w:pos="360"/>
        </w:tabs>
        <w:ind w:left="360" w:hanging="360"/>
      </w:pPr>
      <w:rPr>
        <w:rFonts w:hint="default"/>
      </w:rPr>
    </w:lvl>
  </w:abstractNum>
  <w:abstractNum w:abstractNumId="16" w15:restartNumberingAfterBreak="0">
    <w:nsid w:val="18FA5604"/>
    <w:multiLevelType w:val="singleLevel"/>
    <w:tmpl w:val="041D000F"/>
    <w:lvl w:ilvl="0">
      <w:start w:val="1"/>
      <w:numFmt w:val="decimal"/>
      <w:lvlText w:val="%1."/>
      <w:lvlJc w:val="left"/>
      <w:pPr>
        <w:tabs>
          <w:tab w:val="num" w:pos="360"/>
        </w:tabs>
        <w:ind w:left="360" w:hanging="360"/>
      </w:pPr>
    </w:lvl>
  </w:abstractNum>
  <w:abstractNum w:abstractNumId="17" w15:restartNumberingAfterBreak="0">
    <w:nsid w:val="19575FA9"/>
    <w:multiLevelType w:val="singleLevel"/>
    <w:tmpl w:val="4EB039BC"/>
    <w:lvl w:ilvl="0">
      <w:start w:val="97"/>
      <w:numFmt w:val="bullet"/>
      <w:lvlText w:val="-"/>
      <w:lvlJc w:val="left"/>
      <w:pPr>
        <w:tabs>
          <w:tab w:val="num" w:pos="360"/>
        </w:tabs>
        <w:ind w:left="360" w:hanging="360"/>
      </w:pPr>
      <w:rPr>
        <w:rFonts w:hint="default"/>
      </w:rPr>
    </w:lvl>
  </w:abstractNum>
  <w:abstractNum w:abstractNumId="18" w15:restartNumberingAfterBreak="0">
    <w:nsid w:val="19FD36C3"/>
    <w:multiLevelType w:val="singleLevel"/>
    <w:tmpl w:val="9CFA99DE"/>
    <w:lvl w:ilvl="0">
      <w:start w:val="1"/>
      <w:numFmt w:val="bullet"/>
      <w:lvlText w:val="–"/>
      <w:lvlJc w:val="left"/>
      <w:pPr>
        <w:tabs>
          <w:tab w:val="num" w:pos="360"/>
        </w:tabs>
        <w:ind w:left="360" w:hanging="360"/>
      </w:pPr>
      <w:rPr>
        <w:rFonts w:hint="default"/>
      </w:rPr>
    </w:lvl>
  </w:abstractNum>
  <w:abstractNum w:abstractNumId="19" w15:restartNumberingAfterBreak="0">
    <w:nsid w:val="1B4F5E09"/>
    <w:multiLevelType w:val="singleLevel"/>
    <w:tmpl w:val="9CFA99DE"/>
    <w:lvl w:ilvl="0">
      <w:start w:val="1"/>
      <w:numFmt w:val="bullet"/>
      <w:lvlText w:val="–"/>
      <w:lvlJc w:val="left"/>
      <w:pPr>
        <w:tabs>
          <w:tab w:val="num" w:pos="360"/>
        </w:tabs>
        <w:ind w:left="360" w:hanging="360"/>
      </w:pPr>
      <w:rPr>
        <w:rFonts w:hint="default"/>
      </w:rPr>
    </w:lvl>
  </w:abstractNum>
  <w:abstractNum w:abstractNumId="20" w15:restartNumberingAfterBreak="0">
    <w:nsid w:val="1B5259DC"/>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21" w15:restartNumberingAfterBreak="0">
    <w:nsid w:val="1CCE4A76"/>
    <w:multiLevelType w:val="singleLevel"/>
    <w:tmpl w:val="4EB039BC"/>
    <w:lvl w:ilvl="0">
      <w:start w:val="97"/>
      <w:numFmt w:val="bullet"/>
      <w:lvlText w:val="-"/>
      <w:lvlJc w:val="left"/>
      <w:pPr>
        <w:tabs>
          <w:tab w:val="num" w:pos="360"/>
        </w:tabs>
        <w:ind w:left="360" w:hanging="360"/>
      </w:pPr>
      <w:rPr>
        <w:rFonts w:hint="default"/>
      </w:rPr>
    </w:lvl>
  </w:abstractNum>
  <w:abstractNum w:abstractNumId="22" w15:restartNumberingAfterBreak="0">
    <w:nsid w:val="1E943A8E"/>
    <w:multiLevelType w:val="singleLevel"/>
    <w:tmpl w:val="4EB039BC"/>
    <w:lvl w:ilvl="0">
      <w:start w:val="97"/>
      <w:numFmt w:val="bullet"/>
      <w:lvlText w:val="-"/>
      <w:lvlJc w:val="left"/>
      <w:pPr>
        <w:tabs>
          <w:tab w:val="num" w:pos="360"/>
        </w:tabs>
        <w:ind w:left="360" w:hanging="360"/>
      </w:pPr>
      <w:rPr>
        <w:rFonts w:hint="default"/>
      </w:rPr>
    </w:lvl>
  </w:abstractNum>
  <w:abstractNum w:abstractNumId="23" w15:restartNumberingAfterBreak="0">
    <w:nsid w:val="1F972836"/>
    <w:multiLevelType w:val="singleLevel"/>
    <w:tmpl w:val="99D6319A"/>
    <w:lvl w:ilvl="0">
      <w:numFmt w:val="bullet"/>
      <w:lvlText w:val="-"/>
      <w:lvlJc w:val="left"/>
      <w:pPr>
        <w:tabs>
          <w:tab w:val="num" w:pos="360"/>
        </w:tabs>
        <w:ind w:left="360" w:hanging="360"/>
      </w:pPr>
      <w:rPr>
        <w:rFonts w:hint="default"/>
      </w:rPr>
    </w:lvl>
  </w:abstractNum>
  <w:abstractNum w:abstractNumId="24" w15:restartNumberingAfterBreak="0">
    <w:nsid w:val="22401813"/>
    <w:multiLevelType w:val="singleLevel"/>
    <w:tmpl w:val="99D6319A"/>
    <w:lvl w:ilvl="0">
      <w:numFmt w:val="bullet"/>
      <w:lvlText w:val="-"/>
      <w:lvlJc w:val="left"/>
      <w:pPr>
        <w:tabs>
          <w:tab w:val="num" w:pos="360"/>
        </w:tabs>
        <w:ind w:left="360" w:hanging="360"/>
      </w:pPr>
      <w:rPr>
        <w:rFonts w:hint="default"/>
      </w:rPr>
    </w:lvl>
  </w:abstractNum>
  <w:abstractNum w:abstractNumId="25" w15:restartNumberingAfterBreak="0">
    <w:nsid w:val="25A325CB"/>
    <w:multiLevelType w:val="singleLevel"/>
    <w:tmpl w:val="99D6319A"/>
    <w:lvl w:ilvl="0">
      <w:numFmt w:val="bullet"/>
      <w:lvlText w:val="-"/>
      <w:lvlJc w:val="left"/>
      <w:pPr>
        <w:tabs>
          <w:tab w:val="num" w:pos="360"/>
        </w:tabs>
        <w:ind w:left="360" w:hanging="360"/>
      </w:pPr>
      <w:rPr>
        <w:rFonts w:hint="default"/>
      </w:rPr>
    </w:lvl>
  </w:abstractNum>
  <w:abstractNum w:abstractNumId="26" w15:restartNumberingAfterBreak="0">
    <w:nsid w:val="2792549D"/>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27" w15:restartNumberingAfterBreak="0">
    <w:nsid w:val="297224AD"/>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28" w15:restartNumberingAfterBreak="0">
    <w:nsid w:val="2A750F3C"/>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29" w15:restartNumberingAfterBreak="0">
    <w:nsid w:val="2AC740D9"/>
    <w:multiLevelType w:val="singleLevel"/>
    <w:tmpl w:val="041D0017"/>
    <w:lvl w:ilvl="0">
      <w:start w:val="1"/>
      <w:numFmt w:val="lowerLetter"/>
      <w:lvlText w:val="%1)"/>
      <w:lvlJc w:val="left"/>
      <w:pPr>
        <w:tabs>
          <w:tab w:val="num" w:pos="360"/>
        </w:tabs>
        <w:ind w:left="360" w:hanging="360"/>
      </w:pPr>
      <w:rPr>
        <w:rFonts w:hint="default"/>
      </w:rPr>
    </w:lvl>
  </w:abstractNum>
  <w:abstractNum w:abstractNumId="30" w15:restartNumberingAfterBreak="0">
    <w:nsid w:val="2D694A02"/>
    <w:multiLevelType w:val="singleLevel"/>
    <w:tmpl w:val="9CFA99DE"/>
    <w:lvl w:ilvl="0">
      <w:start w:val="1"/>
      <w:numFmt w:val="bullet"/>
      <w:lvlText w:val="–"/>
      <w:lvlJc w:val="left"/>
      <w:pPr>
        <w:tabs>
          <w:tab w:val="num" w:pos="360"/>
        </w:tabs>
        <w:ind w:left="360" w:hanging="360"/>
      </w:pPr>
      <w:rPr>
        <w:rFonts w:hint="default"/>
      </w:rPr>
    </w:lvl>
  </w:abstractNum>
  <w:abstractNum w:abstractNumId="31" w15:restartNumberingAfterBreak="0">
    <w:nsid w:val="2DC50A48"/>
    <w:multiLevelType w:val="singleLevel"/>
    <w:tmpl w:val="9CFA99DE"/>
    <w:lvl w:ilvl="0">
      <w:start w:val="1"/>
      <w:numFmt w:val="bullet"/>
      <w:lvlText w:val="–"/>
      <w:lvlJc w:val="left"/>
      <w:pPr>
        <w:tabs>
          <w:tab w:val="num" w:pos="360"/>
        </w:tabs>
        <w:ind w:left="360" w:hanging="360"/>
      </w:pPr>
      <w:rPr>
        <w:rFonts w:hint="default"/>
      </w:rPr>
    </w:lvl>
  </w:abstractNum>
  <w:abstractNum w:abstractNumId="32" w15:restartNumberingAfterBreak="0">
    <w:nsid w:val="31B4112C"/>
    <w:multiLevelType w:val="singleLevel"/>
    <w:tmpl w:val="9CFA99DE"/>
    <w:lvl w:ilvl="0">
      <w:start w:val="1"/>
      <w:numFmt w:val="bullet"/>
      <w:lvlText w:val="–"/>
      <w:lvlJc w:val="left"/>
      <w:pPr>
        <w:tabs>
          <w:tab w:val="num" w:pos="360"/>
        </w:tabs>
        <w:ind w:left="360" w:hanging="360"/>
      </w:pPr>
      <w:rPr>
        <w:rFonts w:hint="default"/>
      </w:rPr>
    </w:lvl>
  </w:abstractNum>
  <w:abstractNum w:abstractNumId="33" w15:restartNumberingAfterBreak="0">
    <w:nsid w:val="32396AE2"/>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34" w15:restartNumberingAfterBreak="0">
    <w:nsid w:val="34D87CBA"/>
    <w:multiLevelType w:val="singleLevel"/>
    <w:tmpl w:val="4EB039BC"/>
    <w:lvl w:ilvl="0">
      <w:start w:val="97"/>
      <w:numFmt w:val="bullet"/>
      <w:lvlText w:val="-"/>
      <w:lvlJc w:val="left"/>
      <w:pPr>
        <w:tabs>
          <w:tab w:val="num" w:pos="360"/>
        </w:tabs>
        <w:ind w:left="360" w:hanging="360"/>
      </w:pPr>
      <w:rPr>
        <w:rFonts w:hint="default"/>
      </w:rPr>
    </w:lvl>
  </w:abstractNum>
  <w:abstractNum w:abstractNumId="35" w15:restartNumberingAfterBreak="0">
    <w:nsid w:val="35717EB7"/>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36" w15:restartNumberingAfterBreak="0">
    <w:nsid w:val="35A9604C"/>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37" w15:restartNumberingAfterBreak="0">
    <w:nsid w:val="35EF62DA"/>
    <w:multiLevelType w:val="singleLevel"/>
    <w:tmpl w:val="4EB039BC"/>
    <w:lvl w:ilvl="0">
      <w:start w:val="97"/>
      <w:numFmt w:val="bullet"/>
      <w:lvlText w:val="-"/>
      <w:lvlJc w:val="left"/>
      <w:pPr>
        <w:tabs>
          <w:tab w:val="num" w:pos="360"/>
        </w:tabs>
        <w:ind w:left="360" w:hanging="360"/>
      </w:pPr>
      <w:rPr>
        <w:rFonts w:hint="default"/>
      </w:rPr>
    </w:lvl>
  </w:abstractNum>
  <w:abstractNum w:abstractNumId="38" w15:restartNumberingAfterBreak="0">
    <w:nsid w:val="3D1D4B3B"/>
    <w:multiLevelType w:val="singleLevel"/>
    <w:tmpl w:val="4EB039BC"/>
    <w:lvl w:ilvl="0">
      <w:start w:val="97"/>
      <w:numFmt w:val="bullet"/>
      <w:lvlText w:val="-"/>
      <w:lvlJc w:val="left"/>
      <w:pPr>
        <w:tabs>
          <w:tab w:val="num" w:pos="360"/>
        </w:tabs>
        <w:ind w:left="360" w:hanging="360"/>
      </w:pPr>
      <w:rPr>
        <w:rFonts w:hint="default"/>
      </w:rPr>
    </w:lvl>
  </w:abstractNum>
  <w:abstractNum w:abstractNumId="39" w15:restartNumberingAfterBreak="0">
    <w:nsid w:val="3F113ECE"/>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40" w15:restartNumberingAfterBreak="0">
    <w:nsid w:val="4094395E"/>
    <w:multiLevelType w:val="singleLevel"/>
    <w:tmpl w:val="4EB039BC"/>
    <w:lvl w:ilvl="0">
      <w:start w:val="97"/>
      <w:numFmt w:val="bullet"/>
      <w:lvlText w:val="-"/>
      <w:lvlJc w:val="left"/>
      <w:pPr>
        <w:tabs>
          <w:tab w:val="num" w:pos="360"/>
        </w:tabs>
        <w:ind w:left="360" w:hanging="360"/>
      </w:pPr>
      <w:rPr>
        <w:rFonts w:hint="default"/>
      </w:rPr>
    </w:lvl>
  </w:abstractNum>
  <w:abstractNum w:abstractNumId="41" w15:restartNumberingAfterBreak="0">
    <w:nsid w:val="418C4B51"/>
    <w:multiLevelType w:val="singleLevel"/>
    <w:tmpl w:val="9CFA99DE"/>
    <w:lvl w:ilvl="0">
      <w:start w:val="1"/>
      <w:numFmt w:val="bullet"/>
      <w:lvlText w:val="–"/>
      <w:lvlJc w:val="left"/>
      <w:pPr>
        <w:tabs>
          <w:tab w:val="num" w:pos="360"/>
        </w:tabs>
        <w:ind w:left="360" w:hanging="360"/>
      </w:pPr>
      <w:rPr>
        <w:rFonts w:hint="default"/>
      </w:rPr>
    </w:lvl>
  </w:abstractNum>
  <w:abstractNum w:abstractNumId="42" w15:restartNumberingAfterBreak="0">
    <w:nsid w:val="423832A7"/>
    <w:multiLevelType w:val="singleLevel"/>
    <w:tmpl w:val="99D6319A"/>
    <w:lvl w:ilvl="0">
      <w:numFmt w:val="bullet"/>
      <w:lvlText w:val="-"/>
      <w:lvlJc w:val="left"/>
      <w:pPr>
        <w:tabs>
          <w:tab w:val="num" w:pos="360"/>
        </w:tabs>
        <w:ind w:left="360" w:hanging="360"/>
      </w:pPr>
      <w:rPr>
        <w:rFonts w:hint="default"/>
      </w:rPr>
    </w:lvl>
  </w:abstractNum>
  <w:abstractNum w:abstractNumId="43" w15:restartNumberingAfterBreak="0">
    <w:nsid w:val="43AF4519"/>
    <w:multiLevelType w:val="singleLevel"/>
    <w:tmpl w:val="041D000F"/>
    <w:lvl w:ilvl="0">
      <w:start w:val="1"/>
      <w:numFmt w:val="decimal"/>
      <w:lvlText w:val="%1."/>
      <w:lvlJc w:val="left"/>
      <w:pPr>
        <w:tabs>
          <w:tab w:val="num" w:pos="360"/>
        </w:tabs>
        <w:ind w:left="360" w:hanging="360"/>
      </w:pPr>
    </w:lvl>
  </w:abstractNum>
  <w:abstractNum w:abstractNumId="44" w15:restartNumberingAfterBreak="0">
    <w:nsid w:val="48453CA4"/>
    <w:multiLevelType w:val="singleLevel"/>
    <w:tmpl w:val="4EB039BC"/>
    <w:lvl w:ilvl="0">
      <w:start w:val="97"/>
      <w:numFmt w:val="bullet"/>
      <w:lvlText w:val="-"/>
      <w:lvlJc w:val="left"/>
      <w:pPr>
        <w:tabs>
          <w:tab w:val="num" w:pos="360"/>
        </w:tabs>
        <w:ind w:left="360" w:hanging="360"/>
      </w:pPr>
      <w:rPr>
        <w:rFonts w:hint="default"/>
      </w:rPr>
    </w:lvl>
  </w:abstractNum>
  <w:abstractNum w:abstractNumId="45" w15:restartNumberingAfterBreak="0">
    <w:nsid w:val="484C5060"/>
    <w:multiLevelType w:val="singleLevel"/>
    <w:tmpl w:val="9CFA99DE"/>
    <w:lvl w:ilvl="0">
      <w:start w:val="1"/>
      <w:numFmt w:val="bullet"/>
      <w:lvlText w:val="–"/>
      <w:lvlJc w:val="left"/>
      <w:pPr>
        <w:tabs>
          <w:tab w:val="num" w:pos="360"/>
        </w:tabs>
        <w:ind w:left="360" w:hanging="360"/>
      </w:pPr>
      <w:rPr>
        <w:rFonts w:hint="default"/>
      </w:rPr>
    </w:lvl>
  </w:abstractNum>
  <w:abstractNum w:abstractNumId="46" w15:restartNumberingAfterBreak="0">
    <w:nsid w:val="4A3D481B"/>
    <w:multiLevelType w:val="singleLevel"/>
    <w:tmpl w:val="4EB039BC"/>
    <w:lvl w:ilvl="0">
      <w:start w:val="97"/>
      <w:numFmt w:val="bullet"/>
      <w:lvlText w:val="-"/>
      <w:lvlJc w:val="left"/>
      <w:pPr>
        <w:tabs>
          <w:tab w:val="num" w:pos="360"/>
        </w:tabs>
        <w:ind w:left="360" w:hanging="360"/>
      </w:pPr>
      <w:rPr>
        <w:rFonts w:hint="default"/>
      </w:rPr>
    </w:lvl>
  </w:abstractNum>
  <w:abstractNum w:abstractNumId="47" w15:restartNumberingAfterBreak="0">
    <w:nsid w:val="502E3DDB"/>
    <w:multiLevelType w:val="singleLevel"/>
    <w:tmpl w:val="4EB039BC"/>
    <w:lvl w:ilvl="0">
      <w:start w:val="97"/>
      <w:numFmt w:val="bullet"/>
      <w:lvlText w:val="-"/>
      <w:lvlJc w:val="left"/>
      <w:pPr>
        <w:tabs>
          <w:tab w:val="num" w:pos="360"/>
        </w:tabs>
        <w:ind w:left="360" w:hanging="360"/>
      </w:pPr>
      <w:rPr>
        <w:rFonts w:hint="default"/>
      </w:rPr>
    </w:lvl>
  </w:abstractNum>
  <w:abstractNum w:abstractNumId="48" w15:restartNumberingAfterBreak="0">
    <w:nsid w:val="52D20305"/>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49" w15:restartNumberingAfterBreak="0">
    <w:nsid w:val="55C37317"/>
    <w:multiLevelType w:val="singleLevel"/>
    <w:tmpl w:val="FD78A58C"/>
    <w:lvl w:ilvl="0">
      <w:start w:val="1"/>
      <w:numFmt w:val="lowerLetter"/>
      <w:lvlText w:val="%1)"/>
      <w:lvlJc w:val="left"/>
      <w:pPr>
        <w:tabs>
          <w:tab w:val="num" w:pos="870"/>
        </w:tabs>
        <w:ind w:left="870" w:hanging="360"/>
      </w:pPr>
      <w:rPr>
        <w:rFonts w:hint="default"/>
      </w:rPr>
    </w:lvl>
  </w:abstractNum>
  <w:abstractNum w:abstractNumId="50" w15:restartNumberingAfterBreak="0">
    <w:nsid w:val="593D4408"/>
    <w:multiLevelType w:val="singleLevel"/>
    <w:tmpl w:val="4EB039BC"/>
    <w:lvl w:ilvl="0">
      <w:start w:val="97"/>
      <w:numFmt w:val="bullet"/>
      <w:lvlText w:val="-"/>
      <w:lvlJc w:val="left"/>
      <w:pPr>
        <w:tabs>
          <w:tab w:val="num" w:pos="360"/>
        </w:tabs>
        <w:ind w:left="360" w:hanging="360"/>
      </w:pPr>
      <w:rPr>
        <w:rFonts w:hint="default"/>
      </w:rPr>
    </w:lvl>
  </w:abstractNum>
  <w:abstractNum w:abstractNumId="51" w15:restartNumberingAfterBreak="0">
    <w:nsid w:val="5C6E34BB"/>
    <w:multiLevelType w:val="singleLevel"/>
    <w:tmpl w:val="9CFA99DE"/>
    <w:lvl w:ilvl="0">
      <w:start w:val="1"/>
      <w:numFmt w:val="bullet"/>
      <w:lvlText w:val="–"/>
      <w:lvlJc w:val="left"/>
      <w:pPr>
        <w:tabs>
          <w:tab w:val="num" w:pos="360"/>
        </w:tabs>
        <w:ind w:left="360" w:hanging="360"/>
      </w:pPr>
      <w:rPr>
        <w:rFonts w:hint="default"/>
      </w:rPr>
    </w:lvl>
  </w:abstractNum>
  <w:abstractNum w:abstractNumId="52" w15:restartNumberingAfterBreak="0">
    <w:nsid w:val="5CA74D81"/>
    <w:multiLevelType w:val="singleLevel"/>
    <w:tmpl w:val="4EB039BC"/>
    <w:lvl w:ilvl="0">
      <w:start w:val="97"/>
      <w:numFmt w:val="bullet"/>
      <w:lvlText w:val="-"/>
      <w:lvlJc w:val="left"/>
      <w:pPr>
        <w:tabs>
          <w:tab w:val="num" w:pos="360"/>
        </w:tabs>
        <w:ind w:left="360" w:hanging="360"/>
      </w:pPr>
      <w:rPr>
        <w:rFonts w:hint="default"/>
      </w:rPr>
    </w:lvl>
  </w:abstractNum>
  <w:abstractNum w:abstractNumId="53" w15:restartNumberingAfterBreak="0">
    <w:nsid w:val="612E662D"/>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54" w15:restartNumberingAfterBreak="0">
    <w:nsid w:val="62900D32"/>
    <w:multiLevelType w:val="singleLevel"/>
    <w:tmpl w:val="4EB039BC"/>
    <w:lvl w:ilvl="0">
      <w:start w:val="97"/>
      <w:numFmt w:val="bullet"/>
      <w:lvlText w:val="-"/>
      <w:lvlJc w:val="left"/>
      <w:pPr>
        <w:tabs>
          <w:tab w:val="num" w:pos="360"/>
        </w:tabs>
        <w:ind w:left="360" w:hanging="360"/>
      </w:pPr>
      <w:rPr>
        <w:rFonts w:hint="default"/>
      </w:rPr>
    </w:lvl>
  </w:abstractNum>
  <w:abstractNum w:abstractNumId="55" w15:restartNumberingAfterBreak="0">
    <w:nsid w:val="6748149A"/>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56" w15:restartNumberingAfterBreak="0">
    <w:nsid w:val="6ADC3B0E"/>
    <w:multiLevelType w:val="singleLevel"/>
    <w:tmpl w:val="4EB039BC"/>
    <w:lvl w:ilvl="0">
      <w:start w:val="97"/>
      <w:numFmt w:val="bullet"/>
      <w:lvlText w:val="-"/>
      <w:lvlJc w:val="left"/>
      <w:pPr>
        <w:tabs>
          <w:tab w:val="num" w:pos="360"/>
        </w:tabs>
        <w:ind w:left="360" w:hanging="360"/>
      </w:pPr>
      <w:rPr>
        <w:rFonts w:hint="default"/>
      </w:rPr>
    </w:lvl>
  </w:abstractNum>
  <w:abstractNum w:abstractNumId="57" w15:restartNumberingAfterBreak="0">
    <w:nsid w:val="6B306667"/>
    <w:multiLevelType w:val="singleLevel"/>
    <w:tmpl w:val="9CFA99DE"/>
    <w:lvl w:ilvl="0">
      <w:start w:val="1"/>
      <w:numFmt w:val="bullet"/>
      <w:lvlText w:val="–"/>
      <w:lvlJc w:val="left"/>
      <w:pPr>
        <w:tabs>
          <w:tab w:val="num" w:pos="360"/>
        </w:tabs>
        <w:ind w:left="360" w:hanging="360"/>
      </w:pPr>
      <w:rPr>
        <w:rFonts w:hint="default"/>
      </w:rPr>
    </w:lvl>
  </w:abstractNum>
  <w:abstractNum w:abstractNumId="58" w15:restartNumberingAfterBreak="0">
    <w:nsid w:val="6CE0290E"/>
    <w:multiLevelType w:val="singleLevel"/>
    <w:tmpl w:val="4EB039BC"/>
    <w:lvl w:ilvl="0">
      <w:start w:val="97"/>
      <w:numFmt w:val="bullet"/>
      <w:lvlText w:val="-"/>
      <w:lvlJc w:val="left"/>
      <w:pPr>
        <w:tabs>
          <w:tab w:val="num" w:pos="360"/>
        </w:tabs>
        <w:ind w:left="360" w:hanging="360"/>
      </w:pPr>
      <w:rPr>
        <w:rFonts w:hint="default"/>
      </w:rPr>
    </w:lvl>
  </w:abstractNum>
  <w:abstractNum w:abstractNumId="59" w15:restartNumberingAfterBreak="0">
    <w:nsid w:val="6DDC725F"/>
    <w:multiLevelType w:val="singleLevel"/>
    <w:tmpl w:val="4EB039BC"/>
    <w:lvl w:ilvl="0">
      <w:start w:val="97"/>
      <w:numFmt w:val="bullet"/>
      <w:lvlText w:val="-"/>
      <w:lvlJc w:val="left"/>
      <w:pPr>
        <w:tabs>
          <w:tab w:val="num" w:pos="360"/>
        </w:tabs>
        <w:ind w:left="360" w:hanging="360"/>
      </w:pPr>
      <w:rPr>
        <w:rFonts w:hint="default"/>
      </w:rPr>
    </w:lvl>
  </w:abstractNum>
  <w:abstractNum w:abstractNumId="60" w15:restartNumberingAfterBreak="0">
    <w:nsid w:val="724D33E0"/>
    <w:multiLevelType w:val="singleLevel"/>
    <w:tmpl w:val="4EB039BC"/>
    <w:lvl w:ilvl="0">
      <w:start w:val="97"/>
      <w:numFmt w:val="bullet"/>
      <w:lvlText w:val="-"/>
      <w:lvlJc w:val="left"/>
      <w:pPr>
        <w:tabs>
          <w:tab w:val="num" w:pos="360"/>
        </w:tabs>
        <w:ind w:left="360" w:hanging="360"/>
      </w:pPr>
      <w:rPr>
        <w:rFonts w:hint="default"/>
      </w:rPr>
    </w:lvl>
  </w:abstractNum>
  <w:abstractNum w:abstractNumId="61" w15:restartNumberingAfterBreak="0">
    <w:nsid w:val="73A263A6"/>
    <w:multiLevelType w:val="singleLevel"/>
    <w:tmpl w:val="041D000F"/>
    <w:lvl w:ilvl="0">
      <w:start w:val="1"/>
      <w:numFmt w:val="decimal"/>
      <w:lvlText w:val="%1."/>
      <w:lvlJc w:val="left"/>
      <w:pPr>
        <w:tabs>
          <w:tab w:val="num" w:pos="360"/>
        </w:tabs>
        <w:ind w:left="360" w:hanging="360"/>
      </w:pPr>
      <w:rPr>
        <w:rFonts w:hint="default"/>
      </w:rPr>
    </w:lvl>
  </w:abstractNum>
  <w:abstractNum w:abstractNumId="62" w15:restartNumberingAfterBreak="0">
    <w:nsid w:val="7478767E"/>
    <w:multiLevelType w:val="singleLevel"/>
    <w:tmpl w:val="4EB039BC"/>
    <w:lvl w:ilvl="0">
      <w:start w:val="97"/>
      <w:numFmt w:val="bullet"/>
      <w:lvlText w:val="-"/>
      <w:lvlJc w:val="left"/>
      <w:pPr>
        <w:tabs>
          <w:tab w:val="num" w:pos="360"/>
        </w:tabs>
        <w:ind w:left="360" w:hanging="360"/>
      </w:pPr>
      <w:rPr>
        <w:rFonts w:hint="default"/>
      </w:rPr>
    </w:lvl>
  </w:abstractNum>
  <w:abstractNum w:abstractNumId="63" w15:restartNumberingAfterBreak="0">
    <w:nsid w:val="747A4126"/>
    <w:multiLevelType w:val="singleLevel"/>
    <w:tmpl w:val="9CFA99DE"/>
    <w:lvl w:ilvl="0">
      <w:start w:val="1"/>
      <w:numFmt w:val="bullet"/>
      <w:lvlText w:val="–"/>
      <w:lvlJc w:val="left"/>
      <w:pPr>
        <w:tabs>
          <w:tab w:val="num" w:pos="360"/>
        </w:tabs>
        <w:ind w:left="360" w:hanging="360"/>
      </w:pPr>
      <w:rPr>
        <w:rFonts w:hint="default"/>
      </w:rPr>
    </w:lvl>
  </w:abstractNum>
  <w:abstractNum w:abstractNumId="64" w15:restartNumberingAfterBreak="0">
    <w:nsid w:val="75080F55"/>
    <w:multiLevelType w:val="singleLevel"/>
    <w:tmpl w:val="4EB039BC"/>
    <w:lvl w:ilvl="0">
      <w:start w:val="97"/>
      <w:numFmt w:val="bullet"/>
      <w:lvlText w:val="-"/>
      <w:lvlJc w:val="left"/>
      <w:pPr>
        <w:tabs>
          <w:tab w:val="num" w:pos="360"/>
        </w:tabs>
        <w:ind w:left="360" w:hanging="360"/>
      </w:pPr>
      <w:rPr>
        <w:rFonts w:hint="default"/>
      </w:rPr>
    </w:lvl>
  </w:abstractNum>
  <w:abstractNum w:abstractNumId="65" w15:restartNumberingAfterBreak="0">
    <w:nsid w:val="753718CC"/>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66" w15:restartNumberingAfterBreak="0">
    <w:nsid w:val="75AF7986"/>
    <w:multiLevelType w:val="singleLevel"/>
    <w:tmpl w:val="A9AC9588"/>
    <w:lvl w:ilvl="0">
      <w:start w:val="1"/>
      <w:numFmt w:val="lowerLetter"/>
      <w:lvlText w:val="%1)"/>
      <w:lvlJc w:val="left"/>
      <w:pPr>
        <w:tabs>
          <w:tab w:val="num" w:pos="870"/>
        </w:tabs>
        <w:ind w:left="870" w:hanging="360"/>
      </w:pPr>
      <w:rPr>
        <w:rFonts w:hint="default"/>
      </w:rPr>
    </w:lvl>
  </w:abstractNum>
  <w:abstractNum w:abstractNumId="67" w15:restartNumberingAfterBreak="0">
    <w:nsid w:val="75F47005"/>
    <w:multiLevelType w:val="singleLevel"/>
    <w:tmpl w:val="041D000F"/>
    <w:lvl w:ilvl="0">
      <w:start w:val="2"/>
      <w:numFmt w:val="decimal"/>
      <w:lvlText w:val="%1."/>
      <w:lvlJc w:val="left"/>
      <w:pPr>
        <w:tabs>
          <w:tab w:val="num" w:pos="360"/>
        </w:tabs>
        <w:ind w:left="360" w:hanging="360"/>
      </w:pPr>
      <w:rPr>
        <w:rFonts w:hint="default"/>
      </w:rPr>
    </w:lvl>
  </w:abstractNum>
  <w:abstractNum w:abstractNumId="68" w15:restartNumberingAfterBreak="0">
    <w:nsid w:val="77431FFA"/>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69" w15:restartNumberingAfterBreak="0">
    <w:nsid w:val="78774BCC"/>
    <w:multiLevelType w:val="singleLevel"/>
    <w:tmpl w:val="9CFA99DE"/>
    <w:lvl w:ilvl="0">
      <w:start w:val="1"/>
      <w:numFmt w:val="bullet"/>
      <w:lvlText w:val="–"/>
      <w:lvlJc w:val="left"/>
      <w:pPr>
        <w:tabs>
          <w:tab w:val="num" w:pos="360"/>
        </w:tabs>
        <w:ind w:left="360" w:hanging="360"/>
      </w:pPr>
      <w:rPr>
        <w:rFonts w:hint="default"/>
      </w:rPr>
    </w:lvl>
  </w:abstractNum>
  <w:abstractNum w:abstractNumId="70" w15:restartNumberingAfterBreak="0">
    <w:nsid w:val="791B65F1"/>
    <w:multiLevelType w:val="singleLevel"/>
    <w:tmpl w:val="99D6319A"/>
    <w:lvl w:ilvl="0">
      <w:numFmt w:val="bullet"/>
      <w:lvlText w:val="-"/>
      <w:lvlJc w:val="left"/>
      <w:pPr>
        <w:tabs>
          <w:tab w:val="num" w:pos="360"/>
        </w:tabs>
        <w:ind w:left="360" w:hanging="360"/>
      </w:pPr>
      <w:rPr>
        <w:rFonts w:hint="default"/>
      </w:rPr>
    </w:lvl>
  </w:abstractNum>
  <w:abstractNum w:abstractNumId="71" w15:restartNumberingAfterBreak="0">
    <w:nsid w:val="798127C5"/>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72" w15:restartNumberingAfterBreak="0">
    <w:nsid w:val="7CF93A7B"/>
    <w:multiLevelType w:val="singleLevel"/>
    <w:tmpl w:val="4EB039BC"/>
    <w:lvl w:ilvl="0">
      <w:start w:val="97"/>
      <w:numFmt w:val="bullet"/>
      <w:lvlText w:val="-"/>
      <w:lvlJc w:val="left"/>
      <w:pPr>
        <w:tabs>
          <w:tab w:val="num" w:pos="360"/>
        </w:tabs>
        <w:ind w:left="360" w:hanging="360"/>
      </w:pPr>
      <w:rPr>
        <w:rFonts w:hint="default"/>
      </w:rPr>
    </w:lvl>
  </w:abstractNum>
  <w:num w:numId="1" w16cid:durableId="969282738">
    <w:abstractNumId w:val="0"/>
  </w:num>
  <w:num w:numId="2" w16cid:durableId="359162445">
    <w:abstractNumId w:val="10"/>
  </w:num>
  <w:num w:numId="3" w16cid:durableId="1975913030">
    <w:abstractNumId w:val="61"/>
  </w:num>
  <w:num w:numId="4" w16cid:durableId="1354302893">
    <w:abstractNumId w:val="43"/>
  </w:num>
  <w:num w:numId="5" w16cid:durableId="1679380097">
    <w:abstractNumId w:val="4"/>
  </w:num>
  <w:num w:numId="6" w16cid:durableId="2123987296">
    <w:abstractNumId w:val="67"/>
  </w:num>
  <w:num w:numId="7" w16cid:durableId="599067845">
    <w:abstractNumId w:val="24"/>
  </w:num>
  <w:num w:numId="8" w16cid:durableId="52968205">
    <w:abstractNumId w:val="42"/>
  </w:num>
  <w:num w:numId="9" w16cid:durableId="557666685">
    <w:abstractNumId w:val="70"/>
  </w:num>
  <w:num w:numId="10" w16cid:durableId="2067560218">
    <w:abstractNumId w:val="25"/>
  </w:num>
  <w:num w:numId="11" w16cid:durableId="1947805543">
    <w:abstractNumId w:val="23"/>
  </w:num>
  <w:num w:numId="12" w16cid:durableId="1272980377">
    <w:abstractNumId w:val="7"/>
  </w:num>
  <w:num w:numId="13" w16cid:durableId="1888955898">
    <w:abstractNumId w:val="54"/>
  </w:num>
  <w:num w:numId="14" w16cid:durableId="283268194">
    <w:abstractNumId w:val="59"/>
  </w:num>
  <w:num w:numId="15" w16cid:durableId="103350599">
    <w:abstractNumId w:val="56"/>
  </w:num>
  <w:num w:numId="16" w16cid:durableId="531265789">
    <w:abstractNumId w:val="38"/>
  </w:num>
  <w:num w:numId="17" w16cid:durableId="1513302060">
    <w:abstractNumId w:val="46"/>
  </w:num>
  <w:num w:numId="18" w16cid:durableId="1821188968">
    <w:abstractNumId w:val="62"/>
  </w:num>
  <w:num w:numId="19" w16cid:durableId="129058999">
    <w:abstractNumId w:val="12"/>
  </w:num>
  <w:num w:numId="20" w16cid:durableId="1195731924">
    <w:abstractNumId w:val="64"/>
  </w:num>
  <w:num w:numId="21" w16cid:durableId="1629317702">
    <w:abstractNumId w:val="52"/>
  </w:num>
  <w:num w:numId="22" w16cid:durableId="1243837477">
    <w:abstractNumId w:val="1"/>
  </w:num>
  <w:num w:numId="23" w16cid:durableId="1930850564">
    <w:abstractNumId w:val="72"/>
  </w:num>
  <w:num w:numId="24" w16cid:durableId="1698307182">
    <w:abstractNumId w:val="40"/>
  </w:num>
  <w:num w:numId="25" w16cid:durableId="1431464388">
    <w:abstractNumId w:val="3"/>
  </w:num>
  <w:num w:numId="26" w16cid:durableId="1091583733">
    <w:abstractNumId w:val="58"/>
  </w:num>
  <w:num w:numId="27" w16cid:durableId="2126850383">
    <w:abstractNumId w:val="44"/>
  </w:num>
  <w:num w:numId="28" w16cid:durableId="1711374258">
    <w:abstractNumId w:val="11"/>
  </w:num>
  <w:num w:numId="29" w16cid:durableId="401563611">
    <w:abstractNumId w:val="22"/>
  </w:num>
  <w:num w:numId="30" w16cid:durableId="283269008">
    <w:abstractNumId w:val="57"/>
  </w:num>
  <w:num w:numId="31" w16cid:durableId="104929473">
    <w:abstractNumId w:val="15"/>
  </w:num>
  <w:num w:numId="32" w16cid:durableId="1197305634">
    <w:abstractNumId w:val="51"/>
  </w:num>
  <w:num w:numId="33" w16cid:durableId="1224220637">
    <w:abstractNumId w:val="31"/>
  </w:num>
  <w:num w:numId="34" w16cid:durableId="273053578">
    <w:abstractNumId w:val="30"/>
  </w:num>
  <w:num w:numId="35" w16cid:durableId="765345696">
    <w:abstractNumId w:val="69"/>
  </w:num>
  <w:num w:numId="36" w16cid:durableId="510879267">
    <w:abstractNumId w:val="19"/>
  </w:num>
  <w:num w:numId="37" w16cid:durableId="608392652">
    <w:abstractNumId w:val="29"/>
  </w:num>
  <w:num w:numId="38" w16cid:durableId="701131052">
    <w:abstractNumId w:val="13"/>
  </w:num>
  <w:num w:numId="39" w16cid:durableId="401023414">
    <w:abstractNumId w:val="60"/>
  </w:num>
  <w:num w:numId="40" w16cid:durableId="1802576195">
    <w:abstractNumId w:val="50"/>
  </w:num>
  <w:num w:numId="41" w16cid:durableId="756558187">
    <w:abstractNumId w:val="34"/>
  </w:num>
  <w:num w:numId="42" w16cid:durableId="694579818">
    <w:abstractNumId w:val="47"/>
  </w:num>
  <w:num w:numId="43" w16cid:durableId="445319571">
    <w:abstractNumId w:val="45"/>
  </w:num>
  <w:num w:numId="44" w16cid:durableId="1974599746">
    <w:abstractNumId w:val="41"/>
  </w:num>
  <w:num w:numId="45" w16cid:durableId="311906720">
    <w:abstractNumId w:val="32"/>
  </w:num>
  <w:num w:numId="46" w16cid:durableId="873735957">
    <w:abstractNumId w:val="63"/>
  </w:num>
  <w:num w:numId="47" w16cid:durableId="444152161">
    <w:abstractNumId w:val="18"/>
  </w:num>
  <w:num w:numId="48" w16cid:durableId="202138250">
    <w:abstractNumId w:val="5"/>
  </w:num>
  <w:num w:numId="49" w16cid:durableId="323630435">
    <w:abstractNumId w:val="8"/>
  </w:num>
  <w:num w:numId="50" w16cid:durableId="1531141852">
    <w:abstractNumId w:val="37"/>
  </w:num>
  <w:num w:numId="51" w16cid:durableId="1626734697">
    <w:abstractNumId w:val="17"/>
  </w:num>
  <w:num w:numId="52" w16cid:durableId="1896894314">
    <w:abstractNumId w:val="21"/>
  </w:num>
  <w:num w:numId="53" w16cid:durableId="1295794161">
    <w:abstractNumId w:val="48"/>
  </w:num>
  <w:num w:numId="54" w16cid:durableId="1272208234">
    <w:abstractNumId w:val="65"/>
  </w:num>
  <w:num w:numId="55" w16cid:durableId="699477423">
    <w:abstractNumId w:val="2"/>
  </w:num>
  <w:num w:numId="56" w16cid:durableId="1486314129">
    <w:abstractNumId w:val="68"/>
  </w:num>
  <w:num w:numId="57" w16cid:durableId="870336900">
    <w:abstractNumId w:val="55"/>
  </w:num>
  <w:num w:numId="58" w16cid:durableId="28535512">
    <w:abstractNumId w:val="71"/>
  </w:num>
  <w:num w:numId="59" w16cid:durableId="945769126">
    <w:abstractNumId w:val="66"/>
  </w:num>
  <w:num w:numId="60" w16cid:durableId="2003194983">
    <w:abstractNumId w:val="49"/>
  </w:num>
  <w:num w:numId="61" w16cid:durableId="1291130665">
    <w:abstractNumId w:val="36"/>
  </w:num>
  <w:num w:numId="62" w16cid:durableId="623535579">
    <w:abstractNumId w:val="16"/>
  </w:num>
  <w:num w:numId="63" w16cid:durableId="1625849046">
    <w:abstractNumId w:val="27"/>
  </w:num>
  <w:num w:numId="64" w16cid:durableId="1691833744">
    <w:abstractNumId w:val="26"/>
  </w:num>
  <w:num w:numId="65" w16cid:durableId="726338925">
    <w:abstractNumId w:val="53"/>
  </w:num>
  <w:num w:numId="66" w16cid:durableId="847064717">
    <w:abstractNumId w:val="6"/>
  </w:num>
  <w:num w:numId="67" w16cid:durableId="404762029">
    <w:abstractNumId w:val="33"/>
  </w:num>
  <w:num w:numId="68" w16cid:durableId="230048120">
    <w:abstractNumId w:val="39"/>
  </w:num>
  <w:num w:numId="69" w16cid:durableId="1575166216">
    <w:abstractNumId w:val="28"/>
  </w:num>
  <w:num w:numId="70" w16cid:durableId="1760637692">
    <w:abstractNumId w:val="14"/>
  </w:num>
  <w:num w:numId="71" w16cid:durableId="775558794">
    <w:abstractNumId w:val="35"/>
  </w:num>
  <w:num w:numId="72" w16cid:durableId="1391348538">
    <w:abstractNumId w:val="9"/>
  </w:num>
  <w:num w:numId="73" w16cid:durableId="658464635">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defaultTabStop w:val="1304"/>
  <w:autoHyphenation/>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arbetsmarknadsutskottets"/>
    <w:docVar w:name="Skapår" w:val="9900"/>
  </w:docVars>
  <w:rsids>
    <w:rsidRoot w:val="0095658D"/>
    <w:rsid w:val="00000E4F"/>
    <w:rsid w:val="00866CF7"/>
    <w:rsid w:val="0095658D"/>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52D5D43-4A0A-4DD6-8BFF-34DAA6FAF3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122" w:line="245" w:lineRule="exact"/>
      <w:jc w:val="both"/>
    </w:pPr>
    <w:rPr>
      <w:sz w:val="19"/>
      <w:lang w:val="sv-SE"/>
    </w:rPr>
  </w:style>
  <w:style w:type="paragraph" w:styleId="Rubrik1">
    <w:name w:val="heading 1"/>
    <w:basedOn w:val="Normal"/>
    <w:next w:val="Normal"/>
    <w:qFormat/>
    <w:pPr>
      <w:keepNext/>
      <w:keepLines/>
      <w:suppressAutoHyphens/>
      <w:spacing w:before="313" w:line="300" w:lineRule="exact"/>
      <w:jc w:val="left"/>
      <w:outlineLvl w:val="0"/>
    </w:pPr>
    <w:rPr>
      <w:sz w:val="28"/>
    </w:rPr>
  </w:style>
  <w:style w:type="paragraph" w:styleId="Rubrik2">
    <w:name w:val="heading 2"/>
    <w:basedOn w:val="Rubrik1"/>
    <w:next w:val="Normal"/>
    <w:qFormat/>
    <w:pPr>
      <w:spacing w:before="360" w:line="256" w:lineRule="exact"/>
      <w:outlineLvl w:val="1"/>
    </w:pPr>
    <w:rPr>
      <w:sz w:val="23"/>
    </w:rPr>
  </w:style>
  <w:style w:type="paragraph" w:styleId="Rubrik3">
    <w:name w:val="heading 3"/>
    <w:basedOn w:val="Rubrik1"/>
    <w:next w:val="Normal"/>
    <w:qFormat/>
    <w:pPr>
      <w:spacing w:before="398" w:line="214" w:lineRule="exact"/>
      <w:outlineLvl w:val="2"/>
    </w:pPr>
    <w:rPr>
      <w:b/>
      <w:sz w:val="19"/>
    </w:rPr>
  </w:style>
  <w:style w:type="paragraph" w:styleId="Rubrik4">
    <w:name w:val="heading 4"/>
    <w:basedOn w:val="Rubrik3"/>
    <w:next w:val="Normal"/>
    <w:qFormat/>
    <w:p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paragraph" w:styleId="Rubrik7">
    <w:name w:val="heading 7"/>
    <w:basedOn w:val="Normal"/>
    <w:next w:val="Normal"/>
    <w:qFormat/>
    <w:pPr>
      <w:keepNext/>
      <w:spacing w:before="0" w:line="240" w:lineRule="auto"/>
      <w:jc w:val="left"/>
      <w:outlineLvl w:val="6"/>
    </w:pPr>
    <w:rPr>
      <w:b/>
      <w:sz w:val="28"/>
    </w:rPr>
  </w:style>
  <w:style w:type="paragraph" w:styleId="Rubrik8">
    <w:name w:val="heading 8"/>
    <w:basedOn w:val="Normal"/>
    <w:next w:val="Normal"/>
    <w:qFormat/>
    <w:pPr>
      <w:keepNext/>
      <w:spacing w:before="0" w:line="240" w:lineRule="auto"/>
      <w:jc w:val="left"/>
      <w:outlineLvl w:val="7"/>
    </w:pPr>
    <w:rPr>
      <w:sz w:val="28"/>
    </w:rPr>
  </w:style>
  <w:style w:type="paragraph" w:styleId="Rubrik9">
    <w:name w:val="heading 9"/>
    <w:basedOn w:val="Normal"/>
    <w:next w:val="Normal"/>
    <w:qFormat/>
    <w:pPr>
      <w:keepNext/>
      <w:outlineLvl w:val="8"/>
    </w:pPr>
    <w:rPr>
      <w:i/>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semiHidden/>
    <w:pPr>
      <w:spacing w:before="0"/>
      <w:ind w:firstLine="170"/>
    </w:pPr>
  </w:style>
  <w:style w:type="paragraph" w:customStyle="1" w:styleId="HuvudRubrik">
    <w:name w:val="HuvudRubrik"/>
    <w:basedOn w:val="Normal"/>
    <w:pPr>
      <w:suppressAutoHyphens/>
      <w:spacing w:before="0" w:line="400" w:lineRule="exact"/>
      <w:jc w:val="left"/>
    </w:pPr>
    <w:rPr>
      <w:sz w:val="36"/>
    </w:rPr>
  </w:style>
  <w:style w:type="paragraph" w:customStyle="1" w:styleId="BetnkandeRubrik">
    <w:name w:val="BetänkandeRubrik"/>
    <w:basedOn w:val="Normal"/>
    <w:pPr>
      <w:spacing w:before="40" w:after="720" w:line="280" w:lineRule="exact"/>
      <w:jc w:val="left"/>
    </w:pPr>
    <w:rPr>
      <w:sz w:val="28"/>
    </w:rPr>
  </w:style>
  <w:style w:type="paragraph" w:customStyle="1" w:styleId="rtal">
    <w:name w:val="Årtal"/>
    <w:basedOn w:val="Normal"/>
    <w:pPr>
      <w:spacing w:before="0" w:line="240" w:lineRule="auto"/>
      <w:ind w:left="113"/>
      <w:jc w:val="left"/>
    </w:pPr>
    <w:rPr>
      <w:sz w:val="24"/>
    </w:rPr>
  </w:style>
  <w:style w:type="paragraph" w:customStyle="1" w:styleId="StatusSida1">
    <w:name w:val="Status Sida1"/>
    <w:basedOn w:val="rtal"/>
    <w:pPr>
      <w:ind w:left="0"/>
    </w:pPr>
    <w:rPr>
      <w:b/>
      <w:sz w:val="28"/>
    </w:rPr>
  </w:style>
  <w:style w:type="paragraph" w:customStyle="1" w:styleId="UtskriftsdatumSida1">
    <w:name w:val="Utskriftsdatum Sida1"/>
    <w:basedOn w:val="SidhuvudKant"/>
    <w:pPr>
      <w:spacing w:line="240" w:lineRule="auto"/>
    </w:pPr>
  </w:style>
  <w:style w:type="paragraph" w:customStyle="1" w:styleId="SidhuvudKant">
    <w:name w:val="SidhuvudKant"/>
    <w:basedOn w:val="Sidhuvud"/>
    <w:pPr>
      <w:ind w:left="0"/>
    </w:pPr>
    <w:rPr>
      <w:sz w:val="21"/>
    </w:rPr>
  </w:style>
  <w:style w:type="paragraph" w:styleId="Sidhuvud">
    <w:name w:val="header"/>
    <w:basedOn w:val="Normal"/>
    <w:semiHidden/>
    <w:pPr>
      <w:tabs>
        <w:tab w:val="center" w:pos="4252"/>
        <w:tab w:val="right" w:pos="8504"/>
      </w:tabs>
      <w:spacing w:before="0"/>
      <w:ind w:left="-851"/>
      <w:jc w:val="left"/>
    </w:pPr>
  </w:style>
  <w:style w:type="paragraph" w:customStyle="1" w:styleId="BetRubrik">
    <w:name w:val="BetRubrik"/>
    <w:basedOn w:val="Rubrik1"/>
    <w:pPr>
      <w:spacing w:line="480" w:lineRule="exact"/>
      <w:outlineLvl w:val="9"/>
    </w:pPr>
    <w:rPr>
      <w:sz w:val="36"/>
    </w:rPr>
  </w:style>
  <w:style w:type="paragraph" w:styleId="Brdtext">
    <w:name w:val="Body Text"/>
    <w:basedOn w:val="Normal"/>
    <w:next w:val="Brdtextmedindrag"/>
    <w:semiHidden/>
  </w:style>
  <w:style w:type="paragraph" w:styleId="Brdtextmedindrag">
    <w:name w:val="Body Text Indent"/>
    <w:basedOn w:val="Normal"/>
    <w:semiHidden/>
    <w:pPr>
      <w:ind w:firstLine="284"/>
    </w:p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paragraph" w:customStyle="1" w:styleId="Deltagare">
    <w:name w:val="Deltagare"/>
    <w:basedOn w:val="Citat"/>
    <w:next w:val="Normal"/>
    <w:pPr>
      <w:spacing w:before="612"/>
    </w:pPr>
  </w:style>
  <w:style w:type="paragraph" w:styleId="Fotnotstext">
    <w:name w:val="footnote text"/>
    <w:basedOn w:val="Normal"/>
    <w:semiHidden/>
    <w:pPr>
      <w:spacing w:line="170" w:lineRule="exact"/>
    </w:pPr>
    <w:rPr>
      <w:sz w:val="17"/>
    </w:rPr>
  </w:style>
  <w:style w:type="paragraph" w:customStyle="1" w:styleId="hembetr">
    <w:name w:val="hembetr"/>
    <w:basedOn w:val="Normaltindrag"/>
    <w:next w:val="Normal"/>
    <w:pPr>
      <w:ind w:left="510"/>
    </w:pPr>
    <w:rPr>
      <w:color w:val="000000"/>
    </w:rPr>
  </w:style>
  <w:style w:type="paragraph" w:customStyle="1" w:styleId="hemtext">
    <w:name w:val="hemtext"/>
    <w:basedOn w:val="Normaltindrag"/>
    <w:pPr>
      <w:ind w:left="510" w:firstLine="0"/>
    </w:pPr>
  </w:style>
  <w:style w:type="paragraph" w:customStyle="1" w:styleId="Innehll">
    <w:name w:val="Innehåll"/>
    <w:basedOn w:val="Rubrik1"/>
    <w:next w:val="Normal"/>
    <w:pPr>
      <w:spacing w:before="0" w:after="245"/>
      <w:outlineLvl w:val="9"/>
    </w:pPr>
  </w:style>
  <w:style w:type="paragraph" w:styleId="Innehll1">
    <w:name w:val="toc 1"/>
    <w:basedOn w:val="Normal"/>
    <w:autoRedefine/>
    <w:semiHidden/>
    <w:pPr>
      <w:tabs>
        <w:tab w:val="right" w:leader="dot" w:pos="5670"/>
      </w:tabs>
      <w:spacing w:before="0"/>
      <w:ind w:right="567"/>
      <w:jc w:val="left"/>
    </w:pPr>
    <w:rPr>
      <w:noProof/>
    </w:r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01" w:hSpace="284" w:wrap="around" w:vAnchor="text" w:hAnchor="page" w:xAlign="right" w:y="-231"/>
    </w:pPr>
    <w:rPr>
      <w:i/>
    </w:rPr>
  </w:style>
  <w:style w:type="character" w:styleId="Kommentarsreferens">
    <w:name w:val="annotation reference"/>
    <w:basedOn w:val="Standardstycketeckensnitt"/>
    <w:semiHidden/>
    <w:rPr>
      <w:sz w:val="16"/>
    </w:rPr>
  </w:style>
  <w:style w:type="paragraph" w:customStyle="1" w:styleId="Lagtext">
    <w:name w:val="Lagtext"/>
    <w:basedOn w:val="Normal"/>
    <w:next w:val="Normal"/>
    <w:pPr>
      <w:spacing w:before="0" w:line="214"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paragraph" w:customStyle="1" w:styleId="NormalRam">
    <w:name w:val="NormalRam"/>
    <w:basedOn w:val="Normal"/>
    <w:pPr>
      <w:framePr w:hSpace="142" w:wrap="around" w:vAnchor="page" w:hAnchor="text" w:y="1" w:anchorLock="1"/>
    </w:pPr>
  </w:style>
  <w:style w:type="paragraph" w:customStyle="1" w:styleId="Odefinierat">
    <w:name w:val="Odefinierat"/>
    <w:basedOn w:val="Normal"/>
  </w:style>
  <w:style w:type="paragraph" w:customStyle="1" w:styleId="Ordfnamn">
    <w:name w:val="Ordfnamn"/>
    <w:basedOn w:val="Normal"/>
    <w:next w:val="Normal"/>
    <w:pPr>
      <w:spacing w:before="490"/>
    </w:pPr>
    <w:rPr>
      <w:i/>
      <w:sz w:val="21"/>
    </w:rPr>
  </w:style>
  <w:style w:type="paragraph" w:customStyle="1" w:styleId="Resklmb">
    <w:name w:val="Resklämb"/>
    <w:basedOn w:val="hembetr"/>
  </w:style>
  <w:style w:type="paragraph" w:customStyle="1" w:styleId="PropMot">
    <w:name w:val="PropMot"/>
    <w:basedOn w:val="Resklmb"/>
    <w:pPr>
      <w:ind w:left="0"/>
    </w:pPr>
  </w:style>
  <w:style w:type="paragraph" w:customStyle="1" w:styleId="R1">
    <w:name w:val="R1"/>
    <w:basedOn w:val="Rubrik1"/>
    <w:next w:val="Normal"/>
    <w:pPr>
      <w:outlineLvl w:val="9"/>
    </w:pPr>
  </w:style>
  <w:style w:type="paragraph" w:customStyle="1" w:styleId="R2">
    <w:name w:val="R2"/>
    <w:basedOn w:val="Rubrik2"/>
    <w:next w:val="Normal"/>
    <w:pPr>
      <w:outlineLvl w:val="9"/>
    </w:pPr>
  </w:style>
  <w:style w:type="paragraph" w:customStyle="1" w:styleId="R3">
    <w:name w:val="R3"/>
    <w:basedOn w:val="Rubrik3"/>
    <w:next w:val="Normal"/>
    <w:pPr>
      <w:outlineLvl w:val="9"/>
    </w:pPr>
  </w:style>
  <w:style w:type="paragraph" w:customStyle="1" w:styleId="R4">
    <w:name w:val="R4"/>
    <w:basedOn w:val="Rubrik4"/>
    <w:next w:val="Normal"/>
    <w:pPr>
      <w:outlineLvl w:val="9"/>
    </w:pPr>
  </w:style>
  <w:style w:type="paragraph" w:customStyle="1" w:styleId="Reseftermom">
    <w:name w:val="Reseftermom"/>
    <w:basedOn w:val="Normal"/>
    <w:next w:val="Normal"/>
    <w:pPr>
      <w:spacing w:before="0"/>
      <w:ind w:left="2835"/>
    </w:pPr>
    <w:rPr>
      <w:i/>
      <w:color w:val="000000"/>
    </w:rPr>
  </w:style>
  <w:style w:type="paragraph" w:customStyle="1" w:styleId="Resklm">
    <w:name w:val="Reskläm"/>
    <w:basedOn w:val="hemtext"/>
  </w:style>
  <w:style w:type="paragraph" w:customStyle="1" w:styleId="SakregAlfa">
    <w:name w:val="SakregAlfa"/>
    <w:basedOn w:val="Innehll"/>
    <w:pPr>
      <w:tabs>
        <w:tab w:val="right" w:leader="dot" w:pos="5897"/>
      </w:tabs>
      <w:spacing w:after="0" w:line="245" w:lineRule="exact"/>
      <w:ind w:left="284" w:right="1134" w:hanging="284"/>
    </w:pPr>
    <w:rPr>
      <w:sz w:val="19"/>
    </w:rPr>
  </w:style>
  <w:style w:type="paragraph" w:customStyle="1" w:styleId="SakregBetRub">
    <w:name w:val="SakregBetRub"/>
    <w:basedOn w:val="Rubrik3"/>
    <w:pPr>
      <w:spacing w:before="0"/>
      <w:outlineLvl w:val="9"/>
    </w:pPr>
  </w:style>
  <w:style w:type="paragraph" w:customStyle="1" w:styleId="SakregBetText">
    <w:name w:val="SakregBetText"/>
    <w:basedOn w:val="SakregAlfa"/>
    <w:pPr>
      <w:tabs>
        <w:tab w:val="right" w:pos="5897"/>
      </w:tabs>
      <w:ind w:left="0" w:right="1418" w:firstLine="0"/>
    </w:pPr>
  </w:style>
  <w:style w:type="paragraph" w:customStyle="1" w:styleId="Sakregister">
    <w:name w:val="Sakregister"/>
    <w:basedOn w:val="Normal"/>
    <w:pPr>
      <w:tabs>
        <w:tab w:val="right" w:leader="dot" w:pos="5897"/>
      </w:tabs>
      <w:ind w:left="284" w:right="851" w:hanging="284"/>
    </w:pPr>
  </w:style>
  <w:style w:type="paragraph" w:customStyle="1" w:styleId="SBTabell">
    <w:name w:val="SB_Tabell"/>
    <w:basedOn w:val="Normal"/>
    <w:pPr>
      <w:spacing w:before="0" w:line="214" w:lineRule="exact"/>
    </w:pPr>
  </w:style>
  <w:style w:type="paragraph" w:styleId="Sidfot">
    <w:name w:val="footer"/>
    <w:basedOn w:val="Normal"/>
    <w:semiHidden/>
    <w:pPr>
      <w:tabs>
        <w:tab w:val="center" w:pos="4703"/>
        <w:tab w:val="right" w:pos="9406"/>
      </w:tabs>
    </w:pPr>
  </w:style>
  <w:style w:type="paragraph" w:customStyle="1" w:styleId="SidhuvudH">
    <w:name w:val="SidhuvudH"/>
    <w:basedOn w:val="Sidhuvud"/>
    <w:pPr>
      <w:framePr w:w="1701" w:hSpace="284" w:wrap="notBeside" w:hAnchor="page" w:xAlign="right" w:yAlign="top" w:anchorLock="1"/>
      <w:spacing w:line="240" w:lineRule="auto"/>
      <w:ind w:left="0" w:right="113"/>
    </w:pPr>
    <w:rPr>
      <w:sz w:val="21"/>
    </w:rPr>
  </w:style>
  <w:style w:type="paragraph" w:customStyle="1" w:styleId="SidhuvudF">
    <w:name w:val="SidhuvudF"/>
    <w:basedOn w:val="SidhuvudH"/>
    <w:pPr>
      <w:framePr w:wrap="notBeside"/>
    </w:pPr>
  </w:style>
  <w:style w:type="paragraph" w:customStyle="1" w:styleId="SidfotH">
    <w:name w:val="SidfotH"/>
    <w:basedOn w:val="SidhuvudF"/>
    <w:pPr>
      <w:framePr w:w="567" w:hSpace="142" w:vSpace="142" w:wrap="around" w:yAlign="bottom"/>
      <w:jc w:val="right"/>
    </w:pPr>
    <w:rPr>
      <w:sz w:val="18"/>
    </w:rPr>
  </w:style>
  <w:style w:type="paragraph" w:customStyle="1" w:styleId="SidfotV">
    <w:name w:val="SidfotV"/>
    <w:basedOn w:val="SidfotH"/>
    <w:pPr>
      <w:framePr w:wrap="around" w:xAlign="inside"/>
    </w:pPr>
  </w:style>
  <w:style w:type="paragraph" w:customStyle="1" w:styleId="SidhuvudFText">
    <w:name w:val="SidhuvudFText"/>
    <w:basedOn w:val="Normal"/>
    <w:pPr>
      <w:framePr w:hSpace="284" w:wrap="notBeside" w:vAnchor="page" w:hAnchor="text" w:y="3970" w:anchorLock="1"/>
      <w:tabs>
        <w:tab w:val="center" w:pos="4252"/>
        <w:tab w:val="right" w:pos="8504"/>
      </w:tabs>
      <w:suppressAutoHyphens/>
      <w:spacing w:before="0" w:line="240" w:lineRule="exact"/>
      <w:ind w:right="113"/>
      <w:jc w:val="left"/>
    </w:pPr>
    <w:rPr>
      <w:sz w:val="22"/>
    </w:rPr>
  </w:style>
  <w:style w:type="paragraph" w:customStyle="1" w:styleId="SidhuvudFVapen">
    <w:name w:val="SidhuvudFVapen"/>
    <w:basedOn w:val="SidhuvudH"/>
    <w:pPr>
      <w:framePr w:wrap="notBeside" w:vAnchor="page" w:y="3573"/>
      <w:spacing w:line="230" w:lineRule="exact"/>
    </w:pPr>
  </w:style>
  <w:style w:type="paragraph" w:customStyle="1" w:styleId="SidhuvudKantBilaga">
    <w:name w:val="SidhuvudKantBilaga"/>
    <w:basedOn w:val="SidhuvudKant"/>
  </w:style>
  <w:style w:type="paragraph" w:customStyle="1" w:styleId="SidhuvudV">
    <w:name w:val="SidhuvudV"/>
    <w:basedOn w:val="SidhuvudH"/>
    <w:pPr>
      <w:framePr w:wrap="notBeside"/>
    </w:pPr>
  </w:style>
  <w:style w:type="character" w:styleId="Sidnummer">
    <w:name w:val="page number"/>
    <w:basedOn w:val="Standardstycketeckensnitt"/>
    <w:semiHidden/>
    <w:rPr>
      <w:rFonts w:ascii="Times New Roman" w:hAnsi="Times New Roman"/>
      <w:sz w:val="19"/>
    </w:rPr>
  </w:style>
  <w:style w:type="paragraph" w:customStyle="1" w:styleId="Stockholm">
    <w:name w:val="Stockholm"/>
    <w:basedOn w:val="Normal"/>
    <w:pPr>
      <w:spacing w:before="245"/>
    </w:pPr>
  </w:style>
  <w:style w:type="paragraph" w:customStyle="1" w:styleId="Tabell">
    <w:name w:val="Tabell"/>
    <w:basedOn w:val="Normal"/>
    <w:pPr>
      <w:spacing w:before="0" w:line="170" w:lineRule="exact"/>
    </w:pPr>
    <w:rPr>
      <w:sz w:val="17"/>
    </w:rPr>
  </w:style>
  <w:style w:type="paragraph" w:customStyle="1" w:styleId="Tabellrubrik">
    <w:name w:val="Tabellrubrik"/>
    <w:basedOn w:val="Tabell"/>
    <w:next w:val="Tabell"/>
    <w:rPr>
      <w:b/>
    </w:rPr>
  </w:style>
  <w:style w:type="paragraph" w:customStyle="1" w:styleId="tabnormal">
    <w:name w:val="tabnormal"/>
    <w:basedOn w:val="Normaltindrag"/>
  </w:style>
  <w:style w:type="paragraph" w:customStyle="1" w:styleId="Tryckort">
    <w:name w:val="Tryckort"/>
    <w:basedOn w:val="Normal"/>
    <w:pPr>
      <w:framePr w:wrap="around" w:hAnchor="text" w:yAlign="bottom"/>
      <w:spacing w:before="0" w:line="160" w:lineRule="exact"/>
    </w:pPr>
    <w:rPr>
      <w:sz w:val="16"/>
    </w:rPr>
  </w:style>
  <w:style w:type="paragraph" w:customStyle="1" w:styleId="Vinkela">
    <w:name w:val="Vinkela"/>
    <w:basedOn w:val="Normal"/>
    <w:next w:val="Normal"/>
    <w:pPr>
      <w:spacing w:before="123"/>
    </w:pPr>
  </w:style>
  <w:style w:type="paragraph" w:customStyle="1" w:styleId="Vinkelkoder">
    <w:name w:val="Vinkelkoder"/>
    <w:basedOn w:val="Normal"/>
    <w:pPr>
      <w:spacing w:before="0"/>
    </w:pPr>
  </w:style>
  <w:style w:type="paragraph" w:customStyle="1" w:styleId="Vgnar">
    <w:name w:val="Vägnar"/>
    <w:basedOn w:val="Normal"/>
    <w:next w:val="Normal"/>
    <w:pPr>
      <w:spacing w:before="183"/>
    </w:pPr>
  </w:style>
  <w:style w:type="paragraph" w:customStyle="1" w:styleId="HuvudRubrikRad2">
    <w:name w:val="HuvudRubrikRad2"/>
    <w:basedOn w:val="HuvudRubrik"/>
  </w:style>
  <w:style w:type="paragraph" w:customStyle="1" w:styleId="Logo">
    <w:name w:val="Logo"/>
    <w:basedOn w:val="Normal"/>
    <w:pPr>
      <w:spacing w:before="0" w:line="240" w:lineRule="auto"/>
      <w:jc w:val="left"/>
    </w:pPr>
  </w:style>
  <w:style w:type="paragraph" w:customStyle="1" w:styleId="LagtextRubrik">
    <w:name w:val="LagtextRubrik"/>
    <w:basedOn w:val="Normal"/>
    <w:next w:val="LagtextIndrag"/>
    <w:pPr>
      <w:spacing w:before="0" w:after="120"/>
    </w:pPr>
  </w:style>
  <w:style w:type="character" w:styleId="Fotnotsreferens">
    <w:name w:val="footnote reference"/>
    <w:basedOn w:val="Standardstycketeckensnitt"/>
    <w:semiHidden/>
    <w:rPr>
      <w:vertAlign w:val="superscript"/>
    </w:rPr>
  </w:style>
  <w:style w:type="paragraph" w:styleId="Oformateradtext">
    <w:name w:val="Plain Text"/>
    <w:basedOn w:val="Normal"/>
    <w:semiHidden/>
    <w:pPr>
      <w:widowControl w:val="0"/>
      <w:spacing w:before="0" w:line="240" w:lineRule="auto"/>
      <w:jc w:val="left"/>
    </w:pPr>
    <w:rPr>
      <w:rFonts w:ascii="Courier New" w:hAnsi="Courier New"/>
      <w:sz w:val="20"/>
    </w:rPr>
  </w:style>
  <w:style w:type="paragraph" w:styleId="Brdtext3">
    <w:name w:val="Body Text 3"/>
    <w:basedOn w:val="Normal"/>
    <w:semiHidden/>
    <w:pPr>
      <w:spacing w:before="0" w:line="240" w:lineRule="auto"/>
      <w:jc w:val="left"/>
    </w:pPr>
    <w:rPr>
      <w:sz w:val="28"/>
    </w:rPr>
  </w:style>
  <w:style w:type="character" w:styleId="Radnummer">
    <w:name w:val="line number"/>
    <w:basedOn w:val="Standardstycketeckensnitt"/>
    <w:semiHidden/>
  </w:style>
  <w:style w:type="paragraph" w:styleId="Brdtext2">
    <w:name w:val="Body Text 2"/>
    <w:basedOn w:val="Normal"/>
    <w:semiHidden/>
    <w:pPr>
      <w:spacing w:before="0" w:line="240" w:lineRule="auto"/>
    </w:pPr>
    <w:rPr>
      <w:sz w:val="20"/>
    </w:rPr>
  </w:style>
  <w:style w:type="paragraph" w:customStyle="1" w:styleId="Propmedindrag">
    <w:name w:val="Prop. med indrag"/>
    <w:basedOn w:val="Normal"/>
    <w:pPr>
      <w:tabs>
        <w:tab w:val="left" w:pos="2835"/>
      </w:tabs>
      <w:spacing w:before="0" w:line="240" w:lineRule="auto"/>
      <w:ind w:firstLine="227"/>
    </w:pPr>
    <w:rPr>
      <w:sz w:val="25"/>
    </w:rPr>
  </w:style>
  <w:style w:type="paragraph" w:customStyle="1" w:styleId="Proputanindrag">
    <w:name w:val="Prop. utan indrag"/>
    <w:basedOn w:val="Normal"/>
    <w:next w:val="Propmedindrag"/>
    <w:pPr>
      <w:tabs>
        <w:tab w:val="left" w:pos="2835"/>
      </w:tabs>
      <w:spacing w:before="0" w:line="240" w:lineRule="auto"/>
    </w:pPr>
    <w:rPr>
      <w:sz w:val="25"/>
    </w:rPr>
  </w:style>
  <w:style w:type="paragraph" w:customStyle="1" w:styleId="RubrikBetNrDeldokument">
    <w:name w:val="Rubrik BetNr Deldokument"/>
    <w:basedOn w:val="Normal"/>
    <w:pPr>
      <w:spacing w:before="0" w:line="240" w:lineRule="auto"/>
      <w:jc w:val="left"/>
    </w:pPr>
    <w:rPr>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footer" Target="footer2.xml"/><Relationship Id="rId18" Type="http://schemas.openxmlformats.org/officeDocument/2006/relationships/header" Target="header5.xml"/><Relationship Id="rId3" Type="http://schemas.openxmlformats.org/officeDocument/2006/relationships/settings" Target="settings.xml"/><Relationship Id="rId21" Type="http://schemas.openxmlformats.org/officeDocument/2006/relationships/footer" Target="footer6.xml"/><Relationship Id="rId7" Type="http://schemas.openxmlformats.org/officeDocument/2006/relationships/image" Target="media/image1.wmf"/><Relationship Id="rId12" Type="http://schemas.openxmlformats.org/officeDocument/2006/relationships/header" Target="header2.xml"/><Relationship Id="rId17" Type="http://schemas.openxmlformats.org/officeDocument/2006/relationships/footer" Target="footer4.xm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eader" Target="header4.xml"/><Relationship Id="rId20" Type="http://schemas.openxmlformats.org/officeDocument/2006/relationships/header" Target="header6.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footer" Target="footer3.xml"/><Relationship Id="rId23" Type="http://schemas.openxmlformats.org/officeDocument/2006/relationships/footer" Target="footer7.xml"/><Relationship Id="rId10" Type="http://schemas.openxmlformats.org/officeDocument/2006/relationships/header" Target="header1.xml"/><Relationship Id="rId19" Type="http://schemas.openxmlformats.org/officeDocument/2006/relationships/footer" Target="footer5.xml"/><Relationship Id="rId4" Type="http://schemas.openxmlformats.org/officeDocument/2006/relationships/webSettings" Target="webSettings.xml"/><Relationship Id="rId9" Type="http://schemas.openxmlformats.org/officeDocument/2006/relationships/oleObject" Target="embeddings/oleObject2.bin"/><Relationship Id="rId14" Type="http://schemas.openxmlformats.org/officeDocument/2006/relationships/header" Target="header3.xml"/><Relationship Id="rId22" Type="http://schemas.openxmlformats.org/officeDocument/2006/relationships/header" Target="header7.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43540</Words>
  <Characters>262553</Characters>
  <Application>Microsoft Office Word</Application>
  <DocSecurity>4</DocSecurity>
  <Lines>5251</Lines>
  <Paragraphs>1654</Paragraphs>
  <ScaleCrop>false</ScaleCrop>
  <HeadingPairs>
    <vt:vector size="4" baseType="variant">
      <vt:variant>
        <vt:lpstr>Title</vt:lpstr>
      </vt:variant>
      <vt:variant>
        <vt:i4>1</vt:i4>
      </vt:variant>
      <vt:variant>
        <vt:lpstr>Rubriker</vt:lpstr>
      </vt:variant>
      <vt:variant>
        <vt:i4>19</vt:i4>
      </vt:variant>
    </vt:vector>
  </HeadingPairs>
  <TitlesOfParts>
    <vt:vector size="20" baseType="lpstr">
      <vt:lpstr>Arbetsmarknadsutskottets betänkande</vt:lpstr>
      <vt:lpstr>Sammanfattning</vt:lpstr>
      <vt:lpstr>Propositionen</vt:lpstr>
      <vt:lpstr>Motionerna</vt:lpstr>
      <vt:lpstr>UTSKOTTET</vt:lpstr>
      <vt:lpstr>DEL I LÖNEBILDNINGEN </vt:lpstr>
      <vt:lpstr>1 Bakgrund</vt:lpstr>
      <vt:lpstr>2 Propositionen i huvuddrag</vt:lpstr>
      <vt:lpstr>3 Utgångspunkter för förslagen m.m., statens resp. parternas roll och ansvar för</vt:lpstr>
      <vt:lpstr>4 Inrättande av Medlingsinstitutet m.m.</vt:lpstr>
      <vt:lpstr>5 Regler vid avtalsförhandlingar och konflikt </vt:lpstr>
      <vt:lpstr>    5.1 Medling m.m.</vt:lpstr>
      <vt:lpstr>    5.2 Särregler för parter med förhandlingsordning</vt:lpstr>
      <vt:lpstr>    5.3 Förlängd varseltid</vt:lpstr>
      <vt:lpstr>    5.4 Varselavgift, uppskjutande av en varslad stridsåtgärd m.m.</vt:lpstr>
      <vt:lpstr>    5.5 Verkan av uteblivet varsel </vt:lpstr>
      <vt:lpstr>    5.6 Skiljeförfarande och skiljenämnd, förlikningsman, förlikningskommission m.m.</vt:lpstr>
      <vt:lpstr>6 Stridsåtgärder</vt:lpstr>
      <vt:lpstr>    6.1 Stridsåtgärder mot enmans- och familjeföretag  </vt:lpstr>
      <vt:lpstr>    6.2 Stridsåtgärders proportionalitet m.m.</vt:lpstr>
    </vt:vector>
  </TitlesOfParts>
  <Company>Riksdagen</Company>
  <LinksUpToDate>false</LinksUpToDate>
  <CharactersWithSpaces>304439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Arbetsmarknadsutskottets betänkande</dc:title>
  <dc:subject>Arbetsmarknadsutskottets betänkande</dc:subject>
  <dc:creator>Riksdagen</dc:creator>
  <cp:keywords>Riksdagen</cp:keywords>
  <cp:lastModifiedBy>Lars Brink</cp:lastModifiedBy>
  <cp:revision>2</cp:revision>
  <cp:lastPrinted>2000-03-15T09:15:00Z</cp:lastPrinted>
  <dcterms:created xsi:type="dcterms:W3CDTF">2025-12-15T21:01:00Z</dcterms:created>
  <dcterms:modified xsi:type="dcterms:W3CDTF">2025-12-15T21:01:00Z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5</vt:lpwstr>
  </property>
  <property fmtid="{D5CDD505-2E9C-101B-9397-08002B2CF9AE}" pid="3" name="Utskott">
    <vt:lpwstr>AU</vt:lpwstr>
  </property>
  <property fmtid="{D5CDD505-2E9C-101B-9397-08002B2CF9AE}" pid="4" name="BetänkandeÅr">
    <vt:lpwstr>1999/2000</vt:lpwstr>
  </property>
  <property fmtid="{D5CDD505-2E9C-101B-9397-08002B2CF9AE}" pid="5" name="UtkastDatum">
    <vt:lpwstr>Ja</vt:lpwstr>
  </property>
  <property fmtid="{D5CDD505-2E9C-101B-9397-08002B2CF9AE}" pid="6" name="Status">
    <vt:lpwstr/>
  </property>
  <property fmtid="{D5CDD505-2E9C-101B-9397-08002B2CF9AE}" pid="7" name="Numrering">
    <vt:lpwstr>NotUpdated</vt:lpwstr>
  </property>
</Properties>
</file>