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4CBFE079" w:rsidR="002B3A62" w:rsidRPr="00B40F4D" w:rsidRDefault="00626575" w:rsidP="00D1794C">
            <w:pPr>
              <w:rPr>
                <w:b/>
                <w:sz w:val="22"/>
                <w:szCs w:val="22"/>
              </w:rPr>
            </w:pPr>
            <w:r w:rsidRPr="00B40F4D">
              <w:rPr>
                <w:b/>
                <w:sz w:val="22"/>
                <w:szCs w:val="22"/>
              </w:rPr>
              <w:t>UTSKOTTSSAMMANTRÄDE 20</w:t>
            </w:r>
            <w:r w:rsidR="004072D7">
              <w:rPr>
                <w:b/>
                <w:sz w:val="22"/>
                <w:szCs w:val="22"/>
              </w:rPr>
              <w:t>2</w:t>
            </w:r>
            <w:r w:rsidR="009B5CCC">
              <w:rPr>
                <w:b/>
                <w:sz w:val="22"/>
                <w:szCs w:val="22"/>
              </w:rPr>
              <w:t>4</w:t>
            </w:r>
            <w:r w:rsidR="000E777E" w:rsidRPr="00B40F4D">
              <w:rPr>
                <w:b/>
                <w:sz w:val="22"/>
                <w:szCs w:val="22"/>
              </w:rPr>
              <w:t>/2</w:t>
            </w:r>
            <w:r w:rsidR="009B5CCC">
              <w:rPr>
                <w:b/>
                <w:sz w:val="22"/>
                <w:szCs w:val="22"/>
              </w:rPr>
              <w:t>5</w:t>
            </w:r>
            <w:r w:rsidR="003B57EC">
              <w:rPr>
                <w:b/>
                <w:sz w:val="22"/>
                <w:szCs w:val="22"/>
              </w:rPr>
              <w:t>:</w:t>
            </w:r>
            <w:r w:rsidR="00F1092D">
              <w:rPr>
                <w:b/>
                <w:sz w:val="22"/>
                <w:szCs w:val="22"/>
              </w:rPr>
              <w:t>42</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434D664F" w:rsidR="00177FF8" w:rsidRPr="00B40F4D" w:rsidRDefault="00626575" w:rsidP="00FB0559">
            <w:pPr>
              <w:rPr>
                <w:sz w:val="22"/>
                <w:szCs w:val="22"/>
              </w:rPr>
            </w:pPr>
            <w:r w:rsidRPr="00B40F4D">
              <w:rPr>
                <w:sz w:val="22"/>
                <w:szCs w:val="22"/>
              </w:rPr>
              <w:t>20</w:t>
            </w:r>
            <w:r w:rsidR="00CB71B9">
              <w:rPr>
                <w:sz w:val="22"/>
                <w:szCs w:val="22"/>
              </w:rPr>
              <w:t>2</w:t>
            </w:r>
            <w:r w:rsidR="00A25410">
              <w:rPr>
                <w:sz w:val="22"/>
                <w:szCs w:val="22"/>
              </w:rPr>
              <w:t>5</w:t>
            </w:r>
            <w:r w:rsidR="008C2D5B" w:rsidRPr="00B40F4D">
              <w:rPr>
                <w:sz w:val="22"/>
                <w:szCs w:val="22"/>
              </w:rPr>
              <w:t>-</w:t>
            </w:r>
            <w:r w:rsidR="00A25410">
              <w:rPr>
                <w:sz w:val="22"/>
                <w:szCs w:val="22"/>
              </w:rPr>
              <w:t>0</w:t>
            </w:r>
            <w:r w:rsidR="00F1092D">
              <w:rPr>
                <w:sz w:val="22"/>
                <w:szCs w:val="22"/>
              </w:rPr>
              <w:t>6</w:t>
            </w:r>
            <w:r w:rsidR="00C26F83">
              <w:rPr>
                <w:sz w:val="22"/>
                <w:szCs w:val="22"/>
              </w:rPr>
              <w:t>-</w:t>
            </w:r>
            <w:r w:rsidR="009334A9">
              <w:rPr>
                <w:sz w:val="22"/>
                <w:szCs w:val="22"/>
              </w:rPr>
              <w:t>1</w:t>
            </w:r>
            <w:r w:rsidR="00F1092D">
              <w:rPr>
                <w:sz w:val="22"/>
                <w:szCs w:val="22"/>
              </w:rPr>
              <w:t>2</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34C75CC7" w:rsidR="00177FF8" w:rsidRPr="00B40F4D" w:rsidRDefault="00F1092D" w:rsidP="00231475">
            <w:pPr>
              <w:rPr>
                <w:sz w:val="22"/>
                <w:szCs w:val="22"/>
              </w:rPr>
            </w:pPr>
            <w:r>
              <w:rPr>
                <w:sz w:val="22"/>
                <w:szCs w:val="22"/>
              </w:rPr>
              <w:t>08.0</w:t>
            </w:r>
            <w:r w:rsidR="00B5691D" w:rsidRPr="009334A9">
              <w:rPr>
                <w:sz w:val="22"/>
                <w:szCs w:val="22"/>
              </w:rPr>
              <w:t>0</w:t>
            </w:r>
            <w:r w:rsidR="00762508" w:rsidRPr="009334A9">
              <w:rPr>
                <w:sz w:val="22"/>
                <w:szCs w:val="22"/>
              </w:rPr>
              <w:t xml:space="preserve"> </w:t>
            </w:r>
            <w:r w:rsidR="00DA2753" w:rsidRPr="009334A9">
              <w:rPr>
                <w:sz w:val="22"/>
                <w:szCs w:val="22"/>
              </w:rPr>
              <w:t>–</w:t>
            </w:r>
            <w:r w:rsidR="00DA2753" w:rsidRPr="00B40F4D">
              <w:rPr>
                <w:sz w:val="22"/>
                <w:szCs w:val="22"/>
              </w:rPr>
              <w:t xml:space="preserve"> </w:t>
            </w:r>
            <w:r w:rsidR="00EE0069">
              <w:rPr>
                <w:sz w:val="22"/>
                <w:szCs w:val="22"/>
              </w:rPr>
              <w:t>0</w:t>
            </w:r>
            <w:r w:rsidR="009553A6">
              <w:rPr>
                <w:sz w:val="22"/>
                <w:szCs w:val="22"/>
              </w:rPr>
              <w:t>8</w:t>
            </w:r>
            <w:r w:rsidR="00EE0069">
              <w:rPr>
                <w:sz w:val="22"/>
                <w:szCs w:val="22"/>
              </w:rPr>
              <w:t>.</w:t>
            </w:r>
            <w:r w:rsidR="009553A6">
              <w:rPr>
                <w:sz w:val="22"/>
                <w:szCs w:val="22"/>
              </w:rPr>
              <w:t>55</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4A7C15"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10EBF" w:rsidRPr="002007E9" w14:paraId="71073907" w14:textId="77777777" w:rsidTr="00165402">
        <w:tc>
          <w:tcPr>
            <w:tcW w:w="567" w:type="dxa"/>
          </w:tcPr>
          <w:p w14:paraId="50C65289" w14:textId="2EA7EA99" w:rsidR="00A10EBF" w:rsidRPr="002007E9" w:rsidRDefault="00A10EBF" w:rsidP="00C5706E">
            <w:pPr>
              <w:tabs>
                <w:tab w:val="left" w:pos="1701"/>
              </w:tabs>
              <w:rPr>
                <w:b/>
                <w:snapToGrid w:val="0"/>
                <w:sz w:val="22"/>
                <w:szCs w:val="22"/>
              </w:rPr>
            </w:pPr>
            <w:r w:rsidRPr="002007E9">
              <w:rPr>
                <w:b/>
                <w:snapToGrid w:val="0"/>
                <w:sz w:val="22"/>
                <w:szCs w:val="22"/>
              </w:rPr>
              <w:t xml:space="preserve">§ </w:t>
            </w:r>
            <w:r w:rsidR="006C66B9" w:rsidRPr="002007E9">
              <w:rPr>
                <w:b/>
                <w:snapToGrid w:val="0"/>
                <w:sz w:val="22"/>
                <w:szCs w:val="22"/>
              </w:rPr>
              <w:t>1</w:t>
            </w:r>
          </w:p>
        </w:tc>
        <w:tc>
          <w:tcPr>
            <w:tcW w:w="6946" w:type="dxa"/>
            <w:gridSpan w:val="2"/>
          </w:tcPr>
          <w:p w14:paraId="7961D0B3" w14:textId="77777777" w:rsidR="00B7776C" w:rsidRDefault="00EE0069" w:rsidP="009339E5">
            <w:pPr>
              <w:tabs>
                <w:tab w:val="left" w:pos="1701"/>
              </w:tabs>
              <w:rPr>
                <w:b/>
                <w:sz w:val="22"/>
                <w:szCs w:val="22"/>
              </w:rPr>
            </w:pPr>
            <w:r w:rsidRPr="002007E9">
              <w:rPr>
                <w:b/>
                <w:sz w:val="22"/>
                <w:szCs w:val="22"/>
              </w:rPr>
              <w:t>Förslag till rådets beslut om den ståndpunkt som ska intas på Europeiska unionens vägnar inom ramen för konventionen för skydd av den marina miljön i Nordostatlanten vid ministermötet i juni 2025</w:t>
            </w:r>
          </w:p>
          <w:p w14:paraId="158AD819" w14:textId="77777777" w:rsidR="00EE0069" w:rsidRDefault="00EE0069" w:rsidP="009339E5">
            <w:pPr>
              <w:tabs>
                <w:tab w:val="left" w:pos="1701"/>
              </w:tabs>
              <w:rPr>
                <w:b/>
                <w:sz w:val="22"/>
                <w:szCs w:val="22"/>
              </w:rPr>
            </w:pPr>
          </w:p>
          <w:p w14:paraId="6AACA308" w14:textId="77777777" w:rsidR="00FF5D32" w:rsidRPr="00F01A93" w:rsidRDefault="00FF5D32" w:rsidP="00FF5D32">
            <w:pPr>
              <w:rPr>
                <w:rFonts w:eastAsiaTheme="minorHAnsi"/>
                <w:color w:val="000000"/>
                <w:sz w:val="22"/>
                <w:szCs w:val="22"/>
                <w:lang w:eastAsia="en-US"/>
              </w:rPr>
            </w:pPr>
            <w:r w:rsidRPr="00F01A93">
              <w:rPr>
                <w:snapToGrid w:val="0"/>
                <w:sz w:val="22"/>
                <w:szCs w:val="22"/>
              </w:rPr>
              <w:t xml:space="preserve">Utskottet överlade med </w:t>
            </w:r>
            <w:r>
              <w:rPr>
                <w:snapToGrid w:val="0"/>
                <w:sz w:val="22"/>
                <w:szCs w:val="22"/>
              </w:rPr>
              <w:t xml:space="preserve">statssekreterare Daniel </w:t>
            </w:r>
            <w:proofErr w:type="spellStart"/>
            <w:r>
              <w:rPr>
                <w:snapToGrid w:val="0"/>
                <w:sz w:val="22"/>
                <w:szCs w:val="22"/>
              </w:rPr>
              <w:t>Westlén</w:t>
            </w:r>
            <w:proofErr w:type="spellEnd"/>
            <w:r w:rsidRPr="00F01A93">
              <w:rPr>
                <w:snapToGrid w:val="0"/>
                <w:sz w:val="22"/>
                <w:szCs w:val="22"/>
              </w:rPr>
              <w:t>, å</w:t>
            </w:r>
            <w:r w:rsidRPr="00F01A93">
              <w:rPr>
                <w:rFonts w:eastAsiaTheme="minorHAnsi"/>
                <w:color w:val="000000"/>
                <w:sz w:val="22"/>
                <w:szCs w:val="22"/>
                <w:lang w:eastAsia="en-US"/>
              </w:rPr>
              <w:t xml:space="preserve">tföljd av medarbetare från </w:t>
            </w:r>
            <w:r>
              <w:rPr>
                <w:rFonts w:eastAsiaTheme="minorHAnsi"/>
                <w:color w:val="000000"/>
                <w:sz w:val="22"/>
                <w:szCs w:val="22"/>
                <w:lang w:eastAsia="en-US"/>
              </w:rPr>
              <w:t>Klimat- och näringslivs</w:t>
            </w:r>
            <w:r w:rsidRPr="00F01A93">
              <w:rPr>
                <w:rFonts w:eastAsiaTheme="minorHAnsi"/>
                <w:color w:val="000000"/>
                <w:sz w:val="22"/>
                <w:szCs w:val="22"/>
                <w:lang w:eastAsia="en-US"/>
              </w:rPr>
              <w:t>departementet.</w:t>
            </w:r>
          </w:p>
          <w:p w14:paraId="7BF7508E" w14:textId="77777777" w:rsidR="00FF5D32" w:rsidRPr="00F01A93" w:rsidRDefault="00FF5D32" w:rsidP="00FF5D32">
            <w:pPr>
              <w:rPr>
                <w:rFonts w:eastAsiaTheme="minorHAnsi"/>
                <w:b/>
                <w:bCs/>
                <w:color w:val="000000"/>
                <w:sz w:val="22"/>
                <w:szCs w:val="22"/>
                <w:lang w:eastAsia="en-US"/>
              </w:rPr>
            </w:pPr>
            <w:r w:rsidRPr="00F01A93">
              <w:rPr>
                <w:bCs/>
                <w:color w:val="000000"/>
                <w:sz w:val="22"/>
                <w:szCs w:val="22"/>
              </w:rPr>
              <w:t xml:space="preserve">  </w:t>
            </w:r>
          </w:p>
          <w:p w14:paraId="59DA51F1" w14:textId="77777777" w:rsidR="00FF5D32" w:rsidRPr="00A21DE2" w:rsidRDefault="00FF5D32" w:rsidP="00FF5D32">
            <w:pPr>
              <w:widowControl/>
              <w:tabs>
                <w:tab w:val="left" w:pos="284"/>
              </w:tabs>
              <w:rPr>
                <w:bCs/>
                <w:color w:val="000000"/>
                <w:sz w:val="22"/>
                <w:szCs w:val="22"/>
                <w:highlight w:val="yellow"/>
              </w:rPr>
            </w:pPr>
            <w:r w:rsidRPr="00A21DE2">
              <w:rPr>
                <w:bCs/>
                <w:color w:val="000000"/>
                <w:sz w:val="22"/>
                <w:szCs w:val="22"/>
              </w:rPr>
              <w:t xml:space="preserve">Underlaget utgjordes av </w:t>
            </w:r>
            <w:r w:rsidRPr="0049312B">
              <w:rPr>
                <w:snapToGrid w:val="0"/>
                <w:sz w:val="22"/>
                <w:szCs w:val="22"/>
              </w:rPr>
              <w:t>COM(202</w:t>
            </w:r>
            <w:r>
              <w:rPr>
                <w:snapToGrid w:val="0"/>
                <w:sz w:val="22"/>
                <w:szCs w:val="22"/>
              </w:rPr>
              <w:t>5</w:t>
            </w:r>
            <w:r w:rsidRPr="0049312B">
              <w:rPr>
                <w:snapToGrid w:val="0"/>
                <w:sz w:val="22"/>
                <w:szCs w:val="22"/>
              </w:rPr>
              <w:t xml:space="preserve">) </w:t>
            </w:r>
            <w:r>
              <w:rPr>
                <w:snapToGrid w:val="0"/>
                <w:sz w:val="22"/>
                <w:szCs w:val="22"/>
              </w:rPr>
              <w:t>145</w:t>
            </w:r>
            <w:r w:rsidRPr="00180FE2">
              <w:rPr>
                <w:snapToGrid w:val="0"/>
                <w:sz w:val="22"/>
                <w:szCs w:val="22"/>
              </w:rPr>
              <w:t xml:space="preserve"> och</w:t>
            </w:r>
            <w:r>
              <w:rPr>
                <w:snapToGrid w:val="0"/>
                <w:sz w:val="22"/>
                <w:szCs w:val="22"/>
              </w:rPr>
              <w:t xml:space="preserve"> regeringens överläggnings-promemoria </w:t>
            </w:r>
            <w:r w:rsidRPr="002A2AFB">
              <w:rPr>
                <w:bCs/>
                <w:color w:val="000000"/>
                <w:sz w:val="22"/>
                <w:szCs w:val="22"/>
              </w:rPr>
              <w:t>(</w:t>
            </w:r>
            <w:bookmarkStart w:id="0" w:name="_Hlk200623117"/>
            <w:r w:rsidRPr="002A2AFB">
              <w:rPr>
                <w:bCs/>
                <w:color w:val="000000"/>
                <w:sz w:val="22"/>
                <w:szCs w:val="22"/>
              </w:rPr>
              <w:t xml:space="preserve">dnr </w:t>
            </w:r>
            <w:r w:rsidRPr="002A2AFB">
              <w:t>1587</w:t>
            </w:r>
            <w:r w:rsidRPr="002A2AFB">
              <w:rPr>
                <w:bCs/>
                <w:color w:val="000000"/>
                <w:sz w:val="22"/>
                <w:szCs w:val="22"/>
              </w:rPr>
              <w:t>-2024</w:t>
            </w:r>
            <w:r w:rsidRPr="00A21DE2">
              <w:rPr>
                <w:bCs/>
                <w:color w:val="000000"/>
                <w:sz w:val="22"/>
                <w:szCs w:val="22"/>
              </w:rPr>
              <w:t>/25</w:t>
            </w:r>
            <w:bookmarkEnd w:id="0"/>
            <w:r w:rsidRPr="00A21DE2">
              <w:rPr>
                <w:bCs/>
                <w:color w:val="000000"/>
                <w:sz w:val="22"/>
                <w:szCs w:val="22"/>
              </w:rPr>
              <w:t xml:space="preserve">). </w:t>
            </w:r>
          </w:p>
          <w:p w14:paraId="27867C38" w14:textId="77777777" w:rsidR="00FF5D32" w:rsidRPr="00A21DE2" w:rsidRDefault="00FF5D32" w:rsidP="00FF5D32">
            <w:pPr>
              <w:widowControl/>
              <w:tabs>
                <w:tab w:val="left" w:pos="284"/>
              </w:tabs>
              <w:rPr>
                <w:bCs/>
                <w:color w:val="000000"/>
                <w:sz w:val="22"/>
                <w:szCs w:val="22"/>
                <w:highlight w:val="yellow"/>
              </w:rPr>
            </w:pPr>
          </w:p>
          <w:p w14:paraId="6D5838DF" w14:textId="77777777" w:rsidR="00FF5D32" w:rsidRPr="00180FE2" w:rsidRDefault="00FF5D32" w:rsidP="00FF5D32">
            <w:pPr>
              <w:widowControl/>
              <w:autoSpaceDE w:val="0"/>
              <w:autoSpaceDN w:val="0"/>
              <w:adjustRightInd w:val="0"/>
              <w:rPr>
                <w:bCs/>
                <w:color w:val="000000"/>
                <w:sz w:val="22"/>
                <w:szCs w:val="22"/>
              </w:rPr>
            </w:pPr>
            <w:r>
              <w:rPr>
                <w:snapToGrid w:val="0"/>
                <w:sz w:val="22"/>
                <w:szCs w:val="22"/>
              </w:rPr>
              <w:t xml:space="preserve">Statssekreterare Daniel </w:t>
            </w:r>
            <w:proofErr w:type="spellStart"/>
            <w:r w:rsidRPr="00180FE2">
              <w:rPr>
                <w:snapToGrid w:val="0"/>
                <w:sz w:val="22"/>
                <w:szCs w:val="22"/>
              </w:rPr>
              <w:t>Westlén</w:t>
            </w:r>
            <w:proofErr w:type="spellEnd"/>
            <w:r w:rsidRPr="00180FE2">
              <w:rPr>
                <w:snapToGrid w:val="0"/>
                <w:sz w:val="22"/>
                <w:szCs w:val="22"/>
              </w:rPr>
              <w:t xml:space="preserve"> r</w:t>
            </w:r>
            <w:r w:rsidRPr="00180FE2">
              <w:rPr>
                <w:bCs/>
                <w:color w:val="000000"/>
                <w:sz w:val="22"/>
                <w:szCs w:val="22"/>
              </w:rPr>
              <w:t xml:space="preserve">edogjorde för regeringens ståndpunkt (bilaga </w:t>
            </w:r>
            <w:r>
              <w:rPr>
                <w:bCs/>
                <w:color w:val="000000"/>
                <w:sz w:val="22"/>
                <w:szCs w:val="22"/>
              </w:rPr>
              <w:t>2</w:t>
            </w:r>
            <w:r w:rsidRPr="00180FE2">
              <w:rPr>
                <w:bCs/>
                <w:color w:val="000000"/>
                <w:sz w:val="22"/>
                <w:szCs w:val="22"/>
              </w:rPr>
              <w:t>).</w:t>
            </w:r>
          </w:p>
          <w:p w14:paraId="6C8ABC9E" w14:textId="77777777" w:rsidR="00FF5D32" w:rsidRPr="00A21DE2" w:rsidRDefault="00FF5D32" w:rsidP="00FF5D32">
            <w:pPr>
              <w:autoSpaceDE w:val="0"/>
              <w:autoSpaceDN w:val="0"/>
              <w:rPr>
                <w:snapToGrid w:val="0"/>
                <w:sz w:val="22"/>
                <w:szCs w:val="22"/>
                <w:highlight w:val="yellow"/>
              </w:rPr>
            </w:pPr>
          </w:p>
          <w:p w14:paraId="2172F21C" w14:textId="77777777" w:rsidR="00FF5D32" w:rsidRPr="002B5A41" w:rsidRDefault="00FF5D32" w:rsidP="00FF5D32">
            <w:pPr>
              <w:rPr>
                <w:rStyle w:val="normaltextrun"/>
                <w:snapToGrid w:val="0"/>
                <w:sz w:val="22"/>
                <w:szCs w:val="22"/>
              </w:rPr>
            </w:pPr>
            <w:r w:rsidRPr="002B5A41">
              <w:rPr>
                <w:snapToGrid w:val="0"/>
                <w:sz w:val="22"/>
                <w:szCs w:val="22"/>
              </w:rPr>
              <w:t xml:space="preserve">C-ledamoten anmälde </w:t>
            </w:r>
            <w:r>
              <w:rPr>
                <w:snapToGrid w:val="0"/>
                <w:sz w:val="22"/>
                <w:szCs w:val="22"/>
              </w:rPr>
              <w:t>den</w:t>
            </w:r>
            <w:r w:rsidRPr="002B5A41">
              <w:rPr>
                <w:snapToGrid w:val="0"/>
                <w:sz w:val="22"/>
                <w:szCs w:val="22"/>
              </w:rPr>
              <w:t xml:space="preserve"> avvikande ståndpunkt som framgår av bilaga 3.</w:t>
            </w:r>
          </w:p>
          <w:p w14:paraId="51BEE7A0" w14:textId="77777777" w:rsidR="00FF5D32" w:rsidRPr="002B5A41" w:rsidRDefault="00FF5D32" w:rsidP="00FF5D32">
            <w:pPr>
              <w:autoSpaceDE w:val="0"/>
              <w:autoSpaceDN w:val="0"/>
              <w:rPr>
                <w:snapToGrid w:val="0"/>
                <w:sz w:val="22"/>
                <w:szCs w:val="22"/>
              </w:rPr>
            </w:pPr>
          </w:p>
          <w:p w14:paraId="23C8BB98" w14:textId="77777777" w:rsidR="00FF5D32" w:rsidRPr="002B5A41" w:rsidRDefault="00FF5D32" w:rsidP="00FF5D32">
            <w:pPr>
              <w:autoSpaceDE w:val="0"/>
              <w:autoSpaceDN w:val="0"/>
              <w:rPr>
                <w:snapToGrid w:val="0"/>
                <w:sz w:val="22"/>
                <w:szCs w:val="22"/>
              </w:rPr>
            </w:pPr>
            <w:r w:rsidRPr="002B5A41">
              <w:rPr>
                <w:snapToGrid w:val="0"/>
                <w:sz w:val="22"/>
                <w:szCs w:val="22"/>
              </w:rPr>
              <w:t>Ordförande konstaterade att det fanns stöd för regeringens ståndpunkt.</w:t>
            </w:r>
          </w:p>
          <w:p w14:paraId="66D18138" w14:textId="77777777" w:rsidR="00FF5D32" w:rsidRPr="002B5A41" w:rsidRDefault="00FF5D32" w:rsidP="00FF5D32">
            <w:pPr>
              <w:autoSpaceDE w:val="0"/>
              <w:autoSpaceDN w:val="0"/>
              <w:rPr>
                <w:sz w:val="22"/>
                <w:szCs w:val="22"/>
              </w:rPr>
            </w:pPr>
          </w:p>
          <w:p w14:paraId="0E573ABB" w14:textId="77777777" w:rsidR="00FF5D32" w:rsidRPr="000428C1" w:rsidRDefault="00FF5D32" w:rsidP="00FF5D32">
            <w:pPr>
              <w:rPr>
                <w:bCs/>
                <w:snapToGrid w:val="0"/>
                <w:sz w:val="22"/>
                <w:szCs w:val="22"/>
              </w:rPr>
            </w:pPr>
            <w:r w:rsidRPr="00A21DE2">
              <w:rPr>
                <w:bCs/>
                <w:snapToGrid w:val="0"/>
                <w:sz w:val="22"/>
                <w:szCs w:val="22"/>
              </w:rPr>
              <w:t>Denna paragraf förklarades omedelbart justerad.</w:t>
            </w:r>
          </w:p>
          <w:p w14:paraId="635939B1" w14:textId="38905E9F" w:rsidR="00EE0069" w:rsidRPr="002007E9" w:rsidRDefault="00EE0069" w:rsidP="009339E5">
            <w:pPr>
              <w:tabs>
                <w:tab w:val="left" w:pos="1701"/>
              </w:tabs>
              <w:rPr>
                <w:bCs/>
                <w:snapToGrid w:val="0"/>
                <w:sz w:val="22"/>
                <w:szCs w:val="22"/>
              </w:rPr>
            </w:pPr>
          </w:p>
        </w:tc>
      </w:tr>
      <w:tr w:rsidR="00987069" w:rsidRPr="002007E9" w14:paraId="046EFC89" w14:textId="77777777" w:rsidTr="00165402">
        <w:tc>
          <w:tcPr>
            <w:tcW w:w="567" w:type="dxa"/>
          </w:tcPr>
          <w:p w14:paraId="5BE0E897" w14:textId="5D1DDAA7" w:rsidR="00987069" w:rsidRPr="002007E9" w:rsidRDefault="00B16183" w:rsidP="00C5706E">
            <w:pPr>
              <w:tabs>
                <w:tab w:val="left" w:pos="1701"/>
              </w:tabs>
              <w:rPr>
                <w:b/>
                <w:snapToGrid w:val="0"/>
                <w:sz w:val="22"/>
                <w:szCs w:val="22"/>
              </w:rPr>
            </w:pPr>
            <w:r w:rsidRPr="002007E9">
              <w:rPr>
                <w:b/>
                <w:snapToGrid w:val="0"/>
                <w:sz w:val="22"/>
                <w:szCs w:val="22"/>
              </w:rPr>
              <w:t>§ 2</w:t>
            </w:r>
          </w:p>
        </w:tc>
        <w:tc>
          <w:tcPr>
            <w:tcW w:w="6946" w:type="dxa"/>
            <w:gridSpan w:val="2"/>
          </w:tcPr>
          <w:p w14:paraId="4E1D60F1" w14:textId="77777777" w:rsidR="00FF5D32" w:rsidRPr="00F01A93" w:rsidRDefault="00EE0069" w:rsidP="00FF5D32">
            <w:pPr>
              <w:rPr>
                <w:rFonts w:eastAsiaTheme="minorHAnsi"/>
                <w:color w:val="000000"/>
                <w:sz w:val="22"/>
                <w:szCs w:val="22"/>
                <w:lang w:eastAsia="en-US"/>
              </w:rPr>
            </w:pPr>
            <w:r w:rsidRPr="002007E9">
              <w:rPr>
                <w:b/>
                <w:sz w:val="22"/>
                <w:szCs w:val="22"/>
              </w:rPr>
              <w:t>Förslag till rådets beslut om den ståndpunkt som ska intas på Europeiska unionens vägnar vid förberedelserna för det 20:e mötet i partskonferensen för konventionen om internationell handel med utrotningshotade arter av vilda djur och växter (</w:t>
            </w:r>
            <w:proofErr w:type="spellStart"/>
            <w:r w:rsidRPr="002007E9">
              <w:rPr>
                <w:b/>
                <w:sz w:val="22"/>
                <w:szCs w:val="22"/>
              </w:rPr>
              <w:t>Cites</w:t>
            </w:r>
            <w:proofErr w:type="spellEnd"/>
            <w:r w:rsidRPr="002007E9">
              <w:rPr>
                <w:b/>
                <w:sz w:val="22"/>
                <w:szCs w:val="22"/>
              </w:rPr>
              <w:t xml:space="preserve"> CoP20)</w:t>
            </w:r>
            <w:r w:rsidRPr="002007E9">
              <w:rPr>
                <w:bCs/>
                <w:sz w:val="22"/>
                <w:szCs w:val="22"/>
              </w:rPr>
              <w:br/>
            </w:r>
            <w:r w:rsidRPr="002007E9">
              <w:rPr>
                <w:b/>
                <w:sz w:val="22"/>
                <w:szCs w:val="22"/>
              </w:rPr>
              <w:br/>
            </w:r>
            <w:r w:rsidR="00FF5D32" w:rsidRPr="00F01A93">
              <w:rPr>
                <w:snapToGrid w:val="0"/>
                <w:sz w:val="22"/>
                <w:szCs w:val="22"/>
              </w:rPr>
              <w:t xml:space="preserve">Utskottet överlade med </w:t>
            </w:r>
            <w:r w:rsidR="00FF5D32">
              <w:rPr>
                <w:snapToGrid w:val="0"/>
                <w:sz w:val="22"/>
                <w:szCs w:val="22"/>
              </w:rPr>
              <w:t xml:space="preserve">statssekreterare Daniel </w:t>
            </w:r>
            <w:proofErr w:type="spellStart"/>
            <w:r w:rsidR="00FF5D32">
              <w:rPr>
                <w:snapToGrid w:val="0"/>
                <w:sz w:val="22"/>
                <w:szCs w:val="22"/>
              </w:rPr>
              <w:t>Westlén</w:t>
            </w:r>
            <w:proofErr w:type="spellEnd"/>
            <w:r w:rsidR="00FF5D32" w:rsidRPr="00F01A93">
              <w:rPr>
                <w:snapToGrid w:val="0"/>
                <w:sz w:val="22"/>
                <w:szCs w:val="22"/>
              </w:rPr>
              <w:t>, å</w:t>
            </w:r>
            <w:r w:rsidR="00FF5D32" w:rsidRPr="00F01A93">
              <w:rPr>
                <w:rFonts w:eastAsiaTheme="minorHAnsi"/>
                <w:color w:val="000000"/>
                <w:sz w:val="22"/>
                <w:szCs w:val="22"/>
                <w:lang w:eastAsia="en-US"/>
              </w:rPr>
              <w:t xml:space="preserve">tföljd av medarbetare från </w:t>
            </w:r>
            <w:r w:rsidR="00FF5D32">
              <w:rPr>
                <w:rFonts w:eastAsiaTheme="minorHAnsi"/>
                <w:color w:val="000000"/>
                <w:sz w:val="22"/>
                <w:szCs w:val="22"/>
                <w:lang w:eastAsia="en-US"/>
              </w:rPr>
              <w:t>Klimat- och näringslivs</w:t>
            </w:r>
            <w:r w:rsidR="00FF5D32" w:rsidRPr="00F01A93">
              <w:rPr>
                <w:rFonts w:eastAsiaTheme="minorHAnsi"/>
                <w:color w:val="000000"/>
                <w:sz w:val="22"/>
                <w:szCs w:val="22"/>
                <w:lang w:eastAsia="en-US"/>
              </w:rPr>
              <w:t>departementet.</w:t>
            </w:r>
          </w:p>
          <w:p w14:paraId="581CE0E8" w14:textId="77777777" w:rsidR="00FF5D32" w:rsidRPr="00F01A93" w:rsidRDefault="00FF5D32" w:rsidP="00FF5D32">
            <w:pPr>
              <w:rPr>
                <w:rFonts w:eastAsiaTheme="minorHAnsi"/>
                <w:b/>
                <w:bCs/>
                <w:color w:val="000000"/>
                <w:sz w:val="22"/>
                <w:szCs w:val="22"/>
                <w:lang w:eastAsia="en-US"/>
              </w:rPr>
            </w:pPr>
            <w:r w:rsidRPr="00F01A93">
              <w:rPr>
                <w:bCs/>
                <w:color w:val="000000"/>
                <w:sz w:val="22"/>
                <w:szCs w:val="22"/>
              </w:rPr>
              <w:t xml:space="preserve">  </w:t>
            </w:r>
          </w:p>
          <w:p w14:paraId="66ECF893" w14:textId="77777777" w:rsidR="00FF5D32" w:rsidRPr="00A21DE2" w:rsidRDefault="00FF5D32" w:rsidP="00FF5D32">
            <w:pPr>
              <w:widowControl/>
              <w:tabs>
                <w:tab w:val="left" w:pos="284"/>
              </w:tabs>
              <w:rPr>
                <w:bCs/>
                <w:color w:val="000000"/>
                <w:sz w:val="22"/>
                <w:szCs w:val="22"/>
                <w:highlight w:val="yellow"/>
              </w:rPr>
            </w:pPr>
            <w:r w:rsidRPr="00A21DE2">
              <w:rPr>
                <w:bCs/>
                <w:color w:val="000000"/>
                <w:sz w:val="22"/>
                <w:szCs w:val="22"/>
              </w:rPr>
              <w:t xml:space="preserve">Underlaget utgjordes av </w:t>
            </w:r>
            <w:r w:rsidRPr="00A21DE2">
              <w:rPr>
                <w:snapToGrid w:val="0"/>
                <w:sz w:val="22"/>
                <w:szCs w:val="22"/>
              </w:rPr>
              <w:t>COM</w:t>
            </w:r>
            <w:r w:rsidRPr="0049312B">
              <w:rPr>
                <w:snapToGrid w:val="0"/>
                <w:sz w:val="22"/>
                <w:szCs w:val="22"/>
              </w:rPr>
              <w:t>(202</w:t>
            </w:r>
            <w:r>
              <w:rPr>
                <w:snapToGrid w:val="0"/>
                <w:sz w:val="22"/>
                <w:szCs w:val="22"/>
              </w:rPr>
              <w:t>5</w:t>
            </w:r>
            <w:r w:rsidRPr="0049312B">
              <w:rPr>
                <w:snapToGrid w:val="0"/>
                <w:sz w:val="22"/>
                <w:szCs w:val="22"/>
              </w:rPr>
              <w:t xml:space="preserve">) </w:t>
            </w:r>
            <w:r>
              <w:rPr>
                <w:snapToGrid w:val="0"/>
                <w:sz w:val="22"/>
                <w:szCs w:val="22"/>
              </w:rPr>
              <w:t xml:space="preserve">142 </w:t>
            </w:r>
            <w:r w:rsidRPr="00180FE2">
              <w:rPr>
                <w:snapToGrid w:val="0"/>
                <w:sz w:val="22"/>
                <w:szCs w:val="22"/>
              </w:rPr>
              <w:t>och</w:t>
            </w:r>
            <w:r>
              <w:rPr>
                <w:snapToGrid w:val="0"/>
                <w:sz w:val="22"/>
                <w:szCs w:val="22"/>
              </w:rPr>
              <w:t xml:space="preserve"> regeringens överläggnings-promemoria </w:t>
            </w:r>
            <w:r w:rsidRPr="002A2AFB">
              <w:rPr>
                <w:bCs/>
                <w:color w:val="000000"/>
                <w:sz w:val="22"/>
                <w:szCs w:val="22"/>
              </w:rPr>
              <w:t xml:space="preserve">(dnr </w:t>
            </w:r>
            <w:r>
              <w:t>1587</w:t>
            </w:r>
            <w:r w:rsidRPr="002A2AFB">
              <w:rPr>
                <w:bCs/>
                <w:color w:val="000000"/>
                <w:sz w:val="22"/>
                <w:szCs w:val="22"/>
              </w:rPr>
              <w:t>-2024</w:t>
            </w:r>
            <w:r w:rsidRPr="00A21DE2">
              <w:rPr>
                <w:bCs/>
                <w:color w:val="000000"/>
                <w:sz w:val="22"/>
                <w:szCs w:val="22"/>
              </w:rPr>
              <w:t xml:space="preserve">/25). </w:t>
            </w:r>
          </w:p>
          <w:p w14:paraId="2C090681" w14:textId="77777777" w:rsidR="00FF5D32" w:rsidRPr="00A21DE2" w:rsidRDefault="00FF5D32" w:rsidP="00FF5D32">
            <w:pPr>
              <w:widowControl/>
              <w:tabs>
                <w:tab w:val="left" w:pos="284"/>
              </w:tabs>
              <w:rPr>
                <w:bCs/>
                <w:color w:val="000000"/>
                <w:sz w:val="22"/>
                <w:szCs w:val="22"/>
                <w:highlight w:val="yellow"/>
              </w:rPr>
            </w:pPr>
          </w:p>
          <w:p w14:paraId="714B5A4D" w14:textId="77777777" w:rsidR="00FF5D32" w:rsidRPr="005539C9" w:rsidRDefault="00FF5D32" w:rsidP="00FF5D32">
            <w:pPr>
              <w:widowControl/>
              <w:autoSpaceDE w:val="0"/>
              <w:autoSpaceDN w:val="0"/>
              <w:adjustRightInd w:val="0"/>
              <w:rPr>
                <w:bCs/>
                <w:color w:val="000000"/>
                <w:sz w:val="22"/>
                <w:szCs w:val="22"/>
              </w:rPr>
            </w:pPr>
            <w:r>
              <w:rPr>
                <w:snapToGrid w:val="0"/>
                <w:sz w:val="22"/>
                <w:szCs w:val="22"/>
              </w:rPr>
              <w:t xml:space="preserve">Statssekreterare Daniel </w:t>
            </w:r>
            <w:proofErr w:type="spellStart"/>
            <w:r w:rsidRPr="00180FE2">
              <w:rPr>
                <w:snapToGrid w:val="0"/>
                <w:sz w:val="22"/>
                <w:szCs w:val="22"/>
              </w:rPr>
              <w:t>Westlén</w:t>
            </w:r>
            <w:proofErr w:type="spellEnd"/>
            <w:r w:rsidRPr="00180FE2">
              <w:rPr>
                <w:snapToGrid w:val="0"/>
                <w:sz w:val="22"/>
                <w:szCs w:val="22"/>
              </w:rPr>
              <w:t xml:space="preserve"> r</w:t>
            </w:r>
            <w:r w:rsidRPr="00180FE2">
              <w:rPr>
                <w:bCs/>
                <w:color w:val="000000"/>
                <w:sz w:val="22"/>
                <w:szCs w:val="22"/>
              </w:rPr>
              <w:t>edogjorde för regeringens ståndpunkt (</w:t>
            </w:r>
            <w:r w:rsidRPr="005539C9">
              <w:rPr>
                <w:bCs/>
                <w:color w:val="000000"/>
                <w:sz w:val="22"/>
                <w:szCs w:val="22"/>
              </w:rPr>
              <w:t>bilaga 4).</w:t>
            </w:r>
          </w:p>
          <w:p w14:paraId="72D43B33" w14:textId="77777777" w:rsidR="00FF5D32" w:rsidRPr="005539C9" w:rsidRDefault="00FF5D32" w:rsidP="00FF5D32">
            <w:pPr>
              <w:autoSpaceDE w:val="0"/>
              <w:autoSpaceDN w:val="0"/>
              <w:rPr>
                <w:snapToGrid w:val="0"/>
                <w:sz w:val="22"/>
                <w:szCs w:val="22"/>
              </w:rPr>
            </w:pPr>
          </w:p>
          <w:p w14:paraId="52EFFDDA" w14:textId="77777777" w:rsidR="00FF5D32" w:rsidRPr="005539C9" w:rsidRDefault="00FF5D32" w:rsidP="00FF5D32">
            <w:pPr>
              <w:rPr>
                <w:rStyle w:val="normaltextrun"/>
                <w:snapToGrid w:val="0"/>
                <w:sz w:val="22"/>
                <w:szCs w:val="22"/>
              </w:rPr>
            </w:pPr>
            <w:r>
              <w:rPr>
                <w:snapToGrid w:val="0"/>
                <w:sz w:val="22"/>
                <w:szCs w:val="22"/>
              </w:rPr>
              <w:t>V</w:t>
            </w:r>
            <w:r w:rsidRPr="005539C9">
              <w:rPr>
                <w:snapToGrid w:val="0"/>
                <w:sz w:val="22"/>
                <w:szCs w:val="22"/>
              </w:rPr>
              <w:t>- och MP-ledamöterna anmälde de avvikande ståndpunkter som framgår av bilaga 5.</w:t>
            </w:r>
          </w:p>
          <w:p w14:paraId="5BEA6471" w14:textId="77777777" w:rsidR="00FF5D32" w:rsidRPr="005539C9" w:rsidRDefault="00FF5D32" w:rsidP="00FF5D32">
            <w:pPr>
              <w:autoSpaceDE w:val="0"/>
              <w:autoSpaceDN w:val="0"/>
              <w:rPr>
                <w:snapToGrid w:val="0"/>
                <w:sz w:val="22"/>
                <w:szCs w:val="22"/>
              </w:rPr>
            </w:pPr>
          </w:p>
          <w:p w14:paraId="4A1C317F" w14:textId="77777777" w:rsidR="00FF5D32" w:rsidRPr="005539C9" w:rsidRDefault="00FF5D32" w:rsidP="00FF5D32">
            <w:pPr>
              <w:autoSpaceDE w:val="0"/>
              <w:autoSpaceDN w:val="0"/>
              <w:rPr>
                <w:snapToGrid w:val="0"/>
                <w:sz w:val="22"/>
                <w:szCs w:val="22"/>
              </w:rPr>
            </w:pPr>
            <w:r w:rsidRPr="005539C9">
              <w:rPr>
                <w:snapToGrid w:val="0"/>
                <w:sz w:val="22"/>
                <w:szCs w:val="22"/>
              </w:rPr>
              <w:t>Ordförande konstaterade att det fanns stöd för regeringens ståndpunkt.</w:t>
            </w:r>
          </w:p>
          <w:p w14:paraId="36A3A4F0" w14:textId="77777777" w:rsidR="00FF5D32" w:rsidRPr="00A21DE2" w:rsidRDefault="00FF5D32" w:rsidP="00FF5D32">
            <w:pPr>
              <w:autoSpaceDE w:val="0"/>
              <w:autoSpaceDN w:val="0"/>
              <w:rPr>
                <w:sz w:val="22"/>
                <w:szCs w:val="22"/>
                <w:highlight w:val="yellow"/>
              </w:rPr>
            </w:pPr>
          </w:p>
          <w:p w14:paraId="5E47D2CD" w14:textId="14B2D30D" w:rsidR="00B7776C" w:rsidRPr="00FF5D32" w:rsidRDefault="00FF5D32" w:rsidP="00FF5D32">
            <w:pPr>
              <w:rPr>
                <w:bCs/>
                <w:snapToGrid w:val="0"/>
                <w:sz w:val="22"/>
                <w:szCs w:val="22"/>
              </w:rPr>
            </w:pPr>
            <w:r w:rsidRPr="00A21DE2">
              <w:rPr>
                <w:bCs/>
                <w:snapToGrid w:val="0"/>
                <w:sz w:val="22"/>
                <w:szCs w:val="22"/>
              </w:rPr>
              <w:t>Denna paragraf förklarades omedelbart justerad.</w:t>
            </w:r>
            <w:r>
              <w:rPr>
                <w:bCs/>
                <w:snapToGrid w:val="0"/>
                <w:sz w:val="22"/>
                <w:szCs w:val="22"/>
              </w:rPr>
              <w:br/>
            </w:r>
          </w:p>
        </w:tc>
      </w:tr>
      <w:tr w:rsidR="00B7776C" w:rsidRPr="002007E9" w14:paraId="14C8A549" w14:textId="77777777" w:rsidTr="00165402">
        <w:tc>
          <w:tcPr>
            <w:tcW w:w="567" w:type="dxa"/>
          </w:tcPr>
          <w:p w14:paraId="3B8ADE7E" w14:textId="4C3B02D0" w:rsidR="00B7776C" w:rsidRPr="002007E9" w:rsidRDefault="00B7776C" w:rsidP="00C5706E">
            <w:pPr>
              <w:tabs>
                <w:tab w:val="left" w:pos="1701"/>
              </w:tabs>
              <w:rPr>
                <w:b/>
                <w:snapToGrid w:val="0"/>
                <w:sz w:val="22"/>
                <w:szCs w:val="22"/>
              </w:rPr>
            </w:pPr>
            <w:r w:rsidRPr="002007E9">
              <w:rPr>
                <w:b/>
                <w:snapToGrid w:val="0"/>
                <w:sz w:val="22"/>
                <w:szCs w:val="22"/>
              </w:rPr>
              <w:t>§ 3</w:t>
            </w:r>
          </w:p>
        </w:tc>
        <w:tc>
          <w:tcPr>
            <w:tcW w:w="6946" w:type="dxa"/>
            <w:gridSpan w:val="2"/>
          </w:tcPr>
          <w:p w14:paraId="1EF11FCD" w14:textId="1D0479C7" w:rsidR="00EE0069" w:rsidRDefault="00EE0069" w:rsidP="00EE0069">
            <w:pPr>
              <w:tabs>
                <w:tab w:val="left" w:pos="1701"/>
              </w:tabs>
              <w:rPr>
                <w:b/>
                <w:sz w:val="22"/>
                <w:szCs w:val="22"/>
              </w:rPr>
            </w:pPr>
            <w:r w:rsidRPr="002007E9">
              <w:rPr>
                <w:b/>
                <w:sz w:val="22"/>
                <w:szCs w:val="22"/>
              </w:rPr>
              <w:t>Miljöråd 17 juni 2025</w:t>
            </w:r>
          </w:p>
          <w:p w14:paraId="1CB9C695" w14:textId="77777777" w:rsidR="00EE0069" w:rsidRDefault="00EE0069" w:rsidP="00EE0069">
            <w:pPr>
              <w:tabs>
                <w:tab w:val="left" w:pos="1701"/>
              </w:tabs>
              <w:rPr>
                <w:bCs/>
                <w:snapToGrid w:val="0"/>
                <w:sz w:val="22"/>
                <w:szCs w:val="22"/>
              </w:rPr>
            </w:pPr>
            <w:r w:rsidRPr="002007E9">
              <w:rPr>
                <w:b/>
                <w:sz w:val="22"/>
                <w:szCs w:val="22"/>
              </w:rPr>
              <w:br/>
            </w:r>
            <w:r>
              <w:rPr>
                <w:bCs/>
                <w:sz w:val="22"/>
                <w:szCs w:val="22"/>
              </w:rPr>
              <w:t xml:space="preserve">Statssekreterare Daniel </w:t>
            </w:r>
            <w:proofErr w:type="spellStart"/>
            <w:r>
              <w:rPr>
                <w:bCs/>
                <w:sz w:val="22"/>
                <w:szCs w:val="22"/>
              </w:rPr>
              <w:t>Westlén</w:t>
            </w:r>
            <w:proofErr w:type="spellEnd"/>
            <w:r>
              <w:rPr>
                <w:bCs/>
                <w:sz w:val="22"/>
                <w:szCs w:val="22"/>
              </w:rPr>
              <w:t xml:space="preserve">, biträdd av medarbetare vid </w:t>
            </w:r>
            <w:r w:rsidRPr="002007E9">
              <w:rPr>
                <w:bCs/>
                <w:sz w:val="22"/>
                <w:szCs w:val="22"/>
              </w:rPr>
              <w:t>Klimat- och näringslivsdepartementet</w:t>
            </w:r>
            <w:r>
              <w:rPr>
                <w:bCs/>
                <w:sz w:val="22"/>
                <w:szCs w:val="22"/>
              </w:rPr>
              <w:t xml:space="preserve">, </w:t>
            </w:r>
            <w:r w:rsidRPr="00C62E5A">
              <w:rPr>
                <w:bCs/>
                <w:sz w:val="22"/>
                <w:szCs w:val="22"/>
              </w:rPr>
              <w:t>l</w:t>
            </w:r>
            <w:r w:rsidRPr="00C62E5A">
              <w:rPr>
                <w:sz w:val="22"/>
                <w:szCs w:val="22"/>
              </w:rPr>
              <w:t xml:space="preserve">ämnade information inför </w:t>
            </w:r>
            <w:r>
              <w:rPr>
                <w:sz w:val="22"/>
                <w:szCs w:val="22"/>
              </w:rPr>
              <w:t>Miljörådet den 17 juni 2025</w:t>
            </w:r>
            <w:r w:rsidRPr="00C62E5A">
              <w:rPr>
                <w:sz w:val="22"/>
                <w:szCs w:val="22"/>
              </w:rPr>
              <w:t>.</w:t>
            </w:r>
          </w:p>
          <w:p w14:paraId="52B766FA" w14:textId="77777777" w:rsidR="00EE0069" w:rsidRDefault="00EE0069" w:rsidP="00EE0069">
            <w:pPr>
              <w:tabs>
                <w:tab w:val="left" w:pos="1701"/>
              </w:tabs>
              <w:rPr>
                <w:bCs/>
                <w:snapToGrid w:val="0"/>
                <w:sz w:val="22"/>
                <w:szCs w:val="22"/>
              </w:rPr>
            </w:pPr>
          </w:p>
          <w:p w14:paraId="59866B21" w14:textId="2B576481" w:rsidR="00FF5D32" w:rsidRPr="00EE0069" w:rsidRDefault="00FF5D32" w:rsidP="00EE0069">
            <w:pPr>
              <w:tabs>
                <w:tab w:val="left" w:pos="1701"/>
              </w:tabs>
              <w:rPr>
                <w:bCs/>
                <w:snapToGrid w:val="0"/>
                <w:sz w:val="22"/>
                <w:szCs w:val="22"/>
              </w:rPr>
            </w:pPr>
          </w:p>
        </w:tc>
      </w:tr>
      <w:tr w:rsidR="00EE0069" w:rsidRPr="002007E9" w14:paraId="24F3BE9C" w14:textId="77777777" w:rsidTr="00165402">
        <w:tc>
          <w:tcPr>
            <w:tcW w:w="567" w:type="dxa"/>
          </w:tcPr>
          <w:p w14:paraId="0069CF83" w14:textId="7A8AC33F" w:rsidR="00EE0069" w:rsidRPr="002007E9" w:rsidRDefault="00EE0069" w:rsidP="00C5706E">
            <w:pPr>
              <w:tabs>
                <w:tab w:val="left" w:pos="1701"/>
              </w:tabs>
              <w:rPr>
                <w:b/>
                <w:snapToGrid w:val="0"/>
                <w:sz w:val="22"/>
                <w:szCs w:val="22"/>
              </w:rPr>
            </w:pPr>
            <w:r>
              <w:rPr>
                <w:b/>
                <w:snapToGrid w:val="0"/>
                <w:sz w:val="22"/>
                <w:szCs w:val="22"/>
              </w:rPr>
              <w:lastRenderedPageBreak/>
              <w:t>§ 4</w:t>
            </w:r>
          </w:p>
        </w:tc>
        <w:tc>
          <w:tcPr>
            <w:tcW w:w="6946" w:type="dxa"/>
            <w:gridSpan w:val="2"/>
          </w:tcPr>
          <w:p w14:paraId="1FC85BAB" w14:textId="07B5049A" w:rsidR="00EE0069" w:rsidRDefault="00A2715C" w:rsidP="00EE0069">
            <w:pPr>
              <w:tabs>
                <w:tab w:val="left" w:pos="1701"/>
              </w:tabs>
              <w:rPr>
                <w:b/>
                <w:sz w:val="22"/>
                <w:szCs w:val="22"/>
              </w:rPr>
            </w:pPr>
            <w:r w:rsidRPr="00A2715C">
              <w:rPr>
                <w:b/>
                <w:sz w:val="22"/>
                <w:szCs w:val="22"/>
              </w:rPr>
              <w:t xml:space="preserve">Förslag till Europaparlamentets och rådets förordning om ändring av förordning (EU) 2021/2115 vad gäller systemet med grundvillkor, interventionstyper i form av direktstöd, interventionstyper i vissa sektorer och för landsbygdsutveckling och årliga prestationsrapporter samt av förordning (EU) 2021/2116 vad gäller dataförvaltning och </w:t>
            </w:r>
            <w:proofErr w:type="spellStart"/>
            <w:r w:rsidRPr="00A2715C">
              <w:rPr>
                <w:b/>
                <w:sz w:val="22"/>
                <w:szCs w:val="22"/>
              </w:rPr>
              <w:t>interoperabilitet</w:t>
            </w:r>
            <w:proofErr w:type="spellEnd"/>
            <w:r w:rsidRPr="00A2715C">
              <w:rPr>
                <w:b/>
                <w:sz w:val="22"/>
                <w:szCs w:val="22"/>
              </w:rPr>
              <w:t>, innehållande av utbetalningar, årligt prestationsavslut och kontroller och sanktioner</w:t>
            </w:r>
          </w:p>
          <w:p w14:paraId="594B9D43" w14:textId="44DCF2E0" w:rsidR="00A2715C" w:rsidRDefault="00A2715C" w:rsidP="00EE0069">
            <w:pPr>
              <w:tabs>
                <w:tab w:val="left" w:pos="1701"/>
              </w:tabs>
              <w:rPr>
                <w:b/>
                <w:sz w:val="22"/>
                <w:szCs w:val="22"/>
              </w:rPr>
            </w:pPr>
          </w:p>
          <w:p w14:paraId="41EC9C37" w14:textId="77777777" w:rsidR="00FF5D32" w:rsidRPr="003D28D7" w:rsidRDefault="00FF5D32" w:rsidP="00FF5D32">
            <w:pPr>
              <w:tabs>
                <w:tab w:val="left" w:pos="1701"/>
              </w:tabs>
              <w:rPr>
                <w:bCs/>
                <w:sz w:val="22"/>
                <w:szCs w:val="22"/>
              </w:rPr>
            </w:pPr>
            <w:r w:rsidRPr="003D28D7">
              <w:rPr>
                <w:bCs/>
                <w:sz w:val="22"/>
                <w:szCs w:val="22"/>
              </w:rPr>
              <w:t xml:space="preserve">Utskottet inledde subsidiaritetsprövningen av COM(2025) </w:t>
            </w:r>
            <w:r>
              <w:rPr>
                <w:bCs/>
                <w:sz w:val="22"/>
                <w:szCs w:val="22"/>
              </w:rPr>
              <w:t>236</w:t>
            </w:r>
            <w:r w:rsidRPr="003D28D7">
              <w:rPr>
                <w:bCs/>
                <w:sz w:val="22"/>
                <w:szCs w:val="22"/>
              </w:rPr>
              <w:t>.</w:t>
            </w:r>
            <w:r w:rsidRPr="003D28D7">
              <w:rPr>
                <w:bCs/>
                <w:sz w:val="22"/>
                <w:szCs w:val="22"/>
              </w:rPr>
              <w:br/>
            </w:r>
          </w:p>
          <w:p w14:paraId="2D31C565" w14:textId="77777777" w:rsidR="00FF5D32" w:rsidRPr="003D28D7" w:rsidRDefault="00FF5D32" w:rsidP="00FF5D32">
            <w:pPr>
              <w:tabs>
                <w:tab w:val="left" w:pos="1701"/>
              </w:tabs>
              <w:rPr>
                <w:bCs/>
                <w:sz w:val="22"/>
                <w:szCs w:val="22"/>
              </w:rPr>
            </w:pPr>
            <w:r w:rsidRPr="003D28D7">
              <w:rPr>
                <w:bCs/>
                <w:sz w:val="22"/>
                <w:szCs w:val="22"/>
              </w:rPr>
              <w:t xml:space="preserve">Utskottet ansåg att förslaget inte strider mot subsidiaritetsprincipen. </w:t>
            </w:r>
          </w:p>
          <w:p w14:paraId="696E7E3E" w14:textId="77777777" w:rsidR="00FF5D32" w:rsidRPr="003D28D7" w:rsidRDefault="00FF5D32" w:rsidP="00FF5D32">
            <w:pPr>
              <w:tabs>
                <w:tab w:val="left" w:pos="1701"/>
              </w:tabs>
              <w:rPr>
                <w:bCs/>
                <w:sz w:val="22"/>
                <w:szCs w:val="22"/>
              </w:rPr>
            </w:pPr>
          </w:p>
          <w:p w14:paraId="31978B00" w14:textId="77777777" w:rsidR="00EE0069" w:rsidRDefault="00FF5D32" w:rsidP="00FF5D32">
            <w:pPr>
              <w:tabs>
                <w:tab w:val="left" w:pos="1701"/>
              </w:tabs>
              <w:rPr>
                <w:bCs/>
                <w:sz w:val="22"/>
                <w:szCs w:val="22"/>
              </w:rPr>
            </w:pPr>
            <w:r w:rsidRPr="003D28D7">
              <w:rPr>
                <w:bCs/>
                <w:sz w:val="22"/>
                <w:szCs w:val="22"/>
              </w:rPr>
              <w:t>Denna paragraf förklarades omedelbart justerad.</w:t>
            </w:r>
          </w:p>
          <w:p w14:paraId="764A8C42" w14:textId="1B5BF375" w:rsidR="00FF5D32" w:rsidRPr="002007E9" w:rsidRDefault="00FF5D32" w:rsidP="00FF5D32">
            <w:pPr>
              <w:tabs>
                <w:tab w:val="left" w:pos="1701"/>
              </w:tabs>
              <w:rPr>
                <w:b/>
                <w:sz w:val="22"/>
                <w:szCs w:val="22"/>
              </w:rPr>
            </w:pPr>
          </w:p>
        </w:tc>
      </w:tr>
      <w:tr w:rsidR="00EE0069" w:rsidRPr="002007E9" w14:paraId="289F6892" w14:textId="77777777" w:rsidTr="00165402">
        <w:tc>
          <w:tcPr>
            <w:tcW w:w="567" w:type="dxa"/>
          </w:tcPr>
          <w:p w14:paraId="57B72654" w14:textId="07B05747" w:rsidR="00EE0069" w:rsidRPr="002007E9" w:rsidRDefault="00EE0069" w:rsidP="00C5706E">
            <w:pPr>
              <w:tabs>
                <w:tab w:val="left" w:pos="1701"/>
              </w:tabs>
              <w:rPr>
                <w:b/>
                <w:snapToGrid w:val="0"/>
                <w:sz w:val="22"/>
                <w:szCs w:val="22"/>
              </w:rPr>
            </w:pPr>
            <w:r>
              <w:rPr>
                <w:b/>
                <w:snapToGrid w:val="0"/>
                <w:sz w:val="22"/>
                <w:szCs w:val="22"/>
              </w:rPr>
              <w:t>§ 5</w:t>
            </w:r>
          </w:p>
        </w:tc>
        <w:tc>
          <w:tcPr>
            <w:tcW w:w="6946" w:type="dxa"/>
            <w:gridSpan w:val="2"/>
          </w:tcPr>
          <w:p w14:paraId="706130E7" w14:textId="40A2432B" w:rsidR="00EE0069" w:rsidRPr="00A2715C" w:rsidRDefault="00A2715C" w:rsidP="00EE0069">
            <w:pPr>
              <w:tabs>
                <w:tab w:val="left" w:pos="1701"/>
              </w:tabs>
              <w:rPr>
                <w:b/>
                <w:sz w:val="22"/>
                <w:szCs w:val="22"/>
              </w:rPr>
            </w:pPr>
            <w:r w:rsidRPr="00A2715C">
              <w:rPr>
                <w:b/>
                <w:bCs/>
                <w:sz w:val="22"/>
                <w:szCs w:val="22"/>
              </w:rPr>
              <w:t>Förslag till Europaparlamentets och rådets förordning om ändring av förordning (EU) 2023/1542 vad gäller skyldigheter för ekonomiska aktörer i fråga om policyer för tillbörlig aktsamhet avseende batterier</w:t>
            </w:r>
            <w:r w:rsidRPr="00A2715C">
              <w:rPr>
                <w:sz w:val="22"/>
                <w:szCs w:val="22"/>
              </w:rPr>
              <w:br/>
            </w:r>
          </w:p>
          <w:p w14:paraId="201E1349" w14:textId="77777777" w:rsidR="00FF5D32" w:rsidRPr="003D28D7" w:rsidRDefault="00FF5D32" w:rsidP="00FF5D32">
            <w:pPr>
              <w:tabs>
                <w:tab w:val="left" w:pos="1701"/>
              </w:tabs>
              <w:rPr>
                <w:bCs/>
                <w:sz w:val="22"/>
                <w:szCs w:val="22"/>
              </w:rPr>
            </w:pPr>
            <w:r w:rsidRPr="003D28D7">
              <w:rPr>
                <w:bCs/>
                <w:sz w:val="22"/>
                <w:szCs w:val="22"/>
              </w:rPr>
              <w:t xml:space="preserve">Utskottet inledde subsidiaritetsprövningen av COM(2025) </w:t>
            </w:r>
            <w:r>
              <w:rPr>
                <w:bCs/>
                <w:sz w:val="22"/>
                <w:szCs w:val="22"/>
              </w:rPr>
              <w:t>258</w:t>
            </w:r>
            <w:r w:rsidRPr="003D28D7">
              <w:rPr>
                <w:bCs/>
                <w:sz w:val="22"/>
                <w:szCs w:val="22"/>
              </w:rPr>
              <w:t>.</w:t>
            </w:r>
            <w:r w:rsidRPr="003D28D7">
              <w:rPr>
                <w:bCs/>
                <w:sz w:val="22"/>
                <w:szCs w:val="22"/>
              </w:rPr>
              <w:br/>
            </w:r>
          </w:p>
          <w:p w14:paraId="3CD6A7C5" w14:textId="77777777" w:rsidR="00FF5D32" w:rsidRPr="003D28D7" w:rsidRDefault="00FF5D32" w:rsidP="00FF5D32">
            <w:pPr>
              <w:tabs>
                <w:tab w:val="left" w:pos="1701"/>
              </w:tabs>
              <w:rPr>
                <w:bCs/>
                <w:sz w:val="22"/>
                <w:szCs w:val="22"/>
              </w:rPr>
            </w:pPr>
            <w:r w:rsidRPr="003D28D7">
              <w:rPr>
                <w:bCs/>
                <w:sz w:val="22"/>
                <w:szCs w:val="22"/>
              </w:rPr>
              <w:t xml:space="preserve">Utskottet ansåg att förslaget inte strider mot subsidiaritetsprincipen. </w:t>
            </w:r>
          </w:p>
          <w:p w14:paraId="11EEF8A7" w14:textId="77777777" w:rsidR="00FF5D32" w:rsidRPr="003D28D7" w:rsidRDefault="00FF5D32" w:rsidP="00FF5D32">
            <w:pPr>
              <w:tabs>
                <w:tab w:val="left" w:pos="1701"/>
              </w:tabs>
              <w:rPr>
                <w:bCs/>
                <w:sz w:val="22"/>
                <w:szCs w:val="22"/>
              </w:rPr>
            </w:pPr>
          </w:p>
          <w:p w14:paraId="17C5C81B" w14:textId="77777777" w:rsidR="00FF5D32" w:rsidRDefault="00FF5D32" w:rsidP="00FF5D32">
            <w:pPr>
              <w:tabs>
                <w:tab w:val="left" w:pos="1701"/>
              </w:tabs>
              <w:rPr>
                <w:bCs/>
                <w:sz w:val="22"/>
                <w:szCs w:val="22"/>
              </w:rPr>
            </w:pPr>
            <w:r w:rsidRPr="003D28D7">
              <w:rPr>
                <w:bCs/>
                <w:sz w:val="22"/>
                <w:szCs w:val="22"/>
              </w:rPr>
              <w:t>Denna paragraf förklarades omedelbart justerad.</w:t>
            </w:r>
          </w:p>
          <w:p w14:paraId="28463657" w14:textId="647179F9" w:rsidR="00EE0069" w:rsidRPr="002007E9" w:rsidRDefault="00EE0069" w:rsidP="00EE0069">
            <w:pPr>
              <w:tabs>
                <w:tab w:val="left" w:pos="1701"/>
              </w:tabs>
              <w:rPr>
                <w:b/>
                <w:sz w:val="22"/>
                <w:szCs w:val="22"/>
              </w:rPr>
            </w:pPr>
          </w:p>
        </w:tc>
      </w:tr>
      <w:tr w:rsidR="00D87D66" w:rsidRPr="002007E9" w14:paraId="55FDDA9F" w14:textId="77777777" w:rsidTr="00C5706E">
        <w:tc>
          <w:tcPr>
            <w:tcW w:w="567" w:type="dxa"/>
          </w:tcPr>
          <w:p w14:paraId="6292CA22" w14:textId="1402BCBC" w:rsidR="00D87D66" w:rsidRPr="002007E9" w:rsidRDefault="00D87D66" w:rsidP="00C5706E">
            <w:pPr>
              <w:tabs>
                <w:tab w:val="left" w:pos="1701"/>
              </w:tabs>
              <w:rPr>
                <w:b/>
                <w:snapToGrid w:val="0"/>
                <w:sz w:val="22"/>
                <w:szCs w:val="22"/>
              </w:rPr>
            </w:pPr>
            <w:r w:rsidRPr="002007E9">
              <w:rPr>
                <w:b/>
                <w:snapToGrid w:val="0"/>
                <w:sz w:val="22"/>
                <w:szCs w:val="22"/>
              </w:rPr>
              <w:t xml:space="preserve">§ </w:t>
            </w:r>
            <w:r w:rsidR="00FF5D32">
              <w:rPr>
                <w:b/>
                <w:snapToGrid w:val="0"/>
                <w:sz w:val="22"/>
                <w:szCs w:val="22"/>
              </w:rPr>
              <w:t>6</w:t>
            </w:r>
          </w:p>
        </w:tc>
        <w:tc>
          <w:tcPr>
            <w:tcW w:w="6946" w:type="dxa"/>
            <w:gridSpan w:val="2"/>
          </w:tcPr>
          <w:p w14:paraId="34615E88" w14:textId="77777777" w:rsidR="00D87D66" w:rsidRPr="002007E9" w:rsidRDefault="005957E5" w:rsidP="002A14AC">
            <w:pPr>
              <w:rPr>
                <w:rFonts w:eastAsiaTheme="minorHAnsi"/>
                <w:bCs/>
                <w:color w:val="000000"/>
                <w:sz w:val="22"/>
                <w:szCs w:val="22"/>
                <w:lang w:eastAsia="en-US"/>
              </w:rPr>
            </w:pPr>
            <w:r w:rsidRPr="002007E9">
              <w:rPr>
                <w:b/>
                <w:bCs/>
                <w:color w:val="000000"/>
                <w:sz w:val="22"/>
                <w:szCs w:val="22"/>
              </w:rPr>
              <w:t>Nästa sammanträde</w:t>
            </w:r>
          </w:p>
          <w:p w14:paraId="16745BA1" w14:textId="77777777" w:rsidR="00D87D66" w:rsidRPr="002007E9" w:rsidRDefault="00D87D66" w:rsidP="002A14AC">
            <w:pPr>
              <w:rPr>
                <w:rFonts w:eastAsiaTheme="minorHAnsi"/>
                <w:bCs/>
                <w:color w:val="000000"/>
                <w:sz w:val="22"/>
                <w:szCs w:val="22"/>
                <w:lang w:eastAsia="en-US"/>
              </w:rPr>
            </w:pPr>
          </w:p>
          <w:p w14:paraId="08EBE943" w14:textId="56886FED" w:rsidR="005957E5" w:rsidRPr="002007E9" w:rsidRDefault="005957E5" w:rsidP="002A14AC">
            <w:pPr>
              <w:rPr>
                <w:snapToGrid w:val="0"/>
                <w:sz w:val="22"/>
                <w:szCs w:val="22"/>
              </w:rPr>
            </w:pPr>
            <w:r w:rsidRPr="002007E9">
              <w:rPr>
                <w:snapToGrid w:val="0"/>
                <w:sz w:val="22"/>
                <w:szCs w:val="22"/>
              </w:rPr>
              <w:t xml:space="preserve">Nästa sammanträde äger rum </w:t>
            </w:r>
            <w:r w:rsidR="009334A9" w:rsidRPr="002007E9">
              <w:rPr>
                <w:snapToGrid w:val="0"/>
                <w:sz w:val="22"/>
                <w:szCs w:val="22"/>
              </w:rPr>
              <w:t>t</w:t>
            </w:r>
            <w:r w:rsidR="00B7776C" w:rsidRPr="002007E9">
              <w:rPr>
                <w:snapToGrid w:val="0"/>
                <w:sz w:val="22"/>
                <w:szCs w:val="22"/>
              </w:rPr>
              <w:t>i</w:t>
            </w:r>
            <w:r w:rsidR="009334A9" w:rsidRPr="002007E9">
              <w:rPr>
                <w:snapToGrid w:val="0"/>
                <w:sz w:val="22"/>
                <w:szCs w:val="22"/>
              </w:rPr>
              <w:t>s</w:t>
            </w:r>
            <w:r w:rsidRPr="002007E9">
              <w:rPr>
                <w:snapToGrid w:val="0"/>
                <w:sz w:val="22"/>
                <w:szCs w:val="22"/>
              </w:rPr>
              <w:t>dagen den</w:t>
            </w:r>
            <w:r w:rsidR="008E6B40" w:rsidRPr="002007E9">
              <w:rPr>
                <w:snapToGrid w:val="0"/>
                <w:sz w:val="22"/>
                <w:szCs w:val="22"/>
              </w:rPr>
              <w:t xml:space="preserve"> </w:t>
            </w:r>
            <w:r w:rsidR="009334A9" w:rsidRPr="002007E9">
              <w:rPr>
                <w:snapToGrid w:val="0"/>
                <w:sz w:val="22"/>
                <w:szCs w:val="22"/>
              </w:rPr>
              <w:t>1</w:t>
            </w:r>
            <w:r w:rsidR="00EE0069">
              <w:rPr>
                <w:snapToGrid w:val="0"/>
                <w:sz w:val="22"/>
                <w:szCs w:val="22"/>
              </w:rPr>
              <w:t>7</w:t>
            </w:r>
            <w:r w:rsidR="009334A9" w:rsidRPr="002007E9">
              <w:rPr>
                <w:snapToGrid w:val="0"/>
                <w:sz w:val="22"/>
                <w:szCs w:val="22"/>
              </w:rPr>
              <w:t xml:space="preserve"> j</w:t>
            </w:r>
            <w:r w:rsidR="00B7776C" w:rsidRPr="002007E9">
              <w:rPr>
                <w:snapToGrid w:val="0"/>
                <w:sz w:val="22"/>
                <w:szCs w:val="22"/>
              </w:rPr>
              <w:t>uni</w:t>
            </w:r>
            <w:r w:rsidR="00D60FBE" w:rsidRPr="002007E9">
              <w:rPr>
                <w:snapToGrid w:val="0"/>
                <w:sz w:val="22"/>
                <w:szCs w:val="22"/>
              </w:rPr>
              <w:t xml:space="preserve"> </w:t>
            </w:r>
            <w:r w:rsidR="00CB71B9" w:rsidRPr="002007E9">
              <w:rPr>
                <w:snapToGrid w:val="0"/>
                <w:sz w:val="22"/>
                <w:szCs w:val="22"/>
              </w:rPr>
              <w:t>202</w:t>
            </w:r>
            <w:r w:rsidR="00A25410" w:rsidRPr="002007E9">
              <w:rPr>
                <w:snapToGrid w:val="0"/>
                <w:sz w:val="22"/>
                <w:szCs w:val="22"/>
              </w:rPr>
              <w:t>5</w:t>
            </w:r>
            <w:r w:rsidRPr="002007E9">
              <w:rPr>
                <w:snapToGrid w:val="0"/>
                <w:sz w:val="22"/>
                <w:szCs w:val="22"/>
              </w:rPr>
              <w:t xml:space="preserve"> kl. </w:t>
            </w:r>
            <w:r w:rsidR="009334A9" w:rsidRPr="002007E9">
              <w:rPr>
                <w:snapToGrid w:val="0"/>
                <w:sz w:val="22"/>
                <w:szCs w:val="22"/>
              </w:rPr>
              <w:t>1</w:t>
            </w:r>
            <w:r w:rsidR="00B7776C" w:rsidRPr="002007E9">
              <w:rPr>
                <w:snapToGrid w:val="0"/>
                <w:sz w:val="22"/>
                <w:szCs w:val="22"/>
              </w:rPr>
              <w:t>1</w:t>
            </w:r>
            <w:r w:rsidR="00B664F7" w:rsidRPr="002007E9">
              <w:rPr>
                <w:snapToGrid w:val="0"/>
                <w:sz w:val="22"/>
                <w:szCs w:val="22"/>
              </w:rPr>
              <w:t>.00</w:t>
            </w:r>
            <w:r w:rsidR="00DA2753" w:rsidRPr="002007E9">
              <w:rPr>
                <w:snapToGrid w:val="0"/>
                <w:sz w:val="22"/>
                <w:szCs w:val="22"/>
              </w:rPr>
              <w:t xml:space="preserve">. </w:t>
            </w:r>
          </w:p>
          <w:p w14:paraId="5D60648A" w14:textId="77777777" w:rsidR="005957E5" w:rsidRPr="002007E9" w:rsidRDefault="005957E5" w:rsidP="002A14AC">
            <w:pPr>
              <w:rPr>
                <w:rFonts w:eastAsiaTheme="minorHAnsi"/>
                <w:bCs/>
                <w:color w:val="000000"/>
                <w:sz w:val="22"/>
                <w:szCs w:val="22"/>
                <w:lang w:eastAsia="en-US"/>
              </w:rPr>
            </w:pPr>
          </w:p>
        </w:tc>
      </w:tr>
      <w:tr w:rsidR="00D5250E" w:rsidRPr="004A7C15" w14:paraId="179CF623" w14:textId="77777777" w:rsidTr="002241EF">
        <w:trPr>
          <w:gridAfter w:val="1"/>
          <w:wAfter w:w="357" w:type="dxa"/>
        </w:trPr>
        <w:tc>
          <w:tcPr>
            <w:tcW w:w="7156" w:type="dxa"/>
            <w:gridSpan w:val="2"/>
          </w:tcPr>
          <w:p w14:paraId="06B8F376" w14:textId="77777777" w:rsidR="00D5250E" w:rsidRPr="004A7C15" w:rsidRDefault="00D5250E" w:rsidP="00D5250E">
            <w:pPr>
              <w:tabs>
                <w:tab w:val="left" w:pos="1701"/>
              </w:tabs>
              <w:rPr>
                <w:sz w:val="22"/>
                <w:szCs w:val="22"/>
              </w:rPr>
            </w:pPr>
          </w:p>
          <w:p w14:paraId="0060A65A" w14:textId="77777777" w:rsidR="00D5250E" w:rsidRPr="004A7C15" w:rsidRDefault="00D5250E" w:rsidP="00D5250E">
            <w:pPr>
              <w:tabs>
                <w:tab w:val="left" w:pos="1701"/>
              </w:tabs>
              <w:rPr>
                <w:sz w:val="22"/>
                <w:szCs w:val="22"/>
              </w:rPr>
            </w:pPr>
            <w:r w:rsidRPr="004A7C15">
              <w:rPr>
                <w:sz w:val="22"/>
                <w:szCs w:val="22"/>
              </w:rPr>
              <w:t>Vid protokollet</w:t>
            </w:r>
          </w:p>
          <w:p w14:paraId="16DA6BD1" w14:textId="77777777" w:rsidR="00D5250E" w:rsidRPr="004A7C15" w:rsidRDefault="00D5250E" w:rsidP="00D5250E">
            <w:pPr>
              <w:tabs>
                <w:tab w:val="left" w:pos="1701"/>
              </w:tabs>
              <w:rPr>
                <w:sz w:val="22"/>
                <w:szCs w:val="22"/>
              </w:rPr>
            </w:pPr>
          </w:p>
          <w:p w14:paraId="5466EF57" w14:textId="480F2ACC" w:rsidR="00FB0559" w:rsidRDefault="00FB0559" w:rsidP="00D5250E">
            <w:pPr>
              <w:tabs>
                <w:tab w:val="left" w:pos="1701"/>
              </w:tabs>
              <w:rPr>
                <w:sz w:val="22"/>
                <w:szCs w:val="22"/>
              </w:rPr>
            </w:pPr>
          </w:p>
          <w:p w14:paraId="08E9BE49" w14:textId="77777777" w:rsidR="00FF5D32" w:rsidRPr="004A7C15" w:rsidRDefault="00FF5D32" w:rsidP="00D5250E">
            <w:pPr>
              <w:tabs>
                <w:tab w:val="left" w:pos="1701"/>
              </w:tabs>
              <w:rPr>
                <w:sz w:val="22"/>
                <w:szCs w:val="22"/>
              </w:rPr>
            </w:pPr>
          </w:p>
          <w:p w14:paraId="4231F254" w14:textId="1394CF58" w:rsidR="009334A9" w:rsidRPr="004A7C15" w:rsidRDefault="009334A9" w:rsidP="00D5250E">
            <w:pPr>
              <w:tabs>
                <w:tab w:val="left" w:pos="1701"/>
              </w:tabs>
              <w:rPr>
                <w:sz w:val="22"/>
                <w:szCs w:val="22"/>
              </w:rPr>
            </w:pPr>
          </w:p>
          <w:p w14:paraId="4135DE1A" w14:textId="182A3990" w:rsidR="00A10EBF" w:rsidRPr="004A7C15" w:rsidRDefault="00D5250E" w:rsidP="00157E3A">
            <w:pPr>
              <w:tabs>
                <w:tab w:val="left" w:pos="1701"/>
              </w:tabs>
              <w:rPr>
                <w:sz w:val="22"/>
                <w:szCs w:val="22"/>
              </w:rPr>
            </w:pPr>
            <w:r w:rsidRPr="004A7C15">
              <w:rPr>
                <w:sz w:val="22"/>
                <w:szCs w:val="22"/>
              </w:rPr>
              <w:t>Justeras den</w:t>
            </w:r>
            <w:r w:rsidR="00D60FBE" w:rsidRPr="004A7C15">
              <w:rPr>
                <w:sz w:val="22"/>
                <w:szCs w:val="22"/>
              </w:rPr>
              <w:t xml:space="preserve"> </w:t>
            </w:r>
            <w:r w:rsidR="00F53D02">
              <w:rPr>
                <w:sz w:val="22"/>
                <w:szCs w:val="22"/>
              </w:rPr>
              <w:t>1</w:t>
            </w:r>
            <w:r w:rsidR="007C55FB">
              <w:rPr>
                <w:sz w:val="22"/>
                <w:szCs w:val="22"/>
              </w:rPr>
              <w:t>7</w:t>
            </w:r>
            <w:r w:rsidR="00F53D02">
              <w:rPr>
                <w:sz w:val="22"/>
                <w:szCs w:val="22"/>
              </w:rPr>
              <w:t xml:space="preserve"> </w:t>
            </w:r>
            <w:r w:rsidR="009334A9">
              <w:rPr>
                <w:sz w:val="22"/>
                <w:szCs w:val="22"/>
              </w:rPr>
              <w:t>j</w:t>
            </w:r>
            <w:r w:rsidR="00F53D02">
              <w:rPr>
                <w:sz w:val="22"/>
                <w:szCs w:val="22"/>
              </w:rPr>
              <w:t>uni</w:t>
            </w:r>
            <w:r w:rsidR="008D7C53" w:rsidRPr="004A7C15">
              <w:rPr>
                <w:sz w:val="22"/>
                <w:szCs w:val="22"/>
              </w:rPr>
              <w:t xml:space="preserve"> </w:t>
            </w:r>
            <w:r w:rsidR="00CB71B9" w:rsidRPr="004A7C15">
              <w:rPr>
                <w:sz w:val="22"/>
                <w:szCs w:val="22"/>
              </w:rPr>
              <w:t>202</w:t>
            </w:r>
            <w:r w:rsidR="00A25410" w:rsidRPr="004A7C15">
              <w:rPr>
                <w:sz w:val="22"/>
                <w:szCs w:val="22"/>
              </w:rPr>
              <w:t>5</w:t>
            </w:r>
          </w:p>
          <w:p w14:paraId="042630D0" w14:textId="77777777" w:rsidR="00987069" w:rsidRPr="004A7C15" w:rsidRDefault="00987069" w:rsidP="00157E3A">
            <w:pPr>
              <w:tabs>
                <w:tab w:val="left" w:pos="1701"/>
              </w:tabs>
              <w:rPr>
                <w:sz w:val="22"/>
                <w:szCs w:val="22"/>
              </w:rPr>
            </w:pPr>
          </w:p>
          <w:p w14:paraId="3E257F98" w14:textId="77777777" w:rsidR="00987069" w:rsidRPr="004A7C15" w:rsidRDefault="00987069" w:rsidP="00157E3A">
            <w:pPr>
              <w:tabs>
                <w:tab w:val="left" w:pos="1701"/>
              </w:tabs>
              <w:rPr>
                <w:sz w:val="22"/>
                <w:szCs w:val="22"/>
              </w:rPr>
            </w:pPr>
          </w:p>
          <w:p w14:paraId="3D553404" w14:textId="77777777" w:rsidR="00987069" w:rsidRPr="004A7C15" w:rsidRDefault="00987069" w:rsidP="00157E3A">
            <w:pPr>
              <w:tabs>
                <w:tab w:val="left" w:pos="1701"/>
              </w:tabs>
              <w:rPr>
                <w:sz w:val="22"/>
                <w:szCs w:val="22"/>
              </w:rPr>
            </w:pPr>
          </w:p>
          <w:p w14:paraId="67BEA3C0" w14:textId="457E0C8B" w:rsidR="008D7C53" w:rsidRPr="004A7C15" w:rsidRDefault="00B670EF" w:rsidP="00157E3A">
            <w:pPr>
              <w:tabs>
                <w:tab w:val="left" w:pos="1701"/>
              </w:tabs>
              <w:rPr>
                <w:sz w:val="22"/>
                <w:szCs w:val="22"/>
              </w:rPr>
            </w:pPr>
            <w:r>
              <w:rPr>
                <w:sz w:val="22"/>
                <w:szCs w:val="22"/>
              </w:rPr>
              <w:t>Kjell-Arne Ottosson</w:t>
            </w:r>
            <w:r w:rsidR="009334A9">
              <w:rPr>
                <w:sz w:val="22"/>
                <w:szCs w:val="22"/>
              </w:rPr>
              <w:t xml:space="preserve"> </w:t>
            </w: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B40F4D" w14:paraId="0E4943FB" w14:textId="77777777" w:rsidTr="00FB07D3">
        <w:trPr>
          <w:gridAfter w:val="1"/>
          <w:wAfter w:w="142" w:type="dxa"/>
        </w:trPr>
        <w:tc>
          <w:tcPr>
            <w:tcW w:w="3969" w:type="dxa"/>
            <w:tcBorders>
              <w:top w:val="nil"/>
              <w:left w:val="nil"/>
              <w:bottom w:val="nil"/>
              <w:right w:val="nil"/>
            </w:tcBorders>
          </w:tcPr>
          <w:p w14:paraId="291CDA16" w14:textId="77777777"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0B530F68" w14:textId="77777777" w:rsidR="00136BAF" w:rsidRPr="00B40F4D" w:rsidRDefault="00136BAF" w:rsidP="002B7AED">
            <w:pPr>
              <w:tabs>
                <w:tab w:val="left" w:pos="1701"/>
              </w:tabs>
              <w:rPr>
                <w:sz w:val="22"/>
                <w:szCs w:val="22"/>
              </w:rPr>
            </w:pPr>
            <w:r w:rsidRPr="00B40F4D">
              <w:rPr>
                <w:b/>
                <w:sz w:val="22"/>
                <w:szCs w:val="22"/>
              </w:rPr>
              <w:t xml:space="preserve">Bilaga 1 </w:t>
            </w:r>
            <w:r w:rsidRPr="00B40F4D">
              <w:rPr>
                <w:sz w:val="22"/>
                <w:szCs w:val="22"/>
              </w:rPr>
              <w:t xml:space="preserve">till </w:t>
            </w:r>
          </w:p>
          <w:p w14:paraId="0C82BAE9" w14:textId="1437AE81" w:rsidR="00136BAF" w:rsidRPr="00B40F4D" w:rsidRDefault="00136BAF" w:rsidP="002B7AED">
            <w:pPr>
              <w:tabs>
                <w:tab w:val="left" w:pos="1701"/>
              </w:tabs>
              <w:rPr>
                <w:sz w:val="22"/>
                <w:szCs w:val="22"/>
              </w:rPr>
            </w:pPr>
            <w:r w:rsidRPr="00B40F4D">
              <w:rPr>
                <w:sz w:val="22"/>
                <w:szCs w:val="22"/>
              </w:rPr>
              <w:t>prot. 20</w:t>
            </w:r>
            <w:r>
              <w:rPr>
                <w:sz w:val="22"/>
                <w:szCs w:val="22"/>
              </w:rPr>
              <w:t>2</w:t>
            </w:r>
            <w:r w:rsidR="006064AF">
              <w:rPr>
                <w:sz w:val="22"/>
                <w:szCs w:val="22"/>
              </w:rPr>
              <w:t>4</w:t>
            </w:r>
            <w:r w:rsidRPr="00B40F4D">
              <w:rPr>
                <w:sz w:val="22"/>
                <w:szCs w:val="22"/>
              </w:rPr>
              <w:t>/2</w:t>
            </w:r>
            <w:r w:rsidR="006064AF">
              <w:rPr>
                <w:sz w:val="22"/>
                <w:szCs w:val="22"/>
              </w:rPr>
              <w:t>5</w:t>
            </w:r>
            <w:r w:rsidRPr="00B40F4D">
              <w:rPr>
                <w:sz w:val="22"/>
                <w:szCs w:val="22"/>
              </w:rPr>
              <w:t>:</w:t>
            </w:r>
            <w:r w:rsidR="00F53D02">
              <w:rPr>
                <w:sz w:val="22"/>
                <w:szCs w:val="22"/>
              </w:rPr>
              <w:t>42</w:t>
            </w:r>
          </w:p>
        </w:tc>
      </w:tr>
      <w:tr w:rsidR="00136BAF" w:rsidRPr="00B40F4D" w14:paraId="5E9D105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09F42700" w:rsidR="00136BAF" w:rsidRPr="00B40F4D" w:rsidRDefault="009B083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r w:rsidR="007C55FB">
              <w:rPr>
                <w:sz w:val="22"/>
                <w:szCs w:val="22"/>
              </w:rPr>
              <w:t>1</w:t>
            </w:r>
            <w:r w:rsidR="00327EBD">
              <w:rPr>
                <w:sz w:val="22"/>
                <w:szCs w:val="22"/>
              </w:rPr>
              <w:t>–2</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4EAF6C93" w:rsidR="00136BAF" w:rsidRPr="00B40F4D" w:rsidRDefault="00327EB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3</w:t>
            </w:r>
            <w:r w:rsidR="00FF5D32">
              <w:rPr>
                <w:sz w:val="22"/>
                <w:szCs w:val="22"/>
              </w:rPr>
              <w:t>–6</w:t>
            </w:r>
            <w:r w:rsidR="00136BAF" w:rsidRPr="00B40F4D">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924FA1B"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r>
      <w:tr w:rsidR="00136BAF" w:rsidRPr="00B40F4D" w14:paraId="5B271E8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070A5C" w:rsidRDefault="00136BAF" w:rsidP="002B7AED">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43AD43CB" w14:textId="631220D1" w:rsidR="00136BAF" w:rsidRPr="00B40F4D" w:rsidRDefault="007C55F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090111F6" w:rsidR="00136BAF" w:rsidRPr="00B40F4D" w:rsidRDefault="00327EB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EE0069" w14:paraId="409490F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6A6B9D" w:rsidRDefault="00136BAF" w:rsidP="002B7AED">
            <w:pPr>
              <w:spacing w:line="256" w:lineRule="auto"/>
              <w:rPr>
                <w:sz w:val="22"/>
                <w:szCs w:val="22"/>
                <w:lang w:val="en-GB" w:eastAsia="en-US"/>
              </w:rPr>
            </w:pPr>
            <w:r w:rsidRPr="006A6B9D">
              <w:rPr>
                <w:sz w:val="22"/>
                <w:szCs w:val="22"/>
                <w:lang w:val="en-GB" w:eastAsia="en-US"/>
              </w:rPr>
              <w:t xml:space="preserve">Kjell-Arne Ottosson (KD), vice </w:t>
            </w:r>
            <w:proofErr w:type="spellStart"/>
            <w:r w:rsidRPr="006A6B9D">
              <w:rPr>
                <w:sz w:val="22"/>
                <w:szCs w:val="22"/>
                <w:lang w:val="en-GB" w:eastAsia="en-US"/>
              </w:rPr>
              <w:t>ordf</w:t>
            </w:r>
            <w:proofErr w:type="spellEnd"/>
            <w:r w:rsidRPr="006A6B9D">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4B3AB79B" w:rsidR="00136BAF" w:rsidRPr="006A6B9D" w:rsidRDefault="00EE0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02C1D383" w:rsidR="00136BAF" w:rsidRPr="006A6B9D" w:rsidRDefault="00327EB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410DF90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6A6B9D" w:rsidRDefault="00136BAF" w:rsidP="002B7AED">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26A28D5A" w:rsidR="00136BAF" w:rsidRPr="006A6B9D" w:rsidRDefault="00EE0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256F4D6A" w:rsidR="00136BAF" w:rsidRPr="006A6B9D" w:rsidRDefault="00327EB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2B93BAB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5C4C18" w:rsidRDefault="00EB321F" w:rsidP="002B7AED">
            <w:pPr>
              <w:spacing w:line="256" w:lineRule="auto"/>
              <w:rPr>
                <w:sz w:val="22"/>
                <w:szCs w:val="22"/>
                <w:lang w:eastAsia="en-US"/>
              </w:rPr>
            </w:pPr>
            <w:r>
              <w:rPr>
                <w:sz w:val="22"/>
                <w:szCs w:val="22"/>
                <w:lang w:eastAsia="en-US"/>
              </w:rPr>
              <w:t>Anna-Caren Sätherberg</w:t>
            </w:r>
            <w:r w:rsidR="00136BAF"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45157995" w:rsidR="00136BAF" w:rsidRPr="006A6B9D" w:rsidRDefault="00EE0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39F9B127" w:rsidR="00136BAF" w:rsidRPr="006A6B9D" w:rsidRDefault="00327EB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917BEB" w14:paraId="41695CD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B24B9D" w:rsidRDefault="00BE4890" w:rsidP="002B7AED">
            <w:pPr>
              <w:spacing w:line="256" w:lineRule="auto"/>
              <w:rPr>
                <w:sz w:val="22"/>
                <w:szCs w:val="22"/>
                <w:lang w:val="en-US" w:eastAsia="en-US"/>
              </w:rPr>
            </w:pPr>
            <w:r w:rsidRPr="005C4C18">
              <w:rPr>
                <w:sz w:val="22"/>
                <w:szCs w:val="22"/>
                <w:lang w:eastAsia="en-US"/>
              </w:rPr>
              <w:t xml:space="preserve">John Widegren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63E61255" w:rsidR="00136BAF" w:rsidRPr="00B40F4D" w:rsidRDefault="00EE0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3B0DF03F" w:rsidR="00136BAF" w:rsidRPr="00B40F4D" w:rsidRDefault="00327EB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089368E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B40F4D" w:rsidRDefault="00136BAF" w:rsidP="002B7AED">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DA8648C" w14:textId="0C5A327B" w:rsidR="00136BAF" w:rsidRPr="00B40F4D" w:rsidRDefault="00EE0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20C67AE1" w:rsidR="00136BAF" w:rsidRPr="00B40F4D" w:rsidRDefault="00327EB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15E1E2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Default="00136BAF" w:rsidP="002B7AED">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7B4F45DD" w:rsidR="00136BAF" w:rsidRPr="00B40F4D" w:rsidRDefault="00EE0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7964C2FB" w:rsidR="00136BAF" w:rsidRPr="00B40F4D" w:rsidRDefault="00327EB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E1E3D4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5C4C18" w:rsidRDefault="00136BAF" w:rsidP="002B7AED">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2B381D6E" w:rsidR="00136BAF" w:rsidRPr="00B40F4D" w:rsidRDefault="00EE0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29990EB2" w:rsidR="00136BAF" w:rsidRPr="00B40F4D" w:rsidRDefault="00327EB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5BC2CD9"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5C4C18" w:rsidRDefault="00BE4890" w:rsidP="002B7AED">
            <w:pPr>
              <w:spacing w:line="256" w:lineRule="auto"/>
              <w:rPr>
                <w:sz w:val="22"/>
                <w:szCs w:val="22"/>
                <w:lang w:eastAsia="en-US"/>
              </w:rPr>
            </w:pPr>
            <w:r w:rsidRPr="00467848">
              <w:rPr>
                <w:sz w:val="22"/>
                <w:szCs w:val="22"/>
              </w:rPr>
              <w:t xml:space="preserve">Helena Storckenfeldt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22CDDF67" w:rsidR="00136BAF" w:rsidRPr="00B40F4D" w:rsidRDefault="00EE0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6FD591B6" w:rsidR="00136BAF" w:rsidRPr="00B40F4D" w:rsidRDefault="00327EB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F82E5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5C4C18" w:rsidRDefault="00136BAF" w:rsidP="002B7AED">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0CCB1177" w:rsidR="00136BAF" w:rsidRPr="00B40F4D" w:rsidRDefault="00461BF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6F43E528" w:rsidR="00136BAF" w:rsidRPr="00B40F4D" w:rsidRDefault="00327EB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D411CB4"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5C4C18" w:rsidRDefault="0089370A" w:rsidP="002B7AED">
            <w:pPr>
              <w:spacing w:line="256" w:lineRule="auto"/>
              <w:rPr>
                <w:sz w:val="22"/>
                <w:szCs w:val="22"/>
                <w:lang w:eastAsia="en-US"/>
              </w:rPr>
            </w:pPr>
            <w:r w:rsidRPr="0089370A">
              <w:rPr>
                <w:sz w:val="22"/>
                <w:szCs w:val="22"/>
                <w:lang w:eastAsia="en-US"/>
              </w:rPr>
              <w:t xml:space="preserve">Mattias Eriksson Falk </w:t>
            </w:r>
            <w:r w:rsidR="00136BAF" w:rsidRPr="0089370A">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4F002F1C" w:rsidR="00136BAF" w:rsidRPr="00B40F4D" w:rsidRDefault="00EE0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1ABB1B0E" w:rsidR="00136BAF" w:rsidRPr="00B40F4D" w:rsidRDefault="00327EB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C98205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Default="00136BAF" w:rsidP="002B7AED">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210BDC5A" w14:textId="551C23F5" w:rsidR="00136BAF" w:rsidRPr="00B40F4D" w:rsidRDefault="00EE0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1709B4BE" w:rsidR="00136BAF" w:rsidRPr="00B40F4D" w:rsidRDefault="00327EB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32CA3B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B40F4D" w:rsidRDefault="00BE4890" w:rsidP="002B7AED">
            <w:pPr>
              <w:spacing w:line="256" w:lineRule="auto"/>
              <w:rPr>
                <w:sz w:val="22"/>
                <w:szCs w:val="22"/>
                <w:lang w:val="en-US" w:eastAsia="en-US"/>
              </w:rPr>
            </w:pPr>
            <w:r w:rsidRPr="00467848">
              <w:rPr>
                <w:sz w:val="22"/>
                <w:szCs w:val="22"/>
                <w:lang w:val="en-US" w:eastAsia="en-US"/>
              </w:rPr>
              <w:t xml:space="preserve">Marléne Lund Kopparklint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339C3F3A" w:rsidR="00136BAF" w:rsidRPr="00B40F4D" w:rsidRDefault="00EE0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6A678987" w:rsidR="00136BAF" w:rsidRPr="00B40F4D" w:rsidRDefault="00327EB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4A977B8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917BEB" w:rsidRDefault="00136BAF" w:rsidP="002B7AED">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0C326A04" w:rsidR="00136BAF" w:rsidRPr="00B40F4D" w:rsidRDefault="00EE0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39DDEB3E" w:rsidR="00136BAF" w:rsidRPr="00B40F4D" w:rsidRDefault="00327EB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63568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5C4C18" w:rsidRDefault="00136BAF" w:rsidP="002B7AED">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0519DC0C" w:rsidR="00136BAF" w:rsidRPr="00B40F4D" w:rsidRDefault="00EE0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119689E2" w:rsidR="00136BAF" w:rsidRPr="00B40F4D" w:rsidRDefault="00327EB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ADC78F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58BFEF66" w:rsidR="00136BAF" w:rsidRPr="005C4C18" w:rsidRDefault="006064AF" w:rsidP="002B7AED">
            <w:pPr>
              <w:spacing w:line="256" w:lineRule="auto"/>
              <w:rPr>
                <w:sz w:val="22"/>
                <w:szCs w:val="22"/>
                <w:lang w:eastAsia="en-US"/>
              </w:rPr>
            </w:pPr>
            <w:r>
              <w:rPr>
                <w:sz w:val="22"/>
                <w:szCs w:val="22"/>
                <w:lang w:eastAsia="en-US"/>
              </w:rPr>
              <w:t>V</w:t>
            </w:r>
            <w:r w:rsidR="00A2390B">
              <w:rPr>
                <w:sz w:val="22"/>
                <w:szCs w:val="22"/>
                <w:lang w:eastAsia="en-US"/>
              </w:rPr>
              <w:t>ictoria Tiblom</w:t>
            </w:r>
            <w:r w:rsidR="00136BAF">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62ADC95" w14:textId="4C1B5B80" w:rsidR="00136BAF" w:rsidRPr="00B40F4D" w:rsidRDefault="00EE0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57346D34" w:rsidR="00136BAF" w:rsidRPr="00B40F4D" w:rsidRDefault="00327EB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7FCCDC9"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B40F4D" w:rsidRDefault="00172561" w:rsidP="002B7AED">
            <w:pPr>
              <w:spacing w:line="256" w:lineRule="auto"/>
              <w:rPr>
                <w:sz w:val="22"/>
                <w:szCs w:val="22"/>
                <w:lang w:eastAsia="en-US"/>
              </w:rPr>
            </w:pPr>
            <w:r w:rsidRPr="00467848">
              <w:rPr>
                <w:sz w:val="22"/>
                <w:szCs w:val="22"/>
                <w:lang w:eastAsia="en-US"/>
              </w:rPr>
              <w:t>Elin Nilsson</w:t>
            </w:r>
            <w:r w:rsidR="00136BAF" w:rsidRPr="0046784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50921E9B" w:rsidR="00136BAF" w:rsidRPr="00B40F4D" w:rsidRDefault="00EE0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114E5662" w:rsidR="00136BAF" w:rsidRPr="00B40F4D" w:rsidRDefault="00327EB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6F5D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B40F4D" w:rsidRDefault="00136BAF" w:rsidP="002B7AE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D0A36C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3B957C53" w:rsidR="00136BAF" w:rsidRPr="00B40F4D" w:rsidRDefault="000F1B6F" w:rsidP="002B7AED">
            <w:pPr>
              <w:spacing w:line="256" w:lineRule="auto"/>
              <w:rPr>
                <w:b/>
                <w:i/>
                <w:sz w:val="22"/>
                <w:szCs w:val="22"/>
                <w:lang w:eastAsia="en-US"/>
              </w:rPr>
            </w:pPr>
            <w:r>
              <w:rPr>
                <w:sz w:val="22"/>
                <w:szCs w:val="22"/>
                <w:lang w:val="en-US" w:eastAsia="en-US"/>
              </w:rPr>
              <w:t>Runar Filper</w:t>
            </w:r>
            <w:r w:rsidR="00136BAF" w:rsidRPr="00B40F4D">
              <w:rPr>
                <w:sz w:val="22"/>
                <w:szCs w:val="22"/>
                <w:lang w:val="en-US" w:eastAsia="en-US"/>
              </w:rPr>
              <w:t xml:space="preserve"> (S</w:t>
            </w:r>
            <w:r w:rsidR="00136BAF">
              <w:rPr>
                <w:sz w:val="22"/>
                <w:szCs w:val="22"/>
                <w:lang w:val="en-US" w:eastAsia="en-US"/>
              </w:rPr>
              <w:t>D</w:t>
            </w:r>
            <w:r w:rsidR="00136BAF"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040851A6" w14:textId="10AD09BC" w:rsidR="00136BAF" w:rsidRPr="00B40F4D" w:rsidRDefault="00EE0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0554B610" w:rsidR="00136BAF" w:rsidRPr="00B40F4D" w:rsidRDefault="00327EB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02B589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Default="00136BAF" w:rsidP="002B7AED">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0AD2E68B"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FADD73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422E8FCD" w:rsidR="00136BAF" w:rsidRDefault="007B60B1" w:rsidP="002B7AED">
            <w:pPr>
              <w:spacing w:line="256" w:lineRule="auto"/>
              <w:rPr>
                <w:sz w:val="22"/>
                <w:szCs w:val="22"/>
                <w:lang w:eastAsia="en-US"/>
              </w:rPr>
            </w:pPr>
            <w:r w:rsidRPr="007B60B1">
              <w:rPr>
                <w:sz w:val="22"/>
                <w:szCs w:val="22"/>
                <w:lang w:eastAsia="en-US"/>
              </w:rPr>
              <w:t>Joanna Lewerentz</w:t>
            </w:r>
            <w:r w:rsidR="00BE4890">
              <w:rPr>
                <w:sz w:val="22"/>
                <w:szCs w:val="22"/>
                <w:lang w:eastAsia="en-US"/>
              </w:rPr>
              <w:t xml:space="preserve"> </w:t>
            </w:r>
            <w:r w:rsidR="00136BAF" w:rsidRPr="0046784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1982876" w14:textId="595B3A93" w:rsidR="00136BAF" w:rsidRPr="00B40F4D" w:rsidRDefault="00EE0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1DD929BB" w:rsidR="00136BAF" w:rsidRPr="00B40F4D" w:rsidRDefault="00327EB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B4953A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5C4C18" w:rsidRDefault="00136BAF" w:rsidP="002B7AED">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1BE30BF8" w:rsidR="00136BAF" w:rsidRPr="00B40F4D" w:rsidRDefault="00EE0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2F229AF7" w:rsidR="00136BAF" w:rsidRPr="00B40F4D" w:rsidRDefault="00327EB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FCD7AA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Default="00136BAF" w:rsidP="002B7AED">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2A7CA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E9862F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B40F4D" w:rsidRDefault="00BE4890"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8B571C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C82CF8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04EF884" w:rsidR="00136BAF" w:rsidRPr="00B40F4D" w:rsidRDefault="00EE0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5D9FB9C4" w:rsidR="00136BAF" w:rsidRPr="00B40F4D" w:rsidRDefault="00327EB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3619A32"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1B3E72B"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644391E5" w:rsidR="00136BAF" w:rsidRPr="00F367F0" w:rsidRDefault="003E370A" w:rsidP="002B7AED">
            <w:pPr>
              <w:tabs>
                <w:tab w:val="left" w:pos="2268"/>
                <w:tab w:val="left" w:pos="2977"/>
                <w:tab w:val="left" w:pos="4536"/>
              </w:tabs>
              <w:spacing w:line="256" w:lineRule="auto"/>
              <w:rPr>
                <w:sz w:val="22"/>
                <w:szCs w:val="22"/>
                <w:lang w:eastAsia="en-US"/>
              </w:rPr>
            </w:pPr>
            <w:r>
              <w:rPr>
                <w:sz w:val="22"/>
                <w:szCs w:val="22"/>
                <w:lang w:eastAsia="en-US"/>
              </w:rPr>
              <w:t>Sten Bergheden</w:t>
            </w:r>
            <w:r w:rsidR="00BE4890" w:rsidRPr="005C4C18">
              <w:rPr>
                <w:sz w:val="22"/>
                <w:szCs w:val="22"/>
                <w:lang w:eastAsia="en-US"/>
              </w:rPr>
              <w:t xml:space="preserve"> </w:t>
            </w:r>
            <w:r w:rsidR="00136BAF" w:rsidRPr="00F367F0">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D90E922"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20A0CE79" w:rsidR="00136BAF" w:rsidRPr="00B40F4D" w:rsidRDefault="00EE0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320D2E73" w:rsidR="00136BAF" w:rsidRPr="00B40F4D" w:rsidRDefault="00327EB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C4C6E4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44C36B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0F112230" w:rsidR="00136BAF" w:rsidRPr="00917BEB" w:rsidRDefault="007B60B1" w:rsidP="002B7AED">
            <w:pPr>
              <w:tabs>
                <w:tab w:val="left" w:pos="2268"/>
                <w:tab w:val="left" w:pos="2977"/>
                <w:tab w:val="left" w:pos="4536"/>
              </w:tabs>
              <w:spacing w:line="256" w:lineRule="auto"/>
              <w:rPr>
                <w:sz w:val="22"/>
                <w:szCs w:val="22"/>
                <w:lang w:eastAsia="en-US"/>
              </w:rPr>
            </w:pPr>
            <w:r w:rsidRPr="007B60B1">
              <w:rPr>
                <w:sz w:val="22"/>
                <w:szCs w:val="22"/>
                <w:lang w:eastAsia="en-US"/>
              </w:rPr>
              <w:t>Helena Lindahl</w:t>
            </w:r>
            <w:r>
              <w:rPr>
                <w:sz w:val="22"/>
                <w:szCs w:val="22"/>
                <w:lang w:eastAsia="en-US"/>
              </w:rPr>
              <w:t xml:space="preserve"> (C)</w:t>
            </w:r>
          </w:p>
        </w:tc>
        <w:tc>
          <w:tcPr>
            <w:tcW w:w="425" w:type="dxa"/>
            <w:tcBorders>
              <w:top w:val="single" w:sz="6" w:space="0" w:color="auto"/>
              <w:left w:val="single" w:sz="6" w:space="0" w:color="auto"/>
              <w:bottom w:val="single" w:sz="6" w:space="0" w:color="auto"/>
              <w:right w:val="single" w:sz="6" w:space="0" w:color="auto"/>
            </w:tcBorders>
          </w:tcPr>
          <w:p w14:paraId="34D081D4" w14:textId="39D5398A"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A1229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06A94DA7" w:rsidR="00136BAF" w:rsidRPr="00917BEB" w:rsidRDefault="00D5772E" w:rsidP="002B7AED">
            <w:pPr>
              <w:tabs>
                <w:tab w:val="left" w:pos="2268"/>
                <w:tab w:val="left" w:pos="2977"/>
                <w:tab w:val="left" w:pos="4536"/>
              </w:tabs>
              <w:spacing w:line="256" w:lineRule="auto"/>
              <w:rPr>
                <w:sz w:val="22"/>
                <w:szCs w:val="22"/>
                <w:lang w:eastAsia="en-US"/>
              </w:rPr>
            </w:pPr>
            <w:r>
              <w:rPr>
                <w:sz w:val="22"/>
                <w:szCs w:val="22"/>
                <w:lang w:eastAsia="en-US"/>
              </w:rPr>
              <w:t>Camilla Mårtensen</w:t>
            </w:r>
            <w:r w:rsidR="00136BAF">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9347E6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Default="00136BAF" w:rsidP="002B7AED">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400CB1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917BEB" w:rsidRDefault="000F7521" w:rsidP="002B7AED">
            <w:pPr>
              <w:tabs>
                <w:tab w:val="left" w:pos="2268"/>
                <w:tab w:val="left" w:pos="2977"/>
                <w:tab w:val="left" w:pos="4536"/>
              </w:tabs>
              <w:spacing w:line="256" w:lineRule="auto"/>
              <w:rPr>
                <w:sz w:val="22"/>
                <w:szCs w:val="22"/>
                <w:highlight w:val="yellow"/>
                <w:lang w:eastAsia="en-US"/>
              </w:rPr>
            </w:pPr>
            <w:r>
              <w:rPr>
                <w:sz w:val="22"/>
                <w:szCs w:val="22"/>
                <w:lang w:eastAsia="en-US"/>
              </w:rPr>
              <w:t>Anna af Sillén</w:t>
            </w:r>
            <w:r w:rsidR="00BE4890">
              <w:rPr>
                <w:sz w:val="22"/>
                <w:szCs w:val="22"/>
                <w:lang w:eastAsia="en-US"/>
              </w:rPr>
              <w:t xml:space="preserve">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A30A44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1F594090"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r w:rsidR="00D846CD">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14:paraId="512E44E3" w14:textId="541DCECC" w:rsidR="006A49EA" w:rsidRPr="00B40F4D" w:rsidRDefault="00EE0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3EBBB284" w:rsidR="006A49EA" w:rsidRPr="00B40F4D" w:rsidRDefault="00327EB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65EEEE2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00226404" w:rsidR="006A49EA" w:rsidRPr="005C4C18" w:rsidRDefault="000F1B6F" w:rsidP="002B7AED">
            <w:pPr>
              <w:tabs>
                <w:tab w:val="left" w:pos="2268"/>
                <w:tab w:val="left" w:pos="2977"/>
                <w:tab w:val="left" w:pos="4536"/>
              </w:tabs>
              <w:spacing w:line="256" w:lineRule="auto"/>
              <w:rPr>
                <w:sz w:val="22"/>
                <w:szCs w:val="22"/>
                <w:lang w:eastAsia="en-US"/>
              </w:rPr>
            </w:pPr>
            <w:r>
              <w:rPr>
                <w:sz w:val="22"/>
                <w:szCs w:val="22"/>
                <w:lang w:eastAsia="en-US"/>
              </w:rPr>
              <w:t>Jessica Stegrud</w:t>
            </w:r>
            <w:r w:rsidR="006A49EA" w:rsidRPr="006A49EA">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30AD9F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BCA4A7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6A49EA" w:rsidRDefault="006A49EA" w:rsidP="002B7AED">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1AF32A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5C4C18" w:rsidRDefault="006A49EA"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AA8139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73EBD897" w:rsidR="006A49EA" w:rsidRPr="006A49EA" w:rsidRDefault="00B33DC4" w:rsidP="002B7AED">
            <w:pPr>
              <w:tabs>
                <w:tab w:val="left" w:pos="2268"/>
                <w:tab w:val="left" w:pos="2977"/>
                <w:tab w:val="left" w:pos="4536"/>
              </w:tabs>
              <w:spacing w:line="256" w:lineRule="auto"/>
              <w:rPr>
                <w:sz w:val="22"/>
                <w:szCs w:val="22"/>
                <w:lang w:val="en-US" w:eastAsia="en-US"/>
              </w:rPr>
            </w:pPr>
            <w:r>
              <w:rPr>
                <w:sz w:val="22"/>
                <w:szCs w:val="22"/>
                <w:lang w:val="en-US" w:eastAsia="en-US"/>
              </w:rPr>
              <w:t>Roland Utbult</w:t>
            </w:r>
            <w:r w:rsidR="006A49EA"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F45591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4519AE3C" w:rsidR="006A49EA" w:rsidRPr="006A49EA" w:rsidRDefault="00B83B89" w:rsidP="002B7AED">
            <w:pPr>
              <w:tabs>
                <w:tab w:val="left" w:pos="2268"/>
                <w:tab w:val="left" w:pos="2977"/>
                <w:tab w:val="left" w:pos="4536"/>
              </w:tabs>
              <w:spacing w:line="256" w:lineRule="auto"/>
              <w:rPr>
                <w:sz w:val="22"/>
                <w:szCs w:val="22"/>
                <w:lang w:val="en-US" w:eastAsia="en-US"/>
              </w:rPr>
            </w:pPr>
            <w:r>
              <w:rPr>
                <w:sz w:val="22"/>
                <w:szCs w:val="22"/>
                <w:lang w:val="en-US" w:eastAsia="en-US"/>
              </w:rPr>
              <w:t>Linus Lakso</w:t>
            </w:r>
            <w:r w:rsidR="006A49EA" w:rsidRPr="006A49EA">
              <w:rPr>
                <w:sz w:val="22"/>
                <w:szCs w:val="22"/>
                <w:lang w:val="en-US"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3A26A19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2D34B6A3" w:rsidR="006A49EA" w:rsidRPr="005C4C18" w:rsidRDefault="00752EBB" w:rsidP="002B7AED">
            <w:pPr>
              <w:tabs>
                <w:tab w:val="left" w:pos="2268"/>
                <w:tab w:val="left" w:pos="2977"/>
                <w:tab w:val="left" w:pos="4536"/>
              </w:tabs>
              <w:spacing w:line="256" w:lineRule="auto"/>
              <w:rPr>
                <w:sz w:val="22"/>
                <w:szCs w:val="22"/>
                <w:lang w:eastAsia="en-US"/>
              </w:rPr>
            </w:pPr>
            <w:r>
              <w:rPr>
                <w:sz w:val="22"/>
                <w:szCs w:val="22"/>
                <w:lang w:eastAsia="en-US"/>
              </w:rPr>
              <w:t>Katarina Luhr</w:t>
            </w:r>
            <w:r w:rsidR="00621937">
              <w:rPr>
                <w:sz w:val="22"/>
                <w:szCs w:val="22"/>
                <w:lang w:eastAsia="en-US"/>
              </w:rPr>
              <w:t xml:space="preserve"> </w:t>
            </w:r>
            <w:r w:rsidR="006A49EA" w:rsidRPr="006A49EA">
              <w:rPr>
                <w:sz w:val="22"/>
                <w:szCs w:val="22"/>
                <w:lang w:eastAsia="en-US"/>
              </w:rPr>
              <w:t>(MP)</w:t>
            </w:r>
          </w:p>
        </w:tc>
        <w:tc>
          <w:tcPr>
            <w:tcW w:w="425" w:type="dxa"/>
            <w:tcBorders>
              <w:top w:val="single" w:sz="6" w:space="0" w:color="auto"/>
              <w:left w:val="single" w:sz="6" w:space="0" w:color="auto"/>
              <w:bottom w:val="single" w:sz="6" w:space="0" w:color="auto"/>
              <w:right w:val="single" w:sz="6" w:space="0" w:color="auto"/>
            </w:tcBorders>
          </w:tcPr>
          <w:p w14:paraId="2A566A31" w14:textId="169355F5" w:rsidR="006A49EA" w:rsidRPr="00B40F4D" w:rsidRDefault="00EE0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41BC4965" w:rsidR="006A49EA" w:rsidRPr="00B40F4D" w:rsidRDefault="00327EB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AC8F75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348602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5C4C18" w:rsidRDefault="00910C8E" w:rsidP="002B7AED">
            <w:pPr>
              <w:tabs>
                <w:tab w:val="left" w:pos="2268"/>
                <w:tab w:val="left" w:pos="2977"/>
                <w:tab w:val="left" w:pos="4536"/>
              </w:tabs>
              <w:spacing w:line="256" w:lineRule="auto"/>
              <w:rPr>
                <w:sz w:val="22"/>
                <w:szCs w:val="22"/>
                <w:lang w:eastAsia="en-US"/>
              </w:rPr>
            </w:pPr>
            <w:r>
              <w:rPr>
                <w:sz w:val="22"/>
                <w:szCs w:val="22"/>
                <w:lang w:eastAsia="en-US"/>
              </w:rPr>
              <w:t>Helena Gellerman</w:t>
            </w:r>
            <w:r w:rsidR="006A49EA" w:rsidRPr="006A49E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B40F4D" w14:paraId="2B2E99E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622F00EF" w:rsidR="00B323CB" w:rsidRPr="006A49EA" w:rsidRDefault="0040271E" w:rsidP="002B7AED">
            <w:pPr>
              <w:tabs>
                <w:tab w:val="left" w:pos="2268"/>
                <w:tab w:val="left" w:pos="2977"/>
                <w:tab w:val="left" w:pos="4536"/>
              </w:tabs>
              <w:spacing w:line="256" w:lineRule="auto"/>
              <w:rPr>
                <w:sz w:val="22"/>
                <w:szCs w:val="22"/>
                <w:lang w:eastAsia="en-US"/>
              </w:rPr>
            </w:pPr>
            <w:r w:rsidRPr="0040271E">
              <w:rPr>
                <w:sz w:val="22"/>
                <w:szCs w:val="22"/>
                <w:lang w:eastAsia="en-US"/>
              </w:rPr>
              <w:t>Malin Östh</w:t>
            </w:r>
            <w:r w:rsidR="00B323CB">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B40F4D" w14:paraId="139DAC0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Default="0066010F" w:rsidP="002B7AED">
            <w:pPr>
              <w:tabs>
                <w:tab w:val="left" w:pos="2268"/>
                <w:tab w:val="left" w:pos="2977"/>
                <w:tab w:val="left" w:pos="4536"/>
              </w:tabs>
              <w:spacing w:line="256" w:lineRule="auto"/>
              <w:rPr>
                <w:sz w:val="22"/>
                <w:szCs w:val="22"/>
                <w:lang w:eastAsia="en-US"/>
              </w:rPr>
            </w:pPr>
            <w:r>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5772E" w:rsidRPr="00EE0069" w14:paraId="67D6C8B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297E1F" w14:textId="5EE72C85" w:rsidR="00D5772E" w:rsidRPr="00C27A17" w:rsidRDefault="001701BF" w:rsidP="002B7AED">
            <w:pPr>
              <w:tabs>
                <w:tab w:val="left" w:pos="2268"/>
                <w:tab w:val="left" w:pos="2977"/>
                <w:tab w:val="left" w:pos="4536"/>
              </w:tabs>
              <w:spacing w:line="256" w:lineRule="auto"/>
              <w:rPr>
                <w:i/>
                <w:iCs/>
                <w:sz w:val="18"/>
                <w:szCs w:val="18"/>
                <w:lang w:val="en-GB" w:eastAsia="en-US"/>
              </w:rPr>
            </w:pPr>
            <w:r w:rsidRPr="00C27A17">
              <w:rPr>
                <w:sz w:val="22"/>
                <w:szCs w:val="22"/>
                <w:lang w:val="en-GB" w:eastAsia="en-US"/>
              </w:rPr>
              <w:t xml:space="preserve">Björn Petersson (S) </w:t>
            </w:r>
            <w:proofErr w:type="spellStart"/>
            <w:r w:rsidRPr="00C27A17">
              <w:rPr>
                <w:i/>
                <w:iCs/>
                <w:sz w:val="18"/>
                <w:szCs w:val="18"/>
                <w:lang w:val="en-GB" w:eastAsia="en-US"/>
              </w:rPr>
              <w:t>t.o.m</w:t>
            </w:r>
            <w:proofErr w:type="spellEnd"/>
            <w:r w:rsidRPr="00C27A17">
              <w:rPr>
                <w:i/>
                <w:iCs/>
                <w:sz w:val="18"/>
                <w:szCs w:val="18"/>
                <w:lang w:val="en-GB" w:eastAsia="en-US"/>
              </w:rPr>
              <w:t>. 250</w:t>
            </w:r>
            <w:r w:rsidR="00C27A17" w:rsidRPr="00C27A17">
              <w:rPr>
                <w:i/>
                <w:iCs/>
                <w:sz w:val="18"/>
                <w:szCs w:val="18"/>
                <w:lang w:val="en-GB" w:eastAsia="en-US"/>
              </w:rPr>
              <w:t>6</w:t>
            </w:r>
            <w:r w:rsidR="00513BEE">
              <w:rPr>
                <w:i/>
                <w:iCs/>
                <w:sz w:val="18"/>
                <w:szCs w:val="18"/>
                <w:lang w:val="en-GB" w:eastAsia="en-US"/>
              </w:rPr>
              <w:t>29</w:t>
            </w:r>
          </w:p>
        </w:tc>
        <w:tc>
          <w:tcPr>
            <w:tcW w:w="425" w:type="dxa"/>
            <w:tcBorders>
              <w:top w:val="single" w:sz="6" w:space="0" w:color="auto"/>
              <w:left w:val="single" w:sz="6" w:space="0" w:color="auto"/>
              <w:bottom w:val="single" w:sz="6" w:space="0" w:color="auto"/>
              <w:right w:val="single" w:sz="6" w:space="0" w:color="auto"/>
            </w:tcBorders>
          </w:tcPr>
          <w:p w14:paraId="43D844CD" w14:textId="2D55566C" w:rsidR="00D5772E" w:rsidRPr="00C27A17" w:rsidRDefault="00EE0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AD448A2"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CF358BA" w14:textId="6F58808E" w:rsidR="00D5772E" w:rsidRPr="00C27A17" w:rsidRDefault="00327EB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3E9FA44C"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D6ED174"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F65FA72"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645E72B"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32C22AEC"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DF57274"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C34BA5D"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DDE3CAD"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1CAB035"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B40F4D" w14:paraId="48BA59F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14:paraId="7795CB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36BAF" w:rsidRPr="00B40F4D" w14:paraId="0CBA633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10F3284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 </w:t>
            </w:r>
            <w:r w:rsidR="00136BAF" w:rsidRPr="00B40F4D">
              <w:rPr>
                <w:sz w:val="22"/>
                <w:szCs w:val="22"/>
              </w:rPr>
              <w:t xml:space="preserve">= </w:t>
            </w:r>
            <w:r>
              <w:rPr>
                <w:sz w:val="22"/>
                <w:szCs w:val="22"/>
              </w:rPr>
              <w:t>Omröstn</w:t>
            </w:r>
            <w:r w:rsidRPr="00B40F4D">
              <w:rPr>
                <w:sz w:val="22"/>
                <w:szCs w:val="22"/>
              </w:rPr>
              <w:t>ing</w:t>
            </w:r>
            <w:r>
              <w:rPr>
                <w:sz w:val="22"/>
                <w:szCs w:val="22"/>
              </w:rPr>
              <w:t xml:space="preserve"> med rösträkning</w:t>
            </w:r>
          </w:p>
        </w:tc>
        <w:tc>
          <w:tcPr>
            <w:tcW w:w="5245" w:type="dxa"/>
            <w:gridSpan w:val="14"/>
          </w:tcPr>
          <w:p w14:paraId="1A9CCE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14:paraId="7D054757" w14:textId="77777777" w:rsidR="00FB07D3" w:rsidRDefault="00FB07D3"/>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FF5D32" w:rsidRPr="00180FE2" w14:paraId="7BA10EA3" w14:textId="77777777" w:rsidTr="005F0FA6">
        <w:tc>
          <w:tcPr>
            <w:tcW w:w="6532" w:type="dxa"/>
          </w:tcPr>
          <w:p w14:paraId="1350E4EA" w14:textId="77777777" w:rsidR="00FF5D32" w:rsidRPr="00F01A93" w:rsidRDefault="00FF5D32" w:rsidP="005F0FA6">
            <w:pPr>
              <w:tabs>
                <w:tab w:val="left" w:pos="1276"/>
              </w:tabs>
              <w:rPr>
                <w:sz w:val="22"/>
                <w:szCs w:val="22"/>
              </w:rPr>
            </w:pPr>
            <w:r w:rsidRPr="00F01A93">
              <w:rPr>
                <w:sz w:val="22"/>
                <w:szCs w:val="22"/>
              </w:rPr>
              <w:lastRenderedPageBreak/>
              <w:br w:type="page"/>
              <w:t>MILJÖ- OCH JORDBRUKSUTSKOTTET</w:t>
            </w:r>
          </w:p>
        </w:tc>
        <w:tc>
          <w:tcPr>
            <w:tcW w:w="2206" w:type="dxa"/>
          </w:tcPr>
          <w:p w14:paraId="216AB063" w14:textId="77777777" w:rsidR="00FF5D32" w:rsidRPr="00F01A93" w:rsidRDefault="00FF5D32" w:rsidP="005F0FA6">
            <w:pPr>
              <w:tabs>
                <w:tab w:val="left" w:pos="1276"/>
              </w:tabs>
              <w:rPr>
                <w:sz w:val="22"/>
                <w:szCs w:val="22"/>
              </w:rPr>
            </w:pPr>
          </w:p>
        </w:tc>
        <w:tc>
          <w:tcPr>
            <w:tcW w:w="2036" w:type="dxa"/>
          </w:tcPr>
          <w:p w14:paraId="14FD9577" w14:textId="77777777" w:rsidR="00FF5D32" w:rsidRPr="00180FE2" w:rsidRDefault="00FF5D32" w:rsidP="005F0FA6">
            <w:pPr>
              <w:tabs>
                <w:tab w:val="left" w:pos="1276"/>
              </w:tabs>
              <w:ind w:right="-212"/>
              <w:rPr>
                <w:b/>
                <w:sz w:val="22"/>
                <w:szCs w:val="22"/>
              </w:rPr>
            </w:pPr>
            <w:r w:rsidRPr="00180FE2">
              <w:rPr>
                <w:b/>
                <w:sz w:val="22"/>
                <w:szCs w:val="22"/>
              </w:rPr>
              <w:t xml:space="preserve">Bilaga </w:t>
            </w:r>
            <w:r>
              <w:rPr>
                <w:b/>
                <w:sz w:val="22"/>
                <w:szCs w:val="22"/>
              </w:rPr>
              <w:t>2</w:t>
            </w:r>
          </w:p>
          <w:p w14:paraId="5F5BC55A" w14:textId="77777777" w:rsidR="00FF5D32" w:rsidRPr="00180FE2" w:rsidRDefault="00FF5D32" w:rsidP="005F0FA6">
            <w:pPr>
              <w:tabs>
                <w:tab w:val="left" w:pos="1276"/>
              </w:tabs>
              <w:ind w:right="-212"/>
              <w:rPr>
                <w:sz w:val="22"/>
                <w:szCs w:val="22"/>
              </w:rPr>
            </w:pPr>
            <w:r w:rsidRPr="00180FE2">
              <w:rPr>
                <w:sz w:val="22"/>
                <w:szCs w:val="22"/>
              </w:rPr>
              <w:t>till protokoll</w:t>
            </w:r>
          </w:p>
          <w:p w14:paraId="5EAF06B4" w14:textId="77777777" w:rsidR="00FF5D32" w:rsidRPr="00180FE2" w:rsidRDefault="00FF5D32" w:rsidP="005F0FA6">
            <w:pPr>
              <w:tabs>
                <w:tab w:val="left" w:pos="1276"/>
              </w:tabs>
              <w:ind w:right="-212"/>
              <w:rPr>
                <w:b/>
                <w:sz w:val="22"/>
                <w:szCs w:val="22"/>
              </w:rPr>
            </w:pPr>
            <w:r w:rsidRPr="00180FE2">
              <w:rPr>
                <w:sz w:val="22"/>
                <w:szCs w:val="22"/>
              </w:rPr>
              <w:t>2024/25:42</w:t>
            </w:r>
          </w:p>
        </w:tc>
      </w:tr>
    </w:tbl>
    <w:p w14:paraId="6CBB8EF4" w14:textId="77777777" w:rsidR="00FF5D32" w:rsidRPr="00F01A93" w:rsidRDefault="00FF5D32" w:rsidP="00FF5D32">
      <w:pPr>
        <w:rPr>
          <w:b/>
          <w:bCs/>
          <w:sz w:val="22"/>
          <w:szCs w:val="22"/>
        </w:rPr>
      </w:pPr>
    </w:p>
    <w:p w14:paraId="72681DB3" w14:textId="77777777" w:rsidR="00FF5D32" w:rsidRDefault="00FF5D32" w:rsidP="00FF5D32">
      <w:pPr>
        <w:rPr>
          <w:b/>
          <w:bCs/>
          <w:sz w:val="22"/>
          <w:szCs w:val="22"/>
        </w:rPr>
      </w:pPr>
      <w:r w:rsidRPr="00F01A93">
        <w:rPr>
          <w:b/>
          <w:sz w:val="22"/>
          <w:szCs w:val="22"/>
        </w:rPr>
        <w:t xml:space="preserve">Överläggning den </w:t>
      </w:r>
      <w:r>
        <w:rPr>
          <w:b/>
          <w:sz w:val="22"/>
          <w:szCs w:val="22"/>
        </w:rPr>
        <w:t>12 juni</w:t>
      </w:r>
      <w:r w:rsidRPr="00F01A93">
        <w:rPr>
          <w:b/>
          <w:sz w:val="22"/>
          <w:szCs w:val="22"/>
        </w:rPr>
        <w:t xml:space="preserve"> 202</w:t>
      </w:r>
      <w:r>
        <w:rPr>
          <w:b/>
          <w:sz w:val="22"/>
          <w:szCs w:val="22"/>
        </w:rPr>
        <w:t>5</w:t>
      </w:r>
      <w:r w:rsidRPr="00F01A93">
        <w:rPr>
          <w:b/>
          <w:sz w:val="22"/>
          <w:szCs w:val="22"/>
        </w:rPr>
        <w:t xml:space="preserve"> om </w:t>
      </w:r>
      <w:r>
        <w:rPr>
          <w:b/>
          <w:bCs/>
          <w:sz w:val="22"/>
          <w:szCs w:val="22"/>
        </w:rPr>
        <w:t>f</w:t>
      </w:r>
      <w:r w:rsidRPr="00A21DE2">
        <w:rPr>
          <w:b/>
          <w:bCs/>
          <w:sz w:val="22"/>
          <w:szCs w:val="22"/>
        </w:rPr>
        <w:t>örslag till rådets beslut om den ståndpunkt som ska intas på Europeiska unionens vägnar inom ramen för konventionen för skydd av den marina miljön i Nordostatlanten vid ministermötet i juni 2025</w:t>
      </w:r>
    </w:p>
    <w:p w14:paraId="1F484DFF" w14:textId="77777777" w:rsidR="00FF5D32" w:rsidRDefault="00FF5D32" w:rsidP="00FF5D32">
      <w:pPr>
        <w:rPr>
          <w:b/>
          <w:sz w:val="22"/>
          <w:szCs w:val="22"/>
        </w:rPr>
      </w:pPr>
    </w:p>
    <w:p w14:paraId="33E4EDC1" w14:textId="77777777" w:rsidR="00FF5D32" w:rsidRDefault="00FF5D32" w:rsidP="00FF5D32">
      <w:pPr>
        <w:pStyle w:val="Brdtext"/>
        <w:rPr>
          <w:b/>
          <w:bCs/>
          <w:sz w:val="22"/>
          <w:szCs w:val="22"/>
        </w:rPr>
      </w:pPr>
      <w:r w:rsidRPr="00180FE2">
        <w:rPr>
          <w:b/>
          <w:bCs/>
          <w:sz w:val="22"/>
          <w:szCs w:val="22"/>
        </w:rPr>
        <w:t>Regeringens ståndpunkt:</w:t>
      </w:r>
    </w:p>
    <w:p w14:paraId="7081CED7" w14:textId="77777777" w:rsidR="00FF5D32" w:rsidRPr="00180FE2" w:rsidRDefault="00FF5D32" w:rsidP="00FF5D32">
      <w:pPr>
        <w:pStyle w:val="Brdtext"/>
        <w:rPr>
          <w:sz w:val="22"/>
          <w:szCs w:val="22"/>
        </w:rPr>
      </w:pPr>
      <w:r w:rsidRPr="00180FE2">
        <w:rPr>
          <w:sz w:val="22"/>
          <w:szCs w:val="22"/>
          <w:u w:val="single"/>
        </w:rPr>
        <w:t xml:space="preserve">Anpassa gränserna för </w:t>
      </w:r>
      <w:proofErr w:type="spellStart"/>
      <w:r w:rsidRPr="00180FE2">
        <w:rPr>
          <w:sz w:val="22"/>
          <w:szCs w:val="22"/>
          <w:u w:val="single"/>
        </w:rPr>
        <w:t>Ospars</w:t>
      </w:r>
      <w:proofErr w:type="spellEnd"/>
      <w:r w:rsidRPr="00180FE2">
        <w:rPr>
          <w:sz w:val="22"/>
          <w:szCs w:val="22"/>
          <w:u w:val="single"/>
        </w:rPr>
        <w:t xml:space="preserve"> havsområde så att det omfattar vatten under portugisisk och spansk jurisdiktion och internationella vatten däremellan</w:t>
      </w:r>
      <w:r w:rsidRPr="00180FE2">
        <w:rPr>
          <w:sz w:val="22"/>
          <w:szCs w:val="22"/>
        </w:rPr>
        <w:t xml:space="preserve"> </w:t>
      </w:r>
    </w:p>
    <w:p w14:paraId="3EE9041E" w14:textId="77777777" w:rsidR="00FF5D32" w:rsidRPr="00180FE2" w:rsidRDefault="00FF5D32" w:rsidP="00FF5D32">
      <w:pPr>
        <w:pStyle w:val="Brdtext"/>
        <w:rPr>
          <w:sz w:val="22"/>
          <w:szCs w:val="22"/>
        </w:rPr>
      </w:pPr>
      <w:r w:rsidRPr="00180FE2">
        <w:rPr>
          <w:sz w:val="22"/>
          <w:szCs w:val="22"/>
        </w:rPr>
        <w:t xml:space="preserve">Regeringen kan stödja att ett rådsbeslut tas fram på de rättsliga grunder som rådets rättstjänst anger och att EU intar en position i </w:t>
      </w:r>
      <w:proofErr w:type="spellStart"/>
      <w:r w:rsidRPr="00180FE2">
        <w:rPr>
          <w:sz w:val="22"/>
          <w:szCs w:val="22"/>
        </w:rPr>
        <w:t>Ospar</w:t>
      </w:r>
      <w:proofErr w:type="spellEnd"/>
      <w:r w:rsidRPr="00180FE2">
        <w:rPr>
          <w:sz w:val="22"/>
          <w:szCs w:val="22"/>
        </w:rPr>
        <w:t xml:space="preserve"> att stödja en ändring av konventionen. </w:t>
      </w:r>
    </w:p>
    <w:p w14:paraId="0C4FD00A" w14:textId="77777777" w:rsidR="00FF5D32" w:rsidRPr="00180FE2" w:rsidRDefault="00FF5D32" w:rsidP="00FF5D32">
      <w:pPr>
        <w:pStyle w:val="Brdtext"/>
        <w:rPr>
          <w:sz w:val="22"/>
          <w:szCs w:val="22"/>
        </w:rPr>
      </w:pPr>
      <w:r w:rsidRPr="00180FE2">
        <w:rPr>
          <w:sz w:val="22"/>
          <w:szCs w:val="22"/>
        </w:rPr>
        <w:t xml:space="preserve">Inom </w:t>
      </w:r>
      <w:proofErr w:type="spellStart"/>
      <w:r w:rsidRPr="00180FE2">
        <w:rPr>
          <w:sz w:val="22"/>
          <w:szCs w:val="22"/>
        </w:rPr>
        <w:t>Ospar</w:t>
      </w:r>
      <w:proofErr w:type="spellEnd"/>
      <w:r w:rsidRPr="00180FE2">
        <w:rPr>
          <w:sz w:val="22"/>
          <w:szCs w:val="22"/>
        </w:rPr>
        <w:t xml:space="preserve"> råder konsensus om förslaget. Havsområden runt </w:t>
      </w:r>
      <w:proofErr w:type="spellStart"/>
      <w:r w:rsidRPr="00180FE2">
        <w:rPr>
          <w:sz w:val="22"/>
          <w:szCs w:val="22"/>
        </w:rPr>
        <w:t>Makronesien</w:t>
      </w:r>
      <w:proofErr w:type="spellEnd"/>
      <w:r w:rsidRPr="00180FE2">
        <w:rPr>
          <w:sz w:val="22"/>
          <w:szCs w:val="22"/>
        </w:rPr>
        <w:t xml:space="preserve"> har hög biodiversitet och utgör viktiga vandrings-, födosöks- och förökningsområden för många marina arter. En utvidgning kan främja </w:t>
      </w:r>
      <w:proofErr w:type="spellStart"/>
      <w:r w:rsidRPr="00180FE2">
        <w:rPr>
          <w:sz w:val="22"/>
          <w:szCs w:val="22"/>
        </w:rPr>
        <w:t>Ospars</w:t>
      </w:r>
      <w:proofErr w:type="spellEnd"/>
      <w:r w:rsidRPr="00180FE2">
        <w:rPr>
          <w:sz w:val="22"/>
          <w:szCs w:val="22"/>
        </w:rPr>
        <w:t xml:space="preserve"> mål om ökat miljöskydd i Nordostatlanten, inklusive möjlighet till ökat miljöskydd av områden bortom nationell jurisdiktion, samt bättre integrering och harmonisering med EU:s havsmiljödirektiv. </w:t>
      </w:r>
    </w:p>
    <w:p w14:paraId="6CECBAA4" w14:textId="77777777" w:rsidR="00FF5D32" w:rsidRPr="00180FE2" w:rsidRDefault="00FF5D32" w:rsidP="00FF5D32">
      <w:pPr>
        <w:pStyle w:val="Brdtext"/>
        <w:rPr>
          <w:sz w:val="22"/>
          <w:szCs w:val="22"/>
        </w:rPr>
      </w:pPr>
      <w:r w:rsidRPr="00180FE2">
        <w:rPr>
          <w:sz w:val="22"/>
          <w:szCs w:val="22"/>
          <w:u w:val="single"/>
        </w:rPr>
        <w:t>Begränsning av vissa produkter för att förhindra utsläpp av plast i den marina miljön</w:t>
      </w:r>
      <w:r w:rsidRPr="00180FE2">
        <w:rPr>
          <w:sz w:val="22"/>
          <w:szCs w:val="22"/>
        </w:rPr>
        <w:t xml:space="preserve"> </w:t>
      </w:r>
    </w:p>
    <w:p w14:paraId="50C10975" w14:textId="77777777" w:rsidR="00FF5D32" w:rsidRPr="00180FE2" w:rsidRDefault="00FF5D32" w:rsidP="00FF5D32">
      <w:pPr>
        <w:pStyle w:val="Brdtext"/>
        <w:rPr>
          <w:sz w:val="22"/>
          <w:szCs w:val="22"/>
        </w:rPr>
      </w:pPr>
      <w:r w:rsidRPr="00180FE2">
        <w:rPr>
          <w:sz w:val="22"/>
          <w:szCs w:val="22"/>
        </w:rPr>
        <w:t xml:space="preserve">Regeringen kan stödja att ett rådsbeslut tas fram på de rättsliga grunder som anges av kommissionen och att EU intar en position i </w:t>
      </w:r>
      <w:proofErr w:type="spellStart"/>
      <w:r w:rsidRPr="00180FE2">
        <w:rPr>
          <w:sz w:val="22"/>
          <w:szCs w:val="22"/>
        </w:rPr>
        <w:t>Ospar</w:t>
      </w:r>
      <w:proofErr w:type="spellEnd"/>
      <w:r w:rsidRPr="00180FE2">
        <w:rPr>
          <w:sz w:val="22"/>
          <w:szCs w:val="22"/>
        </w:rPr>
        <w:t xml:space="preserve"> att stödja ett beslut. </w:t>
      </w:r>
    </w:p>
    <w:p w14:paraId="1894AC4A" w14:textId="77777777" w:rsidR="00FF5D32" w:rsidRPr="00180FE2" w:rsidRDefault="00FF5D32" w:rsidP="00FF5D32">
      <w:pPr>
        <w:pStyle w:val="Brdtext"/>
        <w:rPr>
          <w:sz w:val="22"/>
          <w:szCs w:val="22"/>
        </w:rPr>
      </w:pPr>
      <w:r w:rsidRPr="00180FE2">
        <w:rPr>
          <w:sz w:val="22"/>
          <w:szCs w:val="22"/>
        </w:rPr>
        <w:t xml:space="preserve">Inom </w:t>
      </w:r>
      <w:proofErr w:type="spellStart"/>
      <w:r w:rsidRPr="00180FE2">
        <w:rPr>
          <w:sz w:val="22"/>
          <w:szCs w:val="22"/>
        </w:rPr>
        <w:t>Ospar</w:t>
      </w:r>
      <w:proofErr w:type="spellEnd"/>
      <w:r w:rsidRPr="00180FE2">
        <w:rPr>
          <w:sz w:val="22"/>
          <w:szCs w:val="22"/>
        </w:rPr>
        <w:t xml:space="preserve"> råder konsensus om förslaget, som syftar till att minska risken för plastförorening genom att förhindra utsläpp av EPS/XPS och andra skumplastmaterial från pontoner och bojar i OSPAR:s område. Avtalsparterna ska vidta åtgärder för att förebygga och eliminera användningen av nya och fasa ut befintliga pontoner och bojar som består av helt oskyddad cellplast. De som är inkapslade i ett annat tåligare material tillåts. Nödvändig tillsyn av efterlevnaden ska genomföras. </w:t>
      </w:r>
    </w:p>
    <w:p w14:paraId="1AA2641C" w14:textId="77777777" w:rsidR="00FF5D32" w:rsidRPr="00180FE2" w:rsidRDefault="00FF5D32" w:rsidP="00FF5D32">
      <w:pPr>
        <w:pStyle w:val="Brdtext"/>
        <w:rPr>
          <w:sz w:val="22"/>
          <w:szCs w:val="22"/>
        </w:rPr>
      </w:pPr>
      <w:r w:rsidRPr="00180FE2">
        <w:rPr>
          <w:sz w:val="22"/>
          <w:szCs w:val="22"/>
          <w:u w:val="single"/>
        </w:rPr>
        <w:t>Hantering av spillvatten från avgasreningssystem ombord på fartyg</w:t>
      </w:r>
      <w:r w:rsidRPr="00180FE2">
        <w:rPr>
          <w:sz w:val="22"/>
          <w:szCs w:val="22"/>
        </w:rPr>
        <w:t xml:space="preserve"> </w:t>
      </w:r>
    </w:p>
    <w:p w14:paraId="62E735C0" w14:textId="77777777" w:rsidR="00FF5D32" w:rsidRPr="00180FE2" w:rsidRDefault="00FF5D32" w:rsidP="00FF5D32">
      <w:pPr>
        <w:pStyle w:val="Brdtext"/>
        <w:rPr>
          <w:sz w:val="22"/>
          <w:szCs w:val="22"/>
        </w:rPr>
      </w:pPr>
      <w:r w:rsidRPr="00180FE2">
        <w:rPr>
          <w:sz w:val="22"/>
          <w:szCs w:val="22"/>
        </w:rPr>
        <w:t xml:space="preserve">Regeringen kan stödja att ett rådsbeslut tas fram på de rättsliga grunder som anges av kommissionen och att EU intar en position i </w:t>
      </w:r>
      <w:proofErr w:type="spellStart"/>
      <w:r w:rsidRPr="00180FE2">
        <w:rPr>
          <w:sz w:val="22"/>
          <w:szCs w:val="22"/>
        </w:rPr>
        <w:t>Ospar</w:t>
      </w:r>
      <w:proofErr w:type="spellEnd"/>
      <w:r w:rsidRPr="00180FE2">
        <w:rPr>
          <w:sz w:val="22"/>
          <w:szCs w:val="22"/>
        </w:rPr>
        <w:t xml:space="preserve"> att stödja ett beslut. </w:t>
      </w:r>
    </w:p>
    <w:p w14:paraId="5B05EDB3" w14:textId="77777777" w:rsidR="00FF5D32" w:rsidRPr="00180FE2" w:rsidRDefault="00FF5D32" w:rsidP="00FF5D32">
      <w:pPr>
        <w:pStyle w:val="Brdtext"/>
        <w:rPr>
          <w:sz w:val="22"/>
          <w:szCs w:val="22"/>
        </w:rPr>
      </w:pPr>
      <w:r w:rsidRPr="00180FE2">
        <w:rPr>
          <w:sz w:val="22"/>
          <w:szCs w:val="22"/>
        </w:rPr>
        <w:t xml:space="preserve">Rådsbeslutet har reviderats för att inkludera de två alternativa förslagen som föreligger </w:t>
      </w:r>
      <w:proofErr w:type="spellStart"/>
      <w:r w:rsidRPr="00180FE2">
        <w:rPr>
          <w:sz w:val="22"/>
          <w:szCs w:val="22"/>
        </w:rPr>
        <w:t>Osparkommissionen</w:t>
      </w:r>
      <w:proofErr w:type="spellEnd"/>
      <w:r w:rsidRPr="00180FE2">
        <w:rPr>
          <w:sz w:val="22"/>
          <w:szCs w:val="22"/>
        </w:rPr>
        <w:t xml:space="preserve">. Dels ett beslut om förbud av utsläpp i territorialvatten, dels ett beslut om förbud av utsläpp i inre vatten och hamnar i kombination med en rekommendation om att förbjuda utsläpp i territorialhavet utanför. </w:t>
      </w:r>
    </w:p>
    <w:p w14:paraId="0D7CDBE6" w14:textId="77777777" w:rsidR="00FF5D32" w:rsidRPr="00180FE2" w:rsidRDefault="00FF5D32" w:rsidP="00FF5D32">
      <w:pPr>
        <w:pStyle w:val="Brdtext"/>
        <w:rPr>
          <w:sz w:val="22"/>
          <w:szCs w:val="22"/>
        </w:rPr>
      </w:pPr>
      <w:r w:rsidRPr="00180FE2">
        <w:rPr>
          <w:sz w:val="22"/>
          <w:szCs w:val="22"/>
        </w:rPr>
        <w:t xml:space="preserve">Sverige har i </w:t>
      </w:r>
      <w:proofErr w:type="spellStart"/>
      <w:r w:rsidRPr="00180FE2">
        <w:rPr>
          <w:sz w:val="22"/>
          <w:szCs w:val="22"/>
        </w:rPr>
        <w:t>Ospar</w:t>
      </w:r>
      <w:proofErr w:type="spellEnd"/>
      <w:r w:rsidRPr="00180FE2">
        <w:rPr>
          <w:sz w:val="22"/>
          <w:szCs w:val="22"/>
        </w:rPr>
        <w:t xml:space="preserve"> varit drivande i att ta fram underlag och bakgrundsdokumentation som stödjer en ambitiös åtgärd i </w:t>
      </w:r>
      <w:proofErr w:type="spellStart"/>
      <w:r w:rsidRPr="00180FE2">
        <w:rPr>
          <w:sz w:val="22"/>
          <w:szCs w:val="22"/>
        </w:rPr>
        <w:t>Ospar</w:t>
      </w:r>
      <w:proofErr w:type="spellEnd"/>
      <w:r w:rsidRPr="00180FE2">
        <w:rPr>
          <w:sz w:val="22"/>
          <w:szCs w:val="22"/>
        </w:rPr>
        <w:t xml:space="preserve"> som syftar till att signifikant minska utsläpp av tvättvatten och medföljande farliga ämnen från skrubbers i OSPAR:s maritima område. Sverige har föreslagit den starkaste åtgärden, nämligen att parterna ska införa nationella förbud mot utsläpp i territorialhavet från öppna skrubbrar från 1 juli 2027 och stängda skrubbrar 1 januari 2029. Förbudet ska gälla i territorialhavet, inre vatten och hamnområden. Cirka hälften av </w:t>
      </w:r>
      <w:proofErr w:type="spellStart"/>
      <w:r w:rsidRPr="00180FE2">
        <w:rPr>
          <w:sz w:val="22"/>
          <w:szCs w:val="22"/>
        </w:rPr>
        <w:t>Ospars</w:t>
      </w:r>
      <w:proofErr w:type="spellEnd"/>
      <w:r w:rsidRPr="00180FE2">
        <w:rPr>
          <w:sz w:val="22"/>
          <w:szCs w:val="22"/>
        </w:rPr>
        <w:t xml:space="preserve"> parter stödjer det svenska förslaget. Några parter stödjer ES förslag om ett förbud i inre vatten och hamnar i kombination med en rekommendation i territorialhavet. Några parter, inklusive några EU-medlemsstater, har svårt att acceptera en </w:t>
      </w:r>
      <w:proofErr w:type="spellStart"/>
      <w:r w:rsidRPr="00180FE2">
        <w:rPr>
          <w:sz w:val="22"/>
          <w:szCs w:val="22"/>
        </w:rPr>
        <w:t>Ospar</w:t>
      </w:r>
      <w:proofErr w:type="spellEnd"/>
      <w:r w:rsidRPr="00180FE2">
        <w:rPr>
          <w:sz w:val="22"/>
          <w:szCs w:val="22"/>
        </w:rPr>
        <w:t xml:space="preserve">-åtgärd i territorialhavet och pekar i stället på IMO. Tre EU-medlemsstater som inte är part till </w:t>
      </w:r>
      <w:proofErr w:type="spellStart"/>
      <w:r w:rsidRPr="00180FE2">
        <w:rPr>
          <w:sz w:val="22"/>
          <w:szCs w:val="22"/>
        </w:rPr>
        <w:t>Ospar</w:t>
      </w:r>
      <w:proofErr w:type="spellEnd"/>
      <w:r w:rsidRPr="00180FE2">
        <w:rPr>
          <w:sz w:val="22"/>
          <w:szCs w:val="22"/>
        </w:rPr>
        <w:t xml:space="preserve"> har uttalat sig emot förslaget, vilket är mycket ovanligt. Ett rådsbeslut kan fattas med kvalificerad majoritet. </w:t>
      </w:r>
    </w:p>
    <w:p w14:paraId="0A0CC14D" w14:textId="77777777" w:rsidR="00FF5D32" w:rsidRPr="00180FE2" w:rsidRDefault="00FF5D32" w:rsidP="00FF5D32">
      <w:pPr>
        <w:pStyle w:val="Brdtext"/>
        <w:rPr>
          <w:sz w:val="22"/>
          <w:szCs w:val="22"/>
        </w:rPr>
      </w:pPr>
      <w:r w:rsidRPr="00180FE2">
        <w:rPr>
          <w:sz w:val="22"/>
          <w:szCs w:val="22"/>
          <w:u w:val="single"/>
        </w:rPr>
        <w:t>Rekommendationen om bästa praxis för hantering av marint skräp</w:t>
      </w:r>
      <w:r w:rsidRPr="00180FE2">
        <w:rPr>
          <w:sz w:val="22"/>
          <w:szCs w:val="22"/>
        </w:rPr>
        <w:t xml:space="preserve"> </w:t>
      </w:r>
    </w:p>
    <w:p w14:paraId="26606A09" w14:textId="77777777" w:rsidR="00FF5D32" w:rsidRPr="00180FE2" w:rsidRDefault="00FF5D32" w:rsidP="00FF5D32">
      <w:pPr>
        <w:pStyle w:val="Brdtext"/>
        <w:tabs>
          <w:tab w:val="left" w:pos="3090"/>
        </w:tabs>
        <w:rPr>
          <w:sz w:val="22"/>
          <w:szCs w:val="22"/>
        </w:rPr>
      </w:pPr>
      <w:r w:rsidRPr="00180FE2">
        <w:rPr>
          <w:sz w:val="22"/>
          <w:szCs w:val="22"/>
        </w:rPr>
        <w:t xml:space="preserve">Struket ur rådsbeslutet. Kan eventuellt omfattas av LTT. </w:t>
      </w:r>
    </w:p>
    <w:p w14:paraId="5BD0A48C" w14:textId="77777777" w:rsidR="00FF5D32" w:rsidRPr="00180FE2" w:rsidRDefault="00FF5D32" w:rsidP="00FF5D32">
      <w:pPr>
        <w:pStyle w:val="Brdtext"/>
        <w:rPr>
          <w:sz w:val="22"/>
          <w:szCs w:val="22"/>
        </w:rPr>
      </w:pPr>
      <w:r w:rsidRPr="00180FE2">
        <w:rPr>
          <w:sz w:val="22"/>
          <w:szCs w:val="22"/>
        </w:rPr>
        <w:t xml:space="preserve">Inom </w:t>
      </w:r>
      <w:proofErr w:type="spellStart"/>
      <w:r w:rsidRPr="00180FE2">
        <w:rPr>
          <w:sz w:val="22"/>
          <w:szCs w:val="22"/>
        </w:rPr>
        <w:t>Ospar</w:t>
      </w:r>
      <w:proofErr w:type="spellEnd"/>
      <w:r w:rsidRPr="00180FE2">
        <w:rPr>
          <w:sz w:val="22"/>
          <w:szCs w:val="22"/>
        </w:rPr>
        <w:t xml:space="preserve"> råder konsensus om förslaget. Regeringen stödjer antagande av rekommendationen. </w:t>
      </w:r>
      <w:proofErr w:type="spellStart"/>
      <w:r w:rsidRPr="00180FE2">
        <w:rPr>
          <w:sz w:val="22"/>
          <w:szCs w:val="22"/>
        </w:rPr>
        <w:t>Ospars</w:t>
      </w:r>
      <w:proofErr w:type="spellEnd"/>
      <w:r w:rsidRPr="00180FE2">
        <w:rPr>
          <w:sz w:val="22"/>
          <w:szCs w:val="22"/>
        </w:rPr>
        <w:t xml:space="preserve"> regionala handlingsplan för marint skräp samlar ett flertal åtgärder, vanligen antagna som överenskommelser som inte omfattas av rapporteringskrav. För att öka genomförandegraden samt möjliggöra uppföljning samlas dessa under en paraplyrekommendation med tillhörande rapporteringskrav, utformad för att uppfylla </w:t>
      </w:r>
      <w:proofErr w:type="spellStart"/>
      <w:r w:rsidRPr="00180FE2">
        <w:rPr>
          <w:sz w:val="22"/>
          <w:szCs w:val="22"/>
        </w:rPr>
        <w:t>Ospars</w:t>
      </w:r>
      <w:proofErr w:type="spellEnd"/>
      <w:r w:rsidRPr="00180FE2">
        <w:rPr>
          <w:sz w:val="22"/>
          <w:szCs w:val="22"/>
        </w:rPr>
        <w:t xml:space="preserve"> behov men även för annan rapportering, </w:t>
      </w:r>
      <w:proofErr w:type="spellStart"/>
      <w:r w:rsidRPr="00180FE2">
        <w:rPr>
          <w:sz w:val="22"/>
          <w:szCs w:val="22"/>
        </w:rPr>
        <w:t>t.ex</w:t>
      </w:r>
      <w:proofErr w:type="spellEnd"/>
      <w:r w:rsidRPr="00180FE2">
        <w:rPr>
          <w:sz w:val="22"/>
          <w:szCs w:val="22"/>
        </w:rPr>
        <w:t xml:space="preserve"> för EU:s havsmiljödirektiv. </w:t>
      </w:r>
    </w:p>
    <w:p w14:paraId="6E45816C" w14:textId="77777777" w:rsidR="00FF5D32" w:rsidRPr="00180FE2" w:rsidRDefault="00FF5D32" w:rsidP="00FF5D32">
      <w:pPr>
        <w:pStyle w:val="Brdtext"/>
        <w:rPr>
          <w:sz w:val="22"/>
          <w:szCs w:val="22"/>
        </w:rPr>
      </w:pPr>
      <w:r w:rsidRPr="00180FE2">
        <w:rPr>
          <w:sz w:val="22"/>
          <w:szCs w:val="22"/>
          <w:u w:val="single"/>
        </w:rPr>
        <w:t>Regional handlingsplan för samordnade åtgärder för att förebygga och minska undervattensbuller</w:t>
      </w:r>
      <w:r w:rsidRPr="00180FE2">
        <w:rPr>
          <w:sz w:val="22"/>
          <w:szCs w:val="22"/>
        </w:rPr>
        <w:t xml:space="preserve"> </w:t>
      </w:r>
    </w:p>
    <w:p w14:paraId="7B830205" w14:textId="77777777" w:rsidR="00FF5D32" w:rsidRPr="00180FE2" w:rsidRDefault="00FF5D32" w:rsidP="00FF5D32">
      <w:pPr>
        <w:pStyle w:val="Brdtext"/>
        <w:tabs>
          <w:tab w:val="left" w:pos="3090"/>
        </w:tabs>
        <w:rPr>
          <w:sz w:val="22"/>
          <w:szCs w:val="22"/>
        </w:rPr>
      </w:pPr>
      <w:r w:rsidRPr="00180FE2">
        <w:rPr>
          <w:sz w:val="22"/>
          <w:szCs w:val="22"/>
        </w:rPr>
        <w:t xml:space="preserve">Struket ur rådsbeslutet. Kan eventuellt omfattas av LTT. </w:t>
      </w:r>
    </w:p>
    <w:p w14:paraId="6BF16855" w14:textId="77777777" w:rsidR="00FF5D32" w:rsidRPr="00180FE2" w:rsidRDefault="00FF5D32" w:rsidP="00FF5D32">
      <w:pPr>
        <w:pStyle w:val="Brdtext"/>
        <w:rPr>
          <w:sz w:val="22"/>
          <w:szCs w:val="22"/>
          <w:u w:val="single"/>
        </w:rPr>
      </w:pPr>
      <w:r w:rsidRPr="00180FE2">
        <w:rPr>
          <w:sz w:val="22"/>
          <w:szCs w:val="22"/>
        </w:rPr>
        <w:t xml:space="preserve">Inom </w:t>
      </w:r>
      <w:proofErr w:type="spellStart"/>
      <w:r w:rsidRPr="00180FE2">
        <w:rPr>
          <w:sz w:val="22"/>
          <w:szCs w:val="22"/>
        </w:rPr>
        <w:t>Ospar</w:t>
      </w:r>
      <w:proofErr w:type="spellEnd"/>
      <w:r w:rsidRPr="00180FE2">
        <w:rPr>
          <w:sz w:val="22"/>
          <w:szCs w:val="22"/>
        </w:rPr>
        <w:t xml:space="preserve"> råder konsensus om förslaget. Regeringen stödjer antagande av den regionala handlingsplanen. Den regionala handlingsplanen för undervattensbuller förväntas antas av </w:t>
      </w:r>
      <w:proofErr w:type="spellStart"/>
      <w:r w:rsidRPr="00180FE2">
        <w:rPr>
          <w:sz w:val="22"/>
          <w:szCs w:val="22"/>
        </w:rPr>
        <w:t>Ospar</w:t>
      </w:r>
      <w:proofErr w:type="spellEnd"/>
      <w:r w:rsidRPr="00180FE2">
        <w:rPr>
          <w:sz w:val="22"/>
          <w:szCs w:val="22"/>
        </w:rPr>
        <w:t xml:space="preserve"> som en överenskommelse, ett </w:t>
      </w:r>
      <w:r w:rsidRPr="00180FE2">
        <w:rPr>
          <w:sz w:val="22"/>
          <w:szCs w:val="22"/>
        </w:rPr>
        <w:lastRenderedPageBreak/>
        <w:t xml:space="preserve">övergripande vägledningsdokument som inte är bindande. Handlingsplanen är ett ramdokument för samordning av individuella åtgärder för att begränsa undervattensbuller, t.ex. från sjöfart och geofysiska undersökningar samt dialog med intressenter. </w:t>
      </w:r>
      <w:r w:rsidRPr="00180FE2">
        <w:rPr>
          <w:rFonts w:cstheme="minorHAnsi"/>
          <w:iCs/>
          <w:sz w:val="22"/>
          <w:szCs w:val="22"/>
        </w:rPr>
        <w:t xml:space="preserve">Åtgärderna utgör inriktningar till gemensamt arbete inom </w:t>
      </w:r>
      <w:proofErr w:type="spellStart"/>
      <w:r w:rsidRPr="00180FE2">
        <w:rPr>
          <w:rFonts w:cstheme="minorHAnsi"/>
          <w:iCs/>
          <w:sz w:val="22"/>
          <w:szCs w:val="22"/>
        </w:rPr>
        <w:t>Ospar</w:t>
      </w:r>
      <w:proofErr w:type="spellEnd"/>
      <w:r w:rsidRPr="00180FE2">
        <w:rPr>
          <w:rFonts w:cstheme="minorHAnsi"/>
          <w:iCs/>
          <w:sz w:val="22"/>
          <w:szCs w:val="22"/>
        </w:rPr>
        <w:t xml:space="preserve"> och ska bygga på och vara kompatibla med befintligt arbete i andra organisationer, t.ex. inom EU och IMO. Varje åtgärd kommer att</w:t>
      </w:r>
      <w:r w:rsidRPr="00180FE2">
        <w:rPr>
          <w:sz w:val="22"/>
          <w:szCs w:val="22"/>
        </w:rPr>
        <w:t xml:space="preserve"> förhandlas inom </w:t>
      </w:r>
      <w:proofErr w:type="spellStart"/>
      <w:r w:rsidRPr="00180FE2">
        <w:rPr>
          <w:sz w:val="22"/>
          <w:szCs w:val="22"/>
        </w:rPr>
        <w:t>Ospar</w:t>
      </w:r>
      <w:proofErr w:type="spellEnd"/>
      <w:r w:rsidRPr="00180FE2">
        <w:rPr>
          <w:sz w:val="22"/>
          <w:szCs w:val="22"/>
        </w:rPr>
        <w:t xml:space="preserve"> som enskilda instrument.</w:t>
      </w:r>
    </w:p>
    <w:p w14:paraId="273C8216" w14:textId="77777777" w:rsidR="00FF5D32" w:rsidRPr="00180FE2" w:rsidRDefault="00FF5D32" w:rsidP="00FF5D32">
      <w:pPr>
        <w:pStyle w:val="Brdtext"/>
        <w:rPr>
          <w:sz w:val="22"/>
          <w:szCs w:val="22"/>
        </w:rPr>
      </w:pPr>
    </w:p>
    <w:p w14:paraId="57574D8C" w14:textId="77777777" w:rsidR="00FF5D32" w:rsidRDefault="00FF5D32" w:rsidP="00FF5D32">
      <w:pPr>
        <w:widowControl/>
        <w:rPr>
          <w:b/>
          <w:sz w:val="22"/>
          <w:szCs w:val="22"/>
        </w:rPr>
      </w:pPr>
      <w:r>
        <w:rPr>
          <w:b/>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FF5D32" w:rsidRPr="00F01A93" w14:paraId="671A4E5B" w14:textId="77777777" w:rsidTr="005F0FA6">
        <w:tc>
          <w:tcPr>
            <w:tcW w:w="6532" w:type="dxa"/>
          </w:tcPr>
          <w:p w14:paraId="4B46DF9B" w14:textId="77777777" w:rsidR="00FF5D32" w:rsidRPr="00F01A93" w:rsidRDefault="00FF5D32" w:rsidP="005F0FA6">
            <w:pPr>
              <w:tabs>
                <w:tab w:val="left" w:pos="1276"/>
              </w:tabs>
              <w:rPr>
                <w:sz w:val="22"/>
                <w:szCs w:val="22"/>
              </w:rPr>
            </w:pPr>
            <w:r w:rsidRPr="00F01A93">
              <w:rPr>
                <w:sz w:val="22"/>
                <w:szCs w:val="22"/>
              </w:rPr>
              <w:lastRenderedPageBreak/>
              <w:br w:type="page"/>
              <w:t>MILJÖ- OCH JORDBRUKSUTSKOTTET</w:t>
            </w:r>
          </w:p>
        </w:tc>
        <w:tc>
          <w:tcPr>
            <w:tcW w:w="2206" w:type="dxa"/>
          </w:tcPr>
          <w:p w14:paraId="78FD1ECA" w14:textId="77777777" w:rsidR="00FF5D32" w:rsidRPr="00F01A93" w:rsidRDefault="00FF5D32" w:rsidP="005F0FA6">
            <w:pPr>
              <w:tabs>
                <w:tab w:val="left" w:pos="1276"/>
              </w:tabs>
              <w:rPr>
                <w:sz w:val="22"/>
                <w:szCs w:val="22"/>
              </w:rPr>
            </w:pPr>
          </w:p>
        </w:tc>
        <w:tc>
          <w:tcPr>
            <w:tcW w:w="2036" w:type="dxa"/>
          </w:tcPr>
          <w:p w14:paraId="2193114A" w14:textId="77777777" w:rsidR="00FF5D32" w:rsidRPr="00F01A93" w:rsidRDefault="00FF5D32" w:rsidP="005F0FA6">
            <w:pPr>
              <w:tabs>
                <w:tab w:val="left" w:pos="1276"/>
              </w:tabs>
              <w:ind w:right="-212"/>
              <w:rPr>
                <w:b/>
                <w:sz w:val="22"/>
                <w:szCs w:val="22"/>
              </w:rPr>
            </w:pPr>
            <w:r w:rsidRPr="00F01A93">
              <w:rPr>
                <w:b/>
                <w:sz w:val="22"/>
                <w:szCs w:val="22"/>
              </w:rPr>
              <w:t xml:space="preserve">Bilaga </w:t>
            </w:r>
            <w:r>
              <w:rPr>
                <w:b/>
                <w:sz w:val="22"/>
                <w:szCs w:val="22"/>
              </w:rPr>
              <w:t>3</w:t>
            </w:r>
          </w:p>
          <w:p w14:paraId="220AF88F" w14:textId="77777777" w:rsidR="00FF5D32" w:rsidRPr="00F01A93" w:rsidRDefault="00FF5D32" w:rsidP="005F0FA6">
            <w:pPr>
              <w:tabs>
                <w:tab w:val="left" w:pos="1276"/>
              </w:tabs>
              <w:ind w:right="-212"/>
              <w:rPr>
                <w:sz w:val="22"/>
                <w:szCs w:val="22"/>
              </w:rPr>
            </w:pPr>
            <w:r w:rsidRPr="00F01A93">
              <w:rPr>
                <w:sz w:val="22"/>
                <w:szCs w:val="22"/>
              </w:rPr>
              <w:t>till protokoll</w:t>
            </w:r>
          </w:p>
          <w:p w14:paraId="19EE5407" w14:textId="77777777" w:rsidR="00FF5D32" w:rsidRPr="00F01A93" w:rsidRDefault="00FF5D32" w:rsidP="005F0FA6">
            <w:pPr>
              <w:tabs>
                <w:tab w:val="left" w:pos="1276"/>
              </w:tabs>
              <w:ind w:right="-212"/>
              <w:rPr>
                <w:b/>
                <w:sz w:val="22"/>
                <w:szCs w:val="22"/>
                <w:highlight w:val="yellow"/>
              </w:rPr>
            </w:pPr>
            <w:r w:rsidRPr="00F01A93">
              <w:rPr>
                <w:sz w:val="22"/>
                <w:szCs w:val="22"/>
              </w:rPr>
              <w:t>202</w:t>
            </w:r>
            <w:r>
              <w:rPr>
                <w:sz w:val="22"/>
                <w:szCs w:val="22"/>
              </w:rPr>
              <w:t>4</w:t>
            </w:r>
            <w:r w:rsidRPr="00F01A93">
              <w:rPr>
                <w:sz w:val="22"/>
                <w:szCs w:val="22"/>
              </w:rPr>
              <w:t>/2</w:t>
            </w:r>
            <w:r>
              <w:rPr>
                <w:sz w:val="22"/>
                <w:szCs w:val="22"/>
              </w:rPr>
              <w:t>5</w:t>
            </w:r>
            <w:r w:rsidRPr="00F01A93">
              <w:rPr>
                <w:sz w:val="22"/>
                <w:szCs w:val="22"/>
              </w:rPr>
              <w:t>:</w:t>
            </w:r>
            <w:r w:rsidRPr="00180FE2">
              <w:rPr>
                <w:sz w:val="22"/>
                <w:szCs w:val="22"/>
              </w:rPr>
              <w:t>42</w:t>
            </w:r>
          </w:p>
        </w:tc>
      </w:tr>
    </w:tbl>
    <w:p w14:paraId="773CF3A3" w14:textId="77777777" w:rsidR="00FF5D32" w:rsidRPr="00F01A93" w:rsidRDefault="00FF5D32" w:rsidP="00FF5D32">
      <w:pPr>
        <w:widowControl/>
        <w:autoSpaceDE w:val="0"/>
        <w:autoSpaceDN w:val="0"/>
        <w:adjustRightInd w:val="0"/>
        <w:rPr>
          <w:rFonts w:eastAsia="Calibri"/>
          <w:b/>
          <w:bCs/>
          <w:color w:val="000000"/>
          <w:sz w:val="22"/>
          <w:szCs w:val="22"/>
          <w:lang w:eastAsia="en-US"/>
        </w:rPr>
      </w:pPr>
    </w:p>
    <w:p w14:paraId="785BBAB5" w14:textId="77777777" w:rsidR="00FF5D32" w:rsidRDefault="00FF5D32" w:rsidP="00FF5D32">
      <w:pPr>
        <w:rPr>
          <w:b/>
          <w:bCs/>
          <w:sz w:val="22"/>
          <w:szCs w:val="22"/>
        </w:rPr>
      </w:pPr>
      <w:r w:rsidRPr="00A21DE2">
        <w:rPr>
          <w:b/>
          <w:bCs/>
          <w:sz w:val="22"/>
          <w:szCs w:val="22"/>
        </w:rPr>
        <w:t>Förslag till rådets beslut om den ståndpunkt som ska intas på Europeiska unionens vägnar inom ramen för konventionen för skydd av den marina miljön i Nordostatlanten vid ministermötet i juni 2025</w:t>
      </w:r>
    </w:p>
    <w:p w14:paraId="7216B3C0" w14:textId="77777777" w:rsidR="00FF5D32" w:rsidRDefault="00FF5D32" w:rsidP="00FF5D32">
      <w:pPr>
        <w:rPr>
          <w:b/>
          <w:bCs/>
          <w:sz w:val="22"/>
          <w:szCs w:val="22"/>
        </w:rPr>
      </w:pPr>
    </w:p>
    <w:p w14:paraId="6BFAD2A5" w14:textId="77777777" w:rsidR="00FF5D32" w:rsidRPr="00F1043A" w:rsidRDefault="00FF5D32" w:rsidP="00FF5D32">
      <w:pPr>
        <w:rPr>
          <w:b/>
          <w:bCs/>
          <w:color w:val="000000"/>
          <w:sz w:val="22"/>
          <w:szCs w:val="22"/>
          <w:highlight w:val="yellow"/>
        </w:rPr>
      </w:pPr>
    </w:p>
    <w:p w14:paraId="106FF490" w14:textId="77777777" w:rsidR="00FF5D32" w:rsidRPr="00212C82" w:rsidRDefault="00FF5D32" w:rsidP="00FF5D32">
      <w:pPr>
        <w:tabs>
          <w:tab w:val="left" w:pos="1701"/>
        </w:tabs>
        <w:rPr>
          <w:color w:val="000000"/>
          <w:sz w:val="22"/>
          <w:szCs w:val="22"/>
          <w:u w:val="single"/>
        </w:rPr>
      </w:pPr>
      <w:r w:rsidRPr="005539C9">
        <w:rPr>
          <w:b/>
          <w:bCs/>
          <w:color w:val="000000"/>
          <w:sz w:val="22"/>
          <w:szCs w:val="22"/>
        </w:rPr>
        <w:t>C-ledamoten anmälde följande avvikande ståndpunkt:</w:t>
      </w:r>
      <w:r>
        <w:rPr>
          <w:b/>
          <w:bCs/>
          <w:color w:val="000000"/>
          <w:sz w:val="22"/>
          <w:szCs w:val="22"/>
        </w:rPr>
        <w:br/>
      </w:r>
      <w:r w:rsidRPr="00212C82">
        <w:rPr>
          <w:color w:val="000000"/>
          <w:sz w:val="22"/>
          <w:szCs w:val="22"/>
          <w:u w:val="single"/>
        </w:rPr>
        <w:t xml:space="preserve">Inför ett totalförbud mot utsläpp av rengöringsrester från tankrengöring </w:t>
      </w:r>
    </w:p>
    <w:p w14:paraId="3205EC17" w14:textId="77777777" w:rsidR="00FF5D32" w:rsidRPr="00212C82" w:rsidRDefault="00FF5D32" w:rsidP="00FF5D32">
      <w:pPr>
        <w:tabs>
          <w:tab w:val="left" w:pos="1701"/>
        </w:tabs>
        <w:rPr>
          <w:color w:val="000000"/>
          <w:sz w:val="22"/>
          <w:szCs w:val="22"/>
          <w:u w:val="single"/>
        </w:rPr>
      </w:pPr>
      <w:bookmarkStart w:id="1" w:name="_Hlk200613366"/>
    </w:p>
    <w:bookmarkEnd w:id="1"/>
    <w:p w14:paraId="283EF58A" w14:textId="77777777" w:rsidR="00FF5D32" w:rsidRPr="00707D89" w:rsidRDefault="00FF5D32" w:rsidP="00FF5D32">
      <w:pPr>
        <w:tabs>
          <w:tab w:val="left" w:pos="1701"/>
        </w:tabs>
        <w:rPr>
          <w:color w:val="000000"/>
          <w:sz w:val="22"/>
          <w:szCs w:val="22"/>
        </w:rPr>
      </w:pPr>
      <w:r w:rsidRPr="00707D89">
        <w:rPr>
          <w:color w:val="000000"/>
          <w:sz w:val="22"/>
          <w:szCs w:val="22"/>
        </w:rPr>
        <w:t>För att skydda marina ekosystem och biologisk mångfald måste alla utsläpp av tankrengöringsrester, inklusive de som klassas som mindre skadliga enligt MARPOL Annex II, förbjudas i Nordostatlanten. Detta förhindrar att giftiga ämnen når känsliga områden och minskar risken för långsiktiga skador på bottendjur, fisk, sjöfåglar och marina däggdjur.</w:t>
      </w:r>
    </w:p>
    <w:p w14:paraId="125E780B" w14:textId="77777777" w:rsidR="00FF5D32" w:rsidRPr="00707D89" w:rsidRDefault="00FF5D32" w:rsidP="00FF5D32">
      <w:pPr>
        <w:tabs>
          <w:tab w:val="left" w:pos="1701"/>
        </w:tabs>
        <w:rPr>
          <w:color w:val="000000"/>
          <w:sz w:val="22"/>
          <w:szCs w:val="22"/>
        </w:rPr>
      </w:pPr>
    </w:p>
    <w:p w14:paraId="4D2FE75B" w14:textId="77777777" w:rsidR="00FF5D32" w:rsidRPr="00707D89" w:rsidRDefault="00FF5D32" w:rsidP="00FF5D32">
      <w:pPr>
        <w:tabs>
          <w:tab w:val="left" w:pos="1701"/>
        </w:tabs>
        <w:rPr>
          <w:color w:val="000000"/>
          <w:sz w:val="22"/>
          <w:szCs w:val="22"/>
        </w:rPr>
      </w:pPr>
      <w:r w:rsidRPr="00707D89">
        <w:rPr>
          <w:color w:val="000000"/>
          <w:sz w:val="22"/>
          <w:szCs w:val="22"/>
        </w:rPr>
        <w:t>Det behövs investeringar och utveckling av effektiva mottagningsanläggningar för tankrengöringsvatten vid samtliga större hamnar. Det ska vara enkelt och kostnadseffektivt för rederier att lämna tankrengöringsrester i land, vilket minskar behovet av att olagligt släppa ut ämnen i havet.</w:t>
      </w:r>
    </w:p>
    <w:p w14:paraId="41CB7217" w14:textId="77777777" w:rsidR="00FF5D32" w:rsidRPr="005539C9" w:rsidRDefault="00FF5D32" w:rsidP="00FF5D32">
      <w:pPr>
        <w:tabs>
          <w:tab w:val="left" w:pos="1701"/>
        </w:tabs>
        <w:rPr>
          <w:b/>
          <w:bCs/>
          <w:color w:val="000000"/>
          <w:sz w:val="22"/>
          <w:szCs w:val="22"/>
        </w:rPr>
      </w:pPr>
    </w:p>
    <w:p w14:paraId="34E4A2A4" w14:textId="77777777" w:rsidR="00FF5D32" w:rsidRPr="005539C9" w:rsidRDefault="00FF5D32" w:rsidP="00FF5D32">
      <w:pPr>
        <w:rPr>
          <w:sz w:val="22"/>
          <w:szCs w:val="22"/>
        </w:rPr>
      </w:pPr>
    </w:p>
    <w:p w14:paraId="42402F97" w14:textId="77777777" w:rsidR="00FF5D32" w:rsidRDefault="00FF5D32" w:rsidP="00FF5D32">
      <w:pPr>
        <w:widowControl/>
        <w:rPr>
          <w:b/>
          <w:bCs/>
          <w:color w:val="000000"/>
          <w:sz w:val="22"/>
          <w:szCs w:val="22"/>
          <w:highlight w:val="yellow"/>
        </w:rPr>
      </w:pPr>
      <w:r>
        <w:rPr>
          <w:b/>
          <w:bCs/>
          <w:color w:val="000000"/>
          <w:sz w:val="22"/>
          <w:szCs w:val="22"/>
          <w:highlight w:val="yellow"/>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FF5D32" w:rsidRPr="00F01A93" w14:paraId="58F14094" w14:textId="77777777" w:rsidTr="005F0FA6">
        <w:tc>
          <w:tcPr>
            <w:tcW w:w="6532" w:type="dxa"/>
          </w:tcPr>
          <w:p w14:paraId="336E8EAB" w14:textId="77777777" w:rsidR="00FF5D32" w:rsidRPr="00F01A93" w:rsidRDefault="00FF5D32" w:rsidP="005F0FA6">
            <w:pPr>
              <w:tabs>
                <w:tab w:val="left" w:pos="1276"/>
              </w:tabs>
              <w:rPr>
                <w:sz w:val="22"/>
                <w:szCs w:val="22"/>
              </w:rPr>
            </w:pPr>
            <w:bookmarkStart w:id="2" w:name="_Hlk148615905"/>
            <w:r w:rsidRPr="00F01A93">
              <w:rPr>
                <w:sz w:val="22"/>
                <w:szCs w:val="22"/>
              </w:rPr>
              <w:lastRenderedPageBreak/>
              <w:br w:type="page"/>
              <w:t>MILJÖ- OCH JORDBRUKSUTSKOTTET</w:t>
            </w:r>
          </w:p>
        </w:tc>
        <w:tc>
          <w:tcPr>
            <w:tcW w:w="2206" w:type="dxa"/>
          </w:tcPr>
          <w:p w14:paraId="336415A8" w14:textId="77777777" w:rsidR="00FF5D32" w:rsidRPr="00F01A93" w:rsidRDefault="00FF5D32" w:rsidP="005F0FA6">
            <w:pPr>
              <w:tabs>
                <w:tab w:val="left" w:pos="1276"/>
              </w:tabs>
              <w:rPr>
                <w:sz w:val="22"/>
                <w:szCs w:val="22"/>
              </w:rPr>
            </w:pPr>
          </w:p>
        </w:tc>
        <w:tc>
          <w:tcPr>
            <w:tcW w:w="2036" w:type="dxa"/>
          </w:tcPr>
          <w:p w14:paraId="219F9836" w14:textId="77777777" w:rsidR="00FF5D32" w:rsidRPr="00F01A93" w:rsidRDefault="00FF5D32" w:rsidP="005F0FA6">
            <w:pPr>
              <w:tabs>
                <w:tab w:val="left" w:pos="1276"/>
              </w:tabs>
              <w:ind w:right="-212"/>
              <w:rPr>
                <w:b/>
                <w:sz w:val="22"/>
                <w:szCs w:val="22"/>
              </w:rPr>
            </w:pPr>
            <w:r w:rsidRPr="00F01A93">
              <w:rPr>
                <w:b/>
                <w:sz w:val="22"/>
                <w:szCs w:val="22"/>
              </w:rPr>
              <w:t xml:space="preserve">Bilaga </w:t>
            </w:r>
            <w:r>
              <w:rPr>
                <w:b/>
                <w:sz w:val="22"/>
                <w:szCs w:val="22"/>
              </w:rPr>
              <w:t>4</w:t>
            </w:r>
          </w:p>
          <w:p w14:paraId="029F22B7" w14:textId="77777777" w:rsidR="00FF5D32" w:rsidRPr="00F01A93" w:rsidRDefault="00FF5D32" w:rsidP="005F0FA6">
            <w:pPr>
              <w:tabs>
                <w:tab w:val="left" w:pos="1276"/>
              </w:tabs>
              <w:ind w:right="-212"/>
              <w:rPr>
                <w:sz w:val="22"/>
                <w:szCs w:val="22"/>
              </w:rPr>
            </w:pPr>
            <w:r w:rsidRPr="00F01A93">
              <w:rPr>
                <w:sz w:val="22"/>
                <w:szCs w:val="22"/>
              </w:rPr>
              <w:t>till protokoll</w:t>
            </w:r>
          </w:p>
          <w:p w14:paraId="2E038AD1" w14:textId="77777777" w:rsidR="00FF5D32" w:rsidRPr="00F01A93" w:rsidRDefault="00FF5D32" w:rsidP="005F0FA6">
            <w:pPr>
              <w:tabs>
                <w:tab w:val="left" w:pos="1276"/>
              </w:tabs>
              <w:ind w:right="-212"/>
              <w:rPr>
                <w:b/>
                <w:sz w:val="22"/>
                <w:szCs w:val="22"/>
              </w:rPr>
            </w:pPr>
            <w:r w:rsidRPr="00F01A93">
              <w:rPr>
                <w:sz w:val="22"/>
                <w:szCs w:val="22"/>
              </w:rPr>
              <w:t>202</w:t>
            </w:r>
            <w:r>
              <w:rPr>
                <w:sz w:val="22"/>
                <w:szCs w:val="22"/>
              </w:rPr>
              <w:t>4</w:t>
            </w:r>
            <w:r w:rsidRPr="00F01A93">
              <w:rPr>
                <w:sz w:val="22"/>
                <w:szCs w:val="22"/>
              </w:rPr>
              <w:t>/</w:t>
            </w:r>
            <w:r w:rsidRPr="00180FE2">
              <w:rPr>
                <w:sz w:val="22"/>
                <w:szCs w:val="22"/>
              </w:rPr>
              <w:t>25:42</w:t>
            </w:r>
          </w:p>
        </w:tc>
      </w:tr>
    </w:tbl>
    <w:p w14:paraId="3A4757A4" w14:textId="77777777" w:rsidR="00FF5D32" w:rsidRPr="00F01A93" w:rsidRDefault="00FF5D32" w:rsidP="00FF5D32">
      <w:pPr>
        <w:rPr>
          <w:b/>
          <w:bCs/>
          <w:sz w:val="22"/>
          <w:szCs w:val="22"/>
        </w:rPr>
      </w:pPr>
    </w:p>
    <w:p w14:paraId="5DF9FB4E" w14:textId="77777777" w:rsidR="00FF5D32" w:rsidRDefault="00FF5D32" w:rsidP="00FF5D32">
      <w:pPr>
        <w:rPr>
          <w:b/>
          <w:bCs/>
          <w:sz w:val="22"/>
          <w:szCs w:val="22"/>
        </w:rPr>
      </w:pPr>
      <w:r w:rsidRPr="00940083">
        <w:rPr>
          <w:b/>
          <w:bCs/>
          <w:sz w:val="22"/>
          <w:szCs w:val="22"/>
        </w:rPr>
        <w:t>Överläggning den 1</w:t>
      </w:r>
      <w:r>
        <w:rPr>
          <w:b/>
          <w:bCs/>
          <w:sz w:val="22"/>
          <w:szCs w:val="22"/>
        </w:rPr>
        <w:t>2 juni 2</w:t>
      </w:r>
      <w:r w:rsidRPr="00940083">
        <w:rPr>
          <w:b/>
          <w:bCs/>
          <w:sz w:val="22"/>
          <w:szCs w:val="22"/>
        </w:rPr>
        <w:t>02</w:t>
      </w:r>
      <w:r>
        <w:rPr>
          <w:b/>
          <w:bCs/>
          <w:sz w:val="22"/>
          <w:szCs w:val="22"/>
        </w:rPr>
        <w:t>5</w:t>
      </w:r>
      <w:r w:rsidRPr="00940083">
        <w:rPr>
          <w:b/>
          <w:bCs/>
          <w:sz w:val="22"/>
          <w:szCs w:val="22"/>
        </w:rPr>
        <w:t xml:space="preserve"> om </w:t>
      </w:r>
      <w:r>
        <w:rPr>
          <w:b/>
          <w:bCs/>
          <w:sz w:val="22"/>
          <w:szCs w:val="22"/>
        </w:rPr>
        <w:t>f</w:t>
      </w:r>
      <w:r w:rsidRPr="00A21DE2">
        <w:rPr>
          <w:b/>
          <w:bCs/>
          <w:sz w:val="22"/>
          <w:szCs w:val="22"/>
        </w:rPr>
        <w:t>örslag till rådets beslut om den ståndpunkt som ska intas på Europeiska unionens vägnar vid förberedelserna för det 20:e mötet i partskonferensen för konventionen om internationell handel med utrotningshotade arter av vilda djur och växter (</w:t>
      </w:r>
      <w:proofErr w:type="spellStart"/>
      <w:r w:rsidRPr="00A21DE2">
        <w:rPr>
          <w:b/>
          <w:bCs/>
          <w:sz w:val="22"/>
          <w:szCs w:val="22"/>
        </w:rPr>
        <w:t>Cites</w:t>
      </w:r>
      <w:proofErr w:type="spellEnd"/>
      <w:r w:rsidRPr="00A21DE2">
        <w:rPr>
          <w:b/>
          <w:bCs/>
          <w:sz w:val="22"/>
          <w:szCs w:val="22"/>
        </w:rPr>
        <w:t xml:space="preserve"> CoP20)</w:t>
      </w:r>
    </w:p>
    <w:p w14:paraId="5A2AB92C" w14:textId="77777777" w:rsidR="00FF5D32" w:rsidRPr="00180FE2" w:rsidRDefault="00FF5D32" w:rsidP="00FF5D32">
      <w:pPr>
        <w:rPr>
          <w:b/>
          <w:bCs/>
          <w:sz w:val="22"/>
          <w:szCs w:val="22"/>
        </w:rPr>
      </w:pPr>
    </w:p>
    <w:p w14:paraId="340EC505" w14:textId="77777777" w:rsidR="00FF5D32" w:rsidRPr="00180FE2" w:rsidRDefault="00FF5D32" w:rsidP="00FF5D32">
      <w:pPr>
        <w:pStyle w:val="Brdtext"/>
        <w:rPr>
          <w:b/>
          <w:bCs/>
          <w:sz w:val="22"/>
          <w:szCs w:val="22"/>
        </w:rPr>
      </w:pPr>
      <w:r>
        <w:rPr>
          <w:b/>
          <w:bCs/>
          <w:sz w:val="22"/>
          <w:szCs w:val="22"/>
        </w:rPr>
        <w:t>Regeringens</w:t>
      </w:r>
      <w:r w:rsidRPr="00180FE2">
        <w:rPr>
          <w:b/>
          <w:bCs/>
          <w:sz w:val="22"/>
          <w:szCs w:val="22"/>
        </w:rPr>
        <w:t xml:space="preserve"> ståndpunkt:</w:t>
      </w:r>
    </w:p>
    <w:p w14:paraId="35A92A35" w14:textId="77777777" w:rsidR="00FF5D32" w:rsidRPr="00180FE2" w:rsidRDefault="00FF5D32" w:rsidP="00FF5D32">
      <w:pPr>
        <w:pStyle w:val="Brdtext"/>
        <w:rPr>
          <w:sz w:val="22"/>
          <w:szCs w:val="22"/>
          <w:u w:val="single"/>
        </w:rPr>
      </w:pPr>
      <w:r w:rsidRPr="00180FE2">
        <w:rPr>
          <w:sz w:val="22"/>
          <w:szCs w:val="22"/>
          <w:u w:val="single"/>
        </w:rPr>
        <w:t>Förslag om släkteslistning av Anguilla</w:t>
      </w:r>
    </w:p>
    <w:p w14:paraId="35C5017B" w14:textId="77777777" w:rsidR="00FF5D32" w:rsidRPr="00180FE2" w:rsidRDefault="00FF5D32" w:rsidP="00FF5D32">
      <w:pPr>
        <w:pStyle w:val="Brdtext"/>
        <w:rPr>
          <w:sz w:val="22"/>
          <w:szCs w:val="22"/>
        </w:rPr>
      </w:pPr>
      <w:r w:rsidRPr="00180FE2">
        <w:rPr>
          <w:sz w:val="22"/>
          <w:szCs w:val="22"/>
        </w:rPr>
        <w:t xml:space="preserve">Kommissionen har föreslagit att lista hela släktet Anguilla på konventionens bilaga II, vilket innebär att samtliga 19 underarter listas. En av arterna är den europeiska ålen, som sedan 2009 är listad i konventionens bilaga II. I dagsläget är endast europeisk ål listad i bilaga II. </w:t>
      </w:r>
    </w:p>
    <w:p w14:paraId="61D6976F" w14:textId="77777777" w:rsidR="00FF5D32" w:rsidRPr="00180FE2" w:rsidRDefault="00FF5D32" w:rsidP="00FF5D32">
      <w:pPr>
        <w:pStyle w:val="Brdtext"/>
        <w:rPr>
          <w:sz w:val="22"/>
          <w:szCs w:val="22"/>
        </w:rPr>
      </w:pPr>
      <w:r w:rsidRPr="00180FE2">
        <w:rPr>
          <w:sz w:val="22"/>
          <w:szCs w:val="22"/>
        </w:rPr>
        <w:t>Regeringen har i diskussionerna i rådet motsatt sig förslag med argumenten nedan.</w:t>
      </w:r>
    </w:p>
    <w:p w14:paraId="007C6FAB" w14:textId="77777777" w:rsidR="00FF5D32" w:rsidRPr="00180FE2" w:rsidRDefault="00FF5D32" w:rsidP="00FF5D32">
      <w:pPr>
        <w:pStyle w:val="Brdtext"/>
        <w:rPr>
          <w:sz w:val="22"/>
          <w:szCs w:val="22"/>
        </w:rPr>
      </w:pPr>
      <w:r w:rsidRPr="00180FE2">
        <w:rPr>
          <w:sz w:val="22"/>
          <w:szCs w:val="22"/>
        </w:rPr>
        <w:t xml:space="preserve">Listningsförslaget har stora brister beträffande data kring de olika arterna samt handelsstatistik kring dessa. Om förslaget går igenom går det därför inte att utvärdera eventuella effekter av listningen. Stödet från </w:t>
      </w:r>
      <w:proofErr w:type="spellStart"/>
      <w:r w:rsidRPr="00180FE2">
        <w:rPr>
          <w:i/>
          <w:iCs/>
          <w:sz w:val="22"/>
          <w:szCs w:val="22"/>
        </w:rPr>
        <w:t>range</w:t>
      </w:r>
      <w:proofErr w:type="spellEnd"/>
      <w:r w:rsidRPr="00180FE2">
        <w:rPr>
          <w:i/>
          <w:iCs/>
          <w:sz w:val="22"/>
          <w:szCs w:val="22"/>
        </w:rPr>
        <w:t xml:space="preserve"> </w:t>
      </w:r>
      <w:proofErr w:type="spellStart"/>
      <w:r w:rsidRPr="00180FE2">
        <w:rPr>
          <w:i/>
          <w:iCs/>
          <w:sz w:val="22"/>
          <w:szCs w:val="22"/>
        </w:rPr>
        <w:t>states</w:t>
      </w:r>
      <w:proofErr w:type="spellEnd"/>
      <w:r w:rsidRPr="00180FE2">
        <w:rPr>
          <w:sz w:val="22"/>
          <w:szCs w:val="22"/>
        </w:rPr>
        <w:t xml:space="preserve"> (länder som hyser arterna) är också mycket begränsat.</w:t>
      </w:r>
    </w:p>
    <w:p w14:paraId="40D4ADA4" w14:textId="77777777" w:rsidR="00FF5D32" w:rsidRPr="00180FE2" w:rsidRDefault="00FF5D32" w:rsidP="00FF5D32">
      <w:pPr>
        <w:pStyle w:val="Brdtext"/>
        <w:rPr>
          <w:sz w:val="22"/>
          <w:szCs w:val="22"/>
        </w:rPr>
      </w:pPr>
      <w:r w:rsidRPr="00180FE2">
        <w:rPr>
          <w:sz w:val="22"/>
          <w:szCs w:val="22"/>
        </w:rPr>
        <w:t xml:space="preserve">Skulle förslaget gå igenom kommer det inte att finnas incitament att samla mer information om illegal handel med vår europeiska ål. Samma utmaningar som finns i dag kommer att fortsatt vara aktuella givet en släkteslistning, dvs problem med spårbarhet, feldeklarationer i tull samt illegal handel. Sveriges uppfattning är att mer information, framför allt om de tropiska </w:t>
      </w:r>
      <w:proofErr w:type="spellStart"/>
      <w:r w:rsidRPr="00180FE2">
        <w:rPr>
          <w:sz w:val="22"/>
          <w:szCs w:val="22"/>
        </w:rPr>
        <w:t>ålarterna</w:t>
      </w:r>
      <w:proofErr w:type="spellEnd"/>
      <w:r w:rsidRPr="00180FE2">
        <w:rPr>
          <w:sz w:val="22"/>
          <w:szCs w:val="22"/>
        </w:rPr>
        <w:t>, behöver samlas in och en noggrann analys måste göras innan något listningsförslag läggs fram.</w:t>
      </w:r>
    </w:p>
    <w:p w14:paraId="3A164119" w14:textId="77777777" w:rsidR="00FF5D32" w:rsidRPr="00180FE2" w:rsidRDefault="00FF5D32" w:rsidP="00FF5D32">
      <w:pPr>
        <w:pStyle w:val="Brdtext"/>
        <w:rPr>
          <w:sz w:val="22"/>
          <w:szCs w:val="22"/>
        </w:rPr>
      </w:pPr>
      <w:r w:rsidRPr="00180FE2">
        <w:rPr>
          <w:sz w:val="22"/>
          <w:szCs w:val="22"/>
        </w:rPr>
        <w:t xml:space="preserve">Sverige har i stället förordat att som ett första steg ta fram en resolution om ål som täcker hela släktet och som syftar till att titta på de utmaningar som idag gäller för den europeiska ålen och föreslå globalt samordnade åtgärder och samarbete. En resolution skulle kunna fungera som en grund för gemensamma ansträngningar och ge parterna incitament att vidta åtgärder, bygga samarbete och dela kunskap – inklusive datainsamling för framtida referens, bedömningar och potentiella listningsförslag. </w:t>
      </w:r>
    </w:p>
    <w:p w14:paraId="705443DC" w14:textId="3338DABD" w:rsidR="00FF5D32" w:rsidRPr="00180FE2" w:rsidRDefault="00FF5D32" w:rsidP="00FF5D32">
      <w:pPr>
        <w:pStyle w:val="Brdtext"/>
        <w:rPr>
          <w:b/>
          <w:bCs/>
          <w:sz w:val="22"/>
          <w:szCs w:val="22"/>
          <w:highlight w:val="yellow"/>
        </w:rPr>
      </w:pPr>
      <w:r w:rsidRPr="00180FE2">
        <w:rPr>
          <w:sz w:val="22"/>
          <w:szCs w:val="22"/>
        </w:rPr>
        <w:t xml:space="preserve">I dagsläget är det enbart Sverige och ytterligare ett medlemsland som uttryckt att de är negativa till en släkteslistning. </w:t>
      </w:r>
    </w:p>
    <w:p w14:paraId="6BBC3E91" w14:textId="77777777" w:rsidR="00FF5D32" w:rsidRPr="00180FE2" w:rsidRDefault="00FF5D32" w:rsidP="00FF5D32">
      <w:pPr>
        <w:pStyle w:val="Brdtext"/>
        <w:rPr>
          <w:sz w:val="22"/>
          <w:szCs w:val="22"/>
          <w:u w:val="single"/>
        </w:rPr>
      </w:pPr>
      <w:r w:rsidRPr="00180FE2">
        <w:rPr>
          <w:sz w:val="22"/>
          <w:szCs w:val="22"/>
          <w:u w:val="single"/>
        </w:rPr>
        <w:t xml:space="preserve">Förslag om listning av </w:t>
      </w:r>
      <w:proofErr w:type="spellStart"/>
      <w:r w:rsidRPr="00180FE2">
        <w:rPr>
          <w:sz w:val="22"/>
          <w:szCs w:val="22"/>
          <w:u w:val="single"/>
        </w:rPr>
        <w:t>hajarter</w:t>
      </w:r>
      <w:proofErr w:type="spellEnd"/>
      <w:r w:rsidRPr="00180FE2">
        <w:rPr>
          <w:sz w:val="22"/>
          <w:szCs w:val="22"/>
          <w:u w:val="single"/>
        </w:rPr>
        <w:t xml:space="preserve"> i familjen </w:t>
      </w:r>
      <w:proofErr w:type="spellStart"/>
      <w:r w:rsidRPr="00180FE2">
        <w:rPr>
          <w:sz w:val="22"/>
          <w:szCs w:val="22"/>
          <w:u w:val="single"/>
        </w:rPr>
        <w:t>Centrophoridae</w:t>
      </w:r>
      <w:proofErr w:type="spellEnd"/>
      <w:r w:rsidRPr="00180FE2">
        <w:rPr>
          <w:sz w:val="22"/>
          <w:szCs w:val="22"/>
          <w:u w:val="single"/>
        </w:rPr>
        <w:t xml:space="preserve"> (</w:t>
      </w:r>
      <w:proofErr w:type="spellStart"/>
      <w:r w:rsidRPr="00180FE2">
        <w:rPr>
          <w:sz w:val="22"/>
          <w:szCs w:val="22"/>
          <w:u w:val="single"/>
        </w:rPr>
        <w:t>sorghaj</w:t>
      </w:r>
      <w:proofErr w:type="spellEnd"/>
      <w:r w:rsidRPr="00180FE2">
        <w:rPr>
          <w:sz w:val="22"/>
          <w:szCs w:val="22"/>
          <w:u w:val="single"/>
        </w:rPr>
        <w:t xml:space="preserve">, </w:t>
      </w:r>
      <w:proofErr w:type="spellStart"/>
      <w:r w:rsidRPr="00180FE2">
        <w:rPr>
          <w:sz w:val="22"/>
          <w:szCs w:val="22"/>
          <w:u w:val="single"/>
        </w:rPr>
        <w:t>näbbnoshaj</w:t>
      </w:r>
      <w:proofErr w:type="spellEnd"/>
      <w:r w:rsidRPr="00180FE2">
        <w:rPr>
          <w:sz w:val="22"/>
          <w:szCs w:val="22"/>
          <w:u w:val="single"/>
        </w:rPr>
        <w:t>)</w:t>
      </w:r>
    </w:p>
    <w:p w14:paraId="2FB923F5" w14:textId="77777777" w:rsidR="00FF5D32" w:rsidRPr="00180FE2" w:rsidRDefault="00FF5D32" w:rsidP="00FF5D32">
      <w:pPr>
        <w:pStyle w:val="Brdtext"/>
        <w:rPr>
          <w:sz w:val="22"/>
          <w:szCs w:val="22"/>
        </w:rPr>
      </w:pPr>
      <w:r w:rsidRPr="00180FE2">
        <w:rPr>
          <w:sz w:val="22"/>
          <w:szCs w:val="22"/>
        </w:rPr>
        <w:t xml:space="preserve">En av arterna i familjen </w:t>
      </w:r>
      <w:proofErr w:type="spellStart"/>
      <w:r w:rsidRPr="00180FE2">
        <w:rPr>
          <w:sz w:val="22"/>
          <w:szCs w:val="22"/>
        </w:rPr>
        <w:t>Centrophoridae</w:t>
      </w:r>
      <w:proofErr w:type="spellEnd"/>
      <w:r w:rsidRPr="00180FE2">
        <w:rPr>
          <w:sz w:val="22"/>
          <w:szCs w:val="22"/>
        </w:rPr>
        <w:t xml:space="preserve"> diskuterades i EU:s hajarbetsgrupp innan diskussionerna i rådet startade, och som ett möjligt förslag för EU att föreslå till partsmötet. Inom gruppen fanns då enighet om att avvakta detta förslag och att inte lägga fram något nytt hajlistningsförslag på kommande partsmöte utan att i stället fokusera på att implementera tidigare tagna listningsförslag. </w:t>
      </w:r>
    </w:p>
    <w:p w14:paraId="6CA53B67" w14:textId="77777777" w:rsidR="00FF5D32" w:rsidRPr="00180FE2" w:rsidRDefault="00FF5D32" w:rsidP="00FF5D32">
      <w:pPr>
        <w:pStyle w:val="Brdtext"/>
        <w:rPr>
          <w:sz w:val="22"/>
          <w:szCs w:val="22"/>
        </w:rPr>
      </w:pPr>
      <w:r w:rsidRPr="00180FE2">
        <w:rPr>
          <w:sz w:val="22"/>
          <w:szCs w:val="22"/>
        </w:rPr>
        <w:t xml:space="preserve">Hajarbetsgruppen diskuterade också flera möjligheter för att ta frågan om djuphavshajar vidare och tog fram ett arbetsdokument som kan presenteras vid kommande partsmöte om ”Draft </w:t>
      </w:r>
      <w:proofErr w:type="spellStart"/>
      <w:r w:rsidRPr="00180FE2">
        <w:rPr>
          <w:sz w:val="22"/>
          <w:szCs w:val="22"/>
        </w:rPr>
        <w:t>Decisions</w:t>
      </w:r>
      <w:proofErr w:type="spellEnd"/>
      <w:r w:rsidRPr="00180FE2">
        <w:rPr>
          <w:sz w:val="22"/>
          <w:szCs w:val="22"/>
        </w:rPr>
        <w:t xml:space="preserve"> on </w:t>
      </w:r>
      <w:proofErr w:type="spellStart"/>
      <w:r w:rsidRPr="00180FE2">
        <w:rPr>
          <w:sz w:val="22"/>
          <w:szCs w:val="22"/>
        </w:rPr>
        <w:t>trade</w:t>
      </w:r>
      <w:proofErr w:type="spellEnd"/>
      <w:r w:rsidRPr="00180FE2">
        <w:rPr>
          <w:sz w:val="22"/>
          <w:szCs w:val="22"/>
        </w:rPr>
        <w:t xml:space="preserve">, </w:t>
      </w:r>
      <w:proofErr w:type="spellStart"/>
      <w:r w:rsidRPr="00180FE2">
        <w:rPr>
          <w:sz w:val="22"/>
          <w:szCs w:val="22"/>
        </w:rPr>
        <w:t>conservation</w:t>
      </w:r>
      <w:proofErr w:type="spellEnd"/>
      <w:r w:rsidRPr="00180FE2">
        <w:rPr>
          <w:sz w:val="22"/>
          <w:szCs w:val="22"/>
        </w:rPr>
        <w:t xml:space="preserve"> and management </w:t>
      </w:r>
      <w:proofErr w:type="spellStart"/>
      <w:r w:rsidRPr="00180FE2">
        <w:rPr>
          <w:sz w:val="22"/>
          <w:szCs w:val="22"/>
        </w:rPr>
        <w:t>of</w:t>
      </w:r>
      <w:proofErr w:type="spellEnd"/>
      <w:r w:rsidRPr="00180FE2">
        <w:rPr>
          <w:sz w:val="22"/>
          <w:szCs w:val="22"/>
        </w:rPr>
        <w:t xml:space="preserve"> </w:t>
      </w:r>
      <w:proofErr w:type="spellStart"/>
      <w:r w:rsidRPr="00180FE2">
        <w:rPr>
          <w:sz w:val="22"/>
          <w:szCs w:val="22"/>
        </w:rPr>
        <w:t>deep-water</w:t>
      </w:r>
      <w:proofErr w:type="spellEnd"/>
      <w:r w:rsidRPr="00180FE2">
        <w:rPr>
          <w:sz w:val="22"/>
          <w:szCs w:val="22"/>
        </w:rPr>
        <w:t xml:space="preserve"> </w:t>
      </w:r>
      <w:proofErr w:type="spellStart"/>
      <w:r w:rsidRPr="00180FE2">
        <w:rPr>
          <w:sz w:val="22"/>
          <w:szCs w:val="22"/>
        </w:rPr>
        <w:t>Elasmobranchs</w:t>
      </w:r>
      <w:proofErr w:type="spellEnd"/>
      <w:r w:rsidRPr="00180FE2">
        <w:rPr>
          <w:sz w:val="22"/>
          <w:szCs w:val="22"/>
        </w:rPr>
        <w:t xml:space="preserve">”. Dokumentet bygger på tidigare inhämtad information om familjen samt behovet av att hämta in mer information kring djuphavshajar, och föreslår </w:t>
      </w:r>
      <w:proofErr w:type="spellStart"/>
      <w:r w:rsidRPr="00180FE2">
        <w:rPr>
          <w:sz w:val="22"/>
          <w:szCs w:val="22"/>
        </w:rPr>
        <w:t>bl</w:t>
      </w:r>
      <w:proofErr w:type="spellEnd"/>
      <w:r w:rsidRPr="00180FE2">
        <w:rPr>
          <w:sz w:val="22"/>
          <w:szCs w:val="22"/>
        </w:rPr>
        <w:t xml:space="preserve"> a att hålla en specifik workshop för att kunna ta fram rätt åtgärder. </w:t>
      </w:r>
    </w:p>
    <w:p w14:paraId="19E4D09D" w14:textId="77777777" w:rsidR="00FF5D32" w:rsidRPr="00180FE2" w:rsidRDefault="00FF5D32" w:rsidP="00FF5D32">
      <w:pPr>
        <w:pStyle w:val="Brdtext"/>
        <w:rPr>
          <w:sz w:val="22"/>
          <w:szCs w:val="22"/>
        </w:rPr>
      </w:pPr>
      <w:r w:rsidRPr="00180FE2">
        <w:rPr>
          <w:sz w:val="22"/>
          <w:szCs w:val="22"/>
        </w:rPr>
        <w:t xml:space="preserve">När diskussionerna i rådet startade kom dock en formell begäran från ett medlemsland att EU skulle föreslå att lista familjen </w:t>
      </w:r>
      <w:proofErr w:type="spellStart"/>
      <w:r w:rsidRPr="00180FE2">
        <w:rPr>
          <w:sz w:val="22"/>
          <w:szCs w:val="22"/>
        </w:rPr>
        <w:t>Centrophoridae</w:t>
      </w:r>
      <w:proofErr w:type="spellEnd"/>
      <w:r w:rsidRPr="00180FE2">
        <w:rPr>
          <w:i/>
          <w:iCs/>
          <w:sz w:val="22"/>
          <w:szCs w:val="22"/>
        </w:rPr>
        <w:t xml:space="preserve"> </w:t>
      </w:r>
      <w:r w:rsidRPr="00180FE2">
        <w:rPr>
          <w:sz w:val="22"/>
          <w:szCs w:val="22"/>
        </w:rPr>
        <w:t>på bilaga II, med Panama som medförslagsställare.</w:t>
      </w:r>
    </w:p>
    <w:p w14:paraId="7A23C39D" w14:textId="77777777" w:rsidR="00FF5D32" w:rsidRPr="00180FE2" w:rsidRDefault="00FF5D32" w:rsidP="00FF5D32">
      <w:pPr>
        <w:pStyle w:val="Brdtext"/>
        <w:rPr>
          <w:sz w:val="22"/>
          <w:szCs w:val="22"/>
        </w:rPr>
      </w:pPr>
      <w:r w:rsidRPr="00180FE2">
        <w:rPr>
          <w:sz w:val="22"/>
          <w:szCs w:val="22"/>
        </w:rPr>
        <w:t>Förslaget har mött kritik från Sverige och ytterligare ett medlemsland på grund av att det har kommit sent och att det för närvarande inte finns tillräcklig information om många av arterna för att möjliggöra lämpliga åtgärder för att förbättra deras status. Kompletterande data har efterlysts men i skrivande stund inte inkommit.</w:t>
      </w:r>
    </w:p>
    <w:p w14:paraId="49146129" w14:textId="77777777" w:rsidR="00FF5D32" w:rsidRPr="00180FE2" w:rsidRDefault="00FF5D32" w:rsidP="00FF5D32">
      <w:pPr>
        <w:pStyle w:val="Brdtext"/>
        <w:rPr>
          <w:sz w:val="22"/>
          <w:szCs w:val="22"/>
        </w:rPr>
      </w:pPr>
      <w:r w:rsidRPr="00180FE2">
        <w:rPr>
          <w:sz w:val="22"/>
          <w:szCs w:val="22"/>
        </w:rPr>
        <w:t>Regeringen har därför i diskussionerna i rådsarbetsgrupperna inte gett stöd till förslaget utan i stället förordat att EU - som ett första steg och i linje med diskussionerna i hajarbetsgruppen - tar fram ett arbetsdokument som fokuserar på kunskapsuppbyggnad och datainsamling och som omfattar utkast till beslut om handel, bevarande och förvaltning av djuphavshajar där de berörda arterna ingår. Detta kan senare ligga till grund för en analys av arter som kan dra nytta av en listning.</w:t>
      </w:r>
    </w:p>
    <w:p w14:paraId="0DA87540" w14:textId="272C61A6" w:rsidR="00FF5D32" w:rsidRPr="00940083" w:rsidRDefault="00FF5D32" w:rsidP="00FF5D32">
      <w:pPr>
        <w:pStyle w:val="Brdtext"/>
        <w:rPr>
          <w:b/>
          <w:sz w:val="22"/>
          <w:szCs w:val="22"/>
        </w:rPr>
      </w:pPr>
      <w:r w:rsidRPr="00180FE2">
        <w:rPr>
          <w:sz w:val="22"/>
          <w:szCs w:val="22"/>
        </w:rPr>
        <w:t>I dagsläget är det enbart Sverige och ytterligare ett medlemsland som har uttryckt att de är negativa till en släkteslistning.</w:t>
      </w:r>
      <w:r>
        <w:rPr>
          <w:b/>
          <w:bCs/>
          <w:sz w:val="22"/>
          <w:szCs w:val="22"/>
          <w:highlight w:val="yellow"/>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FF5D32" w:rsidRPr="00F01A93" w14:paraId="05D8DCC1" w14:textId="77777777" w:rsidTr="005F0FA6">
        <w:tc>
          <w:tcPr>
            <w:tcW w:w="6532" w:type="dxa"/>
          </w:tcPr>
          <w:p w14:paraId="12A6C67C" w14:textId="77777777" w:rsidR="00FF5D32" w:rsidRPr="00F01A93" w:rsidRDefault="00FF5D32" w:rsidP="005F0FA6">
            <w:pPr>
              <w:tabs>
                <w:tab w:val="left" w:pos="1276"/>
              </w:tabs>
              <w:rPr>
                <w:sz w:val="22"/>
                <w:szCs w:val="22"/>
              </w:rPr>
            </w:pPr>
            <w:r w:rsidRPr="00F01A93">
              <w:rPr>
                <w:sz w:val="22"/>
                <w:szCs w:val="22"/>
              </w:rPr>
              <w:lastRenderedPageBreak/>
              <w:br w:type="page"/>
              <w:t>MILJÖ- OCH JORDBRUKSUTSKOTTET</w:t>
            </w:r>
          </w:p>
        </w:tc>
        <w:tc>
          <w:tcPr>
            <w:tcW w:w="2206" w:type="dxa"/>
          </w:tcPr>
          <w:p w14:paraId="2319394C" w14:textId="77777777" w:rsidR="00FF5D32" w:rsidRPr="00F01A93" w:rsidRDefault="00FF5D32" w:rsidP="005F0FA6">
            <w:pPr>
              <w:tabs>
                <w:tab w:val="left" w:pos="1276"/>
              </w:tabs>
              <w:rPr>
                <w:sz w:val="22"/>
                <w:szCs w:val="22"/>
              </w:rPr>
            </w:pPr>
          </w:p>
        </w:tc>
        <w:tc>
          <w:tcPr>
            <w:tcW w:w="2036" w:type="dxa"/>
          </w:tcPr>
          <w:p w14:paraId="19B7DF92" w14:textId="77777777" w:rsidR="00FF5D32" w:rsidRPr="00F01A93" w:rsidRDefault="00FF5D32" w:rsidP="005F0FA6">
            <w:pPr>
              <w:tabs>
                <w:tab w:val="left" w:pos="1276"/>
              </w:tabs>
              <w:ind w:right="-212"/>
              <w:rPr>
                <w:b/>
                <w:sz w:val="22"/>
                <w:szCs w:val="22"/>
              </w:rPr>
            </w:pPr>
            <w:r w:rsidRPr="00F01A93">
              <w:rPr>
                <w:b/>
                <w:sz w:val="22"/>
                <w:szCs w:val="22"/>
              </w:rPr>
              <w:t xml:space="preserve">Bilaga </w:t>
            </w:r>
            <w:r>
              <w:rPr>
                <w:b/>
                <w:sz w:val="22"/>
                <w:szCs w:val="22"/>
              </w:rPr>
              <w:t>5</w:t>
            </w:r>
          </w:p>
          <w:p w14:paraId="3E08980A" w14:textId="77777777" w:rsidR="00FF5D32" w:rsidRPr="00F01A93" w:rsidRDefault="00FF5D32" w:rsidP="005F0FA6">
            <w:pPr>
              <w:tabs>
                <w:tab w:val="left" w:pos="1276"/>
              </w:tabs>
              <w:ind w:right="-212"/>
              <w:rPr>
                <w:sz w:val="22"/>
                <w:szCs w:val="22"/>
              </w:rPr>
            </w:pPr>
            <w:r w:rsidRPr="00F01A93">
              <w:rPr>
                <w:sz w:val="22"/>
                <w:szCs w:val="22"/>
              </w:rPr>
              <w:t>till protokoll</w:t>
            </w:r>
          </w:p>
          <w:p w14:paraId="6ABD93B8" w14:textId="77777777" w:rsidR="00FF5D32" w:rsidRPr="00F01A93" w:rsidRDefault="00FF5D32" w:rsidP="005F0FA6">
            <w:pPr>
              <w:tabs>
                <w:tab w:val="left" w:pos="1276"/>
              </w:tabs>
              <w:ind w:right="-212"/>
              <w:rPr>
                <w:b/>
                <w:sz w:val="22"/>
                <w:szCs w:val="22"/>
                <w:highlight w:val="yellow"/>
              </w:rPr>
            </w:pPr>
            <w:r w:rsidRPr="00F01A93">
              <w:rPr>
                <w:sz w:val="22"/>
                <w:szCs w:val="22"/>
              </w:rPr>
              <w:t>202</w:t>
            </w:r>
            <w:r>
              <w:rPr>
                <w:sz w:val="22"/>
                <w:szCs w:val="22"/>
              </w:rPr>
              <w:t>4</w:t>
            </w:r>
            <w:r w:rsidRPr="00F01A93">
              <w:rPr>
                <w:sz w:val="22"/>
                <w:szCs w:val="22"/>
              </w:rPr>
              <w:t>/2</w:t>
            </w:r>
            <w:r>
              <w:rPr>
                <w:sz w:val="22"/>
                <w:szCs w:val="22"/>
              </w:rPr>
              <w:t>5</w:t>
            </w:r>
            <w:r w:rsidRPr="00180FE2">
              <w:rPr>
                <w:sz w:val="22"/>
                <w:szCs w:val="22"/>
              </w:rPr>
              <w:t>:42</w:t>
            </w:r>
          </w:p>
        </w:tc>
      </w:tr>
    </w:tbl>
    <w:p w14:paraId="6B998298" w14:textId="77777777" w:rsidR="00FF5D32" w:rsidRPr="00F01A93" w:rsidRDefault="00FF5D32" w:rsidP="00FF5D32">
      <w:pPr>
        <w:widowControl/>
        <w:autoSpaceDE w:val="0"/>
        <w:autoSpaceDN w:val="0"/>
        <w:adjustRightInd w:val="0"/>
        <w:rPr>
          <w:rFonts w:eastAsia="Calibri"/>
          <w:b/>
          <w:bCs/>
          <w:color w:val="000000"/>
          <w:sz w:val="22"/>
          <w:szCs w:val="22"/>
          <w:lang w:eastAsia="en-US"/>
        </w:rPr>
      </w:pPr>
    </w:p>
    <w:p w14:paraId="7B34010B" w14:textId="77777777" w:rsidR="00FF5D32" w:rsidRDefault="00FF5D32" w:rsidP="00FF5D32">
      <w:pPr>
        <w:rPr>
          <w:b/>
          <w:bCs/>
          <w:sz w:val="22"/>
          <w:szCs w:val="22"/>
        </w:rPr>
      </w:pPr>
      <w:r w:rsidRPr="00A21DE2">
        <w:rPr>
          <w:b/>
          <w:bCs/>
          <w:sz w:val="22"/>
          <w:szCs w:val="22"/>
        </w:rPr>
        <w:t>Förslag till rådets beslut om den ståndpunkt som ska intas på Europeiska unionens vägnar vid förberedelserna för det 20:e mötet i partskonferensen för konventionen om internationell handel med utrotningshotade arter av vilda djur och växter (</w:t>
      </w:r>
      <w:proofErr w:type="spellStart"/>
      <w:r w:rsidRPr="00A21DE2">
        <w:rPr>
          <w:b/>
          <w:bCs/>
          <w:sz w:val="22"/>
          <w:szCs w:val="22"/>
        </w:rPr>
        <w:t>Cites</w:t>
      </w:r>
      <w:proofErr w:type="spellEnd"/>
      <w:r w:rsidRPr="00A21DE2">
        <w:rPr>
          <w:b/>
          <w:bCs/>
          <w:sz w:val="22"/>
          <w:szCs w:val="22"/>
        </w:rPr>
        <w:t xml:space="preserve"> CoP20)</w:t>
      </w:r>
    </w:p>
    <w:p w14:paraId="1518FEB5" w14:textId="77777777" w:rsidR="00FF5D32" w:rsidRDefault="00FF5D32" w:rsidP="00FF5D32">
      <w:pPr>
        <w:tabs>
          <w:tab w:val="left" w:pos="1701"/>
        </w:tabs>
        <w:rPr>
          <w:b/>
          <w:snapToGrid w:val="0"/>
          <w:sz w:val="22"/>
          <w:szCs w:val="22"/>
        </w:rPr>
      </w:pPr>
    </w:p>
    <w:p w14:paraId="7AF01508" w14:textId="77777777" w:rsidR="00FF5D32" w:rsidRPr="005539C9" w:rsidRDefault="00FF5D32" w:rsidP="00FF5D32">
      <w:pPr>
        <w:tabs>
          <w:tab w:val="left" w:pos="1701"/>
        </w:tabs>
        <w:rPr>
          <w:b/>
          <w:bCs/>
          <w:color w:val="000000"/>
          <w:sz w:val="22"/>
          <w:szCs w:val="22"/>
        </w:rPr>
      </w:pPr>
      <w:r w:rsidRPr="005539C9">
        <w:rPr>
          <w:b/>
          <w:bCs/>
          <w:color w:val="000000"/>
          <w:sz w:val="22"/>
          <w:szCs w:val="22"/>
        </w:rPr>
        <w:t>V-ledamoten anmälde följande avvikande ståndpunkt:</w:t>
      </w:r>
    </w:p>
    <w:p w14:paraId="6763C558" w14:textId="77777777" w:rsidR="00FF5D32" w:rsidRPr="00070A44" w:rsidRDefault="00FF5D32" w:rsidP="00FF5D32">
      <w:pPr>
        <w:rPr>
          <w:sz w:val="22"/>
          <w:szCs w:val="22"/>
        </w:rPr>
      </w:pPr>
      <w:r w:rsidRPr="00070A44">
        <w:rPr>
          <w:sz w:val="22"/>
          <w:szCs w:val="22"/>
        </w:rPr>
        <w:t xml:space="preserve">Vänsterpartiet anser inte att kunskapsbrist är ett giltigt skäl att avstå från insatser för att skydda hotade arter. Därmed faller regeringens resonemang bakom att rösta nej till listning av släktet Anguilla samt av </w:t>
      </w:r>
      <w:proofErr w:type="spellStart"/>
      <w:r w:rsidRPr="00070A44">
        <w:rPr>
          <w:sz w:val="22"/>
          <w:szCs w:val="22"/>
        </w:rPr>
        <w:t>hajarter</w:t>
      </w:r>
      <w:proofErr w:type="spellEnd"/>
      <w:r w:rsidRPr="00070A44">
        <w:rPr>
          <w:sz w:val="22"/>
          <w:szCs w:val="22"/>
        </w:rPr>
        <w:t xml:space="preserve"> i familjen </w:t>
      </w:r>
      <w:proofErr w:type="spellStart"/>
      <w:r w:rsidRPr="00070A44">
        <w:rPr>
          <w:sz w:val="22"/>
          <w:szCs w:val="22"/>
        </w:rPr>
        <w:t>Centrophoridae</w:t>
      </w:r>
      <w:proofErr w:type="spellEnd"/>
      <w:r w:rsidRPr="00070A44">
        <w:rPr>
          <w:sz w:val="22"/>
          <w:szCs w:val="22"/>
        </w:rPr>
        <w:t>.</w:t>
      </w:r>
    </w:p>
    <w:p w14:paraId="7996C178" w14:textId="77777777" w:rsidR="00FF5D32" w:rsidRPr="005539C9" w:rsidRDefault="00FF5D32" w:rsidP="00FF5D32">
      <w:pPr>
        <w:tabs>
          <w:tab w:val="left" w:pos="1701"/>
        </w:tabs>
        <w:rPr>
          <w:b/>
          <w:bCs/>
          <w:color w:val="000000"/>
          <w:sz w:val="22"/>
          <w:szCs w:val="22"/>
        </w:rPr>
      </w:pPr>
    </w:p>
    <w:p w14:paraId="27890624" w14:textId="77777777" w:rsidR="00FF5D32" w:rsidRPr="005539C9" w:rsidRDefault="00FF5D32" w:rsidP="00FF5D32">
      <w:pPr>
        <w:tabs>
          <w:tab w:val="left" w:pos="1701"/>
        </w:tabs>
        <w:rPr>
          <w:b/>
          <w:bCs/>
          <w:color w:val="000000"/>
          <w:sz w:val="22"/>
          <w:szCs w:val="22"/>
        </w:rPr>
      </w:pPr>
    </w:p>
    <w:p w14:paraId="4EBD5C22" w14:textId="77777777" w:rsidR="00FF5D32" w:rsidRPr="003D7986" w:rsidRDefault="00FF5D32" w:rsidP="00FF5D32">
      <w:pPr>
        <w:rPr>
          <w:sz w:val="22"/>
          <w:szCs w:val="22"/>
        </w:rPr>
      </w:pPr>
      <w:r w:rsidRPr="005539C9">
        <w:rPr>
          <w:b/>
          <w:bCs/>
          <w:color w:val="000000"/>
          <w:sz w:val="22"/>
          <w:szCs w:val="22"/>
        </w:rPr>
        <w:t>MP-ledamoten anmälde följande avvikande ståndpunkt:</w:t>
      </w:r>
      <w:r>
        <w:rPr>
          <w:b/>
          <w:bCs/>
          <w:color w:val="000000"/>
          <w:sz w:val="22"/>
          <w:szCs w:val="22"/>
        </w:rPr>
        <w:br/>
      </w:r>
      <w:r w:rsidRPr="003D7986">
        <w:rPr>
          <w:sz w:val="22"/>
          <w:szCs w:val="22"/>
        </w:rPr>
        <w:t xml:space="preserve">Vi anser att regeringen ska ställa sig bakom kommissionens förslag att lista hela släktet Anguilla på </w:t>
      </w:r>
    </w:p>
    <w:p w14:paraId="51846203" w14:textId="77777777" w:rsidR="00FF5D32" w:rsidRPr="003D7986" w:rsidRDefault="00FF5D32" w:rsidP="00FF5D32">
      <w:pPr>
        <w:rPr>
          <w:sz w:val="22"/>
          <w:szCs w:val="22"/>
        </w:rPr>
      </w:pPr>
      <w:r w:rsidRPr="003D7986">
        <w:rPr>
          <w:sz w:val="22"/>
          <w:szCs w:val="22"/>
        </w:rPr>
        <w:t xml:space="preserve">konventionens bilaga II, vilket innebär att samtliga 19 underarter listas. Regeringen bör fortsatt arbeta för att föra upp den europeiska ålen på konventionens bilaga I. Vi anser också att regeringen ska ställa sig bakom förslaget om att lista arter inom familjen </w:t>
      </w:r>
      <w:proofErr w:type="spellStart"/>
      <w:r w:rsidRPr="003D7986">
        <w:rPr>
          <w:sz w:val="22"/>
          <w:szCs w:val="22"/>
        </w:rPr>
        <w:t>sorghajar</w:t>
      </w:r>
      <w:proofErr w:type="spellEnd"/>
      <w:r w:rsidRPr="003D7986">
        <w:rPr>
          <w:sz w:val="22"/>
          <w:szCs w:val="22"/>
        </w:rPr>
        <w:t>/</w:t>
      </w:r>
      <w:proofErr w:type="spellStart"/>
      <w:r w:rsidRPr="003D7986">
        <w:rPr>
          <w:sz w:val="22"/>
          <w:szCs w:val="22"/>
        </w:rPr>
        <w:t>näbbnoshajar</w:t>
      </w:r>
      <w:proofErr w:type="spellEnd"/>
      <w:r w:rsidRPr="003D7986">
        <w:rPr>
          <w:sz w:val="22"/>
          <w:szCs w:val="22"/>
        </w:rPr>
        <w:t xml:space="preserve"> på bilaga II.</w:t>
      </w:r>
    </w:p>
    <w:p w14:paraId="5EB0E8E0" w14:textId="77777777" w:rsidR="00FF5D32" w:rsidRPr="003D7986" w:rsidRDefault="00FF5D32" w:rsidP="00FF5D32">
      <w:pPr>
        <w:rPr>
          <w:sz w:val="22"/>
          <w:szCs w:val="22"/>
        </w:rPr>
      </w:pPr>
    </w:p>
    <w:p w14:paraId="43E2C6C5" w14:textId="77777777" w:rsidR="00FF5D32" w:rsidRPr="003D7986" w:rsidRDefault="00FF5D32" w:rsidP="00FF5D32">
      <w:pPr>
        <w:rPr>
          <w:sz w:val="22"/>
          <w:szCs w:val="22"/>
        </w:rPr>
      </w:pPr>
      <w:r w:rsidRPr="003D7986">
        <w:rPr>
          <w:sz w:val="22"/>
          <w:szCs w:val="22"/>
        </w:rPr>
        <w:t xml:space="preserve">Listning i bilaga II kräver inte att arten är hotad – som regeringen också skriver – utan är ett skydd för arter som kan påverkas negativt av handel vilket exempelvis gäller alla de listade </w:t>
      </w:r>
      <w:proofErr w:type="spellStart"/>
      <w:r w:rsidRPr="003D7986">
        <w:rPr>
          <w:sz w:val="22"/>
          <w:szCs w:val="22"/>
        </w:rPr>
        <w:t>ålarterna</w:t>
      </w:r>
      <w:proofErr w:type="spellEnd"/>
      <w:r w:rsidRPr="003D7986">
        <w:rPr>
          <w:sz w:val="22"/>
          <w:szCs w:val="22"/>
        </w:rPr>
        <w:t>. Vid en CITES-listning krävs att man gör en så kallad ”non-</w:t>
      </w:r>
      <w:proofErr w:type="spellStart"/>
      <w:r w:rsidRPr="003D7986">
        <w:rPr>
          <w:sz w:val="22"/>
          <w:szCs w:val="22"/>
        </w:rPr>
        <w:t>detriment</w:t>
      </w:r>
      <w:proofErr w:type="spellEnd"/>
      <w:r w:rsidRPr="003D7986">
        <w:rPr>
          <w:sz w:val="22"/>
          <w:szCs w:val="22"/>
        </w:rPr>
        <w:t xml:space="preserve"> </w:t>
      </w:r>
      <w:proofErr w:type="spellStart"/>
      <w:r w:rsidRPr="003D7986">
        <w:rPr>
          <w:sz w:val="22"/>
          <w:szCs w:val="22"/>
        </w:rPr>
        <w:t>finding</w:t>
      </w:r>
      <w:proofErr w:type="spellEnd"/>
      <w:r w:rsidRPr="003D7986">
        <w:rPr>
          <w:sz w:val="22"/>
          <w:szCs w:val="22"/>
        </w:rPr>
        <w:t xml:space="preserve">” för att motivera hur handel kan bedrivas utan att arten tar skada av det, och då måste man undersöka och dokumentera situationen och motivera hur handel kan ske på ett uthålligt sätt. </w:t>
      </w:r>
    </w:p>
    <w:p w14:paraId="6DF054E5" w14:textId="77777777" w:rsidR="00FF5D32" w:rsidRDefault="00FF5D32" w:rsidP="00FF5D32">
      <w:pPr>
        <w:rPr>
          <w:sz w:val="22"/>
          <w:szCs w:val="22"/>
        </w:rPr>
      </w:pPr>
    </w:p>
    <w:p w14:paraId="37F5D385" w14:textId="77777777" w:rsidR="00FF5D32" w:rsidRPr="003D7986" w:rsidRDefault="00FF5D32" w:rsidP="00FF5D32">
      <w:pPr>
        <w:rPr>
          <w:sz w:val="22"/>
          <w:szCs w:val="22"/>
        </w:rPr>
      </w:pPr>
      <w:r w:rsidRPr="003D7986">
        <w:rPr>
          <w:sz w:val="22"/>
          <w:szCs w:val="22"/>
        </w:rPr>
        <w:t xml:space="preserve">Vi anser därför att en listning av alla </w:t>
      </w:r>
      <w:proofErr w:type="spellStart"/>
      <w:r w:rsidRPr="003D7986">
        <w:rPr>
          <w:sz w:val="22"/>
          <w:szCs w:val="22"/>
        </w:rPr>
        <w:t>ålarterna</w:t>
      </w:r>
      <w:proofErr w:type="spellEnd"/>
      <w:r w:rsidRPr="003D7986">
        <w:rPr>
          <w:sz w:val="22"/>
          <w:szCs w:val="22"/>
        </w:rPr>
        <w:t xml:space="preserve"> är bra för informationssituationen – det tvingar alla länder som vill exploatera/handla med ål att undersöka, motivera och redogöra för att det sker på ett sätt som inte är skadligt. </w:t>
      </w:r>
    </w:p>
    <w:p w14:paraId="6CC078BE" w14:textId="77777777" w:rsidR="00FF5D32" w:rsidRPr="003D7986" w:rsidRDefault="00FF5D32" w:rsidP="00FF5D32">
      <w:pPr>
        <w:tabs>
          <w:tab w:val="left" w:pos="1701"/>
        </w:tabs>
        <w:rPr>
          <w:b/>
          <w:bCs/>
          <w:color w:val="000000"/>
          <w:sz w:val="22"/>
          <w:szCs w:val="22"/>
        </w:rPr>
      </w:pPr>
    </w:p>
    <w:bookmarkEnd w:id="2"/>
    <w:p w14:paraId="3CB0B485" w14:textId="77777777" w:rsidR="00987069" w:rsidRDefault="00987069" w:rsidP="00987069">
      <w:pPr>
        <w:tabs>
          <w:tab w:val="left" w:pos="142"/>
          <w:tab w:val="left" w:pos="7655"/>
        </w:tabs>
        <w:ind w:right="-568"/>
        <w:rPr>
          <w:sz w:val="22"/>
          <w:szCs w:val="22"/>
        </w:rPr>
      </w:pPr>
    </w:p>
    <w:sectPr w:rsidR="00987069"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359E"/>
    <w:rsid w:val="00007222"/>
    <w:rsid w:val="00022E0C"/>
    <w:rsid w:val="00027A71"/>
    <w:rsid w:val="000310B4"/>
    <w:rsid w:val="00033928"/>
    <w:rsid w:val="000340CE"/>
    <w:rsid w:val="0003479D"/>
    <w:rsid w:val="00034F00"/>
    <w:rsid w:val="0003552F"/>
    <w:rsid w:val="00040A3C"/>
    <w:rsid w:val="00041991"/>
    <w:rsid w:val="000459DE"/>
    <w:rsid w:val="000467A5"/>
    <w:rsid w:val="000604E3"/>
    <w:rsid w:val="00061437"/>
    <w:rsid w:val="00064523"/>
    <w:rsid w:val="00070A5C"/>
    <w:rsid w:val="00071FBC"/>
    <w:rsid w:val="00076BDD"/>
    <w:rsid w:val="00086A67"/>
    <w:rsid w:val="00087ADB"/>
    <w:rsid w:val="00091EA6"/>
    <w:rsid w:val="000A29E4"/>
    <w:rsid w:val="000C512B"/>
    <w:rsid w:val="000D4425"/>
    <w:rsid w:val="000E402E"/>
    <w:rsid w:val="000E777E"/>
    <w:rsid w:val="000F1B6F"/>
    <w:rsid w:val="000F6792"/>
    <w:rsid w:val="000F7521"/>
    <w:rsid w:val="000F7D9B"/>
    <w:rsid w:val="00102D5B"/>
    <w:rsid w:val="00102F93"/>
    <w:rsid w:val="001107C9"/>
    <w:rsid w:val="00111773"/>
    <w:rsid w:val="001201A1"/>
    <w:rsid w:val="001238B9"/>
    <w:rsid w:val="00136BAF"/>
    <w:rsid w:val="0014421B"/>
    <w:rsid w:val="00154537"/>
    <w:rsid w:val="001576B4"/>
    <w:rsid w:val="00157C48"/>
    <w:rsid w:val="00157E3A"/>
    <w:rsid w:val="00161710"/>
    <w:rsid w:val="00164491"/>
    <w:rsid w:val="0016531F"/>
    <w:rsid w:val="00165402"/>
    <w:rsid w:val="001701BF"/>
    <w:rsid w:val="001709AE"/>
    <w:rsid w:val="00171C59"/>
    <w:rsid w:val="00172561"/>
    <w:rsid w:val="001765EB"/>
    <w:rsid w:val="00176F71"/>
    <w:rsid w:val="00177FF8"/>
    <w:rsid w:val="001806D9"/>
    <w:rsid w:val="00183F5A"/>
    <w:rsid w:val="00190D5B"/>
    <w:rsid w:val="00194DBF"/>
    <w:rsid w:val="001A198D"/>
    <w:rsid w:val="001A35A0"/>
    <w:rsid w:val="001D3FD1"/>
    <w:rsid w:val="001D7100"/>
    <w:rsid w:val="001D7BA2"/>
    <w:rsid w:val="001E1F27"/>
    <w:rsid w:val="001F0044"/>
    <w:rsid w:val="001F3F30"/>
    <w:rsid w:val="001F641B"/>
    <w:rsid w:val="002007E9"/>
    <w:rsid w:val="00200F8B"/>
    <w:rsid w:val="0021176A"/>
    <w:rsid w:val="00212A8D"/>
    <w:rsid w:val="00214162"/>
    <w:rsid w:val="00216C70"/>
    <w:rsid w:val="002241EF"/>
    <w:rsid w:val="0023053D"/>
    <w:rsid w:val="00231475"/>
    <w:rsid w:val="0023528F"/>
    <w:rsid w:val="002378CC"/>
    <w:rsid w:val="00240F68"/>
    <w:rsid w:val="00243C44"/>
    <w:rsid w:val="0025203B"/>
    <w:rsid w:val="00254C5A"/>
    <w:rsid w:val="0025725D"/>
    <w:rsid w:val="002625E6"/>
    <w:rsid w:val="00267A73"/>
    <w:rsid w:val="002830F4"/>
    <w:rsid w:val="00286C79"/>
    <w:rsid w:val="00287223"/>
    <w:rsid w:val="002968EE"/>
    <w:rsid w:val="002A14AC"/>
    <w:rsid w:val="002A3C5F"/>
    <w:rsid w:val="002B3A62"/>
    <w:rsid w:val="002C1D92"/>
    <w:rsid w:val="002C2D78"/>
    <w:rsid w:val="002C5261"/>
    <w:rsid w:val="002C5FED"/>
    <w:rsid w:val="002D06F9"/>
    <w:rsid w:val="002D20B8"/>
    <w:rsid w:val="002D5CC4"/>
    <w:rsid w:val="002E536D"/>
    <w:rsid w:val="002F25FD"/>
    <w:rsid w:val="002F3C22"/>
    <w:rsid w:val="00302EBE"/>
    <w:rsid w:val="00305501"/>
    <w:rsid w:val="003100F5"/>
    <w:rsid w:val="00311886"/>
    <w:rsid w:val="003127B4"/>
    <w:rsid w:val="003220D7"/>
    <w:rsid w:val="00322167"/>
    <w:rsid w:val="00327EBD"/>
    <w:rsid w:val="00335837"/>
    <w:rsid w:val="00335938"/>
    <w:rsid w:val="00342CC6"/>
    <w:rsid w:val="003443ED"/>
    <w:rsid w:val="0035205C"/>
    <w:rsid w:val="00374911"/>
    <w:rsid w:val="00381298"/>
    <w:rsid w:val="00384217"/>
    <w:rsid w:val="0038725A"/>
    <w:rsid w:val="00387440"/>
    <w:rsid w:val="003941CA"/>
    <w:rsid w:val="00395EBD"/>
    <w:rsid w:val="00396766"/>
    <w:rsid w:val="003A006F"/>
    <w:rsid w:val="003A2D61"/>
    <w:rsid w:val="003B009D"/>
    <w:rsid w:val="003B57EC"/>
    <w:rsid w:val="003B6681"/>
    <w:rsid w:val="003B70D3"/>
    <w:rsid w:val="003E21B4"/>
    <w:rsid w:val="003E2DA5"/>
    <w:rsid w:val="003E370A"/>
    <w:rsid w:val="003E6695"/>
    <w:rsid w:val="003F5018"/>
    <w:rsid w:val="003F7963"/>
    <w:rsid w:val="0040271E"/>
    <w:rsid w:val="00402A6F"/>
    <w:rsid w:val="00405162"/>
    <w:rsid w:val="004072D7"/>
    <w:rsid w:val="00416E51"/>
    <w:rsid w:val="00417CF8"/>
    <w:rsid w:val="00420D39"/>
    <w:rsid w:val="004310CA"/>
    <w:rsid w:val="00440E5D"/>
    <w:rsid w:val="00451DB7"/>
    <w:rsid w:val="00461BF1"/>
    <w:rsid w:val="00463E6E"/>
    <w:rsid w:val="00464559"/>
    <w:rsid w:val="00467848"/>
    <w:rsid w:val="00470F4B"/>
    <w:rsid w:val="004763AE"/>
    <w:rsid w:val="0047654D"/>
    <w:rsid w:val="00481A80"/>
    <w:rsid w:val="00481AE3"/>
    <w:rsid w:val="00482D9A"/>
    <w:rsid w:val="00485C5B"/>
    <w:rsid w:val="004945A7"/>
    <w:rsid w:val="004A5400"/>
    <w:rsid w:val="004A7C15"/>
    <w:rsid w:val="004B1E7E"/>
    <w:rsid w:val="004C58F4"/>
    <w:rsid w:val="004D6725"/>
    <w:rsid w:val="004E030E"/>
    <w:rsid w:val="004E0E27"/>
    <w:rsid w:val="004E4C8B"/>
    <w:rsid w:val="004E7DCE"/>
    <w:rsid w:val="00501F97"/>
    <w:rsid w:val="00505A58"/>
    <w:rsid w:val="005118EF"/>
    <w:rsid w:val="005119DB"/>
    <w:rsid w:val="00512799"/>
    <w:rsid w:val="0051377A"/>
    <w:rsid w:val="00513BEE"/>
    <w:rsid w:val="00515AC5"/>
    <w:rsid w:val="00523D80"/>
    <w:rsid w:val="005249C1"/>
    <w:rsid w:val="00530BD4"/>
    <w:rsid w:val="005470CE"/>
    <w:rsid w:val="0055441A"/>
    <w:rsid w:val="005654CA"/>
    <w:rsid w:val="00573E17"/>
    <w:rsid w:val="00573F9E"/>
    <w:rsid w:val="00575332"/>
    <w:rsid w:val="005855D5"/>
    <w:rsid w:val="005957E5"/>
    <w:rsid w:val="005A3E8B"/>
    <w:rsid w:val="005B0CFF"/>
    <w:rsid w:val="005B1B2C"/>
    <w:rsid w:val="005D2E63"/>
    <w:rsid w:val="005D7C2B"/>
    <w:rsid w:val="005E2592"/>
    <w:rsid w:val="005E5543"/>
    <w:rsid w:val="005E6A1F"/>
    <w:rsid w:val="005F6C39"/>
    <w:rsid w:val="005F6E22"/>
    <w:rsid w:val="0060083A"/>
    <w:rsid w:val="00603450"/>
    <w:rsid w:val="006064AF"/>
    <w:rsid w:val="006135A6"/>
    <w:rsid w:val="00621937"/>
    <w:rsid w:val="006227E2"/>
    <w:rsid w:val="00623CB2"/>
    <w:rsid w:val="006241B5"/>
    <w:rsid w:val="00624DF2"/>
    <w:rsid w:val="00626575"/>
    <w:rsid w:val="00631728"/>
    <w:rsid w:val="00632A02"/>
    <w:rsid w:val="00635CA6"/>
    <w:rsid w:val="00640EEA"/>
    <w:rsid w:val="0064109C"/>
    <w:rsid w:val="00646730"/>
    <w:rsid w:val="00647558"/>
    <w:rsid w:val="006505C8"/>
    <w:rsid w:val="0065168B"/>
    <w:rsid w:val="00657FD1"/>
    <w:rsid w:val="0066010F"/>
    <w:rsid w:val="00675F6F"/>
    <w:rsid w:val="00694BE5"/>
    <w:rsid w:val="0069597E"/>
    <w:rsid w:val="006A49EA"/>
    <w:rsid w:val="006A63A7"/>
    <w:rsid w:val="006B11A4"/>
    <w:rsid w:val="006C1EB7"/>
    <w:rsid w:val="006C66B9"/>
    <w:rsid w:val="006D05CF"/>
    <w:rsid w:val="006D312E"/>
    <w:rsid w:val="006D4530"/>
    <w:rsid w:val="006D5F8F"/>
    <w:rsid w:val="006E15D9"/>
    <w:rsid w:val="006F4672"/>
    <w:rsid w:val="007027D6"/>
    <w:rsid w:val="00716686"/>
    <w:rsid w:val="00721C53"/>
    <w:rsid w:val="007238FF"/>
    <w:rsid w:val="00740391"/>
    <w:rsid w:val="007453FF"/>
    <w:rsid w:val="007515B2"/>
    <w:rsid w:val="00751E41"/>
    <w:rsid w:val="00751FA0"/>
    <w:rsid w:val="00752EBB"/>
    <w:rsid w:val="00754C4A"/>
    <w:rsid w:val="007555BE"/>
    <w:rsid w:val="00762508"/>
    <w:rsid w:val="00764DCA"/>
    <w:rsid w:val="007719E4"/>
    <w:rsid w:val="00783165"/>
    <w:rsid w:val="00785BE7"/>
    <w:rsid w:val="00796426"/>
    <w:rsid w:val="00797A27"/>
    <w:rsid w:val="007A1132"/>
    <w:rsid w:val="007B1F72"/>
    <w:rsid w:val="007B26F0"/>
    <w:rsid w:val="007B60B1"/>
    <w:rsid w:val="007C286F"/>
    <w:rsid w:val="007C55FB"/>
    <w:rsid w:val="007E14E2"/>
    <w:rsid w:val="007F12BB"/>
    <w:rsid w:val="007F7A91"/>
    <w:rsid w:val="00800F79"/>
    <w:rsid w:val="008032FE"/>
    <w:rsid w:val="008072FF"/>
    <w:rsid w:val="008124A2"/>
    <w:rsid w:val="00821792"/>
    <w:rsid w:val="00821BA4"/>
    <w:rsid w:val="00834E22"/>
    <w:rsid w:val="0084464A"/>
    <w:rsid w:val="008458B4"/>
    <w:rsid w:val="008504EB"/>
    <w:rsid w:val="00856389"/>
    <w:rsid w:val="00865092"/>
    <w:rsid w:val="00865593"/>
    <w:rsid w:val="00865C85"/>
    <w:rsid w:val="008856C5"/>
    <w:rsid w:val="00886349"/>
    <w:rsid w:val="0089370A"/>
    <w:rsid w:val="00894936"/>
    <w:rsid w:val="0089673E"/>
    <w:rsid w:val="008A28BD"/>
    <w:rsid w:val="008A2C1B"/>
    <w:rsid w:val="008B5472"/>
    <w:rsid w:val="008B5D35"/>
    <w:rsid w:val="008B7CC5"/>
    <w:rsid w:val="008C0FEE"/>
    <w:rsid w:val="008C2D5B"/>
    <w:rsid w:val="008D1260"/>
    <w:rsid w:val="008D692B"/>
    <w:rsid w:val="008D6CA6"/>
    <w:rsid w:val="008D7C53"/>
    <w:rsid w:val="008E1864"/>
    <w:rsid w:val="008E6B40"/>
    <w:rsid w:val="008F4883"/>
    <w:rsid w:val="008F4D6D"/>
    <w:rsid w:val="00903989"/>
    <w:rsid w:val="009064E6"/>
    <w:rsid w:val="00910C8E"/>
    <w:rsid w:val="00911B90"/>
    <w:rsid w:val="009123AE"/>
    <w:rsid w:val="00914C38"/>
    <w:rsid w:val="00921E40"/>
    <w:rsid w:val="009222A6"/>
    <w:rsid w:val="00922EB0"/>
    <w:rsid w:val="00931E92"/>
    <w:rsid w:val="009334A9"/>
    <w:rsid w:val="009339E5"/>
    <w:rsid w:val="009442D4"/>
    <w:rsid w:val="00952893"/>
    <w:rsid w:val="00952D48"/>
    <w:rsid w:val="009553A6"/>
    <w:rsid w:val="00955CA2"/>
    <w:rsid w:val="009653D4"/>
    <w:rsid w:val="009802CA"/>
    <w:rsid w:val="00980A86"/>
    <w:rsid w:val="009823FA"/>
    <w:rsid w:val="009843D0"/>
    <w:rsid w:val="00987069"/>
    <w:rsid w:val="00994906"/>
    <w:rsid w:val="009A0C25"/>
    <w:rsid w:val="009B0833"/>
    <w:rsid w:val="009B0A47"/>
    <w:rsid w:val="009B1CDF"/>
    <w:rsid w:val="009B1EEE"/>
    <w:rsid w:val="009B38A7"/>
    <w:rsid w:val="009B5CCC"/>
    <w:rsid w:val="009C0C9D"/>
    <w:rsid w:val="009D2985"/>
    <w:rsid w:val="009D4B23"/>
    <w:rsid w:val="009D4D1A"/>
    <w:rsid w:val="009D6236"/>
    <w:rsid w:val="009E0D7F"/>
    <w:rsid w:val="009E2FEF"/>
    <w:rsid w:val="009E3810"/>
    <w:rsid w:val="009F1689"/>
    <w:rsid w:val="009F36F0"/>
    <w:rsid w:val="00A03943"/>
    <w:rsid w:val="00A04AA9"/>
    <w:rsid w:val="00A0583C"/>
    <w:rsid w:val="00A0740D"/>
    <w:rsid w:val="00A10EBF"/>
    <w:rsid w:val="00A2390B"/>
    <w:rsid w:val="00A25410"/>
    <w:rsid w:val="00A258BE"/>
    <w:rsid w:val="00A25D52"/>
    <w:rsid w:val="00A2715C"/>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86BF9"/>
    <w:rsid w:val="00A942DB"/>
    <w:rsid w:val="00A953AD"/>
    <w:rsid w:val="00AA1A3B"/>
    <w:rsid w:val="00AB1421"/>
    <w:rsid w:val="00AB2883"/>
    <w:rsid w:val="00AB3D05"/>
    <w:rsid w:val="00AC0C85"/>
    <w:rsid w:val="00AD2143"/>
    <w:rsid w:val="00AD2B50"/>
    <w:rsid w:val="00AD4D95"/>
    <w:rsid w:val="00AD78E7"/>
    <w:rsid w:val="00AE0071"/>
    <w:rsid w:val="00AE6FBC"/>
    <w:rsid w:val="00AF00D1"/>
    <w:rsid w:val="00AF70B0"/>
    <w:rsid w:val="00B02783"/>
    <w:rsid w:val="00B0296A"/>
    <w:rsid w:val="00B03D1F"/>
    <w:rsid w:val="00B04E15"/>
    <w:rsid w:val="00B10BE1"/>
    <w:rsid w:val="00B16183"/>
    <w:rsid w:val="00B16C18"/>
    <w:rsid w:val="00B22F3B"/>
    <w:rsid w:val="00B24B9D"/>
    <w:rsid w:val="00B26D29"/>
    <w:rsid w:val="00B3182D"/>
    <w:rsid w:val="00B323CB"/>
    <w:rsid w:val="00B33DC4"/>
    <w:rsid w:val="00B35D41"/>
    <w:rsid w:val="00B40F4D"/>
    <w:rsid w:val="00B419CA"/>
    <w:rsid w:val="00B52C1D"/>
    <w:rsid w:val="00B54A57"/>
    <w:rsid w:val="00B5691D"/>
    <w:rsid w:val="00B579F1"/>
    <w:rsid w:val="00B62905"/>
    <w:rsid w:val="00B664F7"/>
    <w:rsid w:val="00B670EF"/>
    <w:rsid w:val="00B7289B"/>
    <w:rsid w:val="00B7776C"/>
    <w:rsid w:val="00B80318"/>
    <w:rsid w:val="00B83B89"/>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333D"/>
    <w:rsid w:val="00BE4824"/>
    <w:rsid w:val="00BE4890"/>
    <w:rsid w:val="00BE7A1B"/>
    <w:rsid w:val="00BF0D09"/>
    <w:rsid w:val="00BF17F3"/>
    <w:rsid w:val="00C013F6"/>
    <w:rsid w:val="00C0421C"/>
    <w:rsid w:val="00C11E5F"/>
    <w:rsid w:val="00C20B9F"/>
    <w:rsid w:val="00C20F78"/>
    <w:rsid w:val="00C22E5F"/>
    <w:rsid w:val="00C26F83"/>
    <w:rsid w:val="00C27A17"/>
    <w:rsid w:val="00C367C6"/>
    <w:rsid w:val="00C465CB"/>
    <w:rsid w:val="00C55553"/>
    <w:rsid w:val="00C65F27"/>
    <w:rsid w:val="00C6697A"/>
    <w:rsid w:val="00C674DC"/>
    <w:rsid w:val="00C80EBD"/>
    <w:rsid w:val="00C84A9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5772E"/>
    <w:rsid w:val="00D60FBE"/>
    <w:rsid w:val="00D72821"/>
    <w:rsid w:val="00D7301B"/>
    <w:rsid w:val="00D75A18"/>
    <w:rsid w:val="00D830E6"/>
    <w:rsid w:val="00D846CD"/>
    <w:rsid w:val="00D87D66"/>
    <w:rsid w:val="00D919F2"/>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26C"/>
    <w:rsid w:val="00E54E79"/>
    <w:rsid w:val="00E60AE8"/>
    <w:rsid w:val="00E80B09"/>
    <w:rsid w:val="00EA5C1E"/>
    <w:rsid w:val="00EB321F"/>
    <w:rsid w:val="00EB5801"/>
    <w:rsid w:val="00EC7E9B"/>
    <w:rsid w:val="00EE0069"/>
    <w:rsid w:val="00EE0BF7"/>
    <w:rsid w:val="00EE6E7B"/>
    <w:rsid w:val="00EF1B0A"/>
    <w:rsid w:val="00EF4ADF"/>
    <w:rsid w:val="00EF4B6A"/>
    <w:rsid w:val="00F1092D"/>
    <w:rsid w:val="00F13B23"/>
    <w:rsid w:val="00F143DB"/>
    <w:rsid w:val="00F152D4"/>
    <w:rsid w:val="00F25AFF"/>
    <w:rsid w:val="00F31840"/>
    <w:rsid w:val="00F367F0"/>
    <w:rsid w:val="00F52E1E"/>
    <w:rsid w:val="00F53D02"/>
    <w:rsid w:val="00F54B7B"/>
    <w:rsid w:val="00F6549A"/>
    <w:rsid w:val="00F65F54"/>
    <w:rsid w:val="00F66FF9"/>
    <w:rsid w:val="00F73CB8"/>
    <w:rsid w:val="00F73D67"/>
    <w:rsid w:val="00F73D97"/>
    <w:rsid w:val="00F755B2"/>
    <w:rsid w:val="00F82610"/>
    <w:rsid w:val="00F832D2"/>
    <w:rsid w:val="00F85016"/>
    <w:rsid w:val="00F86DDF"/>
    <w:rsid w:val="00F902C3"/>
    <w:rsid w:val="00F97D4A"/>
    <w:rsid w:val="00FA2B53"/>
    <w:rsid w:val="00FA6C99"/>
    <w:rsid w:val="00FB0559"/>
    <w:rsid w:val="00FB07D3"/>
    <w:rsid w:val="00FB5AF3"/>
    <w:rsid w:val="00FC1B12"/>
    <w:rsid w:val="00FC47A3"/>
    <w:rsid w:val="00FC4818"/>
    <w:rsid w:val="00FE0D66"/>
    <w:rsid w:val="00FE6C70"/>
    <w:rsid w:val="00FF5D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link w:val="BrdtextChar"/>
    <w:qFormat/>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FF5D32"/>
  </w:style>
  <w:style w:type="character" w:customStyle="1" w:styleId="BrdtextChar">
    <w:name w:val="Brödtext Char"/>
    <w:basedOn w:val="Standardstycketeckensnitt"/>
    <w:link w:val="Brdtext"/>
    <w:rsid w:val="00FF5D3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187359">
      <w:bodyDiv w:val="1"/>
      <w:marLeft w:val="0"/>
      <w:marRight w:val="0"/>
      <w:marTop w:val="0"/>
      <w:marBottom w:val="0"/>
      <w:divBdr>
        <w:top w:val="none" w:sz="0" w:space="0" w:color="auto"/>
        <w:left w:val="none" w:sz="0" w:space="0" w:color="auto"/>
        <w:bottom w:val="none" w:sz="0" w:space="0" w:color="auto"/>
        <w:right w:val="none" w:sz="0" w:space="0" w:color="auto"/>
      </w:divBdr>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8</Pages>
  <Words>2343</Words>
  <Characters>14507</Characters>
  <Application>Microsoft Office Word</Application>
  <DocSecurity>0</DocSecurity>
  <Lines>1036</Lines>
  <Paragraphs>276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17</cp:revision>
  <cp:lastPrinted>2025-03-31T08:53:00Z</cp:lastPrinted>
  <dcterms:created xsi:type="dcterms:W3CDTF">2025-05-09T10:57:00Z</dcterms:created>
  <dcterms:modified xsi:type="dcterms:W3CDTF">2025-06-17T10:49:00Z</dcterms:modified>
</cp:coreProperties>
</file>