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C973BF">
              <w:rPr>
                <w:b/>
              </w:rPr>
              <w:t>25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C973BF">
              <w:t>05-06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C973BF" w:rsidP="0096348C">
            <w:r>
              <w:t>10.00–</w:t>
            </w:r>
            <w:r w:rsidR="00124103">
              <w:t>10.55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>Hillevi Larsson (S), Helena Bouveng (M), Eric Westroth (SD), Sultan Kayhan (S), Boriana Åberg (M), David Lång (SD)</w:t>
            </w:r>
            <w:r w:rsidR="004F14A4">
              <w:t>,</w:t>
            </w:r>
            <w:r w:rsidR="00E066D8">
              <w:t xml:space="preserve"> Patrik Lundqvist (S),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A63738">
              <w:t xml:space="preserve">, Johnny </w:t>
            </w:r>
            <w:proofErr w:type="spellStart"/>
            <w:r w:rsidR="00A63738">
              <w:t>Skalin</w:t>
            </w:r>
            <w:proofErr w:type="spellEnd"/>
            <w:r w:rsidR="00A63738">
              <w:t xml:space="preserve"> (SD)</w:t>
            </w:r>
            <w:r w:rsidR="00D47F0E">
              <w:t>,</w:t>
            </w:r>
            <w:r w:rsidR="00E066D8">
              <w:t xml:space="preserve"> </w:t>
            </w:r>
            <w:r w:rsidR="00D47F0E">
              <w:t xml:space="preserve">Emma </w:t>
            </w:r>
            <w:proofErr w:type="spellStart"/>
            <w:r w:rsidR="00D47F0E">
              <w:t>Beringer</w:t>
            </w:r>
            <w:proofErr w:type="spellEnd"/>
            <w:r w:rsidR="00D47F0E">
              <w:t xml:space="preserve"> (MP) och </w:t>
            </w:r>
            <w:proofErr w:type="spellStart"/>
            <w:r w:rsidR="00D47F0E">
              <w:t>Ciczie</w:t>
            </w:r>
            <w:proofErr w:type="spellEnd"/>
            <w:r w:rsidR="00D47F0E">
              <w:t xml:space="preserve"> Weidby (</w:t>
            </w:r>
            <w:r w:rsidR="00EC5A68">
              <w:t>V</w:t>
            </w:r>
            <w:r w:rsidR="00D47F0E">
              <w:t>)</w:t>
            </w:r>
            <w:r w:rsidR="00E066D8">
              <w:t>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D47F0E" w:rsidP="004673D5">
            <w:r>
              <w:t>Fyra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D6605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:rsidR="00E57DF8" w:rsidRDefault="00C973B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7DF8" w:rsidRPr="009C2ED3" w:rsidRDefault="00C973B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</w:t>
            </w:r>
            <w:r w:rsidRPr="00980CBF">
              <w:rPr>
                <w:rFonts w:eastAsiaTheme="minorHAnsi"/>
                <w:color w:val="000000"/>
                <w:szCs w:val="24"/>
                <w:lang w:eastAsia="en-US"/>
              </w:rPr>
              <w:t>Fredrik Olovsson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medarbetare, Finansdepartemente</w:t>
            </w:r>
            <w:r w:rsidR="003E0354"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E57DF8">
              <w:rPr>
                <w:szCs w:val="24"/>
              </w:rPr>
              <w:t xml:space="preserve"> </w:t>
            </w:r>
            <w:r w:rsidR="004673D5">
              <w:rPr>
                <w:szCs w:val="24"/>
              </w:rPr>
              <w:t>deltog på distans</w:t>
            </w:r>
            <w:r w:rsidR="00E57DF8">
              <w:rPr>
                <w:szCs w:val="24"/>
              </w:rPr>
              <w:t xml:space="preserve"> och lämnade information och svarade på utskottets frågor.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7D66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D3043" w:rsidRDefault="00C973BF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80CB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Eurovinjettdirektivet</w:t>
            </w:r>
            <w:r w:rsidR="000D304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D304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D3043" w:rsidRPr="005B36F4">
              <w:rPr>
                <w:szCs w:val="26"/>
              </w:rPr>
              <w:t xml:space="preserve">Utskottet överlade </w:t>
            </w:r>
            <w:r w:rsidR="001F67F5">
              <w:rPr>
                <w:szCs w:val="26"/>
              </w:rPr>
              <w:t xml:space="preserve">på distans </w:t>
            </w:r>
            <w:r w:rsidR="000D3043" w:rsidRPr="005B36F4">
              <w:rPr>
                <w:szCs w:val="26"/>
              </w:rPr>
              <w:t>med statssekreterare</w:t>
            </w:r>
            <w:r w:rsidRPr="00980CBF">
              <w:rPr>
                <w:rFonts w:eastAsiaTheme="minorHAnsi"/>
                <w:color w:val="000000"/>
                <w:szCs w:val="24"/>
                <w:lang w:eastAsia="en-US"/>
              </w:rPr>
              <w:t xml:space="preserve"> Fredrik Olovsson</w:t>
            </w:r>
            <w:r w:rsidR="000D3043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0D3043" w:rsidRPr="00EC45AD">
              <w:rPr>
                <w:szCs w:val="26"/>
              </w:rPr>
              <w:t xml:space="preserve"> Finansdepartementet</w:t>
            </w:r>
            <w:r w:rsidR="001F67F5">
              <w:rPr>
                <w:szCs w:val="26"/>
              </w:rPr>
              <w:t>.</w:t>
            </w:r>
            <w:r w:rsidR="000D3043">
              <w:rPr>
                <w:szCs w:val="26"/>
              </w:rPr>
              <w:t xml:space="preserve"> </w:t>
            </w:r>
          </w:p>
          <w:p w:rsidR="000D3043" w:rsidRPr="005B36F4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D3043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I ärendet förelåg PM med underlag inför överläggningen daterad </w:t>
            </w:r>
            <w:r w:rsidR="00C973BF">
              <w:rPr>
                <w:szCs w:val="26"/>
              </w:rPr>
              <w:t>2021-05-04</w:t>
            </w:r>
            <w:r>
              <w:rPr>
                <w:szCs w:val="26"/>
              </w:rPr>
              <w:t xml:space="preserve"> </w:t>
            </w:r>
            <w:r w:rsidRPr="005B36F4">
              <w:rPr>
                <w:szCs w:val="26"/>
              </w:rPr>
              <w:t xml:space="preserve">med diarienummer </w:t>
            </w:r>
            <w:r w:rsidR="00C973BF">
              <w:rPr>
                <w:szCs w:val="26"/>
              </w:rPr>
              <w:t>Fi2021/01816</w:t>
            </w:r>
            <w:r w:rsidRPr="005B36F4">
              <w:rPr>
                <w:szCs w:val="26"/>
              </w:rPr>
              <w:t xml:space="preserve"> Underlag inför överläggning i skatt</w:t>
            </w:r>
            <w:r>
              <w:rPr>
                <w:szCs w:val="26"/>
              </w:rPr>
              <w:t>eutskottet</w:t>
            </w:r>
            <w:r w:rsidRPr="005B36F4">
              <w:rPr>
                <w:szCs w:val="26"/>
              </w:rPr>
              <w:t xml:space="preserve"> </w:t>
            </w:r>
            <w:r w:rsidR="00C973BF">
              <w:rPr>
                <w:szCs w:val="26"/>
              </w:rPr>
              <w:t>den 6 maj</w:t>
            </w:r>
            <w:r>
              <w:rPr>
                <w:szCs w:val="26"/>
              </w:rPr>
              <w:t xml:space="preserve"> 2021.</w:t>
            </w:r>
          </w:p>
          <w:p w:rsidR="000D3043" w:rsidRPr="005B36F4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D3043" w:rsidRPr="005B36F4" w:rsidRDefault="000D3043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  <w:u w:val="single"/>
              </w:rPr>
            </w:pPr>
            <w:r w:rsidRPr="00627E2B">
              <w:rPr>
                <w:szCs w:val="26"/>
                <w:u w:val="single"/>
              </w:rPr>
              <w:t>Regeringen redovisade följande som svensk ståndpunkt:</w:t>
            </w:r>
          </w:p>
          <w:p w:rsidR="000D3043" w:rsidRDefault="000D3043" w:rsidP="000D304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973BF" w:rsidRDefault="00C973BF" w:rsidP="00C973BF">
            <w:pPr>
              <w:widowControl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C973BF">
              <w:rPr>
                <w:i/>
                <w:szCs w:val="24"/>
              </w:rPr>
              <w:t>Klimatet är en av mänsklighetens största utmaningar och särskilda insatser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krävs för att minska utsläppen av växthusgaser inom transportsektorn.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Sverige stödjer därför kommissionens ambition att utveckla principen om att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förorenaren ska betala genom en prissättning av koldioxid.</w:t>
            </w:r>
          </w:p>
          <w:p w:rsidR="00C973BF" w:rsidRPr="00C973BF" w:rsidRDefault="00C973BF" w:rsidP="00C973BF">
            <w:pPr>
              <w:widowControl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  <w:p w:rsidR="00C973BF" w:rsidRDefault="00C973BF" w:rsidP="00C973BF">
            <w:pPr>
              <w:widowControl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C973BF">
              <w:rPr>
                <w:i/>
                <w:szCs w:val="24"/>
              </w:rPr>
              <w:t>System för prissättning bestäms av de enskilda medlemsländerna. Valet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mellan tidsbaserade vägavgifter och avståndsbaserade vägtullar ska så länge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som möjligt vara upp till varje enskild medlemsstat. Eurovinjettdirektivet bör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 xml:space="preserve">vara flexibelt och anpassat för </w:t>
            </w:r>
            <w:r w:rsidRPr="00C973BF">
              <w:rPr>
                <w:i/>
                <w:szCs w:val="24"/>
              </w:rPr>
              <w:lastRenderedPageBreak/>
              <w:t>medlemsstater med låg trafikintensitet, glest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befolkade områden, långa avstånd och stora vägnät.</w:t>
            </w:r>
          </w:p>
          <w:p w:rsidR="00CB00F6" w:rsidRPr="00C973BF" w:rsidRDefault="00CB00F6" w:rsidP="00C973BF">
            <w:pPr>
              <w:widowControl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  <w:p w:rsidR="00C973BF" w:rsidRDefault="00C973BF" w:rsidP="00C973BF">
            <w:pPr>
              <w:widowControl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C973BF">
              <w:rPr>
                <w:i/>
                <w:szCs w:val="24"/>
              </w:rPr>
              <w:t>När det gäller användning av intäkter kan regeringen acceptera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formuleringen i dagens direktiv. Sverige kan inte acceptera de delar av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förslagen som innebär att intäkter ska användas på visst vis, då detta strider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mot Sveriges budgetprinciper.</w:t>
            </w:r>
          </w:p>
          <w:p w:rsidR="00C973BF" w:rsidRPr="00C973BF" w:rsidRDefault="00C973BF" w:rsidP="00C973BF">
            <w:pPr>
              <w:widowControl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  <w:p w:rsidR="000D3043" w:rsidRPr="00C973BF" w:rsidRDefault="00C973BF" w:rsidP="00C973B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color w:val="000000"/>
                <w:szCs w:val="24"/>
                <w:lang w:eastAsia="en-US"/>
              </w:rPr>
            </w:pPr>
            <w:r w:rsidRPr="00C973BF">
              <w:rPr>
                <w:i/>
                <w:szCs w:val="24"/>
              </w:rPr>
              <w:t>Sverige motsätter sig inte att medlemsstaterna ges möjlighet att stegvis sänka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de gällande minimiskattenivåerna till 0 kr om detta blir en konsekvens av</w:t>
            </w:r>
            <w:r>
              <w:rPr>
                <w:i/>
                <w:szCs w:val="24"/>
              </w:rPr>
              <w:t xml:space="preserve"> </w:t>
            </w:r>
            <w:r w:rsidRPr="00C973BF">
              <w:rPr>
                <w:i/>
                <w:szCs w:val="24"/>
              </w:rPr>
              <w:t>utvecklingen av principen att förorenaren betalar.</w:t>
            </w:r>
          </w:p>
          <w:p w:rsidR="000D3043" w:rsidRDefault="000D3043" w:rsidP="000D304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3043" w:rsidRDefault="000D3043" w:rsidP="000D3043">
            <w:pPr>
              <w:rPr>
                <w:snapToGrid w:val="0"/>
              </w:rPr>
            </w:pPr>
            <w:r w:rsidRPr="005313CE">
              <w:rPr>
                <w:snapToGrid w:val="0"/>
              </w:rPr>
              <w:t>Ordföranden konstaterade att det fanns stöd i utskottet för den av regeringen redovisade ståndpunkten.</w:t>
            </w:r>
            <w:r w:rsidRPr="00F218C8">
              <w:rPr>
                <w:snapToGrid w:val="0"/>
              </w:rPr>
              <w:t xml:space="preserve"> </w:t>
            </w:r>
          </w:p>
          <w:p w:rsidR="000D3043" w:rsidRPr="00F218C8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:rsidR="000D3043" w:rsidRPr="005B36F4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F218C8">
              <w:rPr>
                <w:snapToGrid w:val="0"/>
              </w:rPr>
              <w:t>Denna paragraf förklarades omedelbart justerad.</w:t>
            </w:r>
          </w:p>
          <w:p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7D6605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C973BF">
              <w:rPr>
                <w:snapToGrid w:val="0"/>
              </w:rPr>
              <w:t>24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60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60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Utökad befrielse från energiskatt för egenproducerad el (SkU25)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:rsidR="00C973BF" w:rsidRDefault="00C973BF" w:rsidP="00C973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CB00F6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2020/21:113 och motion.</w:t>
            </w:r>
          </w:p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</w:p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25.</w:t>
            </w:r>
          </w:p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</w:p>
          <w:p w:rsidR="00A945D7" w:rsidRDefault="00A14FAD" w:rsidP="00A14F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="00A945D7">
              <w:rPr>
                <w:snapToGrid w:val="0"/>
              </w:rPr>
              <w:t>-</w:t>
            </w:r>
            <w:r>
              <w:rPr>
                <w:snapToGrid w:val="0"/>
              </w:rPr>
              <w:t>ledamöterna anmälde</w:t>
            </w:r>
            <w:r w:rsidR="00A945D7">
              <w:rPr>
                <w:snapToGrid w:val="0"/>
              </w:rPr>
              <w:t xml:space="preserve"> en</w:t>
            </w:r>
            <w:r>
              <w:rPr>
                <w:snapToGrid w:val="0"/>
              </w:rPr>
              <w:t xml:space="preserve"> reservation.</w:t>
            </w:r>
          </w:p>
          <w:p w:rsidR="009C674D" w:rsidRDefault="009C674D" w:rsidP="00A14FAD">
            <w:pPr>
              <w:tabs>
                <w:tab w:val="left" w:pos="1701"/>
              </w:tabs>
              <w:rPr>
                <w:snapToGrid w:val="0"/>
              </w:rPr>
            </w:pPr>
          </w:p>
          <w:p w:rsidR="00A14FAD" w:rsidRDefault="00A14FAD" w:rsidP="00A14F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C- och KD-ledamöterna anmälde särskilda yttranden. </w:t>
            </w:r>
          </w:p>
          <w:p w:rsidR="009C674D" w:rsidRDefault="009C674D" w:rsidP="00A14FAD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9C674D" w:rsidP="00A945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 avstod från ställningstagande.</w:t>
            </w:r>
          </w:p>
          <w:p w:rsidR="009C674D" w:rsidRDefault="009C674D" w:rsidP="00A945D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60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E4B5A" w:rsidRDefault="00A14FAD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Uppsägning av skatteavtalet mellan Sverige och Grekland (SkU34)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CB00F6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</w:t>
            </w:r>
            <w:r w:rsidR="00A945D7">
              <w:rPr>
                <w:rFonts w:eastAsiaTheme="minorHAnsi"/>
                <w:color w:val="000000"/>
                <w:szCs w:val="24"/>
                <w:lang w:eastAsia="en-US"/>
              </w:rPr>
              <w:t>137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 w:rsidR="00A945D7">
              <w:rPr>
                <w:snapToGrid w:val="0"/>
              </w:rPr>
              <w:t>34</w:t>
            </w:r>
            <w:r>
              <w:rPr>
                <w:snapToGrid w:val="0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C973B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</w:t>
            </w:r>
            <w:r w:rsidR="00A14FAD">
              <w:rPr>
                <w:snapToGrid w:val="0"/>
              </w:rPr>
              <w:t xml:space="preserve"> SD-,</w:t>
            </w:r>
            <w:r>
              <w:rPr>
                <w:snapToGrid w:val="0"/>
              </w:rPr>
              <w:t xml:space="preserve"> </w:t>
            </w:r>
            <w:r w:rsidR="00A14FAD">
              <w:rPr>
                <w:snapToGrid w:val="0"/>
              </w:rPr>
              <w:t>KD-</w:t>
            </w:r>
            <w:r>
              <w:rPr>
                <w:snapToGrid w:val="0"/>
              </w:rPr>
              <w:t xml:space="preserve"> och </w:t>
            </w:r>
            <w:r w:rsidR="00A14FAD">
              <w:rPr>
                <w:snapToGrid w:val="0"/>
              </w:rPr>
              <w:t>L</w:t>
            </w:r>
            <w:r w:rsidR="007E4B5A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7E4B5A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7E4B5A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7E4B5A">
              <w:rPr>
                <w:snapToGrid w:val="0"/>
              </w:rPr>
              <w:t xml:space="preserve">. 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973BF" w:rsidTr="00D12EAD">
        <w:tc>
          <w:tcPr>
            <w:tcW w:w="567" w:type="dxa"/>
          </w:tcPr>
          <w:p w:rsidR="00C973BF" w:rsidRDefault="007D66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C973BF" w:rsidRDefault="00A945D7" w:rsidP="00C973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Uppsägning av skatteavtalet mellan Sverige och Portugal (SkU35)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C973BF">
              <w:rPr>
                <w:snapToGrid w:val="0"/>
              </w:rPr>
              <w:t xml:space="preserve"> </w:t>
            </w:r>
          </w:p>
          <w:p w:rsidR="00C973BF" w:rsidRDefault="00C973BF" w:rsidP="00C973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CB00F6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</w:t>
            </w:r>
            <w:r w:rsidR="00A945D7">
              <w:rPr>
                <w:rFonts w:eastAsiaTheme="minorHAnsi"/>
                <w:color w:val="000000"/>
                <w:szCs w:val="24"/>
                <w:lang w:eastAsia="en-US"/>
              </w:rPr>
              <w:t>138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</w:p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 w:rsidR="00A945D7">
              <w:rPr>
                <w:snapToGrid w:val="0"/>
              </w:rPr>
              <w:t>35</w:t>
            </w:r>
            <w:r>
              <w:rPr>
                <w:snapToGrid w:val="0"/>
              </w:rPr>
              <w:t>.</w:t>
            </w:r>
          </w:p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</w:p>
          <w:p w:rsidR="00D60013" w:rsidRDefault="00D60013" w:rsidP="00D600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</w:t>
            </w:r>
            <w:r w:rsidR="00CC049A">
              <w:rPr>
                <w:snapToGrid w:val="0"/>
              </w:rPr>
              <w:t xml:space="preserve"> C-,</w:t>
            </w:r>
            <w:r>
              <w:rPr>
                <w:snapToGrid w:val="0"/>
              </w:rPr>
              <w:t xml:space="preserve"> KD- och L-ledamöterna anmälde särskilda yttranden. </w:t>
            </w:r>
          </w:p>
          <w:p w:rsidR="00C973BF" w:rsidRDefault="00C973BF" w:rsidP="00C973BF">
            <w:pPr>
              <w:tabs>
                <w:tab w:val="left" w:pos="1701"/>
              </w:tabs>
              <w:rPr>
                <w:snapToGrid w:val="0"/>
              </w:rPr>
            </w:pPr>
          </w:p>
          <w:p w:rsidR="00C973BF" w:rsidRDefault="00C973BF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CC04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D660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C3694B" w:rsidRDefault="00CC049A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särskild löneskatt för äldre (SkU31)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</w:t>
            </w:r>
            <w:r w:rsidR="00CC049A">
              <w:rPr>
                <w:rFonts w:eastAsiaTheme="minorHAnsi"/>
                <w:color w:val="000000"/>
                <w:szCs w:val="24"/>
                <w:lang w:eastAsia="en-US"/>
              </w:rPr>
              <w:t>skrivelse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2020/21:</w:t>
            </w:r>
            <w:r w:rsidR="00CC049A">
              <w:rPr>
                <w:rFonts w:eastAsiaTheme="minorHAnsi"/>
                <w:color w:val="000000"/>
                <w:szCs w:val="24"/>
                <w:lang w:eastAsia="en-US"/>
              </w:rPr>
              <w:t>162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605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3A729A" w:rsidRDefault="00CC049A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2021 års ekonomiska vårproposition (SkU7y)</w:t>
            </w:r>
          </w:p>
          <w:p w:rsidR="00CC049A" w:rsidRDefault="00CC049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C049A" w:rsidRDefault="00CC049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2020/21:100 och motioner.</w:t>
            </w:r>
          </w:p>
          <w:p w:rsidR="00CC049A" w:rsidRDefault="00CC049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C049A" w:rsidRDefault="00CC049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C049A" w:rsidRDefault="00CC04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150AA" w:rsidTr="00D12EAD">
        <w:tc>
          <w:tcPr>
            <w:tcW w:w="567" w:type="dxa"/>
          </w:tcPr>
          <w:p w:rsidR="006150AA" w:rsidRDefault="00CC04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605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6150AA" w:rsidRDefault="00CC049A" w:rsidP="006150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2021 (SkU8y)</w:t>
            </w:r>
          </w:p>
          <w:p w:rsidR="00CC049A" w:rsidRDefault="00CC049A" w:rsidP="006150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C049A" w:rsidRDefault="00CC049A" w:rsidP="00CC04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2020/21:99.</w:t>
            </w:r>
          </w:p>
          <w:p w:rsidR="00CC049A" w:rsidRDefault="00CC049A" w:rsidP="00CC049A">
            <w:pPr>
              <w:tabs>
                <w:tab w:val="left" w:pos="1701"/>
              </w:tabs>
              <w:rPr>
                <w:snapToGrid w:val="0"/>
              </w:rPr>
            </w:pPr>
          </w:p>
          <w:p w:rsidR="00CC049A" w:rsidRDefault="00CC049A" w:rsidP="00CC04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C049A" w:rsidRDefault="00CC049A" w:rsidP="006150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605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0D3043" w:rsidRDefault="00CC049A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direktiv 2006/112/EG vad gäller undantag från mervärdesskatteplikt för import och vissa leveranser, med avseende på unionsåtgärder som vidtas av hänsyn till allmänintresset (SUB-59-2020/21)</w:t>
            </w:r>
          </w:p>
          <w:p w:rsidR="00CC049A" w:rsidRDefault="00CC049A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:rsidR="000D3043" w:rsidRPr="00D259E6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inledde subsidiaritetsprövning av </w:t>
            </w:r>
            <w:proofErr w:type="gramStart"/>
            <w:r w:rsidRPr="00D259E6">
              <w:rPr>
                <w:snapToGrid w:val="0"/>
              </w:rPr>
              <w:t>COM(</w:t>
            </w:r>
            <w:proofErr w:type="gramEnd"/>
            <w:r w:rsidRPr="00D259E6">
              <w:rPr>
                <w:snapToGrid w:val="0"/>
              </w:rPr>
              <w:t>202</w:t>
            </w:r>
            <w:r>
              <w:rPr>
                <w:snapToGrid w:val="0"/>
              </w:rPr>
              <w:t>1</w:t>
            </w:r>
            <w:r w:rsidRPr="00D259E6">
              <w:rPr>
                <w:snapToGrid w:val="0"/>
              </w:rPr>
              <w:t xml:space="preserve">) </w:t>
            </w:r>
            <w:r w:rsidR="00CC049A">
              <w:rPr>
                <w:snapToGrid w:val="0"/>
              </w:rPr>
              <w:t>181</w:t>
            </w:r>
            <w:r w:rsidRPr="00D259E6">
              <w:rPr>
                <w:snapToGrid w:val="0"/>
              </w:rPr>
              <w:t>.</w:t>
            </w:r>
          </w:p>
          <w:p w:rsidR="000D3043" w:rsidRPr="00D259E6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:rsidR="000D3043" w:rsidRPr="00D259E6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Utskottet ansåg att förslaget inte strider mot subsidiaritetsprincipen.</w:t>
            </w:r>
          </w:p>
          <w:p w:rsidR="000D3043" w:rsidRPr="00D259E6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:rsidR="000D3043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>Denna paragraf förklarades omedelbart justerad.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049A" w:rsidTr="00D12EAD">
        <w:tc>
          <w:tcPr>
            <w:tcW w:w="567" w:type="dxa"/>
          </w:tcPr>
          <w:p w:rsidR="00CC049A" w:rsidRDefault="00CC04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605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CC049A" w:rsidRDefault="000F1E27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 om en mer förutsägbar och rättssäker beskattning av sjömän</w:t>
            </w:r>
          </w:p>
          <w:p w:rsidR="000F1E27" w:rsidRDefault="000F1E27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21876" w:rsidRPr="00F21876" w:rsidRDefault="00F21876" w:rsidP="00F2187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2187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="00DF1100">
              <w:rPr>
                <w:rFonts w:eastAsiaTheme="minorHAnsi"/>
                <w:bCs/>
                <w:color w:val="000000"/>
                <w:szCs w:val="24"/>
                <w:lang w:eastAsia="en-US"/>
              </w:rPr>
              <w:t>f</w:t>
            </w:r>
            <w:r w:rsidRPr="00F21876">
              <w:rPr>
                <w:rFonts w:eastAsiaTheme="minorHAnsi"/>
                <w:bCs/>
                <w:color w:val="000000"/>
                <w:szCs w:val="24"/>
                <w:lang w:eastAsia="en-US"/>
              </w:rPr>
              <w:t>råga om utskottsinitiativ om en mer förutsägbar och rättssäker beskattning av sjömän.</w:t>
            </w:r>
          </w:p>
          <w:p w:rsidR="00F21876" w:rsidRPr="00F21876" w:rsidRDefault="00F21876" w:rsidP="00F2187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21876" w:rsidRPr="00F21876" w:rsidRDefault="00F21876" w:rsidP="00F2187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2187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0F1E27" w:rsidRDefault="000F1E27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D6605">
              <w:rPr>
                <w:b/>
                <w:snapToGrid w:val="0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:rsidR="00912032" w:rsidRDefault="00912032" w:rsidP="009120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912032" w:rsidRDefault="00912032" w:rsidP="00912032">
            <w:pPr>
              <w:tabs>
                <w:tab w:val="left" w:pos="1701"/>
              </w:tabs>
              <w:rPr>
                <w:snapToGrid w:val="0"/>
              </w:rPr>
            </w:pPr>
          </w:p>
          <w:p w:rsidR="00912032" w:rsidRPr="00F93B25" w:rsidRDefault="00912032" w:rsidP="009120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25 maj 2021 kl. 11.00.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91203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F1E27">
              <w:t>25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0F1E27">
              <w:t>25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D47F0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</w:t>
            </w:r>
            <w:r w:rsidR="002253A1">
              <w:rPr>
                <w:sz w:val="22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47F0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Default="00D47F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Ciczie Weidby (</w:t>
            </w:r>
            <w:r w:rsidR="00EC5A68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F0E" w:rsidRPr="00140387" w:rsidRDefault="00D47F0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98665C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1D89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1E27"/>
    <w:rsid w:val="000F2258"/>
    <w:rsid w:val="000F47DE"/>
    <w:rsid w:val="000F4B22"/>
    <w:rsid w:val="00102BE9"/>
    <w:rsid w:val="00104694"/>
    <w:rsid w:val="00124103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1F67F5"/>
    <w:rsid w:val="002174A8"/>
    <w:rsid w:val="002253A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0354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31655"/>
    <w:rsid w:val="00697EB5"/>
    <w:rsid w:val="006A511D"/>
    <w:rsid w:val="006B7B0C"/>
    <w:rsid w:val="006C21FA"/>
    <w:rsid w:val="006D3126"/>
    <w:rsid w:val="007154F9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D6605"/>
    <w:rsid w:val="007E268E"/>
    <w:rsid w:val="007E4B5A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2032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8665C"/>
    <w:rsid w:val="009A68FE"/>
    <w:rsid w:val="009B0A01"/>
    <w:rsid w:val="009B0E9B"/>
    <w:rsid w:val="009C3BE7"/>
    <w:rsid w:val="009C674D"/>
    <w:rsid w:val="009D1BB5"/>
    <w:rsid w:val="009D6560"/>
    <w:rsid w:val="009F6E99"/>
    <w:rsid w:val="00A01787"/>
    <w:rsid w:val="00A14FAD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945D7"/>
    <w:rsid w:val="00AB15F1"/>
    <w:rsid w:val="00AB3136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7A1F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973BF"/>
    <w:rsid w:val="00CA0868"/>
    <w:rsid w:val="00CA262C"/>
    <w:rsid w:val="00CA39FE"/>
    <w:rsid w:val="00CA4F10"/>
    <w:rsid w:val="00CB00F6"/>
    <w:rsid w:val="00CB4BD3"/>
    <w:rsid w:val="00CC049A"/>
    <w:rsid w:val="00CF4289"/>
    <w:rsid w:val="00D12EAD"/>
    <w:rsid w:val="00D226B6"/>
    <w:rsid w:val="00D360F7"/>
    <w:rsid w:val="00D44270"/>
    <w:rsid w:val="00D47AB1"/>
    <w:rsid w:val="00D47F0E"/>
    <w:rsid w:val="00D52626"/>
    <w:rsid w:val="00D5385D"/>
    <w:rsid w:val="00D55F95"/>
    <w:rsid w:val="00D60013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E15C2"/>
    <w:rsid w:val="00DF1100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C5A68"/>
    <w:rsid w:val="00ED4EF3"/>
    <w:rsid w:val="00EE7FFE"/>
    <w:rsid w:val="00EF70DA"/>
    <w:rsid w:val="00F0569E"/>
    <w:rsid w:val="00F064EF"/>
    <w:rsid w:val="00F21876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1E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5</Pages>
  <Words>845</Words>
  <Characters>5851</Characters>
  <Application>Microsoft Office Word</Application>
  <DocSecurity>4</DocSecurity>
  <Lines>1170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2021-05-06T10:57:00Z</cp:lastPrinted>
  <dcterms:created xsi:type="dcterms:W3CDTF">2021-06-01T08:51:00Z</dcterms:created>
  <dcterms:modified xsi:type="dcterms:W3CDTF">2021-06-01T08:51:00Z</dcterms:modified>
</cp:coreProperties>
</file>