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325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740491" w:rsidRPr="00325542" w:rsidRDefault="00740491">
            <w:pPr>
              <w:pStyle w:val="HuvudRubrik"/>
            </w:pPr>
            <w:r w:rsidRPr="00325542">
              <w:t>Regeringskansliet</w:t>
            </w:r>
          </w:p>
          <w:p w:rsidR="00740491" w:rsidRPr="00325542" w:rsidRDefault="00740491">
            <w:pPr>
              <w:pStyle w:val="HuvudRubrik"/>
            </w:pPr>
            <w:r w:rsidRPr="00325542">
              <w:t>Faktapromemoria 2003/04:FPM68</w:t>
            </w:r>
          </w:p>
        </w:tc>
      </w:tr>
      <w:tr w:rsidR="00000000" w:rsidRPr="00325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740491" w:rsidRPr="00325542" w:rsidRDefault="00740491">
            <w:pPr>
              <w:pStyle w:val="HuvudRubrik"/>
              <w:rPr>
                <w:sz w:val="28"/>
              </w:rPr>
            </w:pPr>
            <w:r w:rsidRPr="00325542">
              <w:t>Upprättande av gemenskapspatentdomstolen</w:t>
            </w:r>
          </w:p>
        </w:tc>
      </w:tr>
      <w:tr w:rsidR="00000000" w:rsidRPr="00325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740491" w:rsidRPr="00325542" w:rsidRDefault="00740491">
            <w:pPr>
              <w:pStyle w:val="Departement"/>
              <w:rPr>
                <w:sz w:val="28"/>
              </w:rPr>
            </w:pPr>
            <w:r w:rsidRPr="00325542">
              <w:t>Utrikesdepartementet</w:t>
            </w:r>
          </w:p>
        </w:tc>
      </w:tr>
      <w:tr w:rsidR="00000000" w:rsidRPr="00325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740491" w:rsidRPr="00325542" w:rsidRDefault="00740491">
            <w:pPr>
              <w:pStyle w:val="Dokumentdatum"/>
            </w:pPr>
            <w:r w:rsidRPr="00325542">
              <w:t>2004-02-23</w:t>
            </w:r>
          </w:p>
        </w:tc>
      </w:tr>
      <w:tr w:rsidR="00000000" w:rsidRPr="00325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740491" w:rsidRPr="00325542" w:rsidRDefault="00740491">
            <w:pPr>
              <w:pStyle w:val="Dokumentbeteckning"/>
            </w:pPr>
            <w:r w:rsidRPr="00325542">
              <w:t>Dokumentbeteckning</w:t>
            </w:r>
          </w:p>
        </w:tc>
      </w:tr>
      <w:tr w:rsidR="00000000" w:rsidRPr="00325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740491" w:rsidRPr="00325542" w:rsidRDefault="00740491">
            <w:bookmarkStart w:id="0" w:name="KomNr"/>
            <w:bookmarkEnd w:id="0"/>
            <w:r w:rsidRPr="00325542">
              <w:t>5189/04 JUR 14 COUR 1 PI 4</w:t>
            </w:r>
          </w:p>
        </w:tc>
      </w:tr>
      <w:tr w:rsidR="00000000" w:rsidRPr="00325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740491" w:rsidRPr="00325542" w:rsidRDefault="00740491">
            <w:pPr>
              <w:pStyle w:val="Dokumentbeteckning-titel"/>
            </w:pPr>
            <w:r w:rsidRPr="00325542">
              <w:t>Förslag till rådets beslut om att upprätta gemenskapspatenträtten och om överprövning vid förstainstansrätten</w:t>
            </w:r>
          </w:p>
        </w:tc>
      </w:tr>
      <w:tr w:rsidR="00000000" w:rsidRPr="00325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740491" w:rsidRPr="00325542" w:rsidRDefault="00740491">
            <w:r w:rsidRPr="00325542">
              <w:t>5190/04 JUR 15 COUR 2 PI 5</w:t>
            </w:r>
          </w:p>
        </w:tc>
      </w:tr>
      <w:tr w:rsidR="00000000" w:rsidRPr="00325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740491" w:rsidRPr="00325542" w:rsidRDefault="00740491">
            <w:pPr>
              <w:pStyle w:val="Dokumentbeteckning-titel"/>
            </w:pPr>
            <w:r w:rsidRPr="00325542">
              <w:t>Förslag till rådets beslut om att ge domstolen behörighet i mål om gemenskapspatent</w:t>
            </w:r>
          </w:p>
        </w:tc>
      </w:tr>
    </w:tbl>
    <w:p w:rsidR="00740491" w:rsidRPr="00325542" w:rsidRDefault="00740491">
      <w:pPr>
        <w:pStyle w:val="Rubrik1"/>
        <w:numPr>
          <w:ilvl w:val="0"/>
          <w:numId w:val="0"/>
        </w:numPr>
      </w:pPr>
      <w:r w:rsidRPr="00325542">
        <w:t>Sammanfattning</w:t>
      </w:r>
    </w:p>
    <w:p w:rsidR="00740491" w:rsidRPr="00325542" w:rsidRDefault="00740491">
      <w:r w:rsidRPr="00325542">
        <w:t>Vid Europeiska rådets möte i Lissabon i mars 2000 påbörjades ett allmänt program för att förbättra EU-ekonomins konkurrenskraft, den sk Lissabon-strategin. En viktig del av detta program är att inrätta ett gemensamt pa</w:t>
      </w:r>
      <w:r w:rsidRPr="00325542">
        <w:softHyphen/>
        <w:t>tent</w:t>
      </w:r>
      <w:r w:rsidRPr="00325542">
        <w:softHyphen/>
        <w:t>system. I augusti 2000 lade kommissionen fram ett förslag till rådsförordning om gemenskapspatent (se FaktaPM 2000/01:157). En viktig del av patent</w:t>
      </w:r>
      <w:r w:rsidRPr="00325542">
        <w:softHyphen/>
        <w:t>systemet är till</w:t>
      </w:r>
      <w:r w:rsidRPr="00325542">
        <w:softHyphen/>
      </w:r>
      <w:r w:rsidRPr="00325542">
        <w:softHyphen/>
      </w:r>
      <w:r w:rsidRPr="00325542">
        <w:softHyphen/>
      </w:r>
      <w:r w:rsidRPr="00325542">
        <w:softHyphen/>
      </w:r>
      <w:r w:rsidRPr="00325542">
        <w:softHyphen/>
      </w:r>
      <w:r w:rsidRPr="00325542">
        <w:softHyphen/>
        <w:t>gången till ett gemen</w:t>
      </w:r>
      <w:r w:rsidRPr="00325542">
        <w:softHyphen/>
        <w:t>samt domstolssystem för att pröva tvister om gemen</w:t>
      </w:r>
      <w:r w:rsidRPr="00325542">
        <w:softHyphen/>
        <w:t>skaps</w:t>
      </w:r>
      <w:r w:rsidRPr="00325542">
        <w:softHyphen/>
        <w:t>patent. Grunden för att inrätta ett sådant system infördes genom Nice</w:t>
      </w:r>
      <w:r w:rsidRPr="00325542">
        <w:softHyphen/>
        <w:t>för</w:t>
      </w:r>
      <w:r w:rsidRPr="00325542">
        <w:softHyphen/>
        <w:t>drag</w:t>
      </w:r>
      <w:r w:rsidRPr="00325542">
        <w:softHyphen/>
        <w:t>et i artik</w:t>
      </w:r>
      <w:r w:rsidRPr="00325542">
        <w:softHyphen/>
        <w:t>larna 229a EG och 225a EG. Genom artikel 229a EG kan EG-domstolen ges behörighet att avgöra tvister som rör tillämp</w:t>
      </w:r>
      <w:r w:rsidRPr="00325542">
        <w:softHyphen/>
        <w:t>ningen av rättsakter som an</w:t>
      </w:r>
      <w:r w:rsidRPr="00325542">
        <w:softHyphen/>
        <w:t>tagits med stöd av förd</w:t>
      </w:r>
      <w:r w:rsidRPr="00325542">
        <w:t>raget och genom vilka gemenskapsrättigheter avse</w:t>
      </w:r>
      <w:r w:rsidRPr="00325542">
        <w:softHyphen/>
        <w:t>ende industriellt rättsskydd skapas. Med stöd av artikel 225a EG kan dess</w:t>
      </w:r>
      <w:r w:rsidRPr="00325542">
        <w:softHyphen/>
        <w:t>utom special</w:t>
      </w:r>
      <w:r w:rsidRPr="00325542">
        <w:softHyphen/>
        <w:t>domstolar upprättas för att i första in</w:t>
      </w:r>
      <w:r w:rsidRPr="00325542">
        <w:softHyphen/>
        <w:t>stans pröva ärenden på sär</w:t>
      </w:r>
      <w:r w:rsidRPr="00325542">
        <w:softHyphen/>
        <w:t>skil</w:t>
      </w:r>
      <w:r w:rsidRPr="00325542">
        <w:softHyphen/>
        <w:t>da områden, t ex gemenskapspatent. Kommis</w:t>
      </w:r>
      <w:r w:rsidRPr="00325542">
        <w:softHyphen/>
        <w:t>sionen har nu lagt fram dels ett förslag till beslut enligt artikel 229a EG att ge EG-domstolen behörighet i mål om gemen</w:t>
      </w:r>
      <w:r w:rsidRPr="00325542">
        <w:softHyphen/>
        <w:t>skaps</w:t>
      </w:r>
      <w:r w:rsidRPr="00325542">
        <w:softHyphen/>
      </w:r>
      <w:r w:rsidRPr="00325542">
        <w:softHyphen/>
        <w:t>patent, dels ett förslag till beslut enligt artikel 225a EG om upprättande av en specialdomstol – gemen</w:t>
      </w:r>
      <w:r w:rsidRPr="00325542">
        <w:softHyphen/>
        <w:t>skapspatentdomstolen – för at</w:t>
      </w:r>
      <w:r w:rsidRPr="00325542">
        <w:t>t pröva mål om gemen</w:t>
      </w:r>
      <w:r w:rsidRPr="00325542">
        <w:softHyphen/>
        <w:t>skapspatent i för</w:t>
      </w:r>
      <w:r w:rsidRPr="00325542">
        <w:softHyphen/>
        <w:t>sta instans. Det senare förslaget inne</w:t>
      </w:r>
      <w:r w:rsidRPr="00325542">
        <w:softHyphen/>
        <w:t>håller också bestämm</w:t>
      </w:r>
      <w:r w:rsidRPr="00325542">
        <w:softHyphen/>
        <w:t>elser om över</w:t>
      </w:r>
      <w:r w:rsidRPr="00325542">
        <w:softHyphen/>
        <w:t>klag</w:t>
      </w:r>
      <w:r w:rsidRPr="00325542">
        <w:softHyphen/>
        <w:t>ande till förstainstansrätten och för</w:t>
      </w:r>
      <w:r w:rsidRPr="00325542">
        <w:softHyphen/>
        <w:t>slag om att första</w:t>
      </w:r>
      <w:r w:rsidRPr="00325542">
        <w:softHyphen/>
        <w:t>instans</w:t>
      </w:r>
      <w:r w:rsidRPr="00325542">
        <w:softHyphen/>
        <w:t>rätten skall ut</w:t>
      </w:r>
      <w:r w:rsidRPr="00325542">
        <w:softHyphen/>
        <w:t>ök</w:t>
      </w:r>
      <w:r w:rsidRPr="00325542">
        <w:softHyphen/>
        <w:t>as med tre extra domare som skall utgöra en särskild över</w:t>
      </w:r>
      <w:r w:rsidRPr="00325542">
        <w:softHyphen/>
      </w:r>
      <w:r w:rsidRPr="00325542">
        <w:softHyphen/>
        <w:t>klag</w:t>
      </w:r>
      <w:r w:rsidRPr="00325542">
        <w:softHyphen/>
        <w:t>ande</w:t>
      </w:r>
      <w:r w:rsidRPr="00325542">
        <w:softHyphen/>
        <w:t>av</w:t>
      </w:r>
      <w:r w:rsidRPr="00325542">
        <w:softHyphen/>
        <w:t>del</w:t>
      </w:r>
      <w:r w:rsidRPr="00325542">
        <w:softHyphen/>
        <w:t xml:space="preserve">ning för patentmålen.  </w:t>
      </w:r>
    </w:p>
    <w:p w:rsidR="00740491" w:rsidRPr="00325542" w:rsidRDefault="00740491">
      <w:pPr>
        <w:pStyle w:val="Rubrik1"/>
      </w:pPr>
      <w:r w:rsidRPr="00325542">
        <w:lastRenderedPageBreak/>
        <w:t>Förslaget</w:t>
      </w:r>
    </w:p>
    <w:p w:rsidR="00740491" w:rsidRPr="00325542" w:rsidRDefault="00740491">
      <w:pPr>
        <w:pStyle w:val="Rubrik2"/>
      </w:pPr>
      <w:r w:rsidRPr="00325542">
        <w:t>Innehåll</w:t>
      </w:r>
    </w:p>
    <w:p w:rsidR="00740491" w:rsidRPr="00325542" w:rsidRDefault="00740491">
      <w:r w:rsidRPr="00325542">
        <w:rPr>
          <w:i/>
        </w:rPr>
        <w:t>Bakgrund</w:t>
      </w:r>
    </w:p>
    <w:p w:rsidR="00740491" w:rsidRPr="00325542" w:rsidRDefault="00740491"/>
    <w:p w:rsidR="00740491" w:rsidRPr="00325542" w:rsidRDefault="00740491">
      <w:r w:rsidRPr="00325542">
        <w:t>Kommissionens förslag till förordning om gemenskapspatent, som är den första delen i det nya europeiska patentsystemet, lades fram i augusti 2000. Ett formellt förslag till nödvändiga ändringar i den europeiska patent</w:t>
      </w:r>
      <w:r w:rsidRPr="00325542">
        <w:softHyphen/>
        <w:t>kon</w:t>
      </w:r>
      <w:r w:rsidRPr="00325542">
        <w:softHyphen/>
        <w:t>ven</w:t>
      </w:r>
      <w:r w:rsidRPr="00325542">
        <w:softHyphen/>
        <w:t>tion</w:t>
      </w:r>
      <w:r w:rsidRPr="00325542">
        <w:softHyphen/>
        <w:t>en, som är den andra delen i samma system, lades fram år 2003. Efter omfattande diskussioner om förslaget kom med</w:t>
      </w:r>
      <w:r w:rsidRPr="00325542">
        <w:softHyphen/>
        <w:t>lems</w:t>
      </w:r>
      <w:r w:rsidRPr="00325542">
        <w:softHyphen/>
        <w:t>stat</w:t>
      </w:r>
      <w:r w:rsidRPr="00325542">
        <w:softHyphen/>
        <w:t>erna att vid kon</w:t>
      </w:r>
      <w:r w:rsidRPr="00325542">
        <w:softHyphen/>
        <w:t>kur</w:t>
      </w:r>
      <w:r w:rsidRPr="00325542">
        <w:softHyphen/>
        <w:t>rens</w:t>
      </w:r>
      <w:r w:rsidRPr="00325542">
        <w:softHyphen/>
      </w:r>
      <w:r w:rsidRPr="00325542">
        <w:softHyphen/>
        <w:t>kraftsrådet den 3 mars 2003 enas i en rad kom</w:t>
      </w:r>
      <w:r w:rsidRPr="00325542">
        <w:softHyphen/>
        <w:t>plic</w:t>
      </w:r>
      <w:r w:rsidRPr="00325542">
        <w:softHyphen/>
        <w:t>er</w:t>
      </w:r>
      <w:r w:rsidRPr="00325542">
        <w:softHyphen/>
        <w:t>ade för</w:t>
      </w:r>
      <w:r w:rsidRPr="00325542">
        <w:softHyphen/>
        <w:t>handl</w:t>
      </w:r>
      <w:r w:rsidRPr="00325542">
        <w:softHyphen/>
        <w:t>ings</w:t>
      </w:r>
      <w:r w:rsidRPr="00325542">
        <w:softHyphen/>
        <w:t>frågor av delvis politisk karaktär. En viktig del av denna ge</w:t>
      </w:r>
      <w:r w:rsidRPr="00325542">
        <w:softHyphen/>
        <w:t>men</w:t>
      </w:r>
      <w:r w:rsidRPr="00325542">
        <w:softHyphen/>
        <w:t>samma polit</w:t>
      </w:r>
      <w:r w:rsidRPr="00325542">
        <w:softHyphen/>
        <w:t>iska strategi var huvuddragen för det gemensamma dom</w:t>
      </w:r>
      <w:r w:rsidRPr="00325542">
        <w:softHyphen/>
        <w:t>stols</w:t>
      </w:r>
      <w:r w:rsidRPr="00325542">
        <w:softHyphen/>
      </w:r>
      <w:r w:rsidRPr="00325542">
        <w:softHyphen/>
        <w:t>system</w:t>
      </w:r>
      <w:r w:rsidRPr="00325542">
        <w:softHyphen/>
        <w:t>et för pröv</w:t>
      </w:r>
      <w:r w:rsidRPr="00325542">
        <w:softHyphen/>
        <w:t>ning av gemenskapspatentmål. I den delen innebar överens</w:t>
      </w:r>
      <w:r w:rsidRPr="00325542">
        <w:softHyphen/>
        <w:t>komm</w:t>
      </w:r>
      <w:r w:rsidRPr="00325542">
        <w:softHyphen/>
        <w:t>elsen i huvudsak följande. Domstolssystemet skall grund</w:t>
      </w:r>
      <w:r w:rsidRPr="00325542">
        <w:t>as på prin</w:t>
      </w:r>
      <w:r w:rsidRPr="00325542">
        <w:softHyphen/>
        <w:t>ciperna om en enhetlig dom</w:t>
      </w:r>
      <w:r w:rsidRPr="00325542">
        <w:softHyphen/>
        <w:t>stol för gemenskapspatent och skall sörja för en enhetlig rätts</w:t>
      </w:r>
      <w:r w:rsidRPr="00325542">
        <w:softHyphen/>
        <w:t>praxis, hög kvalitet, närhet till användarna och låga drifts</w:t>
      </w:r>
      <w:r w:rsidRPr="00325542">
        <w:softHyphen/>
        <w:t>kost</w:t>
      </w:r>
      <w:r w:rsidRPr="00325542">
        <w:softHyphen/>
        <w:t>nader. I detta syfte skall en specialdomstol upprättas som skall vara exklusivt behörig att i första instans pröva mål om gemenskapspatent. Första</w:t>
      </w:r>
      <w:r w:rsidRPr="00325542">
        <w:softHyphen/>
      </w:r>
      <w:r w:rsidRPr="00325542">
        <w:softHyphen/>
        <w:t>instans</w:t>
      </w:r>
      <w:r w:rsidRPr="00325542">
        <w:softHyphen/>
        <w:t>rätten skall pröva över</w:t>
      </w:r>
      <w:r w:rsidRPr="00325542">
        <w:softHyphen/>
        <w:t>klag</w:t>
      </w:r>
      <w:r w:rsidRPr="00325542">
        <w:softHyphen/>
        <w:t>and</w:t>
      </w:r>
      <w:r w:rsidRPr="00325542">
        <w:softHyphen/>
        <w:t>en från specialdomstolen. Spe</w:t>
      </w:r>
      <w:r w:rsidRPr="00325542">
        <w:softHyphen/>
        <w:t>cial</w:t>
      </w:r>
      <w:r w:rsidRPr="00325542">
        <w:softHyphen/>
      </w:r>
      <w:r w:rsidRPr="00325542">
        <w:softHyphen/>
      </w:r>
      <w:r w:rsidRPr="00325542">
        <w:softHyphen/>
      </w:r>
      <w:r w:rsidRPr="00325542">
        <w:softHyphen/>
        <w:t>dom</w:t>
      </w:r>
      <w:r w:rsidRPr="00325542">
        <w:softHyphen/>
        <w:t>stolen skall vara knuten till första</w:t>
      </w:r>
      <w:r w:rsidRPr="00325542">
        <w:softHyphen/>
        <w:t>instansrätten och ha sitt säte vid den</w:t>
      </w:r>
      <w:r w:rsidRPr="00325542">
        <w:softHyphen/>
        <w:t>na. Dom</w:t>
      </w:r>
      <w:r w:rsidRPr="00325542">
        <w:softHyphen/>
        <w:t>arna i special</w:t>
      </w:r>
      <w:r w:rsidRPr="00325542">
        <w:softHyphen/>
        <w:t>domstolen skal</w:t>
      </w:r>
      <w:r w:rsidRPr="00325542">
        <w:t>l utses på grundval av sin sak</w:t>
      </w:r>
      <w:r w:rsidRPr="00325542">
        <w:softHyphen/>
        <w:t>kun</w:t>
      </w:r>
      <w:r w:rsidRPr="00325542">
        <w:softHyphen/>
        <w:t>skap och med hänsyn till sin språkliga kom</w:t>
      </w:r>
      <w:r w:rsidRPr="00325542">
        <w:softHyphen/>
        <w:t>petens. De skall besitta patent</w:t>
      </w:r>
      <w:r w:rsidRPr="00325542">
        <w:softHyphen/>
        <w:t>rätts</w:t>
      </w:r>
      <w:r w:rsidRPr="00325542">
        <w:softHyphen/>
      </w:r>
      <w:r w:rsidRPr="00325542">
        <w:softHyphen/>
        <w:t>liga kunskaper på erkänt hög nivå. Special</w:t>
      </w:r>
      <w:r w:rsidRPr="00325542">
        <w:softHyphen/>
        <w:t>domstolen skall sammanträda i av</w:t>
      </w:r>
      <w:r w:rsidRPr="00325542">
        <w:softHyphen/>
      </w:r>
      <w:r w:rsidRPr="00325542">
        <w:softHyphen/>
        <w:t>del</w:t>
      </w:r>
      <w:r w:rsidRPr="00325542">
        <w:softHyphen/>
        <w:t>ningar med tre domare. Dom</w:t>
      </w:r>
      <w:r w:rsidRPr="00325542">
        <w:softHyphen/>
      </w:r>
      <w:r w:rsidRPr="00325542">
        <w:softHyphen/>
        <w:t>arna skall dessutom biträdas av tekniska expert</w:t>
      </w:r>
      <w:r w:rsidRPr="00325542">
        <w:softHyphen/>
      </w:r>
      <w:r w:rsidRPr="00325542">
        <w:softHyphen/>
        <w:t>er under hela be</w:t>
      </w:r>
      <w:r w:rsidRPr="00325542">
        <w:softHyphen/>
        <w:t>handl</w:t>
      </w:r>
      <w:r w:rsidRPr="00325542">
        <w:softHyphen/>
        <w:t>ingen av målen. Rätte</w:t>
      </w:r>
      <w:r w:rsidRPr="00325542">
        <w:softHyphen/>
        <w:t>gångsspråket skall i regel vara det officiella EU-språket i den med</w:t>
      </w:r>
      <w:r w:rsidRPr="00325542">
        <w:softHyphen/>
        <w:t>lemsstat där svaranden är bosatt. Fram till dess att det gemen</w:t>
      </w:r>
      <w:r w:rsidRPr="00325542">
        <w:softHyphen/>
        <w:t>samma domstolssystemet kunnat tas i bruk skall gemenskapspate</w:t>
      </w:r>
      <w:r w:rsidRPr="00325542">
        <w:t>nt</w:t>
      </w:r>
      <w:r w:rsidRPr="00325542">
        <w:softHyphen/>
        <w:t>målen handläggas i ett begränsat antal nationella dom</w:t>
      </w:r>
      <w:r w:rsidRPr="00325542">
        <w:softHyphen/>
        <w:t>stolar. Special</w:t>
      </w:r>
      <w:r w:rsidRPr="00325542">
        <w:softHyphen/>
        <w:t>dom</w:t>
      </w:r>
      <w:r w:rsidRPr="00325542">
        <w:softHyphen/>
        <w:t>stolen skall ha upprättats och det gemen</w:t>
      </w:r>
      <w:r w:rsidRPr="00325542">
        <w:softHyphen/>
        <w:t>samma dom</w:t>
      </w:r>
      <w:r w:rsidRPr="00325542">
        <w:softHyphen/>
        <w:t>stols</w:t>
      </w:r>
      <w:r w:rsidRPr="00325542">
        <w:softHyphen/>
        <w:t>systemet skall tas i bruk senast 2010. De nu aktu</w:t>
      </w:r>
      <w:r w:rsidRPr="00325542">
        <w:softHyphen/>
        <w:t>ella för</w:t>
      </w:r>
      <w:r w:rsidRPr="00325542">
        <w:softHyphen/>
        <w:t>slag</w:t>
      </w:r>
      <w:r w:rsidRPr="00325542">
        <w:softHyphen/>
        <w:t>en syftar till att kom</w:t>
      </w:r>
      <w:r w:rsidRPr="00325542">
        <w:softHyphen/>
        <w:t>plettera gemenskapspatent</w:t>
      </w:r>
      <w:r w:rsidRPr="00325542">
        <w:softHyphen/>
        <w:t>förordningen och ändringarna i den euro</w:t>
      </w:r>
      <w:r w:rsidRPr="00325542">
        <w:softHyphen/>
        <w:t>pe</w:t>
      </w:r>
      <w:r w:rsidRPr="00325542">
        <w:softHyphen/>
        <w:t>iska patentkonventionen samt till att uppfylla de mål som med</w:t>
      </w:r>
      <w:r w:rsidRPr="00325542">
        <w:softHyphen/>
        <w:t>lemsstaterna enades om i den politiska strategin vad gäller det gemen</w:t>
      </w:r>
      <w:r w:rsidRPr="00325542">
        <w:softHyphen/>
        <w:t>samma domstolssystemet för gemenskapspatentmål. De utgör den tredje delen i det nya patent</w:t>
      </w:r>
      <w:r w:rsidRPr="00325542">
        <w:t xml:space="preserve">systemet. </w:t>
      </w:r>
    </w:p>
    <w:p w:rsidR="00740491" w:rsidRPr="00325542" w:rsidRDefault="00740491"/>
    <w:p w:rsidR="00740491" w:rsidRPr="00325542" w:rsidRDefault="00740491">
      <w:r w:rsidRPr="00325542">
        <w:t>Förslaget om upprättande av gemenskapspatentdomstolen</w:t>
      </w:r>
    </w:p>
    <w:p w:rsidR="00740491" w:rsidRPr="00325542" w:rsidRDefault="00740491"/>
    <w:p w:rsidR="00740491" w:rsidRPr="00325542" w:rsidRDefault="00740491">
      <w:r w:rsidRPr="00325542">
        <w:t>Sammansättning</w:t>
      </w:r>
    </w:p>
    <w:p w:rsidR="00740491" w:rsidRPr="00325542" w:rsidRDefault="00740491">
      <w:r w:rsidRPr="00325542">
        <w:t>Genom förslaget skall en specialdomstol – gemenskapspatentdomstolen – upp</w:t>
      </w:r>
      <w:r w:rsidRPr="00325542">
        <w:softHyphen/>
        <w:t>rättas. Gemens</w:t>
      </w:r>
      <w:r w:rsidRPr="00325542">
        <w:softHyphen/>
        <w:t>kapspatentdomstolen skall till en början bestå av sju dom</w:t>
      </w:r>
      <w:r w:rsidRPr="00325542">
        <w:softHyphen/>
      </w:r>
      <w:r w:rsidRPr="00325542">
        <w:softHyphen/>
        <w:t>are vilka utses för en tid av sex år. De skall kunna utnämnas på nytt. Dom</w:t>
      </w:r>
      <w:r w:rsidRPr="00325542">
        <w:softHyphen/>
        <w:t>arna utses enligt artikel 225a fjärde stycket EG av rådet genom enhälligt be</w:t>
      </w:r>
      <w:r w:rsidRPr="00325542">
        <w:softHyphen/>
      </w:r>
      <w:r w:rsidRPr="00325542">
        <w:softHyphen/>
        <w:t>slut. Enligt för</w:t>
      </w:r>
      <w:r w:rsidRPr="00325542">
        <w:softHyphen/>
        <w:t>slaget skall med</w:t>
      </w:r>
      <w:r w:rsidRPr="00325542">
        <w:softHyphen/>
        <w:t>lems</w:t>
      </w:r>
      <w:r w:rsidRPr="00325542">
        <w:softHyphen/>
        <w:t>staterna lägga fram förslag till kandi</w:t>
      </w:r>
      <w:r w:rsidRPr="00325542">
        <w:softHyphen/>
        <w:t>dat</w:t>
      </w:r>
      <w:r w:rsidRPr="00325542">
        <w:softHyphen/>
      </w:r>
      <w:r w:rsidRPr="00325542">
        <w:softHyphen/>
        <w:t>er och dessa för</w:t>
      </w:r>
      <w:r w:rsidRPr="00325542">
        <w:softHyphen/>
        <w:t>slag skall granskas av en särskilt inrättad expert</w:t>
      </w:r>
      <w:r w:rsidRPr="00325542">
        <w:softHyphen/>
        <w:t>kommitté. Expert</w:t>
      </w:r>
      <w:r w:rsidRPr="00325542">
        <w:softHyphen/>
      </w:r>
      <w:r w:rsidRPr="00325542">
        <w:softHyphen/>
      </w:r>
      <w:r w:rsidRPr="00325542">
        <w:softHyphen/>
        <w:t>kommitt</w:t>
      </w:r>
      <w:r w:rsidRPr="00325542">
        <w:softHyphen/>
        <w:t>én avger yttrande om kandidaternas lämp</w:t>
      </w:r>
      <w:r w:rsidRPr="00325542">
        <w:softHyphen/>
        <w:t>lighet och får upp</w:t>
      </w:r>
      <w:r w:rsidRPr="00325542">
        <w:softHyphen/>
        <w:t>rätta en för</w:t>
      </w:r>
      <w:r w:rsidRPr="00325542">
        <w:softHyphen/>
        <w:t>teck</w:t>
      </w:r>
      <w:r w:rsidRPr="00325542">
        <w:softHyphen/>
        <w:t>ning med de 14 kandidater som</w:t>
      </w:r>
      <w:r w:rsidRPr="00325542">
        <w:t xml:space="preserve"> kommittén för</w:t>
      </w:r>
      <w:r w:rsidRPr="00325542">
        <w:softHyphen/>
        <w:t>ordar. Yttr</w:t>
      </w:r>
      <w:r w:rsidRPr="00325542">
        <w:softHyphen/>
        <w:t>and</w:t>
      </w:r>
      <w:r w:rsidRPr="00325542">
        <w:softHyphen/>
        <w:t>ena och listan skall utgöra underlag för rådets be</w:t>
      </w:r>
      <w:r w:rsidRPr="00325542">
        <w:softHyphen/>
        <w:t>slut. Kandidaterna skall ha erkänt mycket goda kun</w:t>
      </w:r>
      <w:r w:rsidRPr="00325542">
        <w:softHyphen/>
        <w:t>skap</w:t>
      </w:r>
      <w:r w:rsidRPr="00325542">
        <w:softHyphen/>
        <w:t>er i patenträtt. Målen i gemenskaps</w:t>
      </w:r>
      <w:r w:rsidRPr="00325542">
        <w:softHyphen/>
        <w:t>patent</w:t>
      </w:r>
      <w:r w:rsidRPr="00325542">
        <w:softHyphen/>
        <w:t>dom</w:t>
      </w:r>
      <w:r w:rsidRPr="00325542">
        <w:softHyphen/>
        <w:t>stolen skall som utgångs</w:t>
      </w:r>
      <w:r w:rsidRPr="00325542">
        <w:softHyphen/>
        <w:t>punkt avgöras av tre dom</w:t>
      </w:r>
      <w:r w:rsidRPr="00325542">
        <w:softHyphen/>
        <w:t>are. I rätte</w:t>
      </w:r>
      <w:r w:rsidRPr="00325542">
        <w:softHyphen/>
      </w:r>
      <w:r w:rsidRPr="00325542">
        <w:softHyphen/>
      </w:r>
      <w:r w:rsidRPr="00325542">
        <w:softHyphen/>
        <w:t>gångsreglerna kan be</w:t>
      </w:r>
      <w:r w:rsidRPr="00325542">
        <w:softHyphen/>
        <w:t>stämmas att gemenskapspatentdomstolen får sam</w:t>
      </w:r>
      <w:r w:rsidRPr="00325542">
        <w:softHyphen/>
        <w:t>man</w:t>
      </w:r>
      <w:r w:rsidRPr="00325542">
        <w:softHyphen/>
      </w:r>
      <w:r w:rsidRPr="00325542">
        <w:softHyphen/>
        <w:t>träda i utökad samman</w:t>
      </w:r>
      <w:r w:rsidRPr="00325542">
        <w:softHyphen/>
      </w:r>
      <w:r w:rsidRPr="00325542">
        <w:softHyphen/>
      </w:r>
      <w:r w:rsidRPr="00325542">
        <w:softHyphen/>
        <w:t>sättning eller med en domare. I gemen</w:t>
      </w:r>
      <w:r w:rsidRPr="00325542">
        <w:softHyphen/>
        <w:t>skaps</w:t>
      </w:r>
      <w:r w:rsidRPr="00325542">
        <w:softHyphen/>
        <w:t>patent</w:t>
      </w:r>
      <w:r w:rsidRPr="00325542">
        <w:softHyphen/>
        <w:t>domstolen skall det också finnas tek</w:t>
      </w:r>
      <w:r w:rsidRPr="00325542">
        <w:softHyphen/>
        <w:t>nis</w:t>
      </w:r>
      <w:r w:rsidRPr="00325542">
        <w:softHyphen/>
        <w:t>ka experter som i egen</w:t>
      </w:r>
      <w:r w:rsidRPr="00325542">
        <w:softHyphen/>
        <w:t>skap av biträdande referenter skall delta i hela må</w:t>
      </w:r>
      <w:r w:rsidRPr="00325542">
        <w:t>lets handläggning. De tek</w:t>
      </w:r>
      <w:r w:rsidRPr="00325542">
        <w:softHyphen/>
        <w:t>niska experterna skall ha myck</w:t>
      </w:r>
      <w:r w:rsidRPr="00325542">
        <w:softHyphen/>
        <w:t>et goda kunskaper på det relevanta tekniska om</w:t>
      </w:r>
      <w:r w:rsidRPr="00325542">
        <w:softHyphen/>
        <w:t>rådet. De utses för en tid av sex år på förslag av dom</w:t>
      </w:r>
      <w:r w:rsidRPr="00325542">
        <w:softHyphen/>
        <w:t>stolen och kan utnämnas på nytt. De tekniska ex</w:t>
      </w:r>
      <w:r w:rsidRPr="00325542">
        <w:softHyphen/>
        <w:t>perterna skall delta i bered</w:t>
      </w:r>
      <w:r w:rsidRPr="00325542">
        <w:softHyphen/>
        <w:t>ningen av målet samt vid för</w:t>
      </w:r>
      <w:r w:rsidRPr="00325542">
        <w:softHyphen/>
        <w:t>handlingen och då ha rätt att ställa frågor till parterna. De skall också delta vid dom</w:t>
      </w:r>
      <w:r w:rsidRPr="00325542">
        <w:softHyphen/>
        <w:t>stol</w:t>
      </w:r>
      <w:r w:rsidRPr="00325542">
        <w:softHyphen/>
        <w:t>ens över</w:t>
      </w:r>
      <w:r w:rsidRPr="00325542">
        <w:softHyphen/>
        <w:t>lägg</w:t>
      </w:r>
      <w:r w:rsidRPr="00325542">
        <w:softHyphen/>
        <w:t xml:space="preserve">ningar men skall inte ha rösträtt.   </w:t>
      </w:r>
    </w:p>
    <w:p w:rsidR="00740491" w:rsidRPr="00325542" w:rsidRDefault="00740491"/>
    <w:p w:rsidR="00740491" w:rsidRPr="00325542" w:rsidRDefault="00740491">
      <w:r w:rsidRPr="00325542">
        <w:t>Behörighet (se även nedan angående förslaget om att ge EG-domstolen behörighet i mål om gemenskapspatent)</w:t>
      </w:r>
    </w:p>
    <w:p w:rsidR="00740491" w:rsidRPr="00325542" w:rsidRDefault="00740491">
      <w:r w:rsidRPr="00325542">
        <w:t>Gemenskapspatentdomstolen skall vara behörig att avgöra tvister om giltig</w:t>
      </w:r>
      <w:r w:rsidRPr="00325542">
        <w:softHyphen/>
        <w:t>het av gemenskapspatent och gemenskapstilläggsskydd och intrång i sådana rättigheter. Gemenskapspatentdomstolen skall också vara behörig att pröva tvister angående tidigare användares rätt, dvs frågor som hänger samman med an</w:t>
      </w:r>
      <w:r w:rsidRPr="00325542">
        <w:softHyphen/>
        <w:t>vänd</w:t>
      </w:r>
      <w:r w:rsidRPr="00325542">
        <w:softHyphen/>
        <w:t>are som har utnyttjat upp</w:t>
      </w:r>
      <w:r w:rsidRPr="00325542">
        <w:softHyphen/>
        <w:t>finningen före det att ansökan om ge</w:t>
      </w:r>
      <w:r w:rsidRPr="00325542">
        <w:softHyphen/>
        <w:t>men</w:t>
      </w:r>
      <w:r w:rsidRPr="00325542">
        <w:softHyphen/>
      </w:r>
      <w:r w:rsidRPr="00325542">
        <w:softHyphen/>
        <w:t>skapspatent lämnades in eller under tiden mellan det att ansökan om gemen</w:t>
      </w:r>
      <w:r w:rsidRPr="00325542">
        <w:softHyphen/>
        <w:t>skapspatent offentliggjordes och fram till dess att patentet beviljades. I de ärenden där gemenskapspatentdomstolen är behörig skall den o</w:t>
      </w:r>
      <w:r w:rsidRPr="00325542">
        <w:t>ckså ha rätt att besluta om interimistiska och bevisskyddande åtgärder. Till detta kommer behörighet att be</w:t>
      </w:r>
      <w:r w:rsidRPr="00325542">
        <w:softHyphen/>
        <w:t>sluta om skadestånd eller ersättning i de fall som nu nämnts. Gemenskaps</w:t>
      </w:r>
      <w:r w:rsidRPr="00325542">
        <w:softHyphen/>
        <w:t>patent</w:t>
      </w:r>
      <w:r w:rsidRPr="00325542">
        <w:softHyphen/>
        <w:t>dom</w:t>
      </w:r>
      <w:r w:rsidRPr="00325542">
        <w:softHyphen/>
        <w:t>stol</w:t>
      </w:r>
      <w:r w:rsidRPr="00325542">
        <w:softHyphen/>
        <w:t>en skall slutligen också ha rätt att be</w:t>
      </w:r>
      <w:r w:rsidRPr="00325542">
        <w:softHyphen/>
        <w:t>sluta om vite om ett av</w:t>
      </w:r>
      <w:r w:rsidRPr="00325542">
        <w:softHyphen/>
        <w:t>gör</w:t>
      </w:r>
      <w:r w:rsidRPr="00325542">
        <w:softHyphen/>
        <w:t>ande eller före</w:t>
      </w:r>
      <w:r w:rsidRPr="00325542">
        <w:softHyphen/>
        <w:t>läggande som medför en skyl</w:t>
      </w:r>
      <w:r w:rsidRPr="00325542">
        <w:softHyphen/>
        <w:t xml:space="preserve">dighet att vidta en viss åtgärd eller avstå från att ett visst handlande inte följs. </w:t>
      </w:r>
    </w:p>
    <w:p w:rsidR="00740491" w:rsidRPr="00325542" w:rsidRDefault="00740491"/>
    <w:p w:rsidR="00740491" w:rsidRPr="00325542" w:rsidRDefault="00740491">
      <w:r w:rsidRPr="00325542">
        <w:t>Organisation</w:t>
      </w:r>
    </w:p>
    <w:p w:rsidR="00740491" w:rsidRPr="00325542" w:rsidRDefault="00740491">
      <w:r w:rsidRPr="00325542">
        <w:t>Gemenskapspatentdomstolen utgör inte en egen institution. På samma sätt som första</w:t>
      </w:r>
      <w:r w:rsidRPr="00325542">
        <w:softHyphen/>
      </w:r>
      <w:r w:rsidRPr="00325542">
        <w:softHyphen/>
      </w:r>
      <w:r w:rsidRPr="00325542">
        <w:softHyphen/>
        <w:t>instansrätten är knuten till EG-domstolen skall gemenskaps</w:t>
      </w:r>
      <w:r w:rsidRPr="00325542">
        <w:softHyphen/>
        <w:t>patent</w:t>
      </w:r>
      <w:r w:rsidRPr="00325542">
        <w:softHyphen/>
        <w:t>domstolen knyt</w:t>
      </w:r>
      <w:r w:rsidRPr="00325542">
        <w:softHyphen/>
      </w:r>
      <w:r w:rsidRPr="00325542">
        <w:softHyphen/>
        <w:t>as till förstainstansrätten. Enligt förslaget skall gemenskaps</w:t>
      </w:r>
      <w:r w:rsidRPr="00325542">
        <w:softHyphen/>
        <w:t>patentdomstolen stödja sig på EG-domstolens och förstainstansrättens admi</w:t>
      </w:r>
      <w:r w:rsidRPr="00325542">
        <w:softHyphen/>
        <w:t>ni</w:t>
      </w:r>
      <w:r w:rsidRPr="00325542">
        <w:softHyphen/>
      </w:r>
      <w:r w:rsidRPr="00325542">
        <w:softHyphen/>
        <w:t>stra</w:t>
      </w:r>
      <w:r w:rsidRPr="00325542">
        <w:softHyphen/>
        <w:t>tiva enheter. Gemenskapspatentdomstolen skall dock ha en egen ju</w:t>
      </w:r>
      <w:r w:rsidRPr="00325542">
        <w:softHyphen/>
        <w:t>sti</w:t>
      </w:r>
      <w:r w:rsidRPr="00325542">
        <w:softHyphen/>
        <w:t>tie</w:t>
      </w:r>
      <w:r w:rsidRPr="00325542">
        <w:softHyphen/>
        <w:t>sekreterare. EG-dom</w:t>
      </w:r>
      <w:r w:rsidRPr="00325542">
        <w:softHyphen/>
        <w:t>stol</w:t>
      </w:r>
      <w:r w:rsidRPr="00325542">
        <w:softHyphen/>
        <w:t>ens ordförande eller, i förekommande fall, första</w:t>
      </w:r>
      <w:r w:rsidRPr="00325542">
        <w:softHyphen/>
      </w:r>
      <w:r w:rsidRPr="00325542">
        <w:softHyphen/>
      </w:r>
      <w:r w:rsidRPr="00325542">
        <w:softHyphen/>
      </w:r>
      <w:r w:rsidRPr="00325542">
        <w:softHyphen/>
        <w:t>in</w:t>
      </w:r>
      <w:r w:rsidRPr="00325542">
        <w:softHyphen/>
        <w:t>stansrättens ord</w:t>
      </w:r>
      <w:r w:rsidRPr="00325542">
        <w:softHyphen/>
        <w:t>för</w:t>
      </w:r>
      <w:r w:rsidRPr="00325542">
        <w:softHyphen/>
        <w:t>ande skall gemensamt med gemenskaps</w:t>
      </w:r>
      <w:r w:rsidRPr="00325542">
        <w:softHyphen/>
        <w:t>patent</w:t>
      </w:r>
      <w:r w:rsidRPr="00325542">
        <w:softHyphen/>
        <w:t>dom</w:t>
      </w:r>
      <w:r w:rsidRPr="00325542">
        <w:softHyphen/>
        <w:t>stol</w:t>
      </w:r>
      <w:r w:rsidRPr="00325542">
        <w:softHyphen/>
        <w:t>ens ordförande bestämma under vilka vill</w:t>
      </w:r>
      <w:r w:rsidRPr="00325542">
        <w:softHyphen/>
      </w:r>
      <w:r w:rsidRPr="00325542">
        <w:softHyphen/>
        <w:t>kor tjänste</w:t>
      </w:r>
      <w:r w:rsidRPr="00325542">
        <w:softHyphen/>
      </w:r>
      <w:r w:rsidRPr="00325542">
        <w:t>män och andra an</w:t>
      </w:r>
      <w:r w:rsidRPr="00325542">
        <w:softHyphen/>
        <w:t>ställda vid EG-dom</w:t>
      </w:r>
      <w:r w:rsidRPr="00325542">
        <w:softHyphen/>
        <w:t>stolen eller första</w:t>
      </w:r>
      <w:r w:rsidRPr="00325542">
        <w:softHyphen/>
        <w:t>instans</w:t>
      </w:r>
      <w:r w:rsidRPr="00325542">
        <w:softHyphen/>
        <w:t>rätten skall tjänstgöra vid gemen</w:t>
      </w:r>
      <w:r w:rsidRPr="00325542">
        <w:softHyphen/>
        <w:t>skaps</w:t>
      </w:r>
      <w:r w:rsidRPr="00325542">
        <w:softHyphen/>
        <w:t>pa</w:t>
      </w:r>
      <w:r w:rsidRPr="00325542">
        <w:softHyphen/>
        <w:t>tentdomstolen.</w:t>
      </w:r>
    </w:p>
    <w:p w:rsidR="00740491" w:rsidRPr="00325542" w:rsidRDefault="00740491"/>
    <w:p w:rsidR="00740491" w:rsidRPr="00325542" w:rsidRDefault="00740491">
      <w:r w:rsidRPr="00325542">
        <w:t xml:space="preserve">Förfarandet vid gemenskapspatentdomstolen </w:t>
      </w:r>
    </w:p>
    <w:p w:rsidR="00740491" w:rsidRPr="00325542" w:rsidRDefault="00740491">
      <w:r w:rsidRPr="00325542">
        <w:t>Handläggningen i gemenskapspatentdomstolen följer som utgångspunkt de regler som gäller för handläggningen i EG-domstolen och förstainstansrätten. Vissa regler som saknar relevans i patenttvister har dock uteslutits. Några regler har dessutom modi</w:t>
      </w:r>
      <w:r w:rsidRPr="00325542">
        <w:softHyphen/>
      </w:r>
      <w:r w:rsidRPr="00325542">
        <w:softHyphen/>
        <w:t>fierats för att bättre passa den särskilda måltyp som patentmålen ut</w:t>
      </w:r>
      <w:r w:rsidRPr="00325542">
        <w:softHyphen/>
        <w:t>gör. Det flesta av ändringarna är föranledda av att det, till skill</w:t>
      </w:r>
      <w:r w:rsidRPr="00325542">
        <w:softHyphen/>
        <w:t>nad från vad som normalt är fallet vid EG-domstolen och första</w:t>
      </w:r>
      <w:r w:rsidRPr="00325542">
        <w:softHyphen/>
        <w:t>in</w:t>
      </w:r>
      <w:r w:rsidRPr="00325542">
        <w:softHyphen/>
        <w:t>stans</w:t>
      </w:r>
      <w:r w:rsidRPr="00325542">
        <w:softHyphen/>
        <w:t xml:space="preserve">rätten, är två enskilda parter som tvistar i patentmålen. </w:t>
      </w:r>
    </w:p>
    <w:p w:rsidR="00740491" w:rsidRPr="00325542" w:rsidRDefault="00740491">
      <w:r w:rsidRPr="00325542">
        <w:t>Bland de vik</w:t>
      </w:r>
      <w:r w:rsidRPr="00325542">
        <w:softHyphen/>
        <w:t>t</w:t>
      </w:r>
      <w:r w:rsidRPr="00325542">
        <w:softHyphen/>
        <w:t>ig</w:t>
      </w:r>
      <w:r w:rsidRPr="00325542">
        <w:softHyphen/>
        <w:t>are bestämm</w:t>
      </w:r>
      <w:r w:rsidRPr="00325542">
        <w:softHyphen/>
        <w:t>elserna kan följande nämnas. Med</w:t>
      </w:r>
      <w:r w:rsidRPr="00325542">
        <w:softHyphen/>
        <w:t>lems</w:t>
      </w:r>
      <w:r w:rsidRPr="00325542">
        <w:softHyphen/>
        <w:t>stat</w:t>
      </w:r>
      <w:r w:rsidRPr="00325542">
        <w:softHyphen/>
        <w:t>erna, EES-staterna och unionens institutioner har normalt sett rätt att inter</w:t>
      </w:r>
      <w:r w:rsidRPr="00325542">
        <w:softHyphen/>
        <w:t>ven</w:t>
      </w:r>
      <w:r w:rsidRPr="00325542">
        <w:softHyphen/>
        <w:t>era i mål där tal</w:t>
      </w:r>
      <w:r w:rsidRPr="00325542">
        <w:softHyphen/>
        <w:t>an väcks direkt vid EG-dom</w:t>
      </w:r>
      <w:r w:rsidRPr="00325542">
        <w:softHyphen/>
        <w:t>stol</w:t>
      </w:r>
      <w:r w:rsidRPr="00325542">
        <w:softHyphen/>
        <w:t>en eller första</w:t>
      </w:r>
      <w:r w:rsidRPr="00325542">
        <w:softHyphen/>
        <w:t>instans</w:t>
      </w:r>
      <w:r w:rsidRPr="00325542">
        <w:softHyphen/>
        <w:t>rätten. Samma rätt gäller också för varje annan person som har ett berättigat intresse av utgången av målet. I mål vid gemen</w:t>
      </w:r>
      <w:r w:rsidRPr="00325542">
        <w:softHyphen/>
        <w:t>skaps</w:t>
      </w:r>
      <w:r w:rsidRPr="00325542">
        <w:softHyphen/>
        <w:t>patent</w:t>
      </w:r>
      <w:r w:rsidRPr="00325542">
        <w:softHyphen/>
        <w:t>domstolen skall enbart de senare ha rätt att intervenera. Om parten, för</w:t>
      </w:r>
      <w:r w:rsidRPr="00325542">
        <w:softHyphen/>
      </w:r>
      <w:r w:rsidRPr="00325542">
        <w:softHyphen/>
        <w:t>utom det obliga</w:t>
      </w:r>
      <w:r w:rsidRPr="00325542">
        <w:softHyphen/>
        <w:t>tor</w:t>
      </w:r>
      <w:r w:rsidRPr="00325542">
        <w:softHyphen/>
        <w:t>iska ordinarie om</w:t>
      </w:r>
      <w:r w:rsidRPr="00325542">
        <w:softHyphen/>
        <w:t>budet, biträds av ett av Euro</w:t>
      </w:r>
      <w:r w:rsidRPr="00325542">
        <w:softHyphen/>
        <w:t>peiska patentve</w:t>
      </w:r>
      <w:r w:rsidRPr="00325542">
        <w:t>rket godkänt ombud (ett sk euro</w:t>
      </w:r>
      <w:r w:rsidRPr="00325542">
        <w:softHyphen/>
        <w:t>peiskt patentombud) skall även det europeiska patent</w:t>
      </w:r>
      <w:r w:rsidRPr="00325542">
        <w:softHyphen/>
        <w:t>om</w:t>
      </w:r>
      <w:r w:rsidRPr="00325542">
        <w:softHyphen/>
        <w:t>bud</w:t>
      </w:r>
      <w:r w:rsidRPr="00325542">
        <w:softHyphen/>
        <w:t xml:space="preserve">et ha rätt att yttra sig vid förhandlingarna. Gemenskapspatentdomstolen skall ha möjlighet att besluta om interimistiska åtgärder även innan talan har väckts. Gemenskapspatentdomstolen får också besluta om bevisskyddande åtgärder, t ex att varor som gör intrång i ett patent tas i beslag. Om en interimistisk eller bevisskyddande åtgärd återkallas kan sökanden åläggas att betala ersättning till svaranden för skada som </w:t>
      </w:r>
      <w:r w:rsidRPr="00325542">
        <w:t>uppkommit på grund av åtgärden. I gemen</w:t>
      </w:r>
      <w:r w:rsidRPr="00325542">
        <w:softHyphen/>
        <w:t>skapspatentdomstolen skall det vara möjligt att meddela tredskodom inte enbart vid uteblivet svaromål utan också när en part inte inställer sig till munt</w:t>
      </w:r>
      <w:r w:rsidRPr="00325542">
        <w:softHyphen/>
        <w:t>lig förhandling. Genom en uttrycklig be</w:t>
      </w:r>
      <w:r w:rsidRPr="00325542">
        <w:softHyphen/>
        <w:t>stämmelse skall det vara möjligt för parterna att förlikas. Förlikningen skall då fastställas i ett beslut som utgör en giltig exkutionstitel som därmed kan verkställas i med</w:t>
      </w:r>
      <w:r w:rsidRPr="00325542">
        <w:softHyphen/>
        <w:t>lemsstaterna. Frågan om patents giltighet får dock inte av</w:t>
      </w:r>
      <w:r w:rsidRPr="00325542">
        <w:softHyphen/>
        <w:t xml:space="preserve">göras genom förlikning. I mål om ogiltighet </w:t>
      </w:r>
      <w:r w:rsidRPr="00325542">
        <w:t>har gemenskaps</w:t>
      </w:r>
      <w:r w:rsidRPr="00325542">
        <w:softHyphen/>
        <w:t>patent</w:t>
      </w:r>
      <w:r w:rsidRPr="00325542">
        <w:softHyphen/>
        <w:t>domstolen möjlighet att vilandeförklara mål</w:t>
      </w:r>
      <w:r w:rsidRPr="00325542">
        <w:softHyphen/>
        <w:t>et i avvaktan på ett avgörande av samma fråga av EG-domstolen eller första</w:t>
      </w:r>
      <w:r w:rsidRPr="00325542">
        <w:softHyphen/>
      </w:r>
      <w:r w:rsidRPr="00325542">
        <w:softHyphen/>
        <w:t>instansrätten. Detsamma gäller om en invändning mot patentet har gjorts vid Euro</w:t>
      </w:r>
      <w:r w:rsidRPr="00325542">
        <w:softHyphen/>
        <w:t>peiska patentverket. Gemen</w:t>
      </w:r>
      <w:r w:rsidRPr="00325542">
        <w:softHyphen/>
        <w:t>skaps</w:t>
      </w:r>
      <w:r w:rsidRPr="00325542">
        <w:softHyphen/>
        <w:t>patent</w:t>
      </w:r>
      <w:r w:rsidRPr="00325542">
        <w:softHyphen/>
        <w:t>dom</w:t>
      </w:r>
      <w:r w:rsidRPr="00325542">
        <w:softHyphen/>
      </w:r>
      <w:r w:rsidRPr="00325542">
        <w:softHyphen/>
        <w:t>stolens avgöranden skall vara verkställbara först eft</w:t>
      </w:r>
      <w:r w:rsidRPr="00325542">
        <w:softHyphen/>
        <w:t>er det att över</w:t>
      </w:r>
      <w:r w:rsidRPr="00325542">
        <w:softHyphen/>
        <w:t>klag</w:t>
      </w:r>
      <w:r w:rsidRPr="00325542">
        <w:softHyphen/>
        <w:t>ande</w:t>
      </w:r>
      <w:r w:rsidRPr="00325542">
        <w:softHyphen/>
      </w:r>
      <w:r w:rsidRPr="00325542">
        <w:softHyphen/>
        <w:t>tiden har gått ut och ett överklagande skall som ut</w:t>
      </w:r>
      <w:r w:rsidRPr="00325542">
        <w:softHyphen/>
        <w:t>gångs</w:t>
      </w:r>
      <w:r w:rsidRPr="00325542">
        <w:softHyphen/>
      </w:r>
      <w:r w:rsidRPr="00325542">
        <w:softHyphen/>
        <w:t>punkt hindra verkställighet. Gemenskaps</w:t>
      </w:r>
      <w:r w:rsidRPr="00325542">
        <w:softHyphen/>
        <w:t>patent</w:t>
      </w:r>
      <w:r w:rsidRPr="00325542">
        <w:softHyphen/>
        <w:t>domstolens avgöranden får kombineras med vite. Rim</w:t>
      </w:r>
      <w:r w:rsidRPr="00325542">
        <w:softHyphen/>
      </w:r>
      <w:r w:rsidRPr="00325542">
        <w:softHyphen/>
        <w:t xml:space="preserve">liga </w:t>
      </w:r>
      <w:r w:rsidRPr="00325542">
        <w:t>dom</w:t>
      </w:r>
      <w:r w:rsidRPr="00325542">
        <w:softHyphen/>
      </w:r>
      <w:r w:rsidRPr="00325542">
        <w:softHyphen/>
        <w:t>stols</w:t>
      </w:r>
      <w:r w:rsidRPr="00325542">
        <w:softHyphen/>
        <w:t>av</w:t>
      </w:r>
      <w:r w:rsidRPr="00325542">
        <w:softHyphen/>
        <w:t>gift</w:t>
      </w:r>
      <w:r w:rsidRPr="00325542">
        <w:softHyphen/>
        <w:t>er kommer att tas ut av part</w:t>
      </w:r>
      <w:r w:rsidRPr="00325542">
        <w:softHyphen/>
      </w:r>
      <w:r w:rsidRPr="00325542">
        <w:softHyphen/>
        <w:t>erna för mål vid gemen</w:t>
      </w:r>
      <w:r w:rsidRPr="00325542">
        <w:softHyphen/>
        <w:t>skaps</w:t>
      </w:r>
      <w:r w:rsidRPr="00325542">
        <w:softHyphen/>
        <w:t>patent</w:t>
      </w:r>
      <w:r w:rsidRPr="00325542">
        <w:softHyphen/>
      </w:r>
      <w:r w:rsidRPr="00325542">
        <w:softHyphen/>
        <w:t>dom</w:t>
      </w:r>
      <w:r w:rsidRPr="00325542">
        <w:softHyphen/>
        <w:t>stolen. Rådet skall med kvalificerad majoritet fast</w:t>
      </w:r>
      <w:r w:rsidRPr="00325542">
        <w:softHyphen/>
        <w:t>ställa en avgiftstablå.  Ge</w:t>
      </w:r>
      <w:r w:rsidRPr="00325542">
        <w:softHyphen/>
        <w:t>men</w:t>
      </w:r>
      <w:r w:rsidRPr="00325542">
        <w:softHyphen/>
        <w:t>skaps</w:t>
      </w:r>
      <w:r w:rsidRPr="00325542">
        <w:softHyphen/>
      </w:r>
      <w:r w:rsidRPr="00325542">
        <w:softHyphen/>
        <w:t>patent</w:t>
      </w:r>
      <w:r w:rsidRPr="00325542">
        <w:softHyphen/>
        <w:t>dom</w:t>
      </w:r>
      <w:r w:rsidRPr="00325542">
        <w:softHyphen/>
        <w:t>stolen får hålla förhandlingar också i andra medlemsstater än där den har sitt säte. Rätte</w:t>
      </w:r>
      <w:r w:rsidRPr="00325542">
        <w:softHyphen/>
        <w:t>gångsspråket i mål vid ge</w:t>
      </w:r>
      <w:r w:rsidRPr="00325542">
        <w:softHyphen/>
        <w:t>men</w:t>
      </w:r>
      <w:r w:rsidRPr="00325542">
        <w:softHyphen/>
        <w:t>skaps</w:t>
      </w:r>
      <w:r w:rsidRPr="00325542">
        <w:softHyphen/>
        <w:t>patent</w:t>
      </w:r>
      <w:r w:rsidRPr="00325542">
        <w:softHyphen/>
        <w:t>dom</w:t>
      </w:r>
      <w:r w:rsidRPr="00325542">
        <w:softHyphen/>
        <w:t>stolen skall i regel vara det officiella EU-språket i den med</w:t>
      </w:r>
      <w:r w:rsidRPr="00325542">
        <w:softHyphen/>
        <w:t>lemsstat där svar</w:t>
      </w:r>
      <w:r w:rsidRPr="00325542">
        <w:softHyphen/>
        <w:t>anden är bosatt, eller om den med</w:t>
      </w:r>
      <w:r w:rsidRPr="00325542">
        <w:softHyphen/>
        <w:t>lems</w:t>
      </w:r>
      <w:r w:rsidRPr="00325542">
        <w:softHyphen/>
        <w:t>staten har flera offi</w:t>
      </w:r>
      <w:r w:rsidRPr="00325542">
        <w:softHyphen/>
        <w:t>ciella språk det språk av dessa som svar</w:t>
      </w:r>
      <w:r w:rsidRPr="00325542">
        <w:softHyphen/>
      </w:r>
      <w:r w:rsidRPr="00325542">
        <w:t>anden väljer. Ändring av lagakraftvunnen dom får endast ske i undantagsfall. Ytterligare regler för för</w:t>
      </w:r>
      <w:r w:rsidRPr="00325542">
        <w:softHyphen/>
        <w:t>far</w:t>
      </w:r>
      <w:r w:rsidRPr="00325542">
        <w:softHyphen/>
        <w:t>andet kommer att fastställas i gemen</w:t>
      </w:r>
      <w:r w:rsidRPr="00325542">
        <w:softHyphen/>
        <w:t>skaps</w:t>
      </w:r>
      <w:r w:rsidRPr="00325542">
        <w:softHyphen/>
        <w:t>patent</w:t>
      </w:r>
      <w:r w:rsidRPr="00325542">
        <w:softHyphen/>
        <w:t>domstolens rätte</w:t>
      </w:r>
      <w:r w:rsidRPr="00325542">
        <w:softHyphen/>
        <w:t>gångs</w:t>
      </w:r>
      <w:r w:rsidRPr="00325542">
        <w:softHyphen/>
        <w:t>regler, vilka kommer att antas efter det att ge</w:t>
      </w:r>
      <w:r w:rsidRPr="00325542">
        <w:softHyphen/>
        <w:t>men</w:t>
      </w:r>
      <w:r w:rsidRPr="00325542">
        <w:softHyphen/>
        <w:t>skaps</w:t>
      </w:r>
      <w:r w:rsidRPr="00325542">
        <w:softHyphen/>
        <w:t>patentdomstolen har upp</w:t>
      </w:r>
      <w:r w:rsidRPr="00325542">
        <w:softHyphen/>
        <w:t>rätt</w:t>
      </w:r>
      <w:r w:rsidRPr="00325542">
        <w:softHyphen/>
        <w:t>ats.</w:t>
      </w:r>
    </w:p>
    <w:p w:rsidR="00740491" w:rsidRPr="00325542" w:rsidRDefault="00740491"/>
    <w:p w:rsidR="00740491" w:rsidRPr="00325542" w:rsidRDefault="00740491">
      <w:r w:rsidRPr="00325542">
        <w:t>Överklagande</w:t>
      </w:r>
    </w:p>
    <w:p w:rsidR="00740491" w:rsidRPr="00325542" w:rsidRDefault="00740491">
      <w:r w:rsidRPr="00325542">
        <w:t>Gemenskapspatentdomstolens avgöranden i huvudsaken kan överklagas till förstainstansrätten inom två månader från delgivning av avgörandet. Över</w:t>
      </w:r>
      <w:r w:rsidRPr="00325542">
        <w:softHyphen/>
        <w:t>klag</w:t>
      </w:r>
      <w:r w:rsidRPr="00325542">
        <w:softHyphen/>
        <w:t>andet kan omfatta både rättsfrågor och sakfrågor. Om över</w:t>
      </w:r>
      <w:r w:rsidRPr="00325542">
        <w:softHyphen/>
        <w:t>klag</w:t>
      </w:r>
      <w:r w:rsidRPr="00325542">
        <w:softHyphen/>
        <w:t>andet av</w:t>
      </w:r>
      <w:r w:rsidRPr="00325542">
        <w:softHyphen/>
        <w:t>ser en sakfråga måste grunden vara en omvärdering av de om</w:t>
      </w:r>
      <w:r w:rsidRPr="00325542">
        <w:softHyphen/>
        <w:t>ständigheter och bevis som lagts fram vid gemenskapspatentdomstolen. Nya omständig</w:t>
      </w:r>
      <w:r w:rsidRPr="00325542">
        <w:softHyphen/>
        <w:t>het</w:t>
      </w:r>
      <w:r w:rsidRPr="00325542">
        <w:softHyphen/>
      </w:r>
      <w:r w:rsidRPr="00325542">
        <w:softHyphen/>
        <w:t>er och bevis får endast åberopas om klaganden inte rim</w:t>
      </w:r>
      <w:r w:rsidRPr="00325542">
        <w:softHyphen/>
        <w:t>ligt</w:t>
      </w:r>
      <w:r w:rsidRPr="00325542">
        <w:softHyphen/>
        <w:t>vis kunde ha för</w:t>
      </w:r>
      <w:r w:rsidRPr="00325542">
        <w:softHyphen/>
      </w:r>
      <w:r w:rsidRPr="00325542">
        <w:softHyphen/>
      </w:r>
      <w:r w:rsidRPr="00325542">
        <w:softHyphen/>
        <w:t>väntats inkomma med dem under behandlingen i gemen</w:t>
      </w:r>
      <w:r w:rsidRPr="00325542">
        <w:softHyphen/>
        <w:t>skaps</w:t>
      </w:r>
      <w:r w:rsidRPr="00325542">
        <w:softHyphen/>
        <w:t>patent</w:t>
      </w:r>
      <w:r w:rsidRPr="00325542">
        <w:softHyphen/>
        <w:t>dom</w:t>
      </w:r>
      <w:r w:rsidRPr="00325542">
        <w:softHyphen/>
        <w:t>stolen.</w:t>
      </w:r>
    </w:p>
    <w:p w:rsidR="00740491" w:rsidRPr="00325542" w:rsidRDefault="00740491">
      <w:r w:rsidRPr="00325542">
        <w:t>I förstainstansrätten skall de överklagade patentmålen prövas av en sär</w:t>
      </w:r>
      <w:r w:rsidRPr="00325542">
        <w:softHyphen/>
        <w:t>skild avdelning som skall bestå av tre nya domare med specialist</w:t>
      </w:r>
      <w:r w:rsidRPr="00325542">
        <w:softHyphen/>
        <w:t>kom</w:t>
      </w:r>
      <w:r w:rsidRPr="00325542">
        <w:softHyphen/>
        <w:t>pe</w:t>
      </w:r>
      <w:r w:rsidRPr="00325542">
        <w:softHyphen/>
        <w:t>tens i patent</w:t>
      </w:r>
      <w:r w:rsidRPr="00325542">
        <w:softHyphen/>
        <w:t>rätt. Målen kan också avgöras i utökad sammansättning enligt första</w:t>
      </w:r>
      <w:r w:rsidRPr="00325542">
        <w:softHyphen/>
        <w:t>instansrättens allmänna regler. I så fall deltar även andra ledamöter från första</w:t>
      </w:r>
      <w:r w:rsidRPr="00325542">
        <w:softHyphen/>
      </w:r>
      <w:r w:rsidRPr="00325542">
        <w:softHyphen/>
        <w:t>instansrätten. Om någon av de specialiserade domarna har förfall kan ock</w:t>
      </w:r>
      <w:r w:rsidRPr="00325542">
        <w:softHyphen/>
        <w:t>så en av de övriga domarna ersätta denne. De specialiserade domarna skall ha samma ställning som övriga ledamöter i förstainstansrätten och kan därför även delta i avgörande av andra måltyper.</w:t>
      </w:r>
    </w:p>
    <w:p w:rsidR="00740491" w:rsidRPr="00325542" w:rsidRDefault="00740491">
      <w:r w:rsidRPr="00325542">
        <w:t>I princi</w:t>
      </w:r>
      <w:r w:rsidRPr="00325542">
        <w:t>p samma regler för förfarandet skall vara tillämpliga vid pröv</w:t>
      </w:r>
      <w:r w:rsidRPr="00325542">
        <w:softHyphen/>
        <w:t>ningen i förstainstansrätten som vid prövningen i första instans. Rätte</w:t>
      </w:r>
      <w:r w:rsidRPr="00325542">
        <w:softHyphen/>
        <w:t>gångs</w:t>
      </w:r>
      <w:r w:rsidRPr="00325542">
        <w:softHyphen/>
        <w:t>språket i förstainstansrätten skall vara detsamma som i gemenskaps</w:t>
      </w:r>
      <w:r w:rsidRPr="00325542">
        <w:softHyphen/>
        <w:t>patent</w:t>
      </w:r>
      <w:r w:rsidRPr="00325542">
        <w:softHyphen/>
      </w:r>
      <w:r w:rsidRPr="00325542">
        <w:softHyphen/>
        <w:t>domstolen. Även i förstainstansrätten skall domarna biträdas av tek</w:t>
      </w:r>
      <w:r w:rsidRPr="00325542">
        <w:softHyphen/>
        <w:t>niska experter. Medlemsstaterna och uni</w:t>
      </w:r>
      <w:r w:rsidRPr="00325542">
        <w:softHyphen/>
        <w:t>on</w:t>
      </w:r>
      <w:r w:rsidRPr="00325542">
        <w:softHyphen/>
        <w:t>ens institutioner skall ha rätt att inter</w:t>
      </w:r>
      <w:r w:rsidRPr="00325542">
        <w:softHyphen/>
        <w:t>venera i överklagade patentmål.</w:t>
      </w:r>
    </w:p>
    <w:p w:rsidR="00740491" w:rsidRPr="00325542" w:rsidRDefault="00740491">
      <w:pPr>
        <w:rPr>
          <w:i/>
        </w:rPr>
      </w:pPr>
      <w:r w:rsidRPr="00325542">
        <w:t>Förstainstansrättens avgörande kan inte överklagas. I rena undantagsfall har EG-domstolen dock möjlighet att om</w:t>
      </w:r>
      <w:r w:rsidRPr="00325542">
        <w:t>pröva förstainstansrättens av</w:t>
      </w:r>
      <w:r w:rsidRPr="00325542">
        <w:softHyphen/>
        <w:t>gör</w:t>
      </w:r>
      <w:r w:rsidRPr="00325542">
        <w:softHyphen/>
        <w:t>an</w:t>
      </w:r>
      <w:r w:rsidRPr="00325542">
        <w:softHyphen/>
        <w:t>de. Omprövning kan bli aktuellt endast om det finns en allvarlig risk för att av</w:t>
      </w:r>
      <w:r w:rsidRPr="00325542">
        <w:softHyphen/>
      </w:r>
      <w:r w:rsidRPr="00325542">
        <w:softHyphen/>
        <w:t>gör</w:t>
      </w:r>
      <w:r w:rsidRPr="00325542">
        <w:softHyphen/>
        <w:t>andet under</w:t>
      </w:r>
      <w:r w:rsidRPr="00325542">
        <w:softHyphen/>
      </w:r>
      <w:r w:rsidRPr="00325542">
        <w:softHyphen/>
        <w:t>gräv</w:t>
      </w:r>
      <w:r w:rsidRPr="00325542">
        <w:softHyphen/>
        <w:t>er enhetligheten eller kon</w:t>
      </w:r>
      <w:r w:rsidRPr="00325542">
        <w:softHyphen/>
        <w:t>se</w:t>
      </w:r>
      <w:r w:rsidRPr="00325542">
        <w:softHyphen/>
        <w:t>kvens</w:t>
      </w:r>
      <w:r w:rsidRPr="00325542">
        <w:softHyphen/>
        <w:t>en i gemenskaps</w:t>
      </w:r>
      <w:r w:rsidRPr="00325542">
        <w:softHyphen/>
        <w:t>rätt</w:t>
      </w:r>
      <w:r w:rsidRPr="00325542">
        <w:softHyphen/>
        <w:t>en.</w:t>
      </w:r>
    </w:p>
    <w:p w:rsidR="00740491" w:rsidRPr="00325542" w:rsidRDefault="00740491"/>
    <w:p w:rsidR="00740491" w:rsidRPr="00325542" w:rsidRDefault="00740491">
      <w:r w:rsidRPr="00325542">
        <w:t>Förslaget att ge EG-domstolen behörighet i mål om gemenskapspatent</w:t>
      </w:r>
    </w:p>
    <w:p w:rsidR="00740491" w:rsidRPr="00325542" w:rsidRDefault="00740491"/>
    <w:p w:rsidR="00740491" w:rsidRPr="00325542" w:rsidRDefault="00740491">
      <w:r w:rsidRPr="00325542">
        <w:t>Förslaget syftar till att ge unionens domstolssystem behörighet avseende tvist</w:t>
      </w:r>
      <w:r w:rsidRPr="00325542">
        <w:softHyphen/>
      </w:r>
      <w:r w:rsidRPr="00325542">
        <w:softHyphen/>
        <w:t>er om sådana patenträttigheter som kan erhållas med stöd av gemen</w:t>
      </w:r>
      <w:r w:rsidRPr="00325542">
        <w:softHyphen/>
        <w:t>skaps</w:t>
      </w:r>
      <w:r w:rsidRPr="00325542">
        <w:softHyphen/>
      </w:r>
      <w:r w:rsidRPr="00325542">
        <w:softHyphen/>
      </w:r>
      <w:r w:rsidRPr="00325542">
        <w:softHyphen/>
      </w:r>
      <w:r w:rsidRPr="00325542">
        <w:softHyphen/>
        <w:t>patent</w:t>
      </w:r>
      <w:r w:rsidRPr="00325542">
        <w:softHyphen/>
        <w:t>för</w:t>
      </w:r>
      <w:r w:rsidRPr="00325542">
        <w:softHyphen/>
        <w:t>ord</w:t>
      </w:r>
      <w:r w:rsidRPr="00325542">
        <w:softHyphen/>
        <w:t>ningen. Behörighet att döma i tvister mellan enskilda avse</w:t>
      </w:r>
      <w:r w:rsidRPr="00325542">
        <w:softHyphen/>
        <w:t>ende industriellt rättsskydd finns inte idag för unionens dom</w:t>
      </w:r>
      <w:r w:rsidRPr="00325542">
        <w:softHyphen/>
        <w:t>stols</w:t>
      </w:r>
      <w:r w:rsidRPr="00325542">
        <w:softHyphen/>
        <w:t>system men kan enligt artikel 229a EG ges till EG-domstolen. Enligt Nice</w:t>
      </w:r>
      <w:r w:rsidRPr="00325542">
        <w:softHyphen/>
        <w:t>fördragets struk</w:t>
      </w:r>
      <w:r w:rsidRPr="00325542">
        <w:softHyphen/>
      </w:r>
      <w:r w:rsidRPr="00325542">
        <w:softHyphen/>
      </w:r>
      <w:r w:rsidRPr="00325542">
        <w:softHyphen/>
      </w:r>
      <w:r w:rsidRPr="00325542">
        <w:softHyphen/>
        <w:t>tur är det gängse sättet att uttrycka be</w:t>
      </w:r>
      <w:r w:rsidRPr="00325542">
        <w:softHyphen/>
        <w:t>hörig</w:t>
      </w:r>
      <w:r w:rsidRPr="00325542">
        <w:softHyphen/>
        <w:t>het för union</w:t>
      </w:r>
      <w:r w:rsidRPr="00325542">
        <w:softHyphen/>
        <w:t>ens dom</w:t>
      </w:r>
      <w:r w:rsidRPr="00325542">
        <w:softHyphen/>
        <w:t>stols</w:t>
      </w:r>
      <w:r w:rsidRPr="00325542">
        <w:softHyphen/>
        <w:t>system att be</w:t>
      </w:r>
      <w:r w:rsidRPr="00325542">
        <w:softHyphen/>
        <w:t>hörig</w:t>
      </w:r>
      <w:r w:rsidRPr="00325542">
        <w:softHyphen/>
      </w:r>
      <w:r w:rsidRPr="00325542">
        <w:softHyphen/>
        <w:t>heten ges till EG-domstolen. Vad gäller den närm</w:t>
      </w:r>
      <w:r w:rsidRPr="00325542">
        <w:softHyphen/>
        <w:t>are för</w:t>
      </w:r>
      <w:r w:rsidRPr="00325542">
        <w:softHyphen/>
        <w:t>delningen av be</w:t>
      </w:r>
      <w:r w:rsidRPr="00325542">
        <w:softHyphen/>
        <w:t xml:space="preserve">hörigheten mellan EG-domstolen </w:t>
      </w:r>
      <w:r w:rsidRPr="00325542">
        <w:t>och första</w:t>
      </w:r>
      <w:r w:rsidRPr="00325542">
        <w:softHyphen/>
        <w:t>instans</w:t>
      </w:r>
      <w:r w:rsidRPr="00325542">
        <w:softHyphen/>
        <w:t>rätten reg</w:t>
      </w:r>
      <w:r w:rsidRPr="00325542">
        <w:softHyphen/>
        <w:t>ler</w:t>
      </w:r>
      <w:r w:rsidRPr="00325542">
        <w:softHyphen/>
        <w:t>as denna därefter som utgångs</w:t>
      </w:r>
      <w:r w:rsidRPr="00325542">
        <w:softHyphen/>
        <w:t>punkt i stadgan. Det är allt</w:t>
      </w:r>
      <w:r w:rsidRPr="00325542">
        <w:softHyphen/>
        <w:t>så en naturlig följd av detta över</w:t>
      </w:r>
      <w:r w:rsidRPr="00325542">
        <w:softHyphen/>
        <w:t>gripande system att behörigheten på det specifika området i första hand ges till EG-dom</w:t>
      </w:r>
      <w:r w:rsidRPr="00325542">
        <w:softHyphen/>
        <w:t>stolen, även om avsikten är att frågorna inte skall handläggas där i första in</w:t>
      </w:r>
      <w:r w:rsidRPr="00325542">
        <w:softHyphen/>
        <w:t>stans. Vad gäller spe</w:t>
      </w:r>
      <w:r w:rsidRPr="00325542">
        <w:softHyphen/>
        <w:t>cial</w:t>
      </w:r>
      <w:r w:rsidRPr="00325542">
        <w:softHyphen/>
        <w:t>dom</w:t>
      </w:r>
      <w:r w:rsidRPr="00325542">
        <w:softHyphen/>
        <w:t>stolarnas be</w:t>
      </w:r>
      <w:r w:rsidRPr="00325542">
        <w:softHyphen/>
        <w:t>hör</w:t>
      </w:r>
      <w:r w:rsidRPr="00325542">
        <w:softHyphen/>
        <w:t>ighet regleras frågan om över</w:t>
      </w:r>
      <w:r w:rsidRPr="00325542">
        <w:softHyphen/>
        <w:t>för</w:t>
      </w:r>
      <w:r w:rsidRPr="00325542">
        <w:softHyphen/>
        <w:t>ing av behörighet från EG-dom</w:t>
      </w:r>
      <w:r w:rsidRPr="00325542">
        <w:softHyphen/>
        <w:t>stolen i beslutet om upp</w:t>
      </w:r>
      <w:r w:rsidRPr="00325542">
        <w:softHyphen/>
        <w:t>rättande av den specialdomstol som skall hand</w:t>
      </w:r>
      <w:r w:rsidRPr="00325542">
        <w:softHyphen/>
      </w:r>
      <w:r w:rsidRPr="00325542">
        <w:softHyphen/>
        <w:t xml:space="preserve">lägga ärendena i första instans. </w:t>
      </w:r>
      <w:r w:rsidRPr="00325542">
        <w:t>Enligt förslaget till beslut om upp</w:t>
      </w:r>
      <w:r w:rsidRPr="00325542">
        <w:softHyphen/>
        <w:t>rätt</w:t>
      </w:r>
      <w:r w:rsidRPr="00325542">
        <w:softHyphen/>
        <w:t>ande av gemenskaps</w:t>
      </w:r>
      <w:r w:rsidRPr="00325542">
        <w:softHyphen/>
        <w:t>patentdomstolen skall således gemen</w:t>
      </w:r>
      <w:r w:rsidRPr="00325542">
        <w:softHyphen/>
        <w:t>skaps</w:t>
      </w:r>
      <w:r w:rsidRPr="00325542">
        <w:softHyphen/>
        <w:t>patent</w:t>
      </w:r>
      <w:r w:rsidRPr="00325542">
        <w:softHyphen/>
        <w:t>dom</w:t>
      </w:r>
      <w:r w:rsidRPr="00325542">
        <w:softHyphen/>
        <w:t>stolen vara exklusivt behörig att i första instans avgöra tvister inom ram</w:t>
      </w:r>
      <w:r w:rsidRPr="00325542">
        <w:softHyphen/>
        <w:t>en för den be</w:t>
      </w:r>
      <w:r w:rsidRPr="00325542">
        <w:softHyphen/>
        <w:t>hörighet som överförs till EG-dom</w:t>
      </w:r>
      <w:r w:rsidRPr="00325542">
        <w:softHyphen/>
        <w:t>stolen på detta område. Vad gäll</w:t>
      </w:r>
      <w:r w:rsidRPr="00325542">
        <w:softHyphen/>
      </w:r>
      <w:r w:rsidRPr="00325542">
        <w:softHyphen/>
        <w:t>er om</w:t>
      </w:r>
      <w:r w:rsidRPr="00325542">
        <w:softHyphen/>
        <w:t>fatt</w:t>
      </w:r>
      <w:r w:rsidRPr="00325542">
        <w:softHyphen/>
        <w:t>ningen av be</w:t>
      </w:r>
      <w:r w:rsidRPr="00325542">
        <w:softHyphen/>
        <w:t>hörigheten, se ovan angående förslaget om upp</w:t>
      </w:r>
      <w:r w:rsidRPr="00325542">
        <w:softHyphen/>
        <w:t>rätt</w:t>
      </w:r>
      <w:r w:rsidRPr="00325542">
        <w:softHyphen/>
        <w:t>an</w:t>
      </w:r>
      <w:r w:rsidRPr="00325542">
        <w:softHyphen/>
        <w:t>de av ge</w:t>
      </w:r>
      <w:r w:rsidRPr="00325542">
        <w:softHyphen/>
        <w:t>men</w:t>
      </w:r>
      <w:r w:rsidRPr="00325542">
        <w:softHyphen/>
        <w:t>skaps</w:t>
      </w:r>
      <w:r w:rsidRPr="00325542">
        <w:softHyphen/>
        <w:t>patent</w:t>
      </w:r>
      <w:r w:rsidRPr="00325542">
        <w:softHyphen/>
        <w:t>domstolen.</w:t>
      </w:r>
    </w:p>
    <w:p w:rsidR="00740491" w:rsidRPr="00325542" w:rsidRDefault="00740491"/>
    <w:p w:rsidR="00740491" w:rsidRPr="00325542" w:rsidRDefault="00740491">
      <w:r w:rsidRPr="00325542">
        <w:t>Ikraftträdande av det gemensamma domstolssystemet för gemenskapspatent</w:t>
      </w:r>
      <w:r w:rsidRPr="00325542">
        <w:softHyphen/>
        <w:t>mål</w:t>
      </w:r>
    </w:p>
    <w:p w:rsidR="00740491" w:rsidRPr="00325542" w:rsidRDefault="00740491"/>
    <w:p w:rsidR="00740491" w:rsidRPr="00325542" w:rsidRDefault="00740491">
      <w:r w:rsidRPr="00325542">
        <w:t>Som nämnts ovan innebär den politiska strategin från mars 2003 att med</w:t>
      </w:r>
      <w:r w:rsidRPr="00325542">
        <w:softHyphen/>
      </w:r>
      <w:r w:rsidRPr="00325542">
        <w:softHyphen/>
        <w:t>lemsstaterna enades om att en specialdomstol som skall vara ensamt behörig att pröva mål om gemenskapspatent skall upprättas. Fram till dess att ett sådant system kan tas i bruk skall dock ett begränsat antal nationella dom</w:t>
      </w:r>
      <w:r w:rsidRPr="00325542">
        <w:softHyphen/>
      </w:r>
      <w:r w:rsidRPr="00325542">
        <w:softHyphen/>
        <w:t>stol</w:t>
      </w:r>
      <w:r w:rsidRPr="00325542">
        <w:softHyphen/>
        <w:t>ar i respektive medlemsstat vara behöriga att pröva mål om gemen</w:t>
      </w:r>
      <w:r w:rsidRPr="00325542">
        <w:softHyphen/>
        <w:t>skaps</w:t>
      </w:r>
      <w:r w:rsidRPr="00325542">
        <w:softHyphen/>
        <w:t>patent. Med</w:t>
      </w:r>
      <w:r w:rsidRPr="00325542">
        <w:softHyphen/>
        <w:t>lems</w:t>
      </w:r>
      <w:r w:rsidRPr="00325542">
        <w:softHyphen/>
        <w:t>staterna har en</w:t>
      </w:r>
      <w:r w:rsidRPr="00325542">
        <w:softHyphen/>
        <w:t>ats om att det gemensamma systemet skall vara inrättat senast 2010. Någ</w:t>
      </w:r>
      <w:r w:rsidRPr="00325542">
        <w:softHyphen/>
        <w:t>on exakt tidpunkt är dock inte bestämd. Både förslaget om upp</w:t>
      </w:r>
      <w:r w:rsidRPr="00325542">
        <w:softHyphen/>
        <w:t>rättande och be</w:t>
      </w:r>
      <w:r w:rsidRPr="00325542">
        <w:softHyphen/>
        <w:t>slutet om att ge EG-domsto</w:t>
      </w:r>
      <w:r w:rsidRPr="00325542">
        <w:t>len behörighet i mål om ge</w:t>
      </w:r>
      <w:r w:rsidRPr="00325542">
        <w:softHyphen/>
        <w:t>menskaps</w:t>
      </w:r>
      <w:r w:rsidRPr="00325542">
        <w:softHyphen/>
        <w:t>patent inne</w:t>
      </w:r>
      <w:r w:rsidRPr="00325542">
        <w:softHyphen/>
        <w:t>håll</w:t>
      </w:r>
      <w:r w:rsidRPr="00325542">
        <w:softHyphen/>
        <w:t>er därför en ikraftträdandebestämmelse som för</w:t>
      </w:r>
      <w:r w:rsidRPr="00325542">
        <w:softHyphen/>
        <w:t>ut</w:t>
      </w:r>
      <w:r w:rsidRPr="00325542">
        <w:softHyphen/>
        <w:t>sätt</w:t>
      </w:r>
      <w:r w:rsidRPr="00325542">
        <w:softHyphen/>
        <w:t>er att besluten har an</w:t>
      </w:r>
      <w:r w:rsidRPr="00325542">
        <w:softHyphen/>
      </w:r>
      <w:r w:rsidRPr="00325542">
        <w:softHyphen/>
        <w:t>tagits på vederbörligt sätt och att gemen</w:t>
      </w:r>
      <w:r w:rsidRPr="00325542">
        <w:softHyphen/>
        <w:t>skaps</w:t>
      </w:r>
      <w:r w:rsidRPr="00325542">
        <w:softHyphen/>
        <w:t>patent</w:t>
      </w:r>
      <w:r w:rsidRPr="00325542">
        <w:softHyphen/>
        <w:t>dom</w:t>
      </w:r>
      <w:r w:rsidRPr="00325542">
        <w:softHyphen/>
      </w:r>
      <w:r w:rsidRPr="00325542">
        <w:softHyphen/>
        <w:t>stolen faktiskt har upp</w:t>
      </w:r>
      <w:r w:rsidRPr="00325542">
        <w:softHyphen/>
      </w:r>
      <w:r w:rsidRPr="00325542">
        <w:softHyphen/>
        <w:t>rättats för att det nya systemet skall träda i kraft och ta över de nationella dom</w:t>
      </w:r>
      <w:r w:rsidRPr="00325542">
        <w:softHyphen/>
        <w:t>stol</w:t>
      </w:r>
      <w:r w:rsidRPr="00325542">
        <w:softHyphen/>
        <w:t xml:space="preserve">arnas roll i dessa mål.     </w:t>
      </w:r>
    </w:p>
    <w:p w:rsidR="00740491" w:rsidRPr="00325542" w:rsidRDefault="00740491">
      <w:pPr>
        <w:pStyle w:val="Rubrik2"/>
      </w:pPr>
      <w:r w:rsidRPr="00325542">
        <w:t>Gällande svenska regler och förslagets effekt på dessa</w:t>
      </w:r>
    </w:p>
    <w:p w:rsidR="00740491" w:rsidRPr="00325542" w:rsidRDefault="00740491">
      <w:r w:rsidRPr="00325542">
        <w:t>Eftersom förslaget innebär inrättande av en ny domstol på EG-nivå för han</w:t>
      </w:r>
      <w:r w:rsidRPr="00325542">
        <w:softHyphen/>
        <w:t>ter</w:t>
      </w:r>
      <w:r w:rsidRPr="00325542">
        <w:softHyphen/>
        <w:t>ingen av en immateriell rättighet medför förslaget inte några direkta kon</w:t>
      </w:r>
      <w:r w:rsidRPr="00325542">
        <w:softHyphen/>
        <w:t>sekvenser för svenska regler. De nu aktuella förslagen innehåller dessutom inte några bestämmelser an</w:t>
      </w:r>
      <w:r w:rsidRPr="00325542">
        <w:softHyphen/>
        <w:t>gå</w:t>
      </w:r>
      <w:r w:rsidRPr="00325542">
        <w:softHyphen/>
        <w:t>ende de nationella dom</w:t>
      </w:r>
      <w:r w:rsidRPr="00325542">
        <w:softHyphen/>
        <w:t>stolarnas handläggning av mål om gemen</w:t>
      </w:r>
      <w:r w:rsidRPr="00325542">
        <w:softHyphen/>
        <w:t>skaps</w:t>
      </w:r>
      <w:r w:rsidRPr="00325542">
        <w:softHyphen/>
        <w:t>patent under över</w:t>
      </w:r>
      <w:r w:rsidRPr="00325542">
        <w:softHyphen/>
        <w:t>gångsperioden fram till dess att ge</w:t>
      </w:r>
      <w:r w:rsidRPr="00325542">
        <w:softHyphen/>
        <w:t>menskaps</w:t>
      </w:r>
      <w:r w:rsidRPr="00325542">
        <w:softHyphen/>
        <w:t>patent</w:t>
      </w:r>
      <w:r w:rsidRPr="00325542">
        <w:softHyphen/>
        <w:t>dom</w:t>
      </w:r>
      <w:r w:rsidRPr="00325542">
        <w:softHyphen/>
        <w:t>stol</w:t>
      </w:r>
      <w:r w:rsidRPr="00325542">
        <w:softHyphen/>
        <w:t>en har upprättats. De särskilda bestämmelserna om övergångsperioden åter</w:t>
      </w:r>
      <w:r w:rsidRPr="00325542">
        <w:softHyphen/>
        <w:t xml:space="preserve">finns i stället i gemenskapspatentförordningen. </w:t>
      </w:r>
    </w:p>
    <w:p w:rsidR="00740491" w:rsidRPr="00325542" w:rsidRDefault="00740491">
      <w:pPr>
        <w:pStyle w:val="Rubrik2"/>
      </w:pPr>
      <w:r w:rsidRPr="00325542">
        <w:t>Budgetära konsekvenser</w:t>
      </w:r>
    </w:p>
    <w:p w:rsidR="00740491" w:rsidRPr="00325542" w:rsidRDefault="00740491">
      <w:r w:rsidRPr="00325542">
        <w:t>Frågan om ersättning till domare och annan personal samt övriga kostnader reg</w:t>
      </w:r>
      <w:r w:rsidRPr="00325542">
        <w:softHyphen/>
        <w:t>leras inte i förslaget om upprättande av gemenskapspatentdomstolen. Kost</w:t>
      </w:r>
      <w:r w:rsidRPr="00325542">
        <w:softHyphen/>
      </w:r>
      <w:r w:rsidRPr="00325542">
        <w:softHyphen/>
      </w:r>
      <w:r w:rsidRPr="00325542">
        <w:softHyphen/>
      </w:r>
      <w:r w:rsidRPr="00325542">
        <w:softHyphen/>
      </w:r>
      <w:r w:rsidRPr="00325542">
        <w:softHyphen/>
        <w:t>naderna finansieras via gemenskapernas budget och förslaget medför där</w:t>
      </w:r>
      <w:r w:rsidRPr="00325542">
        <w:softHyphen/>
        <w:t>för inte någon omedelbar konsekvens för svensk del. Enligt finans</w:t>
      </w:r>
      <w:r w:rsidRPr="00325542">
        <w:softHyphen/>
        <w:t>ier</w:t>
      </w:r>
      <w:r w:rsidRPr="00325542">
        <w:softHyphen/>
        <w:t>ings</w:t>
      </w:r>
      <w:r w:rsidRPr="00325542">
        <w:softHyphen/>
        <w:t>översikten beräknas den totala budgetkonsekvensen i form av personal</w:t>
      </w:r>
      <w:r w:rsidRPr="00325542">
        <w:softHyphen/>
      </w:r>
      <w:r w:rsidRPr="00325542">
        <w:softHyphen/>
        <w:t>ut</w:t>
      </w:r>
      <w:r w:rsidRPr="00325542">
        <w:softHyphen/>
        <w:t>gift</w:t>
      </w:r>
      <w:r w:rsidRPr="00325542">
        <w:softHyphen/>
        <w:t>er och övriga administrativa utgifter för gemenskaps</w:t>
      </w:r>
      <w:r w:rsidRPr="00325542">
        <w:softHyphen/>
        <w:t>patent</w:t>
      </w:r>
      <w:r w:rsidRPr="00325542">
        <w:softHyphen/>
        <w:t>domstolens femte driftår till 13 982 000 euro. De domstolsavgifter som tas ut beräknas endast marginellt täcka de samlade utgifterna.</w:t>
      </w:r>
    </w:p>
    <w:p w:rsidR="00740491" w:rsidRPr="00325542" w:rsidRDefault="00740491">
      <w:pPr>
        <w:pStyle w:val="Rubrik1"/>
      </w:pPr>
      <w:r w:rsidRPr="00325542">
        <w:t>Ståndpunkter</w:t>
      </w:r>
    </w:p>
    <w:p w:rsidR="00740491" w:rsidRPr="00325542" w:rsidRDefault="00740491">
      <w:pPr>
        <w:pStyle w:val="Rubrik2"/>
      </w:pPr>
      <w:r w:rsidRPr="00325542">
        <w:t>Svensk ståndpunkt</w:t>
      </w:r>
    </w:p>
    <w:p w:rsidR="00740491" w:rsidRPr="00325542" w:rsidRDefault="00740491">
      <w:r w:rsidRPr="00325542">
        <w:t>Sverige är generellt positivt till tillskapandet av ett system för gemen</w:t>
      </w:r>
      <w:r w:rsidRPr="00325542">
        <w:softHyphen/>
        <w:t>skaps</w:t>
      </w:r>
      <w:r w:rsidRPr="00325542">
        <w:softHyphen/>
        <w:t>patent. Ett gemensamt domstolssystem på EG-nivå för prövning av tvister om gemenskaps</w:t>
      </w:r>
      <w:r w:rsidRPr="00325542">
        <w:softHyphen/>
        <w:t>patent</w:t>
      </w:r>
      <w:r w:rsidRPr="00325542">
        <w:softHyphen/>
        <w:t xml:space="preserve"> är en viktig del av detta. En förutsättning för att ge</w:t>
      </w:r>
      <w:r w:rsidRPr="00325542">
        <w:softHyphen/>
        <w:t>men</w:t>
      </w:r>
      <w:r w:rsidRPr="00325542">
        <w:softHyphen/>
        <w:t>skaps</w:t>
      </w:r>
      <w:r w:rsidRPr="00325542">
        <w:softHyphen/>
        <w:t>patentet skall blir en framgång hos användarna är att parterna får tillgång till ett enhetligt och högkvalitativt dom</w:t>
      </w:r>
      <w:r w:rsidRPr="00325542">
        <w:softHyphen/>
        <w:t>stols</w:t>
      </w:r>
      <w:r w:rsidRPr="00325542">
        <w:softHyphen/>
        <w:t>system. Sverige är därför positivt till att en gemensam specialdomstol upprättas för att pröva mål om gemen</w:t>
      </w:r>
      <w:r w:rsidRPr="00325542">
        <w:softHyphen/>
        <w:t>skaps</w:t>
      </w:r>
      <w:r w:rsidRPr="00325542">
        <w:softHyphen/>
      </w:r>
      <w:r w:rsidRPr="00325542">
        <w:softHyphen/>
      </w:r>
      <w:r w:rsidRPr="00325542">
        <w:softHyphen/>
      </w:r>
      <w:r w:rsidRPr="00325542">
        <w:softHyphen/>
        <w:t>patent. Det huvudsakliga innehållet i förslaget om upprättande av ge</w:t>
      </w:r>
      <w:r w:rsidRPr="00325542">
        <w:softHyphen/>
        <w:t>men</w:t>
      </w:r>
      <w:r w:rsidRPr="00325542">
        <w:softHyphen/>
      </w:r>
      <w:r w:rsidRPr="00325542">
        <w:softHyphen/>
        <w:t>skaps</w:t>
      </w:r>
      <w:r w:rsidRPr="00325542">
        <w:softHyphen/>
      </w:r>
      <w:r w:rsidRPr="00325542">
        <w:softHyphen/>
        <w:t>patentdomstolen får anse</w:t>
      </w:r>
      <w:r w:rsidRPr="00325542">
        <w:t>s ligga i linje med dessa krav.</w:t>
      </w:r>
    </w:p>
    <w:p w:rsidR="00740491" w:rsidRPr="00325542" w:rsidRDefault="00740491">
      <w:pPr>
        <w:pStyle w:val="Rubrik2"/>
      </w:pPr>
      <w:r w:rsidRPr="00325542">
        <w:t>Medlemsstaternas ståndpunkter</w:t>
      </w:r>
    </w:p>
    <w:p w:rsidR="00740491" w:rsidRPr="00325542" w:rsidRDefault="00740491">
      <w:r w:rsidRPr="00325542">
        <w:t>---</w:t>
      </w:r>
    </w:p>
    <w:p w:rsidR="00740491" w:rsidRPr="00325542" w:rsidRDefault="00740491">
      <w:pPr>
        <w:pStyle w:val="Rubrik2"/>
      </w:pPr>
      <w:r w:rsidRPr="00325542">
        <w:t>Institutionernas ståndpunkter</w:t>
      </w:r>
    </w:p>
    <w:p w:rsidR="00740491" w:rsidRPr="00325542" w:rsidRDefault="00740491">
      <w:r w:rsidRPr="00325542">
        <w:t>---</w:t>
      </w:r>
    </w:p>
    <w:p w:rsidR="00740491" w:rsidRPr="00325542" w:rsidRDefault="00740491">
      <w:pPr>
        <w:pStyle w:val="Rubrik2"/>
      </w:pPr>
      <w:r w:rsidRPr="00325542">
        <w:t>Remissinstansernas ståndpunkter</w:t>
      </w:r>
    </w:p>
    <w:p w:rsidR="00740491" w:rsidRPr="00325542" w:rsidRDefault="00740491">
      <w:r w:rsidRPr="00325542">
        <w:t>---</w:t>
      </w:r>
    </w:p>
    <w:p w:rsidR="00740491" w:rsidRPr="00325542" w:rsidRDefault="00740491">
      <w:pPr>
        <w:pStyle w:val="Rubrik1"/>
      </w:pPr>
      <w:r w:rsidRPr="00325542">
        <w:t>Övrigt</w:t>
      </w:r>
    </w:p>
    <w:p w:rsidR="00740491" w:rsidRPr="00325542" w:rsidRDefault="00740491">
      <w:pPr>
        <w:pStyle w:val="Rubrik2"/>
      </w:pPr>
      <w:r w:rsidRPr="00325542">
        <w:t>Fortsatt behandling av ärendet</w:t>
      </w:r>
    </w:p>
    <w:p w:rsidR="00740491" w:rsidRPr="00325542" w:rsidRDefault="00740491">
      <w:r w:rsidRPr="00325542">
        <w:t>Förslagen presenterades översiktligt vid möte i rådsarbetsgruppen för dom</w:t>
      </w:r>
      <w:r w:rsidRPr="00325542">
        <w:softHyphen/>
        <w:t>stolen den 19 januari 2004. En första diskussion i sak förväntas äga rum vid arbetsgruppens möte den 19 april 2004.</w:t>
      </w:r>
    </w:p>
    <w:p w:rsidR="00740491" w:rsidRPr="00325542" w:rsidRDefault="00740491">
      <w:pPr>
        <w:pStyle w:val="Rubrik2"/>
      </w:pPr>
      <w:r w:rsidRPr="00325542">
        <w:t>Rättslig grund och beslutsförfarande</w:t>
      </w:r>
    </w:p>
    <w:p w:rsidR="00740491" w:rsidRPr="00325542" w:rsidRDefault="00740491">
      <w:r w:rsidRPr="00325542">
        <w:t>Beslut om upprättande av en specialdomstol fattas enligt artikel 225a EG av rådet genom enhälligt beslut, på förslag av kom</w:t>
      </w:r>
      <w:r w:rsidRPr="00325542">
        <w:softHyphen/>
      </w:r>
      <w:r w:rsidRPr="00325542">
        <w:softHyphen/>
        <w:t>missionen och efter att ha hört Europaparlamentet och EG-domstolen, eller på begäran av EG-dom</w:t>
      </w:r>
      <w:r w:rsidRPr="00325542">
        <w:softHyphen/>
        <w:t>stolen och efter att ha hört Europaparlamentet och kom</w:t>
      </w:r>
      <w:r w:rsidRPr="00325542">
        <w:softHyphen/>
        <w:t>mis</w:t>
      </w:r>
      <w:r w:rsidRPr="00325542">
        <w:softHyphen/>
        <w:t>sionen. Enligt sam</w:t>
      </w:r>
      <w:r w:rsidRPr="00325542">
        <w:softHyphen/>
      </w:r>
      <w:r w:rsidRPr="00325542">
        <w:softHyphen/>
        <w:t>ma artikel skall i beslutet om upprättande be</w:t>
      </w:r>
      <w:r w:rsidRPr="00325542">
        <w:softHyphen/>
        <w:t>stämm</w:t>
      </w:r>
      <w:r w:rsidRPr="00325542">
        <w:softHyphen/>
        <w:t>elser om special</w:t>
      </w:r>
      <w:r w:rsidRPr="00325542">
        <w:softHyphen/>
        <w:t>dom</w:t>
      </w:r>
      <w:r w:rsidRPr="00325542">
        <w:softHyphen/>
        <w:t>stolens sam</w:t>
      </w:r>
      <w:r w:rsidRPr="00325542">
        <w:softHyphen/>
        <w:t>man</w:t>
      </w:r>
      <w:r w:rsidRPr="00325542">
        <w:softHyphen/>
        <w:t>sättning fastställas och omfattningen av dess be</w:t>
      </w:r>
      <w:r w:rsidRPr="00325542">
        <w:softHyphen/>
      </w:r>
      <w:r w:rsidRPr="00325542">
        <w:softHyphen/>
        <w:t>hörighet pre</w:t>
      </w:r>
      <w:r w:rsidRPr="00325542">
        <w:softHyphen/>
        <w:t>cis</w:t>
      </w:r>
      <w:r w:rsidRPr="00325542">
        <w:softHyphen/>
        <w:t>er</w:t>
      </w:r>
      <w:r w:rsidRPr="00325542">
        <w:softHyphen/>
        <w:t>as. Spe</w:t>
      </w:r>
      <w:r w:rsidRPr="00325542">
        <w:softHyphen/>
        <w:t>cial</w:t>
      </w:r>
      <w:r w:rsidRPr="00325542">
        <w:softHyphen/>
      </w:r>
      <w:r w:rsidRPr="00325542">
        <w:softHyphen/>
        <w:t>domstolens ledamöter utses av rådet gen</w:t>
      </w:r>
      <w:r w:rsidRPr="00325542">
        <w:softHyphen/>
        <w:t>om en</w:t>
      </w:r>
      <w:r w:rsidRPr="00325542">
        <w:softHyphen/>
        <w:t>häll</w:t>
      </w:r>
      <w:r w:rsidRPr="00325542">
        <w:softHyphen/>
      </w:r>
      <w:r w:rsidRPr="00325542">
        <w:softHyphen/>
      </w:r>
      <w:r w:rsidRPr="00325542">
        <w:softHyphen/>
        <w:t>igt be</w:t>
      </w:r>
      <w:r w:rsidRPr="00325542">
        <w:softHyphen/>
        <w:t>slut. Vidare skall specialdomstolarna fast</w:t>
      </w:r>
      <w:r w:rsidRPr="00325542">
        <w:softHyphen/>
        <w:t>ställa sina rätte</w:t>
      </w:r>
      <w:r w:rsidRPr="00325542">
        <w:softHyphen/>
        <w:t>gångs</w:t>
      </w:r>
      <w:r w:rsidRPr="00325542">
        <w:softHyphen/>
      </w:r>
      <w:r w:rsidRPr="00325542">
        <w:softHyphen/>
        <w:t>regler i sam</w:t>
      </w:r>
      <w:r w:rsidRPr="00325542">
        <w:softHyphen/>
        <w:t>förstånd med EG-dom</w:t>
      </w:r>
      <w:r w:rsidRPr="00325542">
        <w:softHyphen/>
        <w:t>st</w:t>
      </w:r>
      <w:r w:rsidRPr="00325542">
        <w:t>olen. Dessa regler skall godkännas av råd</w:t>
      </w:r>
      <w:r w:rsidRPr="00325542">
        <w:softHyphen/>
        <w:t>et med kvali</w:t>
      </w:r>
      <w:r w:rsidRPr="00325542">
        <w:softHyphen/>
      </w:r>
      <w:r w:rsidRPr="00325542">
        <w:softHyphen/>
        <w:t>ficerad majoritet. Om inget annat föreskrivs i beslutet om upp</w:t>
      </w:r>
      <w:r w:rsidRPr="00325542">
        <w:softHyphen/>
      </w:r>
      <w:r w:rsidRPr="00325542">
        <w:softHyphen/>
      </w:r>
      <w:r w:rsidRPr="00325542">
        <w:softHyphen/>
      </w:r>
      <w:r w:rsidRPr="00325542">
        <w:softHyphen/>
        <w:t>rättande skall be</w:t>
      </w:r>
      <w:r w:rsidRPr="00325542">
        <w:softHyphen/>
        <w:t>stäm</w:t>
      </w:r>
      <w:r w:rsidRPr="00325542">
        <w:softHyphen/>
        <w:t>melserna i för</w:t>
      </w:r>
      <w:r w:rsidRPr="00325542">
        <w:softHyphen/>
        <w:t>drag</w:t>
      </w:r>
      <w:r w:rsidRPr="00325542">
        <w:softHyphen/>
        <w:t>et som avser EG-dom</w:t>
      </w:r>
      <w:r w:rsidRPr="00325542">
        <w:softHyphen/>
        <w:t>stolen och be</w:t>
      </w:r>
      <w:r w:rsidRPr="00325542">
        <w:softHyphen/>
        <w:t>stämm</w:t>
      </w:r>
      <w:r w:rsidRPr="00325542">
        <w:softHyphen/>
        <w:t>elserna i EG-domstolens stadga tillämp</w:t>
      </w:r>
      <w:r w:rsidRPr="00325542">
        <w:softHyphen/>
        <w:t>as. Enligt artikel 245 EG fast</w:t>
      </w:r>
      <w:r w:rsidRPr="00325542">
        <w:softHyphen/>
        <w:t>ställs EG-dom</w:t>
      </w:r>
      <w:r w:rsidRPr="00325542">
        <w:softHyphen/>
        <w:t>stolens stad</w:t>
      </w:r>
      <w:r w:rsidRPr="00325542">
        <w:softHyphen/>
        <w:t>ga i ett särskilt proto</w:t>
      </w:r>
      <w:r w:rsidRPr="00325542">
        <w:softHyphen/>
        <w:t>koll. Enligt samma artikel ändras be</w:t>
      </w:r>
      <w:r w:rsidRPr="00325542">
        <w:softHyphen/>
        <w:t>stäm</w:t>
      </w:r>
      <w:r w:rsidRPr="00325542">
        <w:softHyphen/>
        <w:t>melserna i stad</w:t>
      </w:r>
      <w:r w:rsidRPr="00325542">
        <w:softHyphen/>
        <w:t>gan – med undantag för avdelning I – gen</w:t>
      </w:r>
      <w:r w:rsidRPr="00325542">
        <w:softHyphen/>
        <w:t>om enhälligt be</w:t>
      </w:r>
      <w:r w:rsidRPr="00325542">
        <w:softHyphen/>
      </w:r>
      <w:r w:rsidRPr="00325542">
        <w:softHyphen/>
        <w:t>slut i rådet, på be</w:t>
      </w:r>
      <w:r w:rsidRPr="00325542">
        <w:softHyphen/>
        <w:t>gäran av EG-dom</w:t>
      </w:r>
      <w:r w:rsidRPr="00325542">
        <w:softHyphen/>
        <w:t>stolen och efter att ha hört Europ</w:t>
      </w:r>
      <w:r w:rsidRPr="00325542">
        <w:t>a</w:t>
      </w:r>
      <w:r w:rsidRPr="00325542">
        <w:softHyphen/>
        <w:t>parla</w:t>
      </w:r>
      <w:r w:rsidRPr="00325542">
        <w:softHyphen/>
        <w:t>ment</w:t>
      </w:r>
      <w:r w:rsidRPr="00325542">
        <w:softHyphen/>
        <w:t>et och kom</w:t>
      </w:r>
      <w:r w:rsidRPr="00325542">
        <w:softHyphen/>
        <w:t>mis</w:t>
      </w:r>
      <w:r w:rsidRPr="00325542">
        <w:softHyphen/>
        <w:t>sion</w:t>
      </w:r>
      <w:r w:rsidRPr="00325542">
        <w:softHyphen/>
        <w:t>en, eller på begäran av kommissionen och efter att ha hört Euro</w:t>
      </w:r>
      <w:r w:rsidRPr="00325542">
        <w:softHyphen/>
        <w:t>pa</w:t>
      </w:r>
      <w:r w:rsidRPr="00325542">
        <w:softHyphen/>
        <w:t>parlamentet och EG-dom</w:t>
      </w:r>
      <w:r w:rsidRPr="00325542">
        <w:softHyphen/>
        <w:t>stolen. Beslut att ge EG-domstolen be</w:t>
      </w:r>
      <w:r w:rsidRPr="00325542">
        <w:softHyphen/>
        <w:t>hör</w:t>
      </w:r>
      <w:r w:rsidRPr="00325542">
        <w:softHyphen/>
        <w:t>ig</w:t>
      </w:r>
      <w:r w:rsidRPr="00325542">
        <w:softHyphen/>
        <w:t>het att av</w:t>
      </w:r>
      <w:r w:rsidRPr="00325542">
        <w:softHyphen/>
        <w:t>göra tvister rörande ge</w:t>
      </w:r>
      <w:r w:rsidRPr="00325542">
        <w:softHyphen/>
        <w:t>men</w:t>
      </w:r>
      <w:r w:rsidRPr="00325542">
        <w:softHyphen/>
        <w:t>skapsrättigheter som avser indu</w:t>
      </w:r>
      <w:r w:rsidRPr="00325542">
        <w:softHyphen/>
        <w:t>stri</w:t>
      </w:r>
      <w:r w:rsidRPr="00325542">
        <w:softHyphen/>
        <w:t>ellt rätts</w:t>
      </w:r>
      <w:r w:rsidRPr="00325542">
        <w:softHyphen/>
      </w:r>
      <w:r w:rsidRPr="00325542">
        <w:softHyphen/>
        <w:t>skydd fattas, enligt artikel 229a EG, enhälligt av rådet på förslag av kom</w:t>
      </w:r>
      <w:r w:rsidRPr="00325542">
        <w:softHyphen/>
      </w:r>
      <w:r w:rsidRPr="00325542">
        <w:softHyphen/>
      </w:r>
      <w:r w:rsidRPr="00325542">
        <w:softHyphen/>
        <w:t>mis</w:t>
      </w:r>
      <w:r w:rsidRPr="00325542">
        <w:softHyphen/>
      </w:r>
      <w:r w:rsidRPr="00325542">
        <w:softHyphen/>
        <w:t>sionen och efter att ha hört Europa</w:t>
      </w:r>
      <w:r w:rsidRPr="00325542">
        <w:softHyphen/>
      </w:r>
      <w:r w:rsidRPr="00325542">
        <w:softHyphen/>
        <w:t>parlamentet. För att bestämm</w:t>
      </w:r>
      <w:r w:rsidRPr="00325542">
        <w:softHyphen/>
        <w:t>el</w:t>
      </w:r>
      <w:r w:rsidRPr="00325542">
        <w:softHyphen/>
        <w:t>ser</w:t>
      </w:r>
      <w:r w:rsidRPr="00325542">
        <w:softHyphen/>
        <w:t>na skall bli bindande för med</w:t>
      </w:r>
      <w:r w:rsidRPr="00325542">
        <w:softHyphen/>
        <w:t>lems</w:t>
      </w:r>
      <w:r w:rsidRPr="00325542">
        <w:softHyphen/>
        <w:t>stat</w:t>
      </w:r>
      <w:r w:rsidRPr="00325542">
        <w:softHyphen/>
      </w:r>
      <w:r w:rsidRPr="00325542">
        <w:softHyphen/>
        <w:t>erna krävs dessutom att med</w:t>
      </w:r>
      <w:r w:rsidRPr="00325542">
        <w:softHyphen/>
        <w:t>lems</w:t>
      </w:r>
      <w:r w:rsidRPr="00325542">
        <w:softHyphen/>
        <w:t>stat</w:t>
      </w:r>
      <w:r w:rsidRPr="00325542">
        <w:softHyphen/>
        <w:t xml:space="preserve">erna antar dem enligt </w:t>
      </w:r>
      <w:r w:rsidRPr="00325542">
        <w:t>sina respektive konstitutionella bestämmelser. Ett sådant antag</w:t>
      </w:r>
      <w:r w:rsidRPr="00325542">
        <w:softHyphen/>
        <w:t xml:space="preserve">ande förutsätter för svensk del överlåtelse av beslutanderätt i enlighet med bestämmelserna i 10 kap 5 § regeringsformen. </w:t>
      </w:r>
    </w:p>
    <w:p w:rsidR="00740491" w:rsidRPr="00325542" w:rsidRDefault="00740491"/>
    <w:p w:rsidR="00740491" w:rsidRPr="00325542" w:rsidRDefault="00740491">
      <w:pPr>
        <w:pStyle w:val="Rubrik2"/>
      </w:pPr>
      <w:r w:rsidRPr="00325542">
        <w:t>Fackuttryck/termer</w:t>
      </w:r>
    </w:p>
    <w:p w:rsidR="00740491" w:rsidRPr="00325542" w:rsidRDefault="00740491">
      <w:r w:rsidRPr="00325542">
        <w:t>---</w:t>
      </w:r>
    </w:p>
    <w:sectPr w:rsidR="00740491" w:rsidRPr="0032554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0491" w:rsidRPr="00325542" w:rsidRDefault="00740491">
      <w:pPr>
        <w:spacing w:before="0" w:line="240" w:lineRule="auto"/>
      </w:pPr>
      <w:r w:rsidRPr="00325542">
        <w:separator/>
      </w:r>
    </w:p>
  </w:endnote>
  <w:endnote w:type="continuationSeparator" w:id="0">
    <w:p w:rsidR="00740491" w:rsidRPr="00325542" w:rsidRDefault="00740491">
      <w:pPr>
        <w:spacing w:before="0" w:line="240" w:lineRule="auto"/>
      </w:pPr>
      <w:r w:rsidRPr="003255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491" w:rsidRPr="00325542" w:rsidRDefault="00740491">
    <w:pPr>
      <w:pStyle w:val="SidfotH"/>
      <w:framePr w:wrap="around"/>
    </w:pPr>
    <w:r w:rsidRPr="00325542">
      <w:t>2</w:t>
    </w:r>
  </w:p>
  <w:p w:rsidR="00740491" w:rsidRPr="00325542" w:rsidRDefault="007404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491" w:rsidRPr="00325542" w:rsidRDefault="00740491">
    <w:pPr>
      <w:pStyle w:val="SidfotH"/>
      <w:framePr w:wrap="around"/>
    </w:pPr>
    <w:r w:rsidRPr="00325542">
      <w:t>1</w:t>
    </w:r>
  </w:p>
  <w:p w:rsidR="00740491" w:rsidRPr="00325542" w:rsidRDefault="007404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0491" w:rsidRPr="00325542" w:rsidRDefault="00740491">
      <w:pPr>
        <w:spacing w:before="0" w:line="240" w:lineRule="auto"/>
      </w:pPr>
      <w:r w:rsidRPr="00325542">
        <w:separator/>
      </w:r>
    </w:p>
  </w:footnote>
  <w:footnote w:type="continuationSeparator" w:id="0">
    <w:p w:rsidR="00740491" w:rsidRPr="00325542" w:rsidRDefault="00740491">
      <w:pPr>
        <w:spacing w:before="0" w:line="240" w:lineRule="auto"/>
      </w:pPr>
      <w:r w:rsidRPr="003255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491" w:rsidRPr="00325542" w:rsidRDefault="00740491">
    <w:pPr>
      <w:pStyle w:val="Kantrubrik"/>
      <w:framePr w:h="1157" w:hRule="exact" w:wrap="around" w:y="738"/>
    </w:pPr>
    <w:r w:rsidRPr="00325542">
      <w:t>2003/04:FPM68</w:t>
    </w:r>
  </w:p>
  <w:p w:rsidR="00740491" w:rsidRPr="00325542" w:rsidRDefault="0074049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491" w:rsidRPr="00325542" w:rsidRDefault="00325542">
    <w:pPr>
      <w:pStyle w:val="Sidhuvud"/>
    </w:pPr>
    <w:r w:rsidRPr="00325542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64515" cy="981075"/>
              <wp:effectExtent l="0" t="0" r="0" b="0"/>
              <wp:wrapNone/>
              <wp:docPr id="123344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1" w:name="_MON_929452563"/>
                        <w:bookmarkStart w:id="2" w:name="_MON_929529912"/>
                        <w:bookmarkStart w:id="3" w:name="_MON_932818888"/>
                        <w:bookmarkStart w:id="4" w:name="_MON_947076358"/>
                        <w:bookmarkStart w:id="5" w:name="_MON_947165881"/>
                        <w:bookmarkStart w:id="6" w:name="_MON_968067888"/>
                        <w:bookmarkStart w:id="7" w:name="_MON_968068624"/>
                        <w:bookmarkStart w:id="8" w:name="_MON_973953492"/>
                        <w:bookmarkStart w:id="9" w:name="_MON_1055331669"/>
                        <w:bookmarkStart w:id="10" w:name="_MON_1064755490"/>
                        <w:bookmarkStart w:id="11" w:name="_MON_1064755633"/>
                        <w:bookmarkStart w:id="12" w:name="_MON_1064755717"/>
                        <w:bookmarkStart w:id="13" w:name="_MON_1060519202"/>
                        <w:bookmarkEnd w:id="1"/>
                        <w:bookmarkEnd w:id="2"/>
                        <w:bookmarkEnd w:id="3"/>
                        <w:bookmarkEnd w:id="4"/>
                        <w:bookmarkEnd w:id="5"/>
                        <w:bookmarkEnd w:id="6"/>
                        <w:bookmarkEnd w:id="7"/>
                        <w:bookmarkEnd w:id="8"/>
                        <w:bookmarkEnd w:id="9"/>
                        <w:bookmarkEnd w:id="10"/>
                        <w:bookmarkEnd w:id="11"/>
                        <w:bookmarkEnd w:id="12"/>
                        <w:bookmarkEnd w:id="13"/>
                        <w:p w:rsidR="00740491" w:rsidRDefault="00740491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color="window">
                                <v:imagedata r:id="rId1" o:title=""/>
                              </v:shape>
                              <o:OLEObject Type="Embed" ProgID="Word.Picture.8" ShapeID="_x0000_i1025" DrawAspect="Content" ObjectID="_1827418324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1.55pt;margin-top:21.6pt;width:44.4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" o:allowincell="f" stroked="f">
              <v:textbox inset="0,0,0,0">
                <w:txbxContent>
                  <w:bookmarkStart w:id="14" w:name="_MON_929452563"/>
                  <w:bookmarkStart w:id="15" w:name="_MON_929529912"/>
                  <w:bookmarkStart w:id="16" w:name="_MON_932818888"/>
                  <w:bookmarkStart w:id="17" w:name="_MON_947076358"/>
                  <w:bookmarkStart w:id="18" w:name="_MON_947165881"/>
                  <w:bookmarkStart w:id="19" w:name="_MON_968067888"/>
                  <w:bookmarkStart w:id="20" w:name="_MON_968068624"/>
                  <w:bookmarkStart w:id="21" w:name="_MON_973953492"/>
                  <w:bookmarkStart w:id="22" w:name="_MON_1055331669"/>
                  <w:bookmarkStart w:id="23" w:name="_MON_1064755490"/>
                  <w:bookmarkStart w:id="24" w:name="_MON_1064755633"/>
                  <w:bookmarkStart w:id="25" w:name="_MON_1064755717"/>
                  <w:bookmarkStart w:id="26" w:name="_MON_1060519202"/>
                  <w:bookmarkEnd w:id="14"/>
                  <w:bookmarkEnd w:id="15"/>
                  <w:bookmarkEnd w:id="16"/>
                  <w:bookmarkEnd w:id="17"/>
                  <w:bookmarkEnd w:id="18"/>
                  <w:bookmarkEnd w:id="19"/>
                  <w:bookmarkEnd w:id="20"/>
                  <w:bookmarkEnd w:id="21"/>
                  <w:bookmarkEnd w:id="22"/>
                  <w:bookmarkEnd w:id="23"/>
                  <w:bookmarkEnd w:id="24"/>
                  <w:bookmarkEnd w:id="25"/>
                  <w:bookmarkEnd w:id="26"/>
                  <w:p w:rsidR="00740491" w:rsidRDefault="00740491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color="window">
                          <v:imagedata r:id="rId1" o:title=""/>
                        </v:shape>
                        <o:OLEObject Type="Embed" ProgID="Word.Picture.8" ShapeID="_x0000_i1025" DrawAspect="Content" ObjectID="_1827418324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7071765">
    <w:abstractNumId w:val="4"/>
  </w:num>
  <w:num w:numId="2" w16cid:durableId="1519393868">
    <w:abstractNumId w:val="1"/>
  </w:num>
  <w:num w:numId="3" w16cid:durableId="862092533">
    <w:abstractNumId w:val="2"/>
  </w:num>
  <w:num w:numId="4" w16cid:durableId="165369926">
    <w:abstractNumId w:val="3"/>
  </w:num>
  <w:num w:numId="5" w16cid:durableId="1346519678">
    <w:abstractNumId w:val="5"/>
  </w:num>
  <w:num w:numId="6" w16cid:durableId="55189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04-02-25"/>
    <w:docVar w:name="Ar" w:val="2004/05"/>
    <w:docVar w:name="Dep" w:val="Utrikesdepartementet"/>
    <w:docVar w:name="DepWeb" w:val="Utrikesdepartementet"/>
    <w:docVar w:name="GDB1" w:val="5189/04 JUR 14 COUR 1 PI 4"/>
    <w:docVar w:name="GDB10" w:val=" "/>
    <w:docVar w:name="GDB11" w:val=" "/>
    <w:docVar w:name="GDB12" w:val=" "/>
    <w:docVar w:name="GDB13" w:val=" "/>
    <w:docVar w:name="GDB2" w:val="5190/04 JUR 15 COUR 2 PI 5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Förslag till rådets beslut om att upprätta gemenskapspatenträtten och om överprövning vid förstainstansrätten"/>
    <w:docVar w:name="GDT10" w:val=" "/>
    <w:docVar w:name="GDT11" w:val=" "/>
    <w:docVar w:name="GDT12" w:val=" "/>
    <w:docVar w:name="GDT13" w:val=" "/>
    <w:docVar w:name="GDT2" w:val="Förslag till rådets beslut om att ge domstolen behörighet i mål om gemenskapspatent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5189/04 JUR 14 COUR 1 PI 4, 5190/04 JUR 15 COUR 2 PI 5"/>
    <w:docVar w:name="Nr" w:val="68"/>
    <w:docVar w:name="Rub" w:val="Upprättande av gemenskapspatentdomstolen"/>
    <w:docVar w:name="UppDat" w:val="2004-02-23"/>
    <w:docVar w:name="Utsk" w:val="Lagutskottet"/>
  </w:docVars>
  <w:rsids>
    <w:rsidRoot w:val="003612E3"/>
    <w:rsid w:val="00325542"/>
    <w:rsid w:val="003612E3"/>
    <w:rsid w:val="0074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FE9BBF8-4438-4CB4-AC08-150D276A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en-US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en-US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C1_VOL11_SERVER\VOL11\NTPROGRA\MSOffice\Mallar\_Kk\FAKTAPM-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FAKTAPM-NY.DOT</Template>
  <TotalTime>0</TotalTime>
  <Pages>2</Pages>
  <Words>2594</Words>
  <Characters>16914</Characters>
  <Application>Microsoft Office Word</Application>
  <DocSecurity>4</DocSecurity>
  <Lines>313</Lines>
  <Paragraphs>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Regeringskansliet</vt:lpstr>
      <vt:lpstr>Regeringskansliet</vt:lpstr>
    </vt:vector>
  </TitlesOfParts>
  <Company>RD-DTSL</Company>
  <LinksUpToDate>false</LinksUpToDate>
  <CharactersWithSpaces>19443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Regeringskansliet</dc:title>
  <dc:subject>Regeringskansliet</dc:subject>
  <dc:creator>Riksdagen</dc:creator>
  <cp:keywords>Riksdagen</cp:keywords>
  <cp:lastModifiedBy>Lars Brink</cp:lastModifiedBy>
  <cp:revision>2</cp:revision>
  <cp:lastPrinted>2004-03-01T13:51:00Z</cp:lastPrinted>
  <dcterms:created xsi:type="dcterms:W3CDTF">2025-12-16T18:17:00Z</dcterms:created>
  <dcterms:modified xsi:type="dcterms:W3CDTF">2025-12-16T18:17:00Z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68</vt:lpwstr>
  </property>
  <property fmtid="{D5CDD505-2E9C-101B-9397-08002B2CF9AE}" pid="4" name="GDB1">
    <vt:lpwstr>5189/04 JUR 14 COUR 1 PI 4</vt:lpwstr>
  </property>
  <property fmtid="{D5CDD505-2E9C-101B-9397-08002B2CF9AE}" pid="5" name="GDT1">
    <vt:lpwstr> </vt:lpwstr>
  </property>
  <property fmtid="{D5CDD505-2E9C-101B-9397-08002B2CF9AE}" pid="6" name="Dep">
    <vt:lpwstr>Utrikesdepartementet</vt:lpwstr>
  </property>
  <property fmtid="{D5CDD505-2E9C-101B-9397-08002B2CF9AE}" pid="7" name="Rub">
    <vt:lpwstr>Upprättande av gemenskapspatentdomstolen</vt:lpwstr>
  </property>
  <property fmtid="{D5CDD505-2E9C-101B-9397-08002B2CF9AE}" pid="8" name="UppDat">
    <vt:lpwstr>2004-02-23</vt:lpwstr>
  </property>
  <property fmtid="{D5CDD505-2E9C-101B-9397-08002B2CF9AE}" pid="9" name="AnkDat">
    <vt:lpwstr>2004-02-25</vt:lpwstr>
  </property>
  <property fmtid="{D5CDD505-2E9C-101B-9397-08002B2CF9AE}" pid="10" name="Utsk">
    <vt:lpwstr>Lagutskottet</vt:lpwstr>
  </property>
  <property fmtid="{D5CDD505-2E9C-101B-9397-08002B2CF9AE}" pid="11" name="Ar">
    <vt:lpwstr>2003/04</vt:lpwstr>
  </property>
  <property fmtid="{D5CDD505-2E9C-101B-9397-08002B2CF9AE}" pid="12" name="DepID">
    <vt:lpwstr>3;0;0;234</vt:lpwstr>
  </property>
  <property fmtid="{D5CDD505-2E9C-101B-9397-08002B2CF9AE}" pid="13" name="Sprak">
    <vt:lpwstr>Svenska</vt:lpwstr>
  </property>
  <property fmtid="{D5CDD505-2E9C-101B-9397-08002B2CF9AE}" pid="14" name="DokID">
    <vt:i4>80</vt:i4>
  </property>
  <property fmtid="{D5CDD505-2E9C-101B-9397-08002B2CF9AE}" pid="15" name="GDB2">
    <vt:lpwstr>5190/04 JUR 15 COUR 2 PI 5</vt:lpwstr>
  </property>
  <property fmtid="{D5CDD505-2E9C-101B-9397-08002B2CF9AE}" pid="16" name="GDB3">
    <vt:lpwstr> </vt:lpwstr>
  </property>
  <property fmtid="{D5CDD505-2E9C-101B-9397-08002B2CF9AE}" pid="17" name="GDB4">
    <vt:lpwstr> </vt:lpwstr>
  </property>
  <property fmtid="{D5CDD505-2E9C-101B-9397-08002B2CF9AE}" pid="18" name="GDB5">
    <vt:lpwstr> </vt:lpwstr>
  </property>
  <property fmtid="{D5CDD505-2E9C-101B-9397-08002B2CF9AE}" pid="19" name="GDB6">
    <vt:lpwstr> </vt:lpwstr>
  </property>
  <property fmtid="{D5CDD505-2E9C-101B-9397-08002B2CF9AE}" pid="20" name="GDB7">
    <vt:lpwstr> </vt:lpwstr>
  </property>
  <property fmtid="{D5CDD505-2E9C-101B-9397-08002B2CF9AE}" pid="21" name="GDB8">
    <vt:lpwstr> </vt:lpwstr>
  </property>
  <property fmtid="{D5CDD505-2E9C-101B-9397-08002B2CF9AE}" pid="22" name="GDB9">
    <vt:lpwstr> </vt:lpwstr>
  </property>
  <property fmtid="{D5CDD505-2E9C-101B-9397-08002B2CF9AE}" pid="23" name="GDB10">
    <vt:lpwstr> </vt:lpwstr>
  </property>
  <property fmtid="{D5CDD505-2E9C-101B-9397-08002B2CF9AE}" pid="24" name="GDB11">
    <vt:lpwstr> </vt:lpwstr>
  </property>
  <property fmtid="{D5CDD505-2E9C-101B-9397-08002B2CF9AE}" pid="25" name="GDB12">
    <vt:lpwstr> </vt:lpwstr>
  </property>
  <property fmtid="{D5CDD505-2E9C-101B-9397-08002B2CF9AE}" pid="26" name="GDB13">
    <vt:lpwstr> </vt:lpwstr>
  </property>
  <property fmtid="{D5CDD505-2E9C-101B-9397-08002B2CF9AE}" pid="27" name="Justitiedepartementet">
    <vt:lpwstr>NEJ</vt:lpwstr>
  </property>
  <property fmtid="{D5CDD505-2E9C-101B-9397-08002B2CF9AE}" pid="28" name="Utrikesdepartementet">
    <vt:lpwstr>JA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NEJ</vt:lpwstr>
  </property>
  <property fmtid="{D5CDD505-2E9C-101B-9397-08002B2CF9AE}" pid="31" name="Finansdepartementet">
    <vt:lpwstr>NEJ</vt:lpwstr>
  </property>
  <property fmtid="{D5CDD505-2E9C-101B-9397-08002B2CF9AE}" pid="32" name="Utbildningsdepartementet">
    <vt:lpwstr>NEJ</vt:lpwstr>
  </property>
  <property fmtid="{D5CDD505-2E9C-101B-9397-08002B2CF9AE}" pid="33" name="Jordbruksdepartementet">
    <vt:lpwstr>NEJ</vt:lpwstr>
  </property>
  <property fmtid="{D5CDD505-2E9C-101B-9397-08002B2CF9AE}" pid="34" name="Kulturdepartementet">
    <vt:lpwstr>NEJ</vt:lpwstr>
  </property>
  <property fmtid="{D5CDD505-2E9C-101B-9397-08002B2CF9AE}" pid="35" name="Näringsdepartementet">
    <vt:lpwstr>NEJ</vt:lpwstr>
  </property>
  <property fmtid="{D5CDD505-2E9C-101B-9397-08002B2CF9AE}" pid="36" name="Miljödepartementet">
    <vt:lpwstr>NEJ</vt:lpwstr>
  </property>
  <property fmtid="{D5CDD505-2E9C-101B-9397-08002B2CF9AE}" pid="37" name="NUID">
    <vt:lpwstr> </vt:lpwstr>
  </property>
</Properties>
</file>