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A35AB75"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7EA901F2" w:rsidR="00F65DF8" w:rsidRPr="0012669A" w:rsidRDefault="00197781" w:rsidP="00F65DF8">
            <w:pPr>
              <w:rPr>
                <w:b/>
              </w:rPr>
            </w:pPr>
            <w:r w:rsidRPr="0012669A">
              <w:rPr>
                <w:b/>
              </w:rPr>
              <w:t>UTSKOTTSSAMMANTRÄDE 20</w:t>
            </w:r>
            <w:r w:rsidR="002C5A9C">
              <w:rPr>
                <w:b/>
              </w:rPr>
              <w:t>2</w:t>
            </w:r>
            <w:r w:rsidR="00DC0588">
              <w:rPr>
                <w:b/>
              </w:rPr>
              <w:t>5</w:t>
            </w:r>
            <w:r w:rsidRPr="0012669A">
              <w:rPr>
                <w:b/>
              </w:rPr>
              <w:t>/</w:t>
            </w:r>
            <w:r w:rsidR="00113C2E" w:rsidRPr="0012669A">
              <w:rPr>
                <w:b/>
              </w:rPr>
              <w:t>2</w:t>
            </w:r>
            <w:r w:rsidR="00DC0588">
              <w:rPr>
                <w:b/>
              </w:rPr>
              <w:t>6</w:t>
            </w:r>
            <w:r w:rsidR="0060686F">
              <w:rPr>
                <w:b/>
              </w:rPr>
              <w:t>:</w:t>
            </w:r>
            <w:r w:rsidR="00C76CA9">
              <w:rPr>
                <w:b/>
              </w:rPr>
              <w:t>6</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67055E7F" w:rsidR="00F65DF8" w:rsidRPr="0012669A" w:rsidRDefault="00D46F51" w:rsidP="005F596C">
            <w:r w:rsidRPr="0012669A">
              <w:t>20</w:t>
            </w:r>
            <w:r w:rsidR="00F053F8" w:rsidRPr="0012669A">
              <w:t>2</w:t>
            </w:r>
            <w:r w:rsidR="00583C98">
              <w:t>5</w:t>
            </w:r>
            <w:r w:rsidRPr="0012669A">
              <w:t>-</w:t>
            </w:r>
            <w:r w:rsidR="000C73D0">
              <w:t>10</w:t>
            </w:r>
            <w:r w:rsidR="005F28AA">
              <w:t>-</w:t>
            </w:r>
            <w:r w:rsidR="00C76CA9">
              <w:t>21</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335C6D18" w14:textId="77777777" w:rsidR="005A0CF3" w:rsidRDefault="00D1166C" w:rsidP="00920FCA">
            <w:r>
              <w:t>1</w:t>
            </w:r>
            <w:r w:rsidR="00C76CA9">
              <w:t>1</w:t>
            </w:r>
            <w:r w:rsidR="006A30F1">
              <w:t>.</w:t>
            </w:r>
            <w:r>
              <w:t>0</w:t>
            </w:r>
            <w:r w:rsidR="00AC75E3">
              <w:t>0</w:t>
            </w:r>
            <w:r w:rsidR="0073639C">
              <w:t>–</w:t>
            </w:r>
            <w:r w:rsidR="002E505E">
              <w:t>11.48</w:t>
            </w:r>
          </w:p>
          <w:p w14:paraId="78945337" w14:textId="5742010E" w:rsidR="002E505E" w:rsidRPr="0012669A" w:rsidRDefault="002E505E" w:rsidP="00920FCA">
            <w:r>
              <w:t>11.55–12.</w:t>
            </w:r>
            <w:r w:rsidR="00665057">
              <w:t>20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04089B61" w14:textId="77777777" w:rsidR="000F714D" w:rsidRDefault="000F714D"/>
    <w:p w14:paraId="6B9C78A4" w14:textId="77777777" w:rsidR="00D5643D" w:rsidRPr="0012669A" w:rsidRDefault="00D5643D"/>
    <w:tbl>
      <w:tblPr>
        <w:tblW w:w="7729" w:type="dxa"/>
        <w:tblInd w:w="1485" w:type="dxa"/>
        <w:tblCellMar>
          <w:left w:w="70" w:type="dxa"/>
          <w:right w:w="70" w:type="dxa"/>
        </w:tblCellMar>
        <w:tblLook w:val="00A0" w:firstRow="1" w:lastRow="0" w:firstColumn="1" w:lastColumn="0" w:noHBand="0" w:noVBand="0"/>
      </w:tblPr>
      <w:tblGrid>
        <w:gridCol w:w="567"/>
        <w:gridCol w:w="7162"/>
      </w:tblGrid>
      <w:tr w:rsidR="00D1166C" w:rsidRPr="006C0F9A" w14:paraId="6A4397D6" w14:textId="77777777" w:rsidTr="001324AA">
        <w:trPr>
          <w:trHeight w:val="950"/>
        </w:trPr>
        <w:tc>
          <w:tcPr>
            <w:tcW w:w="567" w:type="dxa"/>
          </w:tcPr>
          <w:p w14:paraId="6874B93C" w14:textId="46DE132B" w:rsidR="00D1166C" w:rsidRDefault="007040E7" w:rsidP="00DC0D46">
            <w:pPr>
              <w:tabs>
                <w:tab w:val="left" w:pos="1701"/>
              </w:tabs>
              <w:rPr>
                <w:b/>
                <w:snapToGrid w:val="0"/>
              </w:rPr>
            </w:pPr>
            <w:r>
              <w:rPr>
                <w:b/>
                <w:snapToGrid w:val="0"/>
              </w:rPr>
              <w:t xml:space="preserve">§ </w:t>
            </w:r>
            <w:r w:rsidR="00DC0588">
              <w:rPr>
                <w:b/>
                <w:snapToGrid w:val="0"/>
              </w:rPr>
              <w:t>1</w:t>
            </w:r>
          </w:p>
        </w:tc>
        <w:tc>
          <w:tcPr>
            <w:tcW w:w="7162" w:type="dxa"/>
          </w:tcPr>
          <w:p w14:paraId="6ADAF213" w14:textId="77777777" w:rsidR="00D75546" w:rsidRPr="006C0F9A" w:rsidRDefault="00D75546" w:rsidP="00D75546">
            <w:pPr>
              <w:widowControl w:val="0"/>
              <w:tabs>
                <w:tab w:val="left" w:pos="1701"/>
              </w:tabs>
              <w:rPr>
                <w:b/>
                <w:bCs/>
              </w:rPr>
            </w:pPr>
            <w:r w:rsidRPr="006C0F9A">
              <w:rPr>
                <w:b/>
                <w:bCs/>
              </w:rPr>
              <w:t>Justering av protokoll</w:t>
            </w:r>
          </w:p>
          <w:p w14:paraId="6C85B637" w14:textId="77777777" w:rsidR="00D75546" w:rsidRPr="006C0F9A" w:rsidRDefault="00D75546" w:rsidP="00D75546">
            <w:pPr>
              <w:widowControl w:val="0"/>
              <w:tabs>
                <w:tab w:val="left" w:pos="1701"/>
              </w:tabs>
              <w:rPr>
                <w:b/>
                <w:bCs/>
              </w:rPr>
            </w:pPr>
          </w:p>
          <w:p w14:paraId="60AC4ACC" w14:textId="26296D91" w:rsidR="00D75546" w:rsidRPr="006C0F9A" w:rsidRDefault="00D75546" w:rsidP="00D75546">
            <w:pPr>
              <w:widowControl w:val="0"/>
              <w:tabs>
                <w:tab w:val="left" w:pos="1701"/>
              </w:tabs>
            </w:pPr>
            <w:r w:rsidRPr="006C0F9A">
              <w:t xml:space="preserve">Utskottet justerade protokoll </w:t>
            </w:r>
            <w:r>
              <w:t>2025/26:</w:t>
            </w:r>
            <w:r w:rsidR="00C76CA9">
              <w:t>5</w:t>
            </w:r>
            <w:r w:rsidRPr="006C0F9A">
              <w:t>.</w:t>
            </w:r>
          </w:p>
          <w:p w14:paraId="60F320F1" w14:textId="175A3B75" w:rsidR="007040E7" w:rsidRPr="00D1166C" w:rsidRDefault="007040E7" w:rsidP="00DC0588">
            <w:pPr>
              <w:widowControl w:val="0"/>
              <w:tabs>
                <w:tab w:val="left" w:pos="1701"/>
              </w:tabs>
              <w:rPr>
                <w:b/>
                <w:bCs/>
              </w:rPr>
            </w:pPr>
          </w:p>
        </w:tc>
      </w:tr>
      <w:tr w:rsidR="00C76CA9" w:rsidRPr="006C0F9A" w14:paraId="63A09814" w14:textId="77777777" w:rsidTr="001324AA">
        <w:trPr>
          <w:trHeight w:val="950"/>
        </w:trPr>
        <w:tc>
          <w:tcPr>
            <w:tcW w:w="567" w:type="dxa"/>
          </w:tcPr>
          <w:p w14:paraId="6B8C5F46" w14:textId="2FFCC744" w:rsidR="00C76CA9" w:rsidRDefault="00C76CA9" w:rsidP="00DC0D46">
            <w:pPr>
              <w:tabs>
                <w:tab w:val="left" w:pos="1701"/>
              </w:tabs>
              <w:rPr>
                <w:b/>
                <w:snapToGrid w:val="0"/>
              </w:rPr>
            </w:pPr>
            <w:r>
              <w:rPr>
                <w:b/>
                <w:snapToGrid w:val="0"/>
              </w:rPr>
              <w:t>§ 2</w:t>
            </w:r>
          </w:p>
        </w:tc>
        <w:tc>
          <w:tcPr>
            <w:tcW w:w="7162" w:type="dxa"/>
          </w:tcPr>
          <w:p w14:paraId="3023430E" w14:textId="77777777" w:rsidR="00C76CA9" w:rsidRDefault="00C76CA9" w:rsidP="00C76CA9">
            <w:pPr>
              <w:widowControl w:val="0"/>
              <w:tabs>
                <w:tab w:val="left" w:pos="1701"/>
              </w:tabs>
              <w:rPr>
                <w:szCs w:val="23"/>
              </w:rPr>
            </w:pPr>
            <w:r w:rsidRPr="00A76BF3">
              <w:rPr>
                <w:b/>
                <w:bCs/>
                <w:iCs/>
              </w:rPr>
              <w:t>Uppgiftsskyldighet för vissa stödåtgärder som faller under EU:s statsstödsregler (NU6)</w:t>
            </w:r>
            <w:r>
              <w:rPr>
                <w:b/>
                <w:bCs/>
                <w:iCs/>
              </w:rPr>
              <w:br/>
            </w:r>
            <w:r w:rsidRPr="00FF1B11">
              <w:rPr>
                <w:iCs/>
                <w:szCs w:val="23"/>
              </w:rPr>
              <w:br/>
            </w:r>
            <w:r w:rsidRPr="00DC0588">
              <w:rPr>
                <w:szCs w:val="23"/>
              </w:rPr>
              <w:t xml:space="preserve">Utskottet </w:t>
            </w:r>
            <w:r>
              <w:rPr>
                <w:szCs w:val="23"/>
              </w:rPr>
              <w:t>fortsatte</w:t>
            </w:r>
            <w:r w:rsidRPr="00DC0588">
              <w:rPr>
                <w:szCs w:val="23"/>
              </w:rPr>
              <w:t xml:space="preserve"> beredningen av proposition 2024/25:</w:t>
            </w:r>
            <w:r>
              <w:rPr>
                <w:szCs w:val="23"/>
              </w:rPr>
              <w:t>198.</w:t>
            </w:r>
          </w:p>
          <w:p w14:paraId="53D02CDB" w14:textId="77777777" w:rsidR="00C76CA9" w:rsidRPr="00DC0588" w:rsidRDefault="00C76CA9" w:rsidP="00C76CA9">
            <w:pPr>
              <w:widowControl w:val="0"/>
              <w:tabs>
                <w:tab w:val="left" w:pos="1701"/>
              </w:tabs>
              <w:rPr>
                <w:szCs w:val="23"/>
              </w:rPr>
            </w:pPr>
          </w:p>
          <w:p w14:paraId="033000F0" w14:textId="62394088" w:rsidR="00C76CA9" w:rsidRPr="006C0F9A" w:rsidRDefault="00C76CA9" w:rsidP="00C76CA9">
            <w:pPr>
              <w:widowControl w:val="0"/>
              <w:tabs>
                <w:tab w:val="left" w:pos="1701"/>
              </w:tabs>
              <w:rPr>
                <w:b/>
                <w:bCs/>
              </w:rPr>
            </w:pPr>
            <w:r w:rsidRPr="00C76CA9">
              <w:rPr>
                <w:szCs w:val="23"/>
              </w:rPr>
              <w:t>Utskottet justerade betänkande 2025/26:NU</w:t>
            </w:r>
            <w:r>
              <w:rPr>
                <w:szCs w:val="23"/>
              </w:rPr>
              <w:t>6.</w:t>
            </w:r>
            <w:r>
              <w:rPr>
                <w:szCs w:val="23"/>
              </w:rPr>
              <w:br/>
            </w:r>
          </w:p>
        </w:tc>
      </w:tr>
      <w:tr w:rsidR="00C76CA9" w:rsidRPr="006C0F9A" w14:paraId="117109B7" w14:textId="77777777" w:rsidTr="001324AA">
        <w:trPr>
          <w:trHeight w:val="950"/>
        </w:trPr>
        <w:tc>
          <w:tcPr>
            <w:tcW w:w="567" w:type="dxa"/>
          </w:tcPr>
          <w:p w14:paraId="414826EE" w14:textId="1F038DE3" w:rsidR="00C76CA9" w:rsidRDefault="00C76CA9" w:rsidP="00DC0D46">
            <w:pPr>
              <w:tabs>
                <w:tab w:val="left" w:pos="1701"/>
              </w:tabs>
              <w:rPr>
                <w:b/>
                <w:snapToGrid w:val="0"/>
              </w:rPr>
            </w:pPr>
            <w:r>
              <w:rPr>
                <w:b/>
                <w:snapToGrid w:val="0"/>
              </w:rPr>
              <w:t>§ 3</w:t>
            </w:r>
          </w:p>
        </w:tc>
        <w:tc>
          <w:tcPr>
            <w:tcW w:w="7162" w:type="dxa"/>
          </w:tcPr>
          <w:p w14:paraId="5F353766" w14:textId="77777777" w:rsidR="00C76CA9" w:rsidRDefault="00C76CA9" w:rsidP="00C76CA9">
            <w:pPr>
              <w:widowControl w:val="0"/>
              <w:tabs>
                <w:tab w:val="left" w:pos="1701"/>
              </w:tabs>
              <w:rPr>
                <w:iCs/>
                <w:szCs w:val="23"/>
              </w:rPr>
            </w:pPr>
            <w:r w:rsidRPr="00A76BF3">
              <w:rPr>
                <w:b/>
                <w:bCs/>
                <w:iCs/>
              </w:rPr>
              <w:t>Förbudet mot utvinning av uran tas bort</w:t>
            </w:r>
            <w:r>
              <w:rPr>
                <w:b/>
                <w:bCs/>
                <w:iCs/>
              </w:rPr>
              <w:t xml:space="preserve"> (NU7)</w:t>
            </w:r>
            <w:r>
              <w:rPr>
                <w:b/>
                <w:bCs/>
                <w:iCs/>
              </w:rPr>
              <w:br/>
            </w:r>
            <w:r w:rsidRPr="00FF1B11">
              <w:rPr>
                <w:iCs/>
                <w:szCs w:val="23"/>
              </w:rPr>
              <w:br/>
            </w:r>
            <w:r>
              <w:rPr>
                <w:iCs/>
                <w:szCs w:val="23"/>
              </w:rPr>
              <w:t>Utskottet fortsatte beredningen av p</w:t>
            </w:r>
            <w:r w:rsidRPr="00FF1B11">
              <w:rPr>
                <w:iCs/>
                <w:szCs w:val="23"/>
              </w:rPr>
              <w:t xml:space="preserve">roposition 2024/25:203 och </w:t>
            </w:r>
          </w:p>
          <w:p w14:paraId="179B1F52" w14:textId="77777777" w:rsidR="00C76CA9" w:rsidRDefault="00C76CA9" w:rsidP="00C76CA9">
            <w:pPr>
              <w:widowControl w:val="0"/>
              <w:tabs>
                <w:tab w:val="left" w:pos="1701"/>
              </w:tabs>
              <w:rPr>
                <w:iCs/>
                <w:szCs w:val="23"/>
              </w:rPr>
            </w:pPr>
            <w:r w:rsidRPr="00FF1B11">
              <w:rPr>
                <w:iCs/>
                <w:szCs w:val="23"/>
              </w:rPr>
              <w:t>motioner</w:t>
            </w:r>
            <w:r>
              <w:rPr>
                <w:iCs/>
                <w:szCs w:val="23"/>
              </w:rPr>
              <w:t>.</w:t>
            </w:r>
          </w:p>
          <w:p w14:paraId="350D4968" w14:textId="77777777" w:rsidR="00C76CA9" w:rsidRDefault="00C76CA9" w:rsidP="00C76CA9">
            <w:pPr>
              <w:widowControl w:val="0"/>
              <w:tabs>
                <w:tab w:val="left" w:pos="1701"/>
              </w:tabs>
              <w:rPr>
                <w:b/>
                <w:bCs/>
                <w:iCs/>
              </w:rPr>
            </w:pPr>
          </w:p>
          <w:p w14:paraId="27DEF564" w14:textId="1F44EF4F" w:rsidR="00C76CA9" w:rsidRDefault="00C76CA9" w:rsidP="00D75546">
            <w:pPr>
              <w:widowControl w:val="0"/>
              <w:tabs>
                <w:tab w:val="left" w:pos="1701"/>
              </w:tabs>
              <w:rPr>
                <w:szCs w:val="23"/>
              </w:rPr>
            </w:pPr>
            <w:r w:rsidRPr="00457CA5">
              <w:rPr>
                <w:szCs w:val="23"/>
              </w:rPr>
              <w:t xml:space="preserve">Utskottet justerade betänkande </w:t>
            </w:r>
            <w:r>
              <w:rPr>
                <w:szCs w:val="23"/>
              </w:rPr>
              <w:t>2025/26:NU7.</w:t>
            </w:r>
          </w:p>
          <w:p w14:paraId="329D6126" w14:textId="5AA4B22A" w:rsidR="00C76CA9" w:rsidRDefault="00C76CA9" w:rsidP="00D75546">
            <w:pPr>
              <w:widowControl w:val="0"/>
              <w:tabs>
                <w:tab w:val="left" w:pos="1701"/>
              </w:tabs>
              <w:rPr>
                <w:szCs w:val="23"/>
              </w:rPr>
            </w:pPr>
          </w:p>
          <w:p w14:paraId="7B53DA68" w14:textId="150E66C7" w:rsidR="00C76CA9" w:rsidRDefault="00C76CA9" w:rsidP="00D75546">
            <w:pPr>
              <w:widowControl w:val="0"/>
              <w:tabs>
                <w:tab w:val="left" w:pos="1701"/>
              </w:tabs>
              <w:rPr>
                <w:szCs w:val="23"/>
              </w:rPr>
            </w:pPr>
            <w:r w:rsidRPr="00C76CA9">
              <w:rPr>
                <w:szCs w:val="23"/>
              </w:rPr>
              <w:t>S-, V-, C- och MP-ledamöterna anmälde reservationer.</w:t>
            </w:r>
          </w:p>
          <w:p w14:paraId="080A627D" w14:textId="7A94571D" w:rsidR="00C76CA9" w:rsidRPr="006C0F9A" w:rsidRDefault="00C76CA9" w:rsidP="00D75546">
            <w:pPr>
              <w:widowControl w:val="0"/>
              <w:tabs>
                <w:tab w:val="left" w:pos="1701"/>
              </w:tabs>
              <w:rPr>
                <w:b/>
                <w:bCs/>
              </w:rPr>
            </w:pPr>
          </w:p>
        </w:tc>
      </w:tr>
      <w:tr w:rsidR="00C76CA9" w:rsidRPr="006C0F9A" w14:paraId="31C44DF6" w14:textId="77777777" w:rsidTr="001324AA">
        <w:trPr>
          <w:trHeight w:val="950"/>
        </w:trPr>
        <w:tc>
          <w:tcPr>
            <w:tcW w:w="567" w:type="dxa"/>
          </w:tcPr>
          <w:p w14:paraId="1C39FA3D" w14:textId="632BFB56" w:rsidR="00C76CA9" w:rsidRDefault="00C76CA9" w:rsidP="00DC0D46">
            <w:pPr>
              <w:tabs>
                <w:tab w:val="left" w:pos="1701"/>
              </w:tabs>
              <w:rPr>
                <w:b/>
                <w:snapToGrid w:val="0"/>
              </w:rPr>
            </w:pPr>
            <w:r>
              <w:rPr>
                <w:b/>
                <w:snapToGrid w:val="0"/>
              </w:rPr>
              <w:t>§ 4</w:t>
            </w:r>
          </w:p>
        </w:tc>
        <w:tc>
          <w:tcPr>
            <w:tcW w:w="7162" w:type="dxa"/>
          </w:tcPr>
          <w:p w14:paraId="169CB69D" w14:textId="77777777" w:rsidR="00C76CA9" w:rsidRDefault="00C76CA9" w:rsidP="00C76CA9">
            <w:pPr>
              <w:widowControl w:val="0"/>
              <w:tabs>
                <w:tab w:val="left" w:pos="1701"/>
              </w:tabs>
            </w:pPr>
            <w:r w:rsidRPr="009267C5">
              <w:rPr>
                <w:b/>
                <w:bCs/>
                <w:iCs/>
              </w:rPr>
              <w:t>Förenklingspaketet Omnibus IV Small mid-</w:t>
            </w:r>
            <w:proofErr w:type="spellStart"/>
            <w:r w:rsidRPr="009267C5">
              <w:rPr>
                <w:b/>
                <w:bCs/>
                <w:iCs/>
              </w:rPr>
              <w:t>caps</w:t>
            </w:r>
            <w:proofErr w:type="spellEnd"/>
            <w:r w:rsidRPr="009267C5">
              <w:rPr>
                <w:b/>
                <w:bCs/>
                <w:iCs/>
              </w:rPr>
              <w:t xml:space="preserve"> </w:t>
            </w:r>
            <w:r w:rsidRPr="009267C5">
              <w:rPr>
                <w:b/>
                <w:bCs/>
                <w:iCs/>
              </w:rPr>
              <w:br/>
            </w:r>
          </w:p>
          <w:p w14:paraId="59119308" w14:textId="55B4DD5A" w:rsidR="00C76CA9" w:rsidRPr="002E1E0F" w:rsidRDefault="00C76CA9" w:rsidP="00C76CA9">
            <w:pPr>
              <w:widowControl w:val="0"/>
              <w:tabs>
                <w:tab w:val="left" w:pos="1701"/>
              </w:tabs>
            </w:pPr>
            <w:r w:rsidRPr="0074420B">
              <w:t xml:space="preserve">Utskottet överlade med </w:t>
            </w:r>
            <w:r>
              <w:rPr>
                <w:szCs w:val="23"/>
              </w:rPr>
              <w:t>e</w:t>
            </w:r>
            <w:r w:rsidRPr="009267C5">
              <w:rPr>
                <w:szCs w:val="23"/>
              </w:rPr>
              <w:t>nergi- och näringsminister</w:t>
            </w:r>
            <w:r w:rsidRPr="009267C5">
              <w:rPr>
                <w:b/>
                <w:bCs/>
                <w:szCs w:val="23"/>
              </w:rPr>
              <w:t> </w:t>
            </w:r>
            <w:r w:rsidRPr="009267C5">
              <w:rPr>
                <w:szCs w:val="23"/>
              </w:rPr>
              <w:t>Ebba Busch</w:t>
            </w:r>
            <w:r w:rsidRPr="002E1E0F">
              <w:t xml:space="preserve">, </w:t>
            </w:r>
            <w:r>
              <w:t xml:space="preserve">biträdd av medarbetare från </w:t>
            </w:r>
            <w:r w:rsidRPr="00462710">
              <w:t>Klimat- och näringslivsdepartementet</w:t>
            </w:r>
            <w:r>
              <w:t>.</w:t>
            </w:r>
          </w:p>
          <w:p w14:paraId="124274A6" w14:textId="77777777" w:rsidR="00C76CA9" w:rsidRDefault="00C76CA9" w:rsidP="00C76CA9">
            <w:pPr>
              <w:widowControl w:val="0"/>
              <w:tabs>
                <w:tab w:val="left" w:pos="1701"/>
              </w:tabs>
              <w:rPr>
                <w:b/>
                <w:bCs/>
              </w:rPr>
            </w:pPr>
          </w:p>
          <w:p w14:paraId="1A81B682" w14:textId="059ADFBB" w:rsidR="00C76CA9" w:rsidRDefault="00C76CA9" w:rsidP="00C76CA9">
            <w:pPr>
              <w:widowControl w:val="0"/>
              <w:tabs>
                <w:tab w:val="left" w:pos="1701"/>
              </w:tabs>
            </w:pPr>
            <w:r w:rsidRPr="00583C98">
              <w:t xml:space="preserve">Underlaget utgjordes </w:t>
            </w:r>
            <w:r>
              <w:t xml:space="preserve">av </w:t>
            </w:r>
            <w:r w:rsidRPr="00583C98">
              <w:t>faktapromemoria 202</w:t>
            </w:r>
            <w:r>
              <w:t>4</w:t>
            </w:r>
            <w:r w:rsidRPr="00583C98">
              <w:t>/</w:t>
            </w:r>
            <w:proofErr w:type="gramStart"/>
            <w:r w:rsidRPr="00583C98">
              <w:t>2</w:t>
            </w:r>
            <w:r>
              <w:t>5</w:t>
            </w:r>
            <w:r w:rsidRPr="00583C98">
              <w:t>:FPM</w:t>
            </w:r>
            <w:proofErr w:type="gramEnd"/>
            <w:r>
              <w:t>49.</w:t>
            </w:r>
          </w:p>
          <w:p w14:paraId="7D436786" w14:textId="77777777" w:rsidR="00C76CA9" w:rsidRDefault="00C76CA9" w:rsidP="00C76CA9">
            <w:pPr>
              <w:widowControl w:val="0"/>
              <w:tabs>
                <w:tab w:val="left" w:pos="1701"/>
              </w:tabs>
            </w:pPr>
          </w:p>
          <w:p w14:paraId="1DE778C4" w14:textId="264F2370" w:rsidR="00C76CA9" w:rsidRDefault="00C76CA9" w:rsidP="00C76CA9">
            <w:pPr>
              <w:widowControl w:val="0"/>
              <w:tabs>
                <w:tab w:val="left" w:pos="1701"/>
              </w:tabs>
            </w:pPr>
            <w:r>
              <w:t>E</w:t>
            </w:r>
            <w:r w:rsidRPr="00C76CA9">
              <w:t>nergi- och näringsminister Ebba Busch</w:t>
            </w:r>
            <w:r w:rsidRPr="007B15BC">
              <w:t>,</w:t>
            </w:r>
            <w:r>
              <w:t xml:space="preserve"> </w:t>
            </w:r>
            <w:r w:rsidRPr="005E2B1F">
              <w:t>redogjorde för regeringens ståndpunkt i enlighet med faktapromemorian:</w:t>
            </w:r>
          </w:p>
          <w:p w14:paraId="7B91A3A1" w14:textId="77777777" w:rsidR="00C76CA9" w:rsidRDefault="00C76CA9" w:rsidP="00C76CA9">
            <w:pPr>
              <w:widowControl w:val="0"/>
              <w:tabs>
                <w:tab w:val="left" w:pos="1701"/>
              </w:tabs>
              <w:rPr>
                <w:b/>
                <w:bCs/>
                <w:iCs/>
              </w:rPr>
            </w:pPr>
          </w:p>
          <w:p w14:paraId="78A16EF1" w14:textId="1040B65F" w:rsidR="00C76CA9" w:rsidRDefault="00C76CA9" w:rsidP="00C76CA9">
            <w:pPr>
              <w:ind w:left="574"/>
              <w:rPr>
                <w:color w:val="000000"/>
              </w:rPr>
            </w:pPr>
            <w:r>
              <w:t xml:space="preserve">Förenkling för företag är en central del i konkurrenskraftsarbetet. Regeringen välkomnar därför kommissionens fortsatta fokus på bättre lagstiftning, förenkling och genomförande samt att kommissionen gått från ord till handling och lagt fram konkreta förenklingsförslag inom ramen för s.k. omnibuspaket. Ett centralt ingångsvärde för det svenska förhandlingsarbetet om dessa är att regeringen vill se verkliga förenklingar, samtidigt som centrala policymål värnas. Svenska och europeiska företag behöver ett ändamålsenligt och enkelt regelverk för att inte hamna efter i konkurrensen med företag utanför EU. </w:t>
            </w:r>
            <w:r>
              <w:rPr>
                <w:color w:val="000000"/>
              </w:rPr>
              <w:t xml:space="preserve"> </w:t>
            </w:r>
          </w:p>
          <w:p w14:paraId="1DA123F2" w14:textId="77777777" w:rsidR="00C76CA9" w:rsidRDefault="00C76CA9" w:rsidP="00C76CA9">
            <w:pPr>
              <w:ind w:left="574"/>
            </w:pPr>
          </w:p>
          <w:p w14:paraId="642A121A" w14:textId="77777777" w:rsidR="00C76CA9" w:rsidRDefault="00C76CA9" w:rsidP="00C76CA9">
            <w:pPr>
              <w:spacing w:after="2"/>
              <w:ind w:left="574"/>
            </w:pPr>
            <w:r>
              <w:lastRenderedPageBreak/>
              <w:t xml:space="preserve">I det aktuella omnibuspaketet föreslås förenklingsåtgärder till förmån för SMC:s i åtta lagstiftningsakter: (1) </w:t>
            </w:r>
            <w:r>
              <w:rPr>
                <w:color w:val="474747"/>
              </w:rPr>
              <w:t>EU</w:t>
            </w:r>
            <w:r>
              <w:t>:s dataskyddsförordning, (2) Antidumpningsförordningen, (3) Antisubventionsförordningen, (4) Direktivet om marknader för finansiella instrument (</w:t>
            </w:r>
            <w:proofErr w:type="spellStart"/>
            <w:r>
              <w:t>Mifid</w:t>
            </w:r>
            <w:proofErr w:type="spellEnd"/>
            <w:r>
              <w:t xml:space="preserve"> II), (5) Prospektförordningen, (6) Batteriförordningen, (7) CER-direktivet och (8) F-gasförordningen. Regeringen välkomnar det aktuella omnibusförslaget på ett övergripande plan, men för att kunna ta ställning till förslaget i sak behöver regeringen närmare analysera förslagens effekter på respektive rättsakt. Förslag i varje enskild rättsakt måste bedömas och beredas på sina egna meriter. Regeringen kan därför ha anledning att återkomma till riksdagen med information om konsekvenser gällande respektive rättsakt.</w:t>
            </w:r>
            <w:r>
              <w:rPr>
                <w:color w:val="000000"/>
              </w:rPr>
              <w:t xml:space="preserve"> </w:t>
            </w:r>
          </w:p>
          <w:p w14:paraId="3D0567B5" w14:textId="77777777" w:rsidR="00C76CA9" w:rsidRDefault="00C76CA9" w:rsidP="00C76CA9">
            <w:pPr>
              <w:spacing w:after="107" w:line="259" w:lineRule="auto"/>
              <w:ind w:left="574"/>
            </w:pPr>
            <w:r>
              <w:rPr>
                <w:color w:val="000000"/>
              </w:rPr>
              <w:t xml:space="preserve"> </w:t>
            </w:r>
          </w:p>
          <w:p w14:paraId="136852B0" w14:textId="20FBDB63" w:rsidR="00C76CA9" w:rsidRDefault="00C76CA9" w:rsidP="00C76CA9">
            <w:pPr>
              <w:ind w:left="574"/>
              <w:rPr>
                <w:color w:val="000000"/>
              </w:rPr>
            </w:pPr>
            <w:r>
              <w:t xml:space="preserve">Bättre lagstiftning, mindre regelbörda samt mer harmoniserade och ändamålsenliga regler, som även motverkar fragmentering på den inre marknaden, förbättrar förutsättningarna för en starkare tillväxt och är fortsatt högt prioriterat av regeringen. Fokus för förenklingsarbetet bör vara de sammantagna regelbördorna och de mest verkningsfulla åtgärderna. </w:t>
            </w:r>
            <w:r>
              <w:rPr>
                <w:color w:val="000000"/>
              </w:rPr>
              <w:t xml:space="preserve"> </w:t>
            </w:r>
          </w:p>
          <w:p w14:paraId="791C1810" w14:textId="45D4195F" w:rsidR="00C76CA9" w:rsidRDefault="00C76CA9" w:rsidP="00C76CA9">
            <w:pPr>
              <w:ind w:left="574"/>
              <w:rPr>
                <w:color w:val="000000"/>
              </w:rPr>
            </w:pPr>
          </w:p>
          <w:p w14:paraId="01431E3B" w14:textId="77777777" w:rsidR="00C76CA9" w:rsidRDefault="00C76CA9" w:rsidP="00C76CA9">
            <w:pPr>
              <w:widowControl w:val="0"/>
              <w:tabs>
                <w:tab w:val="left" w:pos="1701"/>
              </w:tabs>
            </w:pPr>
            <w:r>
              <w:t>Ordföranden konstaterade att det fanns stöd för regeringens ståndpunkt.</w:t>
            </w:r>
          </w:p>
          <w:p w14:paraId="06EB7B7A" w14:textId="77777777" w:rsidR="00C76CA9" w:rsidRDefault="00C76CA9" w:rsidP="00C76CA9">
            <w:pPr>
              <w:widowControl w:val="0"/>
              <w:tabs>
                <w:tab w:val="left" w:pos="1701"/>
              </w:tabs>
              <w:ind w:left="575"/>
            </w:pPr>
          </w:p>
          <w:p w14:paraId="12ECBA16" w14:textId="4B13D949" w:rsidR="00C76CA9" w:rsidRDefault="00C76CA9" w:rsidP="00C76CA9">
            <w:pPr>
              <w:widowControl w:val="0"/>
              <w:tabs>
                <w:tab w:val="left" w:pos="1701"/>
              </w:tabs>
            </w:pPr>
            <w:r w:rsidRPr="0053512C">
              <w:t>S</w:t>
            </w:r>
            <w:r>
              <w:t>-</w:t>
            </w:r>
            <w:r w:rsidR="00374046">
              <w:t>, V- och</w:t>
            </w:r>
            <w:r w:rsidR="00F736F1">
              <w:t xml:space="preserve"> </w:t>
            </w:r>
            <w:r w:rsidR="00374046">
              <w:t>MP</w:t>
            </w:r>
            <w:r w:rsidR="00F736F1">
              <w:t>-</w:t>
            </w:r>
            <w:r w:rsidRPr="0053512C">
              <w:t>ledamöterna anmälde följande avvikande ståndpunkt:</w:t>
            </w:r>
          </w:p>
          <w:p w14:paraId="099BEE2B" w14:textId="3E0C951A" w:rsidR="00723B37" w:rsidRDefault="00723B37" w:rsidP="00C76CA9">
            <w:pPr>
              <w:widowControl w:val="0"/>
              <w:tabs>
                <w:tab w:val="left" w:pos="1701"/>
              </w:tabs>
            </w:pPr>
          </w:p>
          <w:p w14:paraId="490D2827" w14:textId="10F0D562" w:rsidR="00723B37" w:rsidRDefault="00F736F1" w:rsidP="004731D8">
            <w:pPr>
              <w:ind w:left="574"/>
            </w:pPr>
            <w:r>
              <w:t xml:space="preserve">Vi anser att varje förslag inom ramen för förenklingspaketet måste analyseras och bedömas var för sig. På en övergripande nivå vill vi dock understryka vikten av träffsäkra och effektiva regelförbättringar som gör det lätt att göra rätt. Detta arbete får inte leda till minskade klimatambitioner eller ske på bekostnad av arbetstagares rättigheter, miljö- och konsumentskydd eller hälsa. Vidare </w:t>
            </w:r>
            <w:r w:rsidR="004731D8">
              <w:t>vill vi understryka vikten av att konsekvensanalyser genomförs.</w:t>
            </w:r>
          </w:p>
          <w:p w14:paraId="325223D9" w14:textId="1436039E" w:rsidR="00C76CA9" w:rsidRDefault="00C76CA9" w:rsidP="00374046"/>
          <w:p w14:paraId="77357852" w14:textId="6B4E3E0C" w:rsidR="00C76CA9" w:rsidRDefault="00C76CA9" w:rsidP="00C76CA9">
            <w:pPr>
              <w:widowControl w:val="0"/>
              <w:tabs>
                <w:tab w:val="left" w:pos="1701"/>
              </w:tabs>
            </w:pPr>
            <w:r w:rsidRPr="00126CAC">
              <w:t>Under överläggningen närvarade även en tjänsteman från EU-nämndens kansli.</w:t>
            </w:r>
          </w:p>
          <w:p w14:paraId="7741C8E1" w14:textId="31F41335" w:rsidR="00C76CA9" w:rsidRPr="00A76BF3" w:rsidRDefault="00C76CA9" w:rsidP="00C76CA9">
            <w:pPr>
              <w:widowControl w:val="0"/>
              <w:tabs>
                <w:tab w:val="left" w:pos="1701"/>
              </w:tabs>
              <w:ind w:left="574"/>
              <w:rPr>
                <w:b/>
                <w:bCs/>
                <w:iCs/>
              </w:rPr>
            </w:pPr>
          </w:p>
        </w:tc>
      </w:tr>
      <w:tr w:rsidR="0074420B" w:rsidRPr="00C76CA9" w14:paraId="0ECCAD6E" w14:textId="77777777" w:rsidTr="001324AA">
        <w:trPr>
          <w:trHeight w:val="950"/>
        </w:trPr>
        <w:tc>
          <w:tcPr>
            <w:tcW w:w="567" w:type="dxa"/>
          </w:tcPr>
          <w:p w14:paraId="3B6FDB46" w14:textId="62DD8B3C" w:rsidR="0074420B" w:rsidRDefault="0074420B" w:rsidP="00DC0D46">
            <w:pPr>
              <w:tabs>
                <w:tab w:val="left" w:pos="1701"/>
              </w:tabs>
              <w:rPr>
                <w:b/>
                <w:snapToGrid w:val="0"/>
              </w:rPr>
            </w:pPr>
            <w:r>
              <w:rPr>
                <w:b/>
                <w:snapToGrid w:val="0"/>
              </w:rPr>
              <w:lastRenderedPageBreak/>
              <w:t xml:space="preserve">§ </w:t>
            </w:r>
            <w:r w:rsidR="00C76CA9">
              <w:rPr>
                <w:b/>
                <w:snapToGrid w:val="0"/>
              </w:rPr>
              <w:t>5</w:t>
            </w:r>
          </w:p>
        </w:tc>
        <w:tc>
          <w:tcPr>
            <w:tcW w:w="7162" w:type="dxa"/>
          </w:tcPr>
          <w:p w14:paraId="15D5BF1B" w14:textId="77777777" w:rsidR="009A70F0" w:rsidRDefault="00C76CA9" w:rsidP="00D75546">
            <w:pPr>
              <w:widowControl w:val="0"/>
              <w:tabs>
                <w:tab w:val="left" w:pos="1701"/>
              </w:tabs>
              <w:rPr>
                <w:b/>
                <w:bCs/>
                <w:lang w:val="en-US"/>
              </w:rPr>
            </w:pPr>
            <w:proofErr w:type="gramStart"/>
            <w:r w:rsidRPr="00C76CA9">
              <w:rPr>
                <w:b/>
                <w:bCs/>
                <w:iCs/>
                <w:lang w:val="en-US"/>
              </w:rPr>
              <w:t>EU:s</w:t>
            </w:r>
            <w:proofErr w:type="gramEnd"/>
            <w:r w:rsidRPr="00C76CA9">
              <w:rPr>
                <w:b/>
                <w:bCs/>
                <w:iCs/>
                <w:lang w:val="en-US"/>
              </w:rPr>
              <w:t xml:space="preserve"> startup- och scale-up strategi</w:t>
            </w:r>
            <w:r w:rsidRPr="00C76CA9">
              <w:rPr>
                <w:b/>
                <w:bCs/>
                <w:iCs/>
                <w:lang w:val="en-US"/>
              </w:rPr>
              <w:br/>
            </w:r>
          </w:p>
          <w:p w14:paraId="2C9D2BC9" w14:textId="77777777" w:rsidR="00C76CA9" w:rsidRPr="002E1E0F" w:rsidRDefault="00C76CA9" w:rsidP="00C76CA9">
            <w:pPr>
              <w:widowControl w:val="0"/>
              <w:tabs>
                <w:tab w:val="left" w:pos="1701"/>
              </w:tabs>
            </w:pPr>
            <w:r w:rsidRPr="0074420B">
              <w:t xml:space="preserve">Utskottet överlade med </w:t>
            </w:r>
            <w:r>
              <w:rPr>
                <w:szCs w:val="23"/>
              </w:rPr>
              <w:t>e</w:t>
            </w:r>
            <w:r w:rsidRPr="009267C5">
              <w:rPr>
                <w:szCs w:val="23"/>
              </w:rPr>
              <w:t>nergi- och näringsminister</w:t>
            </w:r>
            <w:r w:rsidRPr="009267C5">
              <w:rPr>
                <w:b/>
                <w:bCs/>
                <w:szCs w:val="23"/>
              </w:rPr>
              <w:t> </w:t>
            </w:r>
            <w:r w:rsidRPr="009267C5">
              <w:rPr>
                <w:szCs w:val="23"/>
              </w:rPr>
              <w:t>Ebba Busch</w:t>
            </w:r>
            <w:r w:rsidRPr="002E1E0F">
              <w:t xml:space="preserve">, </w:t>
            </w:r>
            <w:r>
              <w:t xml:space="preserve">biträdd av medarbetare från </w:t>
            </w:r>
            <w:r w:rsidRPr="00462710">
              <w:t>Klimat- och näringslivsdepartementet</w:t>
            </w:r>
            <w:r>
              <w:t>.</w:t>
            </w:r>
          </w:p>
          <w:p w14:paraId="24A57B17" w14:textId="77777777" w:rsidR="00C76CA9" w:rsidRDefault="00C76CA9" w:rsidP="00C76CA9">
            <w:pPr>
              <w:widowControl w:val="0"/>
              <w:tabs>
                <w:tab w:val="left" w:pos="1701"/>
              </w:tabs>
              <w:rPr>
                <w:b/>
                <w:bCs/>
              </w:rPr>
            </w:pPr>
          </w:p>
          <w:p w14:paraId="7B6FD640" w14:textId="4E99297E" w:rsidR="00C76CA9" w:rsidRDefault="00C76CA9" w:rsidP="00C76CA9">
            <w:pPr>
              <w:widowControl w:val="0"/>
              <w:tabs>
                <w:tab w:val="left" w:pos="1701"/>
              </w:tabs>
            </w:pPr>
            <w:r w:rsidRPr="00583C98">
              <w:t xml:space="preserve">Underlaget utgjordes </w:t>
            </w:r>
            <w:r>
              <w:t xml:space="preserve">av </w:t>
            </w:r>
            <w:r w:rsidRPr="00583C98">
              <w:t>faktapromemoria 202</w:t>
            </w:r>
            <w:r>
              <w:t>4</w:t>
            </w:r>
            <w:r w:rsidRPr="00583C98">
              <w:t>/</w:t>
            </w:r>
            <w:proofErr w:type="gramStart"/>
            <w:r w:rsidRPr="00583C98">
              <w:t>2</w:t>
            </w:r>
            <w:r>
              <w:t>5</w:t>
            </w:r>
            <w:r w:rsidRPr="00583C98">
              <w:t>:FPM</w:t>
            </w:r>
            <w:proofErr w:type="gramEnd"/>
            <w:r>
              <w:t>48.</w:t>
            </w:r>
          </w:p>
          <w:p w14:paraId="0C7B5E99" w14:textId="77777777" w:rsidR="00C76CA9" w:rsidRDefault="00C76CA9" w:rsidP="00C76CA9">
            <w:pPr>
              <w:widowControl w:val="0"/>
              <w:tabs>
                <w:tab w:val="left" w:pos="1701"/>
              </w:tabs>
            </w:pPr>
          </w:p>
          <w:p w14:paraId="73E8C51B" w14:textId="64D9B19F" w:rsidR="00C76CA9" w:rsidRDefault="00C76CA9" w:rsidP="00C76CA9">
            <w:pPr>
              <w:widowControl w:val="0"/>
              <w:tabs>
                <w:tab w:val="left" w:pos="1701"/>
              </w:tabs>
            </w:pPr>
            <w:r>
              <w:t>E</w:t>
            </w:r>
            <w:r w:rsidRPr="00C76CA9">
              <w:t>nergi- och näringsminister Ebba Busch</w:t>
            </w:r>
            <w:r w:rsidRPr="007B15BC">
              <w:t>,</w:t>
            </w:r>
            <w:r>
              <w:t xml:space="preserve"> </w:t>
            </w:r>
            <w:r w:rsidRPr="005E2B1F">
              <w:t>redogjorde för regeringens ståndpunkt i enlighet med faktapromemorian:</w:t>
            </w:r>
          </w:p>
          <w:p w14:paraId="0E7FFB5A" w14:textId="5EDA7653" w:rsidR="00C76CA9" w:rsidRDefault="00C76CA9" w:rsidP="00C76CA9">
            <w:pPr>
              <w:widowControl w:val="0"/>
              <w:tabs>
                <w:tab w:val="left" w:pos="1701"/>
              </w:tabs>
            </w:pPr>
          </w:p>
          <w:p w14:paraId="1B512C24" w14:textId="77777777" w:rsidR="00C76CA9" w:rsidRDefault="00C76CA9" w:rsidP="00C76CA9">
            <w:pPr>
              <w:spacing w:after="319"/>
              <w:ind w:left="432"/>
            </w:pPr>
            <w:r>
              <w:t xml:space="preserve">Regeringen har välkomnat kommissionens ansats att uppmärksamma förutsättningarna för </w:t>
            </w:r>
            <w:proofErr w:type="spellStart"/>
            <w:r>
              <w:t>startups</w:t>
            </w:r>
            <w:proofErr w:type="spellEnd"/>
            <w:r>
              <w:t xml:space="preserve"> och </w:t>
            </w:r>
            <w:proofErr w:type="spellStart"/>
            <w:r>
              <w:t>scaleups</w:t>
            </w:r>
            <w:proofErr w:type="spellEnd"/>
            <w:r>
              <w:t xml:space="preserve"> i Europa. Det är angeläget att skapa goda ramar för innovation, entreprenörskap och företagsklimat i EU. Bland annat handlar det om att röja de omotiverade hinder för anskaffning av privat kapital som </w:t>
            </w:r>
            <w:proofErr w:type="spellStart"/>
            <w:r>
              <w:t>startups</w:t>
            </w:r>
            <w:proofErr w:type="spellEnd"/>
            <w:r>
              <w:t xml:space="preserve"> och </w:t>
            </w:r>
            <w:proofErr w:type="spellStart"/>
            <w:r>
              <w:t>scaleups</w:t>
            </w:r>
            <w:proofErr w:type="spellEnd"/>
            <w:r>
              <w:t xml:space="preserve"> möter. Ett annat centralt spår är att utveckla och fördjupa EU:s inre marknad. EU ska bli en attraktiv plats med förutsättningar för företagsetableringar och en plats för </w:t>
            </w:r>
            <w:proofErr w:type="spellStart"/>
            <w:r>
              <w:t>startups</w:t>
            </w:r>
            <w:proofErr w:type="spellEnd"/>
            <w:r>
              <w:t xml:space="preserve"> och </w:t>
            </w:r>
            <w:proofErr w:type="spellStart"/>
            <w:r>
              <w:t>scaleups</w:t>
            </w:r>
            <w:proofErr w:type="spellEnd"/>
            <w:r>
              <w:t xml:space="preserve"> att skala </w:t>
            </w:r>
            <w:r>
              <w:lastRenderedPageBreak/>
              <w:t xml:space="preserve">upp och bli globalt konkurrenskraftiga. Regeringen noterar att startup och </w:t>
            </w:r>
            <w:proofErr w:type="spellStart"/>
            <w:r>
              <w:t>scaleup</w:t>
            </w:r>
            <w:proofErr w:type="spellEnd"/>
            <w:r>
              <w:t xml:space="preserve"> strategin innehåller ett stort antal initiativ inom vitt skilda politikområden, varav flera berör frågor som ligger nära medlemsstaternas kärnkompetens.</w:t>
            </w:r>
            <w:r>
              <w:rPr>
                <w:rFonts w:ascii="Arial" w:eastAsia="Arial" w:hAnsi="Arial" w:cs="Arial"/>
                <w:b/>
                <w:color w:val="000000"/>
              </w:rPr>
              <w:t xml:space="preserve"> </w:t>
            </w:r>
          </w:p>
          <w:p w14:paraId="2384F544" w14:textId="77777777" w:rsidR="00645A5D" w:rsidRDefault="00C76CA9" w:rsidP="00C76CA9">
            <w:pPr>
              <w:ind w:left="432"/>
            </w:pPr>
            <w:r>
              <w:t xml:space="preserve">De enskilda förslagen i strategin kommer att behöva analyseras och bedömas var för sig, när mer konkret underlag finns tillgängligt. Regeringen vill i detta sammanhang understryka vikten av att inte gå utöver EU:s befogenheter på centrala områden såsom utbildnings- och forskningspolitik, skattefrågor och arbetsmarknadsreglering. </w:t>
            </w:r>
          </w:p>
          <w:p w14:paraId="1417299D" w14:textId="734B1C2E" w:rsidR="00C76CA9" w:rsidRDefault="00C76CA9" w:rsidP="00C76CA9">
            <w:pPr>
              <w:ind w:left="432"/>
            </w:pPr>
            <w:r>
              <w:rPr>
                <w:color w:val="000000"/>
              </w:rPr>
              <w:t xml:space="preserve"> </w:t>
            </w:r>
          </w:p>
          <w:p w14:paraId="57A418EB" w14:textId="77777777" w:rsidR="00C76CA9" w:rsidRDefault="00C76CA9" w:rsidP="00C76CA9">
            <w:pPr>
              <w:spacing w:after="319"/>
              <w:ind w:left="432"/>
            </w:pPr>
            <w:r>
              <w:t xml:space="preserve">Samtidigt kan </w:t>
            </w:r>
            <w:proofErr w:type="spellStart"/>
            <w:r>
              <w:t>startups</w:t>
            </w:r>
            <w:proofErr w:type="spellEnd"/>
            <w:r>
              <w:t xml:space="preserve"> och </w:t>
            </w:r>
            <w:proofErr w:type="spellStart"/>
            <w:r>
              <w:t>scaleups</w:t>
            </w:r>
            <w:proofErr w:type="spellEnd"/>
            <w:r>
              <w:t xml:space="preserve"> möta utmaningar även i Sverige. Det är därför av intresse att följa kommissionens vidare arbete på området, med beaktande av subsidiaritetsprincipen och proportionalitetsprincipen.</w:t>
            </w:r>
            <w:r>
              <w:rPr>
                <w:color w:val="000000"/>
              </w:rPr>
              <w:t xml:space="preserve"> </w:t>
            </w:r>
          </w:p>
          <w:p w14:paraId="4D5CC1A4" w14:textId="0F1F1AE3" w:rsidR="00C76CA9" w:rsidRDefault="00C76CA9" w:rsidP="00C76CA9">
            <w:pPr>
              <w:ind w:left="432"/>
              <w:rPr>
                <w:color w:val="000000"/>
              </w:rPr>
            </w:pPr>
            <w:r>
              <w:t>Regeringen fäster även vikt vid vikten av att undvika överlappande initiativ på EU-nivå samt att administrativa bördor för företag och myndigheter hålls så låga som möjligt. Eventuella nya åtgärder bör vara tydligt avgränsade och behovsprövade.</w:t>
            </w:r>
            <w:r>
              <w:rPr>
                <w:color w:val="000000"/>
              </w:rPr>
              <w:t xml:space="preserve"> </w:t>
            </w:r>
          </w:p>
          <w:p w14:paraId="37571D6E" w14:textId="2410C9D2" w:rsidR="00C76CA9" w:rsidRDefault="00C76CA9" w:rsidP="00C76CA9">
            <w:pPr>
              <w:ind w:left="432"/>
              <w:rPr>
                <w:color w:val="000000"/>
              </w:rPr>
            </w:pPr>
          </w:p>
          <w:p w14:paraId="437406FB" w14:textId="77777777" w:rsidR="00C76CA9" w:rsidRDefault="00C76CA9" w:rsidP="00C76CA9">
            <w:pPr>
              <w:widowControl w:val="0"/>
              <w:tabs>
                <w:tab w:val="left" w:pos="1701"/>
              </w:tabs>
            </w:pPr>
            <w:r>
              <w:t>Ordföranden konstaterade att det fanns stöd för regeringens ståndpunkt.</w:t>
            </w:r>
          </w:p>
          <w:p w14:paraId="553CADDD" w14:textId="77777777" w:rsidR="00C76CA9" w:rsidRDefault="00C76CA9" w:rsidP="00C76CA9">
            <w:pPr>
              <w:widowControl w:val="0"/>
              <w:tabs>
                <w:tab w:val="left" w:pos="1701"/>
              </w:tabs>
              <w:ind w:left="575"/>
            </w:pPr>
          </w:p>
          <w:p w14:paraId="13E6D998" w14:textId="0C985A6B" w:rsidR="00C76CA9" w:rsidRDefault="00C76CA9" w:rsidP="00C76CA9">
            <w:pPr>
              <w:widowControl w:val="0"/>
              <w:tabs>
                <w:tab w:val="left" w:pos="1701"/>
              </w:tabs>
            </w:pPr>
            <w:r w:rsidRPr="0053512C">
              <w:t>S</w:t>
            </w:r>
            <w:r>
              <w:t>-</w:t>
            </w:r>
            <w:r w:rsidRPr="0053512C">
              <w:t>ledamöterna anmälde följande avvikande ståndpunkt:</w:t>
            </w:r>
          </w:p>
          <w:p w14:paraId="4BD1691A" w14:textId="3BB9E70F" w:rsidR="00723B37" w:rsidRDefault="00723B37" w:rsidP="00C76CA9">
            <w:pPr>
              <w:widowControl w:val="0"/>
              <w:tabs>
                <w:tab w:val="left" w:pos="1701"/>
              </w:tabs>
            </w:pPr>
          </w:p>
          <w:p w14:paraId="65E1F168" w14:textId="139B5EE0" w:rsidR="00723B37" w:rsidRDefault="00F736F1" w:rsidP="00723B37">
            <w:pPr>
              <w:widowControl w:val="0"/>
              <w:tabs>
                <w:tab w:val="left" w:pos="1701"/>
              </w:tabs>
              <w:ind w:left="574"/>
            </w:pPr>
            <w:r w:rsidRPr="00F736F1">
              <w:t xml:space="preserve">Vi välkomnar kommissionens ambition att stärka förutsättningarna för </w:t>
            </w:r>
            <w:proofErr w:type="spellStart"/>
            <w:r w:rsidRPr="00F736F1">
              <w:t>startups</w:t>
            </w:r>
            <w:proofErr w:type="spellEnd"/>
            <w:r w:rsidRPr="00F736F1">
              <w:t xml:space="preserve"> och </w:t>
            </w:r>
            <w:proofErr w:type="spellStart"/>
            <w:r w:rsidRPr="00F736F1">
              <w:t>scaleups</w:t>
            </w:r>
            <w:proofErr w:type="spellEnd"/>
            <w:r w:rsidRPr="00F736F1">
              <w:t xml:space="preserve"> i Europa. Samtidigt anser vi att regeringens ståndpunkt saknar en tydlig linje i flera viktiga avseenden. Det är särskilt angeläget att det regionala perspektivet beaktas när kommissionen tar fram vägledning för hur reglerna om statligt stöd ska tillämpas. Starka forsknings- och innovationsmiljöer finns inte enbart i huvudstäder och storstadsregioner utan de finns även i mindre städer och regionala kluster spelar en avgörande roll för utveckling, kompetensförsörjning och sysselsättning. En alltför snäv tolkning riskerar att koncentrera resurser och innovationskraft till redan etablerade forskningsmiljöer. Vidare saknar vi en tydlig hållning i regeringens ståndpunkt vad gäller upphandlingsreglerna. Offentlig upphandling kan utgöra ett viktigt verktyg för att främja innovation och skapa marknadstillträde för nystartade företag. Vi menar att regeringen mer tydligt bör stödja initiativ som stärker </w:t>
            </w:r>
            <w:proofErr w:type="spellStart"/>
            <w:r w:rsidRPr="00F736F1">
              <w:t>startups</w:t>
            </w:r>
            <w:proofErr w:type="spellEnd"/>
            <w:r w:rsidRPr="00F736F1">
              <w:t xml:space="preserve"> och </w:t>
            </w:r>
            <w:proofErr w:type="spellStart"/>
            <w:r w:rsidRPr="00F736F1">
              <w:t>scaleups</w:t>
            </w:r>
            <w:proofErr w:type="spellEnd"/>
            <w:r w:rsidRPr="00F736F1">
              <w:t xml:space="preserve"> möjligheter att delta i upphandlingar på lika villkor.</w:t>
            </w:r>
          </w:p>
          <w:p w14:paraId="1A365BB0" w14:textId="77777777" w:rsidR="00C76CA9" w:rsidRDefault="00C76CA9" w:rsidP="00C76CA9">
            <w:pPr>
              <w:widowControl w:val="0"/>
              <w:tabs>
                <w:tab w:val="left" w:pos="1701"/>
              </w:tabs>
            </w:pPr>
          </w:p>
          <w:p w14:paraId="32681CA5" w14:textId="6C8B4418" w:rsidR="00C76CA9" w:rsidRDefault="00645A5D" w:rsidP="00C76CA9">
            <w:pPr>
              <w:ind w:left="7"/>
            </w:pPr>
            <w:r>
              <w:t>SD</w:t>
            </w:r>
            <w:r w:rsidR="00C76CA9" w:rsidRPr="00C76CA9">
              <w:t>-ledam</w:t>
            </w:r>
            <w:r>
              <w:t>öterna</w:t>
            </w:r>
            <w:r w:rsidR="00C76CA9" w:rsidRPr="00C76CA9">
              <w:t xml:space="preserve"> anmälde följande avvikande ståndpunkt</w:t>
            </w:r>
            <w:r w:rsidR="00C76CA9">
              <w:t>:</w:t>
            </w:r>
          </w:p>
          <w:p w14:paraId="35C02C8E" w14:textId="287A035A" w:rsidR="00723B37" w:rsidRDefault="00723B37" w:rsidP="00C76CA9">
            <w:pPr>
              <w:ind w:left="7"/>
            </w:pPr>
          </w:p>
          <w:p w14:paraId="56ACE58E" w14:textId="77777777" w:rsidR="00F736F1" w:rsidRDefault="00F736F1" w:rsidP="00723B37">
            <w:pPr>
              <w:ind w:left="574"/>
            </w:pPr>
            <w:r w:rsidRPr="00F736F1">
              <w:t xml:space="preserve">Vi anser att flera av de initiativ som redovisas i kommissionens startup- och </w:t>
            </w:r>
            <w:proofErr w:type="spellStart"/>
            <w:r w:rsidRPr="00F736F1">
              <w:t>scaleupstrategi</w:t>
            </w:r>
            <w:proofErr w:type="spellEnd"/>
            <w:r w:rsidRPr="00F736F1">
              <w:t xml:space="preserve"> är alltför långtgående och i huvudsak bör hanteras på nationell nivå. Det gäller bl.a. initiativen som rör regulatoriska sandlådor och en europeisk affärsplånbok. Vi menar att medlemsstaterna bäst känner sina egna marknader och institutionella förutsättningar, och att utformningen och tillämpningen av dessa verktyg därför bäst hanteras på nationell nivå. Därtill bör ett europeiskt elektroniskt ID-system hanteras med försiktighet, då </w:t>
            </w:r>
            <w:r w:rsidRPr="00F736F1">
              <w:lastRenderedPageBreak/>
              <w:t xml:space="preserve">det finns risk för överlappning med befintliga nationella system. Vi har även invändningar mot de delar av strategin som berör </w:t>
            </w:r>
          </w:p>
          <w:p w14:paraId="6BDF5D46" w14:textId="712C9715" w:rsidR="00723B37" w:rsidRDefault="00F736F1" w:rsidP="00723B37">
            <w:pPr>
              <w:ind w:left="574"/>
            </w:pPr>
            <w:r w:rsidRPr="00F736F1">
              <w:t>arbetskraftsinvandring, eftersom dessa inverkar på medlemsstaternas självbestämmande över arbetsmarknadsreglering. Slutligen ser vi med oro på att flera av de föreslagna finansieringsinstrumenten och fonderna saknar en tydlig inriktning mot faktisk konkurrenskraft och riskerar att användas för politiskt styrda prioriteringar snarare än för marknadsnära innovationsstöd.</w:t>
            </w:r>
          </w:p>
          <w:p w14:paraId="5F1FB823" w14:textId="77777777" w:rsidR="00C76CA9" w:rsidRDefault="00C76CA9" w:rsidP="00C76CA9">
            <w:pPr>
              <w:ind w:left="7"/>
            </w:pPr>
          </w:p>
          <w:p w14:paraId="5EE7FA85" w14:textId="77777777" w:rsidR="00C76CA9" w:rsidRDefault="00C76CA9" w:rsidP="00C76CA9">
            <w:pPr>
              <w:widowControl w:val="0"/>
              <w:tabs>
                <w:tab w:val="left" w:pos="1701"/>
              </w:tabs>
            </w:pPr>
            <w:r w:rsidRPr="00126CAC">
              <w:t>Under överläggningen närvarade även en tjänsteman från EU-nämndens kansli.</w:t>
            </w:r>
          </w:p>
          <w:p w14:paraId="4D3BEBAA" w14:textId="195610F8" w:rsidR="00C76CA9" w:rsidRPr="00C76CA9" w:rsidRDefault="00C76CA9" w:rsidP="00D75546">
            <w:pPr>
              <w:widowControl w:val="0"/>
              <w:tabs>
                <w:tab w:val="left" w:pos="1701"/>
              </w:tabs>
              <w:rPr>
                <w:b/>
                <w:bCs/>
              </w:rPr>
            </w:pPr>
          </w:p>
        </w:tc>
      </w:tr>
      <w:tr w:rsidR="00462710" w:rsidRPr="006C0F9A" w14:paraId="1178030F" w14:textId="77777777" w:rsidTr="001324AA">
        <w:trPr>
          <w:trHeight w:val="950"/>
        </w:trPr>
        <w:tc>
          <w:tcPr>
            <w:tcW w:w="567" w:type="dxa"/>
          </w:tcPr>
          <w:p w14:paraId="0F2701AA" w14:textId="7270372B" w:rsidR="00462710" w:rsidRDefault="00462710" w:rsidP="00DC0D46">
            <w:pPr>
              <w:tabs>
                <w:tab w:val="left" w:pos="1701"/>
              </w:tabs>
              <w:rPr>
                <w:b/>
                <w:snapToGrid w:val="0"/>
              </w:rPr>
            </w:pPr>
            <w:r>
              <w:rPr>
                <w:b/>
                <w:snapToGrid w:val="0"/>
              </w:rPr>
              <w:lastRenderedPageBreak/>
              <w:t xml:space="preserve">§ </w:t>
            </w:r>
            <w:r w:rsidR="001E5BAB">
              <w:rPr>
                <w:b/>
                <w:snapToGrid w:val="0"/>
              </w:rPr>
              <w:t>6</w:t>
            </w:r>
          </w:p>
        </w:tc>
        <w:tc>
          <w:tcPr>
            <w:tcW w:w="7162" w:type="dxa"/>
          </w:tcPr>
          <w:p w14:paraId="6219972D" w14:textId="77777777" w:rsidR="00201E75" w:rsidRDefault="001E5BAB" w:rsidP="00D75546">
            <w:pPr>
              <w:widowControl w:val="0"/>
              <w:tabs>
                <w:tab w:val="left" w:pos="1701"/>
              </w:tabs>
            </w:pPr>
            <w:r w:rsidRPr="001E5BAB">
              <w:rPr>
                <w:b/>
                <w:bCs/>
              </w:rPr>
              <w:t>Kommissionens rättsliga åtgärder mot Sverige vid EU-domstolen om tillståndsförfaranden för förnybar energi</w:t>
            </w:r>
            <w:r w:rsidRPr="001E5BAB">
              <w:br/>
            </w:r>
            <w:r>
              <w:rPr>
                <w:szCs w:val="23"/>
              </w:rPr>
              <w:br/>
            </w:r>
            <w:proofErr w:type="spellStart"/>
            <w:r>
              <w:rPr>
                <w:szCs w:val="23"/>
              </w:rPr>
              <w:t>Energi</w:t>
            </w:r>
            <w:proofErr w:type="spellEnd"/>
            <w:r>
              <w:rPr>
                <w:szCs w:val="23"/>
              </w:rPr>
              <w:t xml:space="preserve">- och näringsminister Ebba Busch, biträdd av medarbetare från Klimat- och näringslivsdepartementet, lämnade information och svarade på frågor om </w:t>
            </w:r>
            <w:r>
              <w:t>k</w:t>
            </w:r>
            <w:r w:rsidRPr="001E5BAB">
              <w:t>ommissionens rättsliga åtgärder mot Sverige vid EU-domstolen om tillståndsförfaranden för förnybar energi</w:t>
            </w:r>
            <w:r w:rsidR="00665057">
              <w:t>.</w:t>
            </w:r>
          </w:p>
          <w:p w14:paraId="6F76F189" w14:textId="77777777" w:rsidR="00201E75" w:rsidRDefault="00201E75" w:rsidP="00D75546">
            <w:pPr>
              <w:widowControl w:val="0"/>
              <w:tabs>
                <w:tab w:val="left" w:pos="1701"/>
              </w:tabs>
            </w:pPr>
          </w:p>
          <w:p w14:paraId="6677800B" w14:textId="5D86BA70" w:rsidR="000C73D0" w:rsidRPr="001E5BAB" w:rsidRDefault="00201E75" w:rsidP="00D75546">
            <w:pPr>
              <w:widowControl w:val="0"/>
              <w:tabs>
                <w:tab w:val="left" w:pos="1701"/>
              </w:tabs>
              <w:rPr>
                <w:b/>
                <w:bCs/>
                <w:iCs/>
              </w:rPr>
            </w:pPr>
            <w:r w:rsidRPr="00201E75">
              <w:t xml:space="preserve">Under </w:t>
            </w:r>
            <w:r>
              <w:t>informationen</w:t>
            </w:r>
            <w:r w:rsidRPr="00201E75">
              <w:t xml:space="preserve"> närvarade även en tjänsteman från EU-nämndens kansli.</w:t>
            </w:r>
            <w:r w:rsidR="001E5BAB" w:rsidRPr="001E5BAB">
              <w:br/>
            </w:r>
          </w:p>
        </w:tc>
      </w:tr>
      <w:tr w:rsidR="00462710" w:rsidRPr="006C0F9A" w14:paraId="42D8C73F" w14:textId="77777777" w:rsidTr="001324AA">
        <w:trPr>
          <w:trHeight w:val="950"/>
        </w:trPr>
        <w:tc>
          <w:tcPr>
            <w:tcW w:w="567" w:type="dxa"/>
          </w:tcPr>
          <w:p w14:paraId="0557BB2B" w14:textId="251D3812" w:rsidR="00462710" w:rsidRDefault="00462710" w:rsidP="00DC0D46">
            <w:pPr>
              <w:tabs>
                <w:tab w:val="left" w:pos="1701"/>
              </w:tabs>
              <w:rPr>
                <w:b/>
                <w:snapToGrid w:val="0"/>
              </w:rPr>
            </w:pPr>
            <w:r>
              <w:rPr>
                <w:b/>
                <w:snapToGrid w:val="0"/>
              </w:rPr>
              <w:t xml:space="preserve">§ </w:t>
            </w:r>
            <w:r w:rsidR="001E5BAB">
              <w:rPr>
                <w:b/>
                <w:snapToGrid w:val="0"/>
              </w:rPr>
              <w:t>7</w:t>
            </w:r>
          </w:p>
        </w:tc>
        <w:tc>
          <w:tcPr>
            <w:tcW w:w="7162" w:type="dxa"/>
          </w:tcPr>
          <w:p w14:paraId="0722A0EB" w14:textId="56841303" w:rsidR="00457CA5" w:rsidRDefault="001E5BAB" w:rsidP="00D75546">
            <w:pPr>
              <w:widowControl w:val="0"/>
              <w:tabs>
                <w:tab w:val="left" w:pos="1701"/>
              </w:tabs>
            </w:pPr>
            <w:r w:rsidRPr="009267C5">
              <w:rPr>
                <w:b/>
                <w:bCs/>
                <w:iCs/>
              </w:rPr>
              <w:t>Kreditgarantier för gröna industriinvesteringar</w:t>
            </w:r>
            <w:r w:rsidRPr="009267C5">
              <w:rPr>
                <w:b/>
                <w:bCs/>
              </w:rPr>
              <w:br/>
            </w:r>
            <w:r w:rsidRPr="00FF1B11">
              <w:rPr>
                <w:szCs w:val="23"/>
              </w:rPr>
              <w:br/>
            </w:r>
            <w:r w:rsidRPr="004061B3">
              <w:t xml:space="preserve">Finansmarknadsminister Niklas </w:t>
            </w:r>
            <w:proofErr w:type="spellStart"/>
            <w:r w:rsidRPr="004061B3">
              <w:t>Wykman</w:t>
            </w:r>
            <w:proofErr w:type="spellEnd"/>
            <w:r w:rsidRPr="004061B3">
              <w:t xml:space="preserve">, </w:t>
            </w:r>
            <w:r w:rsidRPr="001E5BAB">
              <w:t xml:space="preserve">biträdd av medarbetare från </w:t>
            </w:r>
            <w:r w:rsidRPr="004061B3">
              <w:t>Finansdepartementet</w:t>
            </w:r>
            <w:r>
              <w:t>, lämnade information och svarade på frågor om kreditgarantier för gröna industriinvesteringar.</w:t>
            </w:r>
          </w:p>
          <w:p w14:paraId="11B40963" w14:textId="501D17B0" w:rsidR="001E5BAB" w:rsidRPr="009A70F0" w:rsidRDefault="001E5BAB" w:rsidP="00D75546">
            <w:pPr>
              <w:widowControl w:val="0"/>
              <w:tabs>
                <w:tab w:val="left" w:pos="1701"/>
              </w:tabs>
              <w:rPr>
                <w:bCs/>
                <w:szCs w:val="23"/>
              </w:rPr>
            </w:pPr>
          </w:p>
        </w:tc>
      </w:tr>
      <w:tr w:rsidR="002E505E" w:rsidRPr="006C0F9A" w14:paraId="768C03E0" w14:textId="77777777" w:rsidTr="001324AA">
        <w:trPr>
          <w:trHeight w:val="950"/>
        </w:trPr>
        <w:tc>
          <w:tcPr>
            <w:tcW w:w="567" w:type="dxa"/>
          </w:tcPr>
          <w:p w14:paraId="065C0BF5" w14:textId="3774DAE6" w:rsidR="002E505E" w:rsidRDefault="002E505E" w:rsidP="002E505E">
            <w:pPr>
              <w:tabs>
                <w:tab w:val="left" w:pos="1701"/>
              </w:tabs>
              <w:rPr>
                <w:b/>
                <w:snapToGrid w:val="0"/>
              </w:rPr>
            </w:pPr>
            <w:r>
              <w:rPr>
                <w:b/>
                <w:snapToGrid w:val="0"/>
              </w:rPr>
              <w:t>§ 8</w:t>
            </w:r>
          </w:p>
        </w:tc>
        <w:tc>
          <w:tcPr>
            <w:tcW w:w="7162" w:type="dxa"/>
          </w:tcPr>
          <w:p w14:paraId="05687CE1" w14:textId="77777777" w:rsidR="002E505E" w:rsidRDefault="002E505E" w:rsidP="002E505E">
            <w:pPr>
              <w:widowControl w:val="0"/>
              <w:tabs>
                <w:tab w:val="left" w:pos="1701"/>
              </w:tabs>
              <w:rPr>
                <w:b/>
                <w:bCs/>
              </w:rPr>
            </w:pPr>
            <w:r w:rsidRPr="006B641F">
              <w:rPr>
                <w:b/>
                <w:bCs/>
              </w:rPr>
              <w:t>Utgiftsramar för utgiftsområdena 19 Regional utveckling, 21 Energi och 24 Näringsliv</w:t>
            </w:r>
          </w:p>
          <w:p w14:paraId="148B7ABD" w14:textId="77777777" w:rsidR="002E505E" w:rsidRDefault="002E505E" w:rsidP="002E505E">
            <w:pPr>
              <w:widowControl w:val="0"/>
              <w:tabs>
                <w:tab w:val="left" w:pos="1701"/>
              </w:tabs>
              <w:rPr>
                <w:b/>
                <w:bCs/>
              </w:rPr>
            </w:pPr>
          </w:p>
          <w:p w14:paraId="45F06493" w14:textId="77777777" w:rsidR="002E505E" w:rsidRPr="00E2595C" w:rsidRDefault="002E505E" w:rsidP="002E505E">
            <w:pPr>
              <w:widowControl w:val="0"/>
              <w:tabs>
                <w:tab w:val="left" w:pos="1701"/>
              </w:tabs>
              <w:rPr>
                <w:iCs/>
              </w:rPr>
            </w:pPr>
            <w:r w:rsidRPr="00E2595C">
              <w:rPr>
                <w:iCs/>
              </w:rPr>
              <w:t xml:space="preserve">Utskottet </w:t>
            </w:r>
            <w:r>
              <w:rPr>
                <w:iCs/>
              </w:rPr>
              <w:t xml:space="preserve">fortsatte </w:t>
            </w:r>
            <w:r w:rsidRPr="00E2595C">
              <w:rPr>
                <w:iCs/>
              </w:rPr>
              <w:t>behan</w:t>
            </w:r>
            <w:r>
              <w:rPr>
                <w:iCs/>
              </w:rPr>
              <w:t>dlingen av</w:t>
            </w:r>
            <w:r w:rsidRPr="00E2595C">
              <w:rPr>
                <w:iCs/>
              </w:rPr>
              <w:t xml:space="preserve"> frågan om yttrande till finansutskottet över proposition 202</w:t>
            </w:r>
            <w:r>
              <w:rPr>
                <w:iCs/>
              </w:rPr>
              <w:t>5</w:t>
            </w:r>
            <w:r w:rsidRPr="00E2595C">
              <w:rPr>
                <w:iCs/>
              </w:rPr>
              <w:t>/2</w:t>
            </w:r>
            <w:r>
              <w:rPr>
                <w:iCs/>
              </w:rPr>
              <w:t>6</w:t>
            </w:r>
            <w:r w:rsidRPr="00E2595C">
              <w:rPr>
                <w:iCs/>
              </w:rPr>
              <w:t xml:space="preserve">:1 (budgetpropositionen) såvitt gäller budgetens utgiftsramar och motioner. </w:t>
            </w:r>
          </w:p>
          <w:p w14:paraId="324F32EB" w14:textId="77777777" w:rsidR="002E505E" w:rsidRPr="00E2595C" w:rsidRDefault="002E505E" w:rsidP="002E505E">
            <w:pPr>
              <w:widowControl w:val="0"/>
              <w:tabs>
                <w:tab w:val="left" w:pos="1701"/>
              </w:tabs>
              <w:rPr>
                <w:iCs/>
              </w:rPr>
            </w:pPr>
          </w:p>
          <w:p w14:paraId="23614135" w14:textId="77777777" w:rsidR="002E505E" w:rsidRDefault="002E505E" w:rsidP="002E505E">
            <w:pPr>
              <w:widowControl w:val="0"/>
              <w:tabs>
                <w:tab w:val="left" w:pos="1701"/>
              </w:tabs>
              <w:rPr>
                <w:b/>
                <w:bCs/>
              </w:rPr>
            </w:pPr>
            <w:r w:rsidRPr="00E2595C">
              <w:rPr>
                <w:iCs/>
              </w:rPr>
              <w:t>Ärendet bordlades.</w:t>
            </w:r>
          </w:p>
          <w:p w14:paraId="144357CD" w14:textId="77777777" w:rsidR="002E505E" w:rsidRPr="009267C5" w:rsidRDefault="002E505E" w:rsidP="002E505E">
            <w:pPr>
              <w:widowControl w:val="0"/>
              <w:tabs>
                <w:tab w:val="left" w:pos="1701"/>
              </w:tabs>
              <w:rPr>
                <w:b/>
                <w:bCs/>
                <w:iCs/>
              </w:rPr>
            </w:pPr>
          </w:p>
        </w:tc>
      </w:tr>
      <w:tr w:rsidR="002E505E" w:rsidRPr="006C0F9A" w14:paraId="076BEE3D" w14:textId="77777777" w:rsidTr="001324AA">
        <w:trPr>
          <w:trHeight w:val="950"/>
        </w:trPr>
        <w:tc>
          <w:tcPr>
            <w:tcW w:w="567" w:type="dxa"/>
          </w:tcPr>
          <w:p w14:paraId="3C97013E" w14:textId="6B263CC3" w:rsidR="002E505E" w:rsidRDefault="002E505E" w:rsidP="002E505E">
            <w:pPr>
              <w:tabs>
                <w:tab w:val="left" w:pos="1701"/>
              </w:tabs>
              <w:rPr>
                <w:b/>
                <w:snapToGrid w:val="0"/>
              </w:rPr>
            </w:pPr>
            <w:r>
              <w:rPr>
                <w:b/>
                <w:snapToGrid w:val="0"/>
              </w:rPr>
              <w:t xml:space="preserve">§ </w:t>
            </w:r>
            <w:r w:rsidR="00645A5D">
              <w:rPr>
                <w:b/>
                <w:snapToGrid w:val="0"/>
              </w:rPr>
              <w:t>9</w:t>
            </w:r>
          </w:p>
        </w:tc>
        <w:tc>
          <w:tcPr>
            <w:tcW w:w="7162" w:type="dxa"/>
          </w:tcPr>
          <w:p w14:paraId="7FC280EE" w14:textId="77777777" w:rsidR="002E505E" w:rsidRDefault="002E505E" w:rsidP="002E505E">
            <w:pPr>
              <w:widowControl w:val="0"/>
              <w:tabs>
                <w:tab w:val="left" w:pos="1701"/>
              </w:tabs>
              <w:rPr>
                <w:iCs/>
                <w:szCs w:val="23"/>
              </w:rPr>
            </w:pPr>
            <w:r w:rsidRPr="009267C5">
              <w:rPr>
                <w:b/>
                <w:bCs/>
                <w:iCs/>
              </w:rPr>
              <w:t>Förordning om inrättandet av en europeisk konkurrenskraftsfond</w:t>
            </w:r>
            <w:r>
              <w:rPr>
                <w:b/>
                <w:bCs/>
                <w:iCs/>
              </w:rPr>
              <w:br/>
            </w:r>
          </w:p>
          <w:p w14:paraId="55FCE7B8" w14:textId="26D2B9BF" w:rsidR="002E505E" w:rsidRPr="002E1E0F" w:rsidRDefault="002E505E" w:rsidP="002E505E">
            <w:pPr>
              <w:widowControl w:val="0"/>
              <w:tabs>
                <w:tab w:val="left" w:pos="1701"/>
              </w:tabs>
            </w:pPr>
            <w:r w:rsidRPr="0074420B">
              <w:t xml:space="preserve">Utskottet överlade med </w:t>
            </w:r>
            <w:r>
              <w:rPr>
                <w:szCs w:val="23"/>
              </w:rPr>
              <w:t>statssekreterare Christian Danielsson</w:t>
            </w:r>
            <w:r w:rsidRPr="002E1E0F">
              <w:t xml:space="preserve">, </w:t>
            </w:r>
            <w:r>
              <w:t>biträdd av medarbetare från Statsrådsberedningen.</w:t>
            </w:r>
          </w:p>
          <w:p w14:paraId="62527401" w14:textId="77777777" w:rsidR="002E505E" w:rsidRDefault="002E505E" w:rsidP="002E505E">
            <w:pPr>
              <w:widowControl w:val="0"/>
              <w:tabs>
                <w:tab w:val="left" w:pos="1701"/>
              </w:tabs>
              <w:rPr>
                <w:b/>
                <w:bCs/>
              </w:rPr>
            </w:pPr>
          </w:p>
          <w:p w14:paraId="1039355D" w14:textId="7F66155E" w:rsidR="002E505E" w:rsidRDefault="002E505E" w:rsidP="002E505E">
            <w:pPr>
              <w:widowControl w:val="0"/>
              <w:tabs>
                <w:tab w:val="left" w:pos="1701"/>
              </w:tabs>
            </w:pPr>
            <w:r w:rsidRPr="00583C98">
              <w:t xml:space="preserve">Underlaget utgjordes </w:t>
            </w:r>
            <w:r>
              <w:t xml:space="preserve">av </w:t>
            </w:r>
            <w:r w:rsidRPr="00583C98">
              <w:t>faktapromemoria 202</w:t>
            </w:r>
            <w:r>
              <w:t>5</w:t>
            </w:r>
            <w:r w:rsidRPr="00583C98">
              <w:t>/</w:t>
            </w:r>
            <w:proofErr w:type="gramStart"/>
            <w:r w:rsidRPr="00583C98">
              <w:t>2</w:t>
            </w:r>
            <w:r>
              <w:t>6</w:t>
            </w:r>
            <w:r w:rsidRPr="00583C98">
              <w:t>:FPM</w:t>
            </w:r>
            <w:proofErr w:type="gramEnd"/>
            <w:r>
              <w:t>14.</w:t>
            </w:r>
          </w:p>
          <w:p w14:paraId="7DC0F2F2" w14:textId="77777777" w:rsidR="002E505E" w:rsidRDefault="002E505E" w:rsidP="002E505E">
            <w:pPr>
              <w:widowControl w:val="0"/>
              <w:tabs>
                <w:tab w:val="left" w:pos="1701"/>
              </w:tabs>
            </w:pPr>
          </w:p>
          <w:p w14:paraId="6E3516A9" w14:textId="43A16977" w:rsidR="002E505E" w:rsidRDefault="002E505E" w:rsidP="002E505E">
            <w:pPr>
              <w:widowControl w:val="0"/>
              <w:tabs>
                <w:tab w:val="left" w:pos="1701"/>
              </w:tabs>
            </w:pPr>
            <w:r>
              <w:t>Statssekreterare Christian Danielsson</w:t>
            </w:r>
            <w:r w:rsidRPr="007B15BC">
              <w:t>,</w:t>
            </w:r>
            <w:r>
              <w:t xml:space="preserve"> </w:t>
            </w:r>
            <w:r w:rsidRPr="005E2B1F">
              <w:t>redogjorde för regeringens ståndpunkt i enlighet med faktapromemorian:</w:t>
            </w:r>
          </w:p>
          <w:p w14:paraId="2257C490" w14:textId="1C1C82FC" w:rsidR="002E505E" w:rsidRDefault="002E505E" w:rsidP="002E505E">
            <w:pPr>
              <w:widowControl w:val="0"/>
              <w:tabs>
                <w:tab w:val="left" w:pos="1701"/>
              </w:tabs>
            </w:pPr>
          </w:p>
          <w:p w14:paraId="2CDD38A9" w14:textId="77777777" w:rsidR="002E505E" w:rsidRDefault="002E505E" w:rsidP="002E505E">
            <w:pPr>
              <w:ind w:left="574"/>
            </w:pPr>
            <w:r>
              <w:t>Regeringens ståndpunkter avseende övergripande principer för den fleråriga budgetramen och dess storlek, inklusive för enskilda fonder och program, behandlas i faktapromemoria 2025/</w:t>
            </w:r>
            <w:proofErr w:type="gramStart"/>
            <w:r>
              <w:t>26:FPM</w:t>
            </w:r>
            <w:proofErr w:type="gramEnd"/>
            <w:r>
              <w:t>3.</w:t>
            </w:r>
          </w:p>
          <w:p w14:paraId="3A0CB7E4" w14:textId="3242199C" w:rsidR="002E505E" w:rsidRDefault="002E505E" w:rsidP="002E505E">
            <w:pPr>
              <w:ind w:left="574"/>
            </w:pPr>
            <w:r>
              <w:t xml:space="preserve"> </w:t>
            </w:r>
          </w:p>
          <w:p w14:paraId="14F76C90" w14:textId="3DD36DB5" w:rsidR="002E505E" w:rsidRDefault="002E505E" w:rsidP="002E505E">
            <w:pPr>
              <w:ind w:left="574"/>
            </w:pPr>
            <w:r>
              <w:t xml:space="preserve">Regeringen välkomnar inrättandet av en ny konkurrenskraftsfond och dess generella inriktning och politikområden, med fokus på </w:t>
            </w:r>
            <w:r>
              <w:lastRenderedPageBreak/>
              <w:t xml:space="preserve">den gröna och digitala omställningen samt civilt och militärt försvar, säkerhet och motståndskraft. Det är viktigt att konkurrenskraftfondens medel ger ett tydligt mervärde samt att stöd riktas dit det har störst potential att öka EU:s konkurrenskraft. Fokus bör ligga på att främja innovation, produktivitet och ekonomisk tillväxt, vilket också är en förutsättning för Europas säkerhet.  </w:t>
            </w:r>
          </w:p>
          <w:p w14:paraId="73248913" w14:textId="77777777" w:rsidR="002E505E" w:rsidRDefault="002E505E" w:rsidP="002E505E">
            <w:pPr>
              <w:ind w:left="574"/>
            </w:pPr>
          </w:p>
          <w:p w14:paraId="730C95C5" w14:textId="5BAB9350" w:rsidR="002E505E" w:rsidRDefault="002E505E" w:rsidP="002E505E">
            <w:pPr>
              <w:ind w:left="574"/>
            </w:pPr>
            <w:r>
              <w:t xml:space="preserve">Regeringens grundinställning är att det är en väl fungerande marknad som gör företag konkurrenskraftiga och att stöd till företag inte är en generell eller långsiktigt hållbar lösning. Sådana stöd kan vara motiverade om de hanterar ett tydligt marknadsmisslyckande som inte kan åtgärdas på ett mer effektivt sätt, och så länge de inte riskerar att motverka nödvändig strukturomvandling i ekonomin. Det är viktigt att stöd och tilldelningskriterier från konkurrenskraftsfonden inte snedvrider konkurrensen mellan EU:s medlemsstater, branscher eller företag, inte tränger undan privat finansiering och är förenligt med en återgång till ett strikt statsstödsregelverk. Det är också viktigt att konkurrenskraftsfonden värnar öppenhet gentemot omvärlden och att bestämmelser som ger en EU-preferens beaktar dessa grundläggande principer. En marknadsbaserad politik och öppen, regelbaserad handel gynnar EU:s medlemsstater.  </w:t>
            </w:r>
          </w:p>
          <w:p w14:paraId="603F562D" w14:textId="77777777" w:rsidR="002E505E" w:rsidRDefault="002E505E" w:rsidP="002E505E">
            <w:pPr>
              <w:ind w:left="574"/>
            </w:pPr>
          </w:p>
          <w:p w14:paraId="44DA8F04" w14:textId="78D9EEAF" w:rsidR="002E505E" w:rsidRDefault="002E505E" w:rsidP="002E505E">
            <w:pPr>
              <w:ind w:left="574"/>
            </w:pPr>
            <w:r>
              <w:t xml:space="preserve">Det är angeläget att det finns en god balans mellan stöd i form av bidrag och annan finansiering, där finansiella instrument som lån och garantier behöver spela en viktig roll. Regeringen välkomnar därför </w:t>
            </w:r>
            <w:proofErr w:type="spellStart"/>
            <w:r>
              <w:t>InvestEU</w:t>
            </w:r>
            <w:proofErr w:type="spellEnd"/>
            <w:r>
              <w:t xml:space="preserve">-instrumentet som möjliggör mobilisering av privat kapital och investeringar i projekt med en högre riskprofil. Regeringen betonar vikten av en garantiavsättningsnivå som speglar portföljrisken.  </w:t>
            </w:r>
          </w:p>
          <w:p w14:paraId="5BA6B6D2" w14:textId="77777777" w:rsidR="002E505E" w:rsidRDefault="002E505E" w:rsidP="002E505E">
            <w:pPr>
              <w:ind w:left="574"/>
            </w:pPr>
          </w:p>
          <w:p w14:paraId="0FAD6E63" w14:textId="25C06AE3" w:rsidR="002E505E" w:rsidRDefault="002E505E" w:rsidP="002E505E">
            <w:pPr>
              <w:ind w:left="574"/>
            </w:pPr>
            <w:r>
              <w:t xml:space="preserve">Regeringen anser att det är positivt att konkurrenskraftsfonden samlar flera EU-program i ett gemensamt ramverk. Det är samtidigt bra att en separat forskningsbudget bibehålls för Horisont Europa i ett självständigt ramprogram, och att även Innovationsfonden bevaras som ett separat program. Denna nya struktur kan sammantaget möjliggöra en mer ändamålsenlig styrning, minskad risk för överlapp mellan olika EU-program och större flexibilitet att omfördela medel mellan olika politikområden. Det är viktigt att tillgodose en effektiv samordning mellan konkurrenskraftsfonden och andra EU-program. För att värna en effektiv stödprocess och sunda budgetprinciper, anser regeringen att det är viktigt med balans mellan EU-institutionernas inflytande och flexibilitet i genomförandet av konkurrenskraftsfonden, där EU:s medlemsstater bör ges vederbörligt inflytande. Därtill bör eventuella negativa miljöeffekter av stöd minimeras. </w:t>
            </w:r>
          </w:p>
          <w:p w14:paraId="61D13CB6" w14:textId="77777777" w:rsidR="002E505E" w:rsidRDefault="002E505E" w:rsidP="002E505E">
            <w:pPr>
              <w:ind w:left="574"/>
            </w:pPr>
          </w:p>
          <w:p w14:paraId="0B708EF4" w14:textId="77777777" w:rsidR="002E505E" w:rsidRDefault="002E505E" w:rsidP="002E505E">
            <w:pPr>
              <w:spacing w:after="343"/>
              <w:ind w:left="574"/>
            </w:pPr>
            <w:r>
              <w:t xml:space="preserve">Regeringen anser att det finns frågor som behöver klargöras, bl.a. avseende hur konkurrenskraftsfonden ska förhålla sig till andra EU-program och kriterier för stödberättigande samt tilldelning, inklusive excellensbaserade kriterier. Regeringen bedömer att det krävs ytterligare analys av de föreslagna politikområdena, fördelningen av medel kopplad till dessa, samt styrningsstrukturen. Det </w:t>
            </w:r>
            <w:r>
              <w:lastRenderedPageBreak/>
              <w:t xml:space="preserve">behövs även förtydliganden kring kraven på nationell medfinansiering av EU-medel, vilket är en viktig princip för att värna nationellt och regionalt ägarskap. </w:t>
            </w:r>
          </w:p>
          <w:p w14:paraId="0270B218" w14:textId="77777777" w:rsidR="002E505E" w:rsidRDefault="002E505E" w:rsidP="002E505E">
            <w:pPr>
              <w:widowControl w:val="0"/>
              <w:tabs>
                <w:tab w:val="left" w:pos="1701"/>
              </w:tabs>
            </w:pPr>
            <w:r>
              <w:t>Ordföranden konstaterade att det fanns stöd för regeringens ståndpunkt.</w:t>
            </w:r>
          </w:p>
          <w:p w14:paraId="2650222A" w14:textId="77777777" w:rsidR="002E505E" w:rsidRDefault="002E505E" w:rsidP="00645A5D"/>
          <w:p w14:paraId="6B3B797A" w14:textId="77777777" w:rsidR="002E505E" w:rsidRDefault="002E505E" w:rsidP="002E505E">
            <w:pPr>
              <w:widowControl w:val="0"/>
              <w:tabs>
                <w:tab w:val="left" w:pos="1701"/>
              </w:tabs>
            </w:pPr>
            <w:r w:rsidRPr="00126CAC">
              <w:t>Under överläggningen närvarade även en tjänsteman från EU-nämndens kansli.</w:t>
            </w:r>
          </w:p>
          <w:p w14:paraId="0817783A" w14:textId="63B03474" w:rsidR="002E505E" w:rsidRPr="002E1E0F" w:rsidRDefault="002E505E" w:rsidP="002E505E">
            <w:pPr>
              <w:widowControl w:val="0"/>
              <w:tabs>
                <w:tab w:val="left" w:pos="1701"/>
              </w:tabs>
              <w:rPr>
                <w:b/>
                <w:bCs/>
              </w:rPr>
            </w:pPr>
          </w:p>
        </w:tc>
      </w:tr>
      <w:tr w:rsidR="002E505E" w:rsidRPr="006C0F9A" w14:paraId="33046147" w14:textId="77777777" w:rsidTr="001324AA">
        <w:trPr>
          <w:trHeight w:val="950"/>
        </w:trPr>
        <w:tc>
          <w:tcPr>
            <w:tcW w:w="567" w:type="dxa"/>
          </w:tcPr>
          <w:p w14:paraId="226051D7" w14:textId="5C93EFAC" w:rsidR="002E505E" w:rsidRPr="006C0F9A" w:rsidRDefault="002E505E" w:rsidP="002E505E">
            <w:pPr>
              <w:tabs>
                <w:tab w:val="left" w:pos="1701"/>
              </w:tabs>
              <w:rPr>
                <w:b/>
                <w:snapToGrid w:val="0"/>
              </w:rPr>
            </w:pPr>
            <w:r w:rsidRPr="006C0F9A">
              <w:rPr>
                <w:b/>
                <w:snapToGrid w:val="0"/>
              </w:rPr>
              <w:lastRenderedPageBreak/>
              <w:t xml:space="preserve">§ </w:t>
            </w:r>
            <w:r w:rsidR="00665057">
              <w:rPr>
                <w:b/>
                <w:snapToGrid w:val="0"/>
              </w:rPr>
              <w:t>1</w:t>
            </w:r>
            <w:r w:rsidR="00645A5D">
              <w:rPr>
                <w:b/>
                <w:snapToGrid w:val="0"/>
              </w:rPr>
              <w:t>0</w:t>
            </w:r>
          </w:p>
        </w:tc>
        <w:tc>
          <w:tcPr>
            <w:tcW w:w="7162" w:type="dxa"/>
          </w:tcPr>
          <w:p w14:paraId="1A717359" w14:textId="22CEF21D" w:rsidR="002E505E" w:rsidRPr="006C0F9A" w:rsidRDefault="002E505E" w:rsidP="002E505E">
            <w:pPr>
              <w:widowControl w:val="0"/>
              <w:tabs>
                <w:tab w:val="left" w:pos="1701"/>
              </w:tabs>
              <w:rPr>
                <w:b/>
              </w:rPr>
            </w:pPr>
            <w:r w:rsidRPr="006C0F9A">
              <w:rPr>
                <w:b/>
              </w:rPr>
              <w:t>Nästa sammanträde</w:t>
            </w:r>
            <w:r>
              <w:rPr>
                <w:b/>
              </w:rPr>
              <w:br/>
            </w:r>
          </w:p>
          <w:p w14:paraId="64307BA5" w14:textId="0F3CA0DD" w:rsidR="002E505E" w:rsidRPr="006C0F9A" w:rsidRDefault="002E505E" w:rsidP="002E505E">
            <w:pPr>
              <w:spacing w:after="200" w:line="280" w:lineRule="exact"/>
              <w:rPr>
                <w:bCs/>
              </w:rPr>
            </w:pPr>
            <w:r w:rsidRPr="000451FD">
              <w:rPr>
                <w:bCs/>
              </w:rPr>
              <w:t xml:space="preserve">Nästa sammanträde äger rum </w:t>
            </w:r>
            <w:r>
              <w:rPr>
                <w:bCs/>
              </w:rPr>
              <w:t>t</w:t>
            </w:r>
            <w:r w:rsidR="00665057">
              <w:rPr>
                <w:bCs/>
              </w:rPr>
              <w:t>ors</w:t>
            </w:r>
            <w:r w:rsidRPr="000451FD">
              <w:rPr>
                <w:bCs/>
              </w:rPr>
              <w:t xml:space="preserve">dagen den </w:t>
            </w:r>
            <w:r>
              <w:rPr>
                <w:bCs/>
              </w:rPr>
              <w:t>2</w:t>
            </w:r>
            <w:r w:rsidR="00665057">
              <w:rPr>
                <w:bCs/>
              </w:rPr>
              <w:t>3</w:t>
            </w:r>
            <w:r>
              <w:rPr>
                <w:bCs/>
              </w:rPr>
              <w:t xml:space="preserve"> oktober</w:t>
            </w:r>
            <w:r w:rsidRPr="000451FD">
              <w:rPr>
                <w:bCs/>
              </w:rPr>
              <w:t xml:space="preserve"> 202</w:t>
            </w:r>
            <w:r>
              <w:rPr>
                <w:bCs/>
              </w:rPr>
              <w:t>5</w:t>
            </w:r>
            <w:r w:rsidRPr="000451FD">
              <w:rPr>
                <w:bCs/>
              </w:rPr>
              <w:t xml:space="preserve"> </w:t>
            </w:r>
            <w:r>
              <w:rPr>
                <w:bCs/>
              </w:rPr>
              <w:br/>
            </w:r>
            <w:r w:rsidRPr="000451FD">
              <w:rPr>
                <w:bCs/>
              </w:rPr>
              <w:t>kl. 1</w:t>
            </w:r>
            <w:r w:rsidR="00665057">
              <w:rPr>
                <w:bCs/>
              </w:rPr>
              <w:t>0</w:t>
            </w:r>
            <w:r w:rsidRPr="000451FD">
              <w:rPr>
                <w:bCs/>
              </w:rPr>
              <w:t>.00.</w:t>
            </w:r>
          </w:p>
        </w:tc>
      </w:tr>
      <w:tr w:rsidR="002E505E" w:rsidRPr="006C0F9A" w14:paraId="448A3638" w14:textId="77777777" w:rsidTr="001324AA">
        <w:tc>
          <w:tcPr>
            <w:tcW w:w="7729" w:type="dxa"/>
            <w:gridSpan w:val="2"/>
          </w:tcPr>
          <w:p w14:paraId="1A3C2D8F" w14:textId="77777777" w:rsidR="002E505E" w:rsidRDefault="002E505E" w:rsidP="002E505E">
            <w:pPr>
              <w:tabs>
                <w:tab w:val="left" w:pos="1701"/>
              </w:tabs>
            </w:pPr>
          </w:p>
          <w:p w14:paraId="255F458B" w14:textId="77777777" w:rsidR="002E505E" w:rsidRDefault="002E505E" w:rsidP="002E505E">
            <w:pPr>
              <w:tabs>
                <w:tab w:val="left" w:pos="1701"/>
              </w:tabs>
            </w:pPr>
          </w:p>
          <w:p w14:paraId="194518D7" w14:textId="77777777" w:rsidR="002E505E" w:rsidRDefault="002E505E" w:rsidP="002E505E">
            <w:pPr>
              <w:tabs>
                <w:tab w:val="left" w:pos="1701"/>
              </w:tabs>
            </w:pPr>
          </w:p>
          <w:p w14:paraId="66CFE27D" w14:textId="77777777" w:rsidR="002E505E" w:rsidRDefault="002E505E" w:rsidP="002E505E">
            <w:pPr>
              <w:tabs>
                <w:tab w:val="left" w:pos="1701"/>
              </w:tabs>
            </w:pPr>
          </w:p>
          <w:p w14:paraId="00DBC1D3" w14:textId="070C98C4" w:rsidR="002E505E" w:rsidRPr="006C0F9A" w:rsidRDefault="002E505E" w:rsidP="002E505E">
            <w:pPr>
              <w:tabs>
                <w:tab w:val="left" w:pos="1701"/>
              </w:tabs>
            </w:pPr>
            <w:r w:rsidRPr="006C0F9A">
              <w:t>Vid protokollet</w:t>
            </w:r>
          </w:p>
          <w:p w14:paraId="09A7756D" w14:textId="77777777" w:rsidR="002E505E" w:rsidRPr="006C0F9A" w:rsidRDefault="002E505E" w:rsidP="002E505E">
            <w:pPr>
              <w:tabs>
                <w:tab w:val="left" w:pos="1701"/>
              </w:tabs>
            </w:pPr>
          </w:p>
          <w:p w14:paraId="78508BCB" w14:textId="77777777" w:rsidR="002E505E" w:rsidRPr="006C0F9A" w:rsidRDefault="002E505E" w:rsidP="002E505E">
            <w:pPr>
              <w:tabs>
                <w:tab w:val="left" w:pos="1701"/>
              </w:tabs>
            </w:pPr>
          </w:p>
          <w:p w14:paraId="450FF51A" w14:textId="77777777" w:rsidR="002E505E" w:rsidRPr="006C0F9A" w:rsidRDefault="002E505E" w:rsidP="002E505E">
            <w:pPr>
              <w:tabs>
                <w:tab w:val="left" w:pos="1701"/>
              </w:tabs>
            </w:pPr>
            <w:r w:rsidRPr="006C0F9A">
              <w:t>Bibi Junttila</w:t>
            </w:r>
          </w:p>
          <w:p w14:paraId="103ABC8B" w14:textId="77777777" w:rsidR="002E505E" w:rsidRPr="006C0F9A" w:rsidRDefault="002E505E" w:rsidP="002E505E">
            <w:pPr>
              <w:tabs>
                <w:tab w:val="left" w:pos="1701"/>
              </w:tabs>
            </w:pPr>
          </w:p>
          <w:p w14:paraId="385FC8A9" w14:textId="77777777" w:rsidR="002E505E" w:rsidRPr="006C0F9A" w:rsidRDefault="002E505E" w:rsidP="002E505E">
            <w:pPr>
              <w:tabs>
                <w:tab w:val="left" w:pos="1701"/>
              </w:tabs>
            </w:pPr>
          </w:p>
          <w:p w14:paraId="4DA1BCA8" w14:textId="4CA03FAF" w:rsidR="002E505E" w:rsidRPr="006C0F9A" w:rsidRDefault="002E505E" w:rsidP="002E505E">
            <w:pPr>
              <w:tabs>
                <w:tab w:val="left" w:pos="1701"/>
              </w:tabs>
            </w:pPr>
            <w:r w:rsidRPr="006C0F9A">
              <w:t xml:space="preserve">Justeras den </w:t>
            </w:r>
            <w:r>
              <w:t>2</w:t>
            </w:r>
            <w:r w:rsidR="00665057">
              <w:t>3</w:t>
            </w:r>
            <w:r>
              <w:t xml:space="preserve"> oktober </w:t>
            </w:r>
            <w:r w:rsidRPr="006C0F9A">
              <w:t>202</w:t>
            </w:r>
            <w:r>
              <w:t>5</w:t>
            </w:r>
          </w:p>
          <w:p w14:paraId="50CF5AE3" w14:textId="77777777" w:rsidR="002E505E" w:rsidRPr="006C0F9A" w:rsidRDefault="002E505E" w:rsidP="002E505E">
            <w:pPr>
              <w:tabs>
                <w:tab w:val="left" w:pos="1701"/>
              </w:tabs>
            </w:pPr>
          </w:p>
          <w:p w14:paraId="3DDE98D9" w14:textId="77777777" w:rsidR="002E505E" w:rsidRPr="006C0F9A" w:rsidRDefault="002E505E" w:rsidP="002E505E">
            <w:pPr>
              <w:tabs>
                <w:tab w:val="left" w:pos="1701"/>
              </w:tabs>
            </w:pPr>
          </w:p>
          <w:p w14:paraId="540E52C5" w14:textId="4239BDB3" w:rsidR="002E505E" w:rsidRPr="006C0F9A" w:rsidRDefault="002E505E" w:rsidP="002E505E">
            <w:pPr>
              <w:tabs>
                <w:tab w:val="left" w:pos="1701"/>
              </w:tabs>
            </w:pPr>
            <w:r w:rsidRPr="006C0F9A">
              <w:t>Tobias Andersson</w:t>
            </w:r>
            <w:r>
              <w:br/>
            </w:r>
          </w:p>
        </w:tc>
      </w:tr>
    </w:tbl>
    <w:p w14:paraId="670EC616" w14:textId="77777777" w:rsidR="00D5643D" w:rsidRDefault="00D5643D">
      <w:bookmarkStart w:id="0" w:name="_Hlk97030853"/>
      <w:bookmarkStart w:id="1" w:name="_Hlk146185070"/>
    </w:p>
    <w:p w14:paraId="734327DB" w14:textId="77777777" w:rsidR="00457CA5" w:rsidRDefault="00457CA5">
      <w:r>
        <w:br w:type="page"/>
      </w:r>
    </w:p>
    <w:p w14:paraId="57E7BE0A" w14:textId="7353DC9B" w:rsidR="00141DEF" w:rsidRDefault="00255BCF">
      <w:r>
        <w:lastRenderedPageBreak/>
        <w:br/>
      </w:r>
    </w:p>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567"/>
        <w:gridCol w:w="284"/>
        <w:gridCol w:w="425"/>
        <w:gridCol w:w="448"/>
        <w:gridCol w:w="544"/>
        <w:gridCol w:w="284"/>
        <w:gridCol w:w="425"/>
        <w:gridCol w:w="283"/>
        <w:gridCol w:w="426"/>
        <w:gridCol w:w="425"/>
        <w:gridCol w:w="22"/>
        <w:gridCol w:w="582"/>
        <w:gridCol w:w="388"/>
        <w:gridCol w:w="11"/>
      </w:tblGrid>
      <w:tr w:rsidR="001D165A" w14:paraId="66CEFB4D" w14:textId="77777777" w:rsidTr="007216BA">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164601CE" w:rsidR="001D165A" w:rsidRDefault="001D165A" w:rsidP="00FD0762">
            <w:pPr>
              <w:tabs>
                <w:tab w:val="left" w:pos="1701"/>
              </w:tabs>
            </w:pPr>
            <w:r>
              <w:rPr>
                <w:sz w:val="20"/>
              </w:rPr>
              <w:t>202</w:t>
            </w:r>
            <w:r w:rsidR="00424C45">
              <w:rPr>
                <w:sz w:val="20"/>
              </w:rPr>
              <w:t>5</w:t>
            </w:r>
            <w:r>
              <w:rPr>
                <w:sz w:val="20"/>
              </w:rPr>
              <w:t>/2</w:t>
            </w:r>
            <w:r w:rsidR="00424C45">
              <w:rPr>
                <w:sz w:val="20"/>
              </w:rPr>
              <w:t>6</w:t>
            </w:r>
            <w:r>
              <w:rPr>
                <w:sz w:val="20"/>
              </w:rPr>
              <w:t>:</w:t>
            </w:r>
            <w:r w:rsidR="00ED1A28">
              <w:rPr>
                <w:sz w:val="20"/>
              </w:rPr>
              <w:t>6</w:t>
            </w:r>
          </w:p>
        </w:tc>
      </w:tr>
      <w:tr w:rsidR="001D165A" w14:paraId="0DF86746" w14:textId="77777777" w:rsidTr="00665057">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6CBD25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B37415">
              <w:rPr>
                <w:sz w:val="22"/>
                <w:szCs w:val="22"/>
              </w:rPr>
              <w:t>–</w:t>
            </w:r>
            <w:r w:rsidR="00645A5D">
              <w:rPr>
                <w:sz w:val="22"/>
                <w:szCs w:val="22"/>
              </w:rPr>
              <w:t>8</w:t>
            </w:r>
          </w:p>
        </w:tc>
        <w:tc>
          <w:tcPr>
            <w:tcW w:w="960" w:type="dxa"/>
            <w:gridSpan w:val="2"/>
            <w:tcBorders>
              <w:top w:val="single" w:sz="6" w:space="0" w:color="auto"/>
              <w:left w:val="single" w:sz="6" w:space="0" w:color="auto"/>
              <w:bottom w:val="single" w:sz="6" w:space="0" w:color="auto"/>
              <w:right w:val="single" w:sz="6" w:space="0" w:color="auto"/>
            </w:tcBorders>
          </w:tcPr>
          <w:p w14:paraId="1B33DFD2" w14:textId="5217AFB1"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r w:rsidR="00645A5D">
              <w:rPr>
                <w:sz w:val="22"/>
                <w:szCs w:val="22"/>
              </w:rPr>
              <w:t>9</w:t>
            </w:r>
            <w:r>
              <w:rPr>
                <w:sz w:val="22"/>
                <w:szCs w:val="22"/>
              </w:rPr>
              <w:t>–1</w:t>
            </w:r>
            <w:r w:rsidR="00645A5D">
              <w:rPr>
                <w:sz w:val="22"/>
                <w:szCs w:val="22"/>
              </w:rPr>
              <w:t>0</w:t>
            </w:r>
          </w:p>
        </w:tc>
        <w:tc>
          <w:tcPr>
            <w:tcW w:w="709" w:type="dxa"/>
            <w:gridSpan w:val="2"/>
            <w:tcBorders>
              <w:top w:val="single" w:sz="6" w:space="0" w:color="auto"/>
              <w:left w:val="single" w:sz="6" w:space="0" w:color="auto"/>
              <w:bottom w:val="single" w:sz="6" w:space="0" w:color="auto"/>
              <w:right w:val="single" w:sz="6" w:space="0" w:color="auto"/>
            </w:tcBorders>
          </w:tcPr>
          <w:p w14:paraId="301E3BBB" w14:textId="12D9C9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992" w:type="dxa"/>
            <w:gridSpan w:val="2"/>
            <w:tcBorders>
              <w:top w:val="single" w:sz="6" w:space="0" w:color="auto"/>
              <w:left w:val="single" w:sz="6" w:space="0" w:color="auto"/>
              <w:bottom w:val="single" w:sz="6" w:space="0" w:color="auto"/>
              <w:right w:val="single" w:sz="6" w:space="0" w:color="auto"/>
            </w:tcBorders>
          </w:tcPr>
          <w:p w14:paraId="12E63081" w14:textId="03D4B9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23DF87DA" w14:textId="137CD33B"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665057">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37205ABD"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567" w:type="dxa"/>
            <w:tcBorders>
              <w:top w:val="single" w:sz="6" w:space="0" w:color="auto"/>
              <w:left w:val="single" w:sz="6" w:space="0" w:color="auto"/>
              <w:bottom w:val="single" w:sz="6" w:space="0" w:color="auto"/>
              <w:right w:val="single" w:sz="6" w:space="0" w:color="auto"/>
            </w:tcBorders>
          </w:tcPr>
          <w:p w14:paraId="1D7BAB4B" w14:textId="6F45DD4C"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4" w:type="dxa"/>
            <w:tcBorders>
              <w:top w:val="single" w:sz="6" w:space="0" w:color="auto"/>
              <w:left w:val="single" w:sz="6" w:space="0" w:color="auto"/>
              <w:bottom w:val="single" w:sz="6" w:space="0" w:color="auto"/>
              <w:right w:val="single" w:sz="6" w:space="0" w:color="auto"/>
            </w:tcBorders>
          </w:tcPr>
          <w:p w14:paraId="2C671591" w14:textId="775804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B333CC" w14:textId="3EE1CB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AD6BD9A" w14:textId="473E5F7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6" w:space="0" w:color="auto"/>
              <w:left w:val="single" w:sz="6" w:space="0" w:color="auto"/>
              <w:bottom w:val="single" w:sz="6" w:space="0" w:color="auto"/>
              <w:right w:val="single" w:sz="6" w:space="0" w:color="auto"/>
            </w:tcBorders>
          </w:tcPr>
          <w:p w14:paraId="5B348207" w14:textId="5594C4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86D3285" w14:textId="575370E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37C1FA" w14:textId="501BD8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5E67D3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853E96" w14:textId="3BD110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665057">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4"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4"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4"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4"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4"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4"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6" w:space="0" w:color="auto"/>
              <w:left w:val="single" w:sz="6" w:space="0" w:color="auto"/>
              <w:bottom w:val="single" w:sz="4"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4"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4"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4"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4"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4" w:space="0" w:color="auto"/>
              <w:left w:val="single" w:sz="4" w:space="0" w:color="auto"/>
              <w:bottom w:val="single" w:sz="4" w:space="0" w:color="auto"/>
              <w:right w:val="single" w:sz="4" w:space="0" w:color="auto"/>
            </w:tcBorders>
          </w:tcPr>
          <w:p w14:paraId="5F24ACA1" w14:textId="3EEAECE1"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0C436AC" w14:textId="57EE9373"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4" w:space="0" w:color="auto"/>
              <w:left w:val="single" w:sz="4" w:space="0" w:color="auto"/>
              <w:bottom w:val="single" w:sz="4" w:space="0" w:color="auto"/>
              <w:right w:val="single" w:sz="4"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7E9DC392" w14:textId="077BE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1C98D9F" w14:textId="347855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4C0846F6" w14:textId="1C51A5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617B70" w14:paraId="1D2BC9BA"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4" w:space="0" w:color="auto"/>
              <w:left w:val="single" w:sz="4" w:space="0" w:color="auto"/>
              <w:bottom w:val="single" w:sz="4" w:space="0" w:color="auto"/>
              <w:right w:val="single" w:sz="4" w:space="0" w:color="auto"/>
            </w:tcBorders>
          </w:tcPr>
          <w:p w14:paraId="6D0FCABF" w14:textId="558E3D9E" w:rsidR="001D165A" w:rsidRPr="005E2B1F"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4" w:space="0" w:color="auto"/>
              <w:left w:val="single" w:sz="4" w:space="0" w:color="auto"/>
              <w:bottom w:val="single" w:sz="4" w:space="0" w:color="auto"/>
              <w:right w:val="single" w:sz="4" w:space="0" w:color="auto"/>
            </w:tcBorders>
          </w:tcPr>
          <w:p w14:paraId="11E1E08A"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216FCCB3" w14:textId="769B7977" w:rsidR="001D165A" w:rsidRPr="005E2B1F"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567" w:type="dxa"/>
            <w:tcBorders>
              <w:top w:val="single" w:sz="4" w:space="0" w:color="auto"/>
              <w:left w:val="single" w:sz="4" w:space="0" w:color="auto"/>
              <w:bottom w:val="single" w:sz="4" w:space="0" w:color="auto"/>
              <w:right w:val="single" w:sz="4" w:space="0" w:color="auto"/>
            </w:tcBorders>
          </w:tcPr>
          <w:p w14:paraId="590CBC3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589CF42D" w14:textId="03F7D681"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185041A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59F3A5AB" w14:textId="6DD448C0"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27709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4B16C757" w14:textId="1CF0461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3EA2BE6"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7C974C0" w14:textId="76BE1BB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09A2E17D" w14:textId="7A27242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8B11E1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4DDC8CEF" w14:textId="0733F52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21177D3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366335F" w14:textId="4CDEB3FC"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4" w:space="0" w:color="auto"/>
              <w:left w:val="single" w:sz="4" w:space="0" w:color="auto"/>
              <w:bottom w:val="single" w:sz="4" w:space="0" w:color="auto"/>
              <w:right w:val="single" w:sz="4"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563F8A2D" w14:textId="22EC0C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67" w:type="dxa"/>
            <w:tcBorders>
              <w:top w:val="single" w:sz="4" w:space="0" w:color="auto"/>
              <w:left w:val="single" w:sz="4" w:space="0" w:color="auto"/>
              <w:bottom w:val="single" w:sz="4" w:space="0" w:color="auto"/>
              <w:right w:val="single" w:sz="4"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70B5930A" w14:textId="004645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4B2F61DB" w14:textId="7725CD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25E2374D" w14:textId="7ED58A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6CE6C4" w14:textId="5637CBFF" w:rsidR="001D165A" w:rsidRDefault="000A3B9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A3B99">
              <w:rPr>
                <w:sz w:val="20"/>
              </w:rPr>
              <w:t>Jesper Skalberg Karlsson</w:t>
            </w:r>
            <w:r w:rsidR="00961582">
              <w:rPr>
                <w:sz w:val="20"/>
              </w:rPr>
              <w:t xml:space="preserve"> </w:t>
            </w:r>
            <w:r w:rsidR="001D165A" w:rsidRPr="00D36206">
              <w:rPr>
                <w:sz w:val="20"/>
              </w:rPr>
              <w:t>(M)</w:t>
            </w:r>
          </w:p>
        </w:tc>
        <w:tc>
          <w:tcPr>
            <w:tcW w:w="449" w:type="dxa"/>
            <w:tcBorders>
              <w:top w:val="single" w:sz="4" w:space="0" w:color="auto"/>
              <w:left w:val="single" w:sz="4" w:space="0" w:color="auto"/>
              <w:bottom w:val="single" w:sz="4" w:space="0" w:color="auto"/>
              <w:right w:val="single" w:sz="4" w:space="0" w:color="auto"/>
            </w:tcBorders>
          </w:tcPr>
          <w:p w14:paraId="03DD9B83" w14:textId="16AB9F5E"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0D4FA10A" w14:textId="458FD080"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4" w:space="0" w:color="auto"/>
              <w:left w:val="single" w:sz="4" w:space="0" w:color="auto"/>
              <w:bottom w:val="single" w:sz="4" w:space="0" w:color="auto"/>
              <w:right w:val="single" w:sz="4"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750724A" w14:textId="12D792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4D34E95" w14:textId="54B730C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973B1CE" w14:textId="4A9075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4" w:space="0" w:color="auto"/>
              <w:left w:val="single" w:sz="4" w:space="0" w:color="auto"/>
              <w:bottom w:val="single" w:sz="4" w:space="0" w:color="auto"/>
              <w:right w:val="single" w:sz="4" w:space="0" w:color="auto"/>
            </w:tcBorders>
          </w:tcPr>
          <w:p w14:paraId="4CE452AC" w14:textId="510DA44D"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073920D" w14:textId="393EAB85"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4" w:space="0" w:color="auto"/>
              <w:left w:val="single" w:sz="4" w:space="0" w:color="auto"/>
              <w:bottom w:val="single" w:sz="4" w:space="0" w:color="auto"/>
              <w:right w:val="single" w:sz="4"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C32B0EC" w14:textId="6B8BF0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C4657E0" w14:textId="6C4C7C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CB8D627" w14:textId="785FCE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119454CF" w14:textId="6FE4F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72D56A63" w14:textId="01CB50B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416FA42" w14:textId="6F4D3E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7E4E4C8" w14:textId="56BB6C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8EC02F" w14:textId="6D7C37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4" w:space="0" w:color="auto"/>
              <w:left w:val="single" w:sz="4" w:space="0" w:color="auto"/>
              <w:bottom w:val="single" w:sz="4" w:space="0" w:color="auto"/>
              <w:right w:val="single" w:sz="4" w:space="0" w:color="auto"/>
            </w:tcBorders>
          </w:tcPr>
          <w:p w14:paraId="723B6279" w14:textId="66701F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7B0A1F0" w14:textId="7E9D2C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7B526917" w14:textId="3E03700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1D12B3F" w14:textId="337581D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5813955" w14:textId="30B1BC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4" w:space="0" w:color="auto"/>
              <w:left w:val="single" w:sz="4" w:space="0" w:color="auto"/>
              <w:bottom w:val="single" w:sz="4" w:space="0" w:color="auto"/>
              <w:right w:val="single" w:sz="4" w:space="0" w:color="auto"/>
            </w:tcBorders>
          </w:tcPr>
          <w:p w14:paraId="7F2A689D" w14:textId="1364FEEF"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27E68A7" w14:textId="3446F22C"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4" w:space="0" w:color="auto"/>
              <w:left w:val="single" w:sz="4" w:space="0" w:color="auto"/>
              <w:bottom w:val="single" w:sz="4" w:space="0" w:color="auto"/>
              <w:right w:val="single" w:sz="4"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1287A17" w14:textId="7238B1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390579A9" w14:textId="66BCC0A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7CA9A69" w14:textId="05DB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4" w:space="0" w:color="auto"/>
              <w:left w:val="single" w:sz="4" w:space="0" w:color="auto"/>
              <w:bottom w:val="single" w:sz="4" w:space="0" w:color="auto"/>
              <w:right w:val="single" w:sz="4" w:space="0" w:color="auto"/>
            </w:tcBorders>
          </w:tcPr>
          <w:p w14:paraId="37DC03D7" w14:textId="2494CBF3"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34" w:type="dxa"/>
            <w:gridSpan w:val="2"/>
            <w:tcBorders>
              <w:top w:val="single" w:sz="4" w:space="0" w:color="auto"/>
              <w:left w:val="single" w:sz="4" w:space="0" w:color="auto"/>
              <w:bottom w:val="single" w:sz="4" w:space="0" w:color="auto"/>
              <w:right w:val="single" w:sz="4"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24ADABE" w14:textId="20C54832"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4" w:space="0" w:color="auto"/>
              <w:left w:val="single" w:sz="4" w:space="0" w:color="auto"/>
              <w:bottom w:val="single" w:sz="4" w:space="0" w:color="auto"/>
              <w:right w:val="single" w:sz="4"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7EEBFCC9" w14:textId="31BF1F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27B14CD" w14:textId="3349D00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F4A1DDC" w14:textId="1FF15A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3AE85469" w14:textId="7B60FACC"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5A20467" w14:textId="4B6F6135"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4" w:space="0" w:color="auto"/>
              <w:left w:val="single" w:sz="4" w:space="0" w:color="auto"/>
              <w:bottom w:val="single" w:sz="4" w:space="0" w:color="auto"/>
              <w:right w:val="single" w:sz="4"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47829684" w14:textId="694B919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876264B" w14:textId="4B647E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B5BB87" w14:textId="26E6B4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4" w:space="0" w:color="auto"/>
              <w:left w:val="single" w:sz="4" w:space="0" w:color="auto"/>
              <w:bottom w:val="single" w:sz="4" w:space="0" w:color="auto"/>
              <w:right w:val="single" w:sz="4" w:space="0" w:color="auto"/>
            </w:tcBorders>
          </w:tcPr>
          <w:p w14:paraId="6FE2AD41" w14:textId="528255ED"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57AE0EB" w14:textId="0AF10D31"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4" w:space="0" w:color="auto"/>
              <w:left w:val="single" w:sz="4" w:space="0" w:color="auto"/>
              <w:bottom w:val="single" w:sz="4" w:space="0" w:color="auto"/>
              <w:right w:val="single" w:sz="4"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4E8CC899" w14:textId="762937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98CC2C8" w14:textId="46E9107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9CFC165" w14:textId="47971D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Borders>
              <w:top w:val="single" w:sz="4" w:space="0" w:color="auto"/>
              <w:left w:val="single" w:sz="4" w:space="0" w:color="auto"/>
              <w:bottom w:val="single" w:sz="4" w:space="0" w:color="auto"/>
              <w:right w:val="single" w:sz="4" w:space="0" w:color="auto"/>
            </w:tcBorders>
          </w:tcPr>
          <w:p w14:paraId="162330C2" w14:textId="6D273BA3"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8C8234" w14:textId="5C93C998"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4" w:space="0" w:color="auto"/>
              <w:left w:val="single" w:sz="4" w:space="0" w:color="auto"/>
              <w:bottom w:val="single" w:sz="4" w:space="0" w:color="auto"/>
              <w:right w:val="single" w:sz="4"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201B1D47" w14:textId="45F1C4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6F1FFF2" w14:textId="5F9A85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2C1D2BC" w14:textId="2F5BAFA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4" w:space="0" w:color="auto"/>
              <w:left w:val="single" w:sz="4" w:space="0" w:color="auto"/>
              <w:bottom w:val="single" w:sz="4" w:space="0" w:color="auto"/>
              <w:right w:val="single" w:sz="4" w:space="0" w:color="auto"/>
            </w:tcBorders>
          </w:tcPr>
          <w:p w14:paraId="3506A5F9" w14:textId="1527D48D"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35F66BE" w14:textId="2CA9C049"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4" w:space="0" w:color="auto"/>
              <w:left w:val="single" w:sz="4" w:space="0" w:color="auto"/>
              <w:bottom w:val="single" w:sz="4" w:space="0" w:color="auto"/>
              <w:right w:val="single" w:sz="4"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53FD303B" w14:textId="48EA2B7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AA41324" w14:textId="32718A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2157091A" w14:textId="2519A23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4" w:space="0" w:color="auto"/>
              <w:left w:val="single" w:sz="4" w:space="0" w:color="auto"/>
              <w:bottom w:val="single" w:sz="4" w:space="0" w:color="auto"/>
              <w:right w:val="single" w:sz="4" w:space="0" w:color="auto"/>
            </w:tcBorders>
          </w:tcPr>
          <w:p w14:paraId="7F8A02B2" w14:textId="3411F446"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63146BE0" w14:textId="074271DC"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4" w:space="0" w:color="auto"/>
              <w:left w:val="single" w:sz="4" w:space="0" w:color="auto"/>
              <w:bottom w:val="single" w:sz="4" w:space="0" w:color="auto"/>
              <w:right w:val="single" w:sz="4"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5CEC422" w14:textId="37D286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7D3EE0D" w14:textId="1F666F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Johnny Svedin</w:t>
            </w:r>
            <w:r w:rsidR="001D165A" w:rsidRPr="00D36206">
              <w:rPr>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7CA30006" w14:textId="2FD4ED1C"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0306767" w14:textId="1B16C763"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4" w:space="0" w:color="auto"/>
              <w:left w:val="single" w:sz="4" w:space="0" w:color="auto"/>
              <w:bottom w:val="single" w:sz="4" w:space="0" w:color="auto"/>
              <w:right w:val="single" w:sz="4"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31C6FB2" w14:textId="66FAA1E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F457081" w14:textId="3668A12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B606DE8" w14:textId="2FAB30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Katarina Luhr</w:t>
            </w:r>
            <w:r w:rsidR="001F51AE">
              <w:rPr>
                <w:sz w:val="20"/>
              </w:rPr>
              <w:t xml:space="preserve"> </w:t>
            </w:r>
            <w:r w:rsidR="001D165A">
              <w:rPr>
                <w:sz w:val="20"/>
              </w:rPr>
              <w:t>(MP)</w:t>
            </w:r>
          </w:p>
        </w:tc>
        <w:tc>
          <w:tcPr>
            <w:tcW w:w="449" w:type="dxa"/>
            <w:tcBorders>
              <w:top w:val="single" w:sz="4" w:space="0" w:color="auto"/>
              <w:left w:val="single" w:sz="4" w:space="0" w:color="auto"/>
              <w:bottom w:val="single" w:sz="4" w:space="0" w:color="auto"/>
              <w:right w:val="single" w:sz="4" w:space="0" w:color="auto"/>
            </w:tcBorders>
          </w:tcPr>
          <w:p w14:paraId="25A2B47F" w14:textId="1699102F"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7ED43B6" w14:textId="53EBD8DC"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4" w:space="0" w:color="auto"/>
              <w:left w:val="single" w:sz="4" w:space="0" w:color="auto"/>
              <w:bottom w:val="single" w:sz="4" w:space="0" w:color="auto"/>
              <w:right w:val="single" w:sz="4"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B1D0955" w14:textId="2A22C8D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4A1001F" w14:textId="1F520F5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55360CA" w14:textId="2A988F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4" w:space="0" w:color="auto"/>
              <w:left w:val="single" w:sz="4" w:space="0" w:color="auto"/>
              <w:bottom w:val="single" w:sz="4" w:space="0" w:color="auto"/>
              <w:right w:val="single" w:sz="4" w:space="0" w:color="auto"/>
            </w:tcBorders>
          </w:tcPr>
          <w:p w14:paraId="25A2BC52" w14:textId="090E99B8"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EE2E086" w14:textId="19EB5D18"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4" w:space="0" w:color="auto"/>
              <w:left w:val="single" w:sz="4" w:space="0" w:color="auto"/>
              <w:bottom w:val="single" w:sz="4" w:space="0" w:color="auto"/>
              <w:right w:val="single" w:sz="4"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4E2448C" w14:textId="02F4DC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7D0EEB4" w14:textId="1799D1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6F94A19" w14:textId="15137A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4" w:space="0" w:color="auto"/>
              <w:left w:val="single" w:sz="4" w:space="0" w:color="auto"/>
              <w:bottom w:val="single" w:sz="4" w:space="0" w:color="auto"/>
              <w:right w:val="single" w:sz="4" w:space="0" w:color="auto"/>
            </w:tcBorders>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Borders>
              <w:top w:val="single" w:sz="4" w:space="0" w:color="auto"/>
              <w:left w:val="single" w:sz="4" w:space="0" w:color="auto"/>
              <w:bottom w:val="single" w:sz="4" w:space="0" w:color="auto"/>
              <w:right w:val="single" w:sz="4" w:space="0" w:color="auto"/>
            </w:tcBorders>
          </w:tcPr>
          <w:p w14:paraId="2A49C47D" w14:textId="102BD5A1"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4" w:space="0" w:color="auto"/>
              <w:left w:val="single" w:sz="4" w:space="0" w:color="auto"/>
              <w:bottom w:val="single" w:sz="4" w:space="0" w:color="auto"/>
              <w:right w:val="single" w:sz="4"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AE7D274" w14:textId="755F2E25"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567" w:type="dxa"/>
            <w:tcBorders>
              <w:top w:val="single" w:sz="4" w:space="0" w:color="auto"/>
              <w:left w:val="single" w:sz="4" w:space="0" w:color="auto"/>
              <w:bottom w:val="single" w:sz="4" w:space="0" w:color="auto"/>
              <w:right w:val="single" w:sz="4"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CE12A0" w14:textId="118A8C7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E7F2F79" w14:textId="0410BF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4" w:space="0" w:color="auto"/>
              <w:left w:val="single" w:sz="4" w:space="0" w:color="auto"/>
              <w:bottom w:val="single" w:sz="4" w:space="0" w:color="auto"/>
              <w:right w:val="single" w:sz="4" w:space="0" w:color="auto"/>
            </w:tcBorders>
          </w:tcPr>
          <w:p w14:paraId="202D0A56" w14:textId="7CAF3449"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C50DBAB" w14:textId="5F7A25C5"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67" w:type="dxa"/>
            <w:tcBorders>
              <w:top w:val="single" w:sz="4" w:space="0" w:color="auto"/>
              <w:left w:val="single" w:sz="4" w:space="0" w:color="auto"/>
              <w:bottom w:val="single" w:sz="4" w:space="0" w:color="auto"/>
              <w:right w:val="single" w:sz="4"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97AAB3" w14:textId="1278A0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BC7F996" w14:textId="6DA5F3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CDD2EF7" w14:textId="459AEB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617B70" w14:paraId="2A0CF4BE"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Borders>
              <w:top w:val="single" w:sz="4" w:space="0" w:color="auto"/>
              <w:left w:val="single" w:sz="4" w:space="0" w:color="auto"/>
              <w:bottom w:val="single" w:sz="4" w:space="0" w:color="auto"/>
              <w:right w:val="single" w:sz="4" w:space="0" w:color="auto"/>
            </w:tcBorders>
          </w:tcPr>
          <w:p w14:paraId="7EF91ABC" w14:textId="6875DA90" w:rsidR="001D165A" w:rsidRPr="00F8082F"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34" w:type="dxa"/>
            <w:gridSpan w:val="2"/>
            <w:tcBorders>
              <w:top w:val="single" w:sz="4" w:space="0" w:color="auto"/>
              <w:left w:val="single" w:sz="4" w:space="0" w:color="auto"/>
              <w:bottom w:val="single" w:sz="4" w:space="0" w:color="auto"/>
              <w:right w:val="single" w:sz="4"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4" w:space="0" w:color="auto"/>
              <w:left w:val="single" w:sz="4" w:space="0" w:color="auto"/>
              <w:bottom w:val="single" w:sz="4" w:space="0" w:color="auto"/>
              <w:right w:val="single" w:sz="4" w:space="0" w:color="auto"/>
            </w:tcBorders>
          </w:tcPr>
          <w:p w14:paraId="16B1D73F" w14:textId="6C07D8CC" w:rsidR="001D165A" w:rsidRPr="00F8082F"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567" w:type="dxa"/>
            <w:tcBorders>
              <w:top w:val="single" w:sz="4" w:space="0" w:color="auto"/>
              <w:left w:val="single" w:sz="4" w:space="0" w:color="auto"/>
              <w:bottom w:val="single" w:sz="4" w:space="0" w:color="auto"/>
              <w:right w:val="single" w:sz="4"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4" w:space="0" w:color="auto"/>
              <w:left w:val="single" w:sz="4" w:space="0" w:color="auto"/>
              <w:bottom w:val="single" w:sz="4" w:space="0" w:color="auto"/>
              <w:right w:val="single" w:sz="4" w:space="0" w:color="auto"/>
            </w:tcBorders>
          </w:tcPr>
          <w:p w14:paraId="45EE1583" w14:textId="66178BDE"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4" w:space="0" w:color="auto"/>
              <w:left w:val="single" w:sz="4" w:space="0" w:color="auto"/>
              <w:bottom w:val="single" w:sz="4" w:space="0" w:color="auto"/>
              <w:right w:val="single" w:sz="4" w:space="0" w:color="auto"/>
            </w:tcBorders>
          </w:tcPr>
          <w:p w14:paraId="2092DA06" w14:textId="7D0F42EF"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4" w:type="dxa"/>
            <w:tcBorders>
              <w:top w:val="single" w:sz="4" w:space="0" w:color="auto"/>
              <w:left w:val="single" w:sz="4" w:space="0" w:color="auto"/>
              <w:bottom w:val="single" w:sz="4" w:space="0" w:color="auto"/>
              <w:right w:val="single" w:sz="4"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4" w:space="0" w:color="auto"/>
              <w:left w:val="single" w:sz="4" w:space="0" w:color="auto"/>
              <w:bottom w:val="single" w:sz="4" w:space="0" w:color="auto"/>
              <w:right w:val="single" w:sz="4" w:space="0" w:color="auto"/>
            </w:tcBorders>
          </w:tcPr>
          <w:p w14:paraId="19D4C925" w14:textId="33A8C7B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4" w:space="0" w:color="auto"/>
              <w:left w:val="single" w:sz="4" w:space="0" w:color="auto"/>
              <w:bottom w:val="single" w:sz="4" w:space="0" w:color="auto"/>
              <w:right w:val="single" w:sz="4" w:space="0" w:color="auto"/>
            </w:tcBorders>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4" w:space="0" w:color="auto"/>
              <w:left w:val="single" w:sz="4" w:space="0" w:color="auto"/>
              <w:bottom w:val="single" w:sz="4" w:space="0" w:color="auto"/>
              <w:right w:val="single" w:sz="4"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4" w:space="0" w:color="auto"/>
              <w:left w:val="single" w:sz="4" w:space="0" w:color="auto"/>
              <w:bottom w:val="single" w:sz="4" w:space="0" w:color="auto"/>
              <w:right w:val="single" w:sz="4"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4" w:space="0" w:color="auto"/>
              <w:left w:val="single" w:sz="4" w:space="0" w:color="auto"/>
              <w:bottom w:val="single" w:sz="4" w:space="0" w:color="auto"/>
              <w:right w:val="single" w:sz="4" w:space="0" w:color="auto"/>
            </w:tcBorders>
          </w:tcPr>
          <w:p w14:paraId="3B253F8A" w14:textId="42CE1D7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DD5EA8A" w14:textId="4FD1E8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2A91B1C" w14:textId="784C90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4" w:space="0" w:color="auto"/>
              <w:left w:val="single" w:sz="4" w:space="0" w:color="auto"/>
              <w:bottom w:val="single" w:sz="4" w:space="0" w:color="auto"/>
              <w:right w:val="single" w:sz="4" w:space="0" w:color="auto"/>
            </w:tcBorders>
          </w:tcPr>
          <w:p w14:paraId="0A695F37" w14:textId="19A13C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42557C8" w14:textId="41EF6FC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4" w:space="0" w:color="auto"/>
              <w:left w:val="single" w:sz="4" w:space="0" w:color="auto"/>
              <w:bottom w:val="single" w:sz="4" w:space="0" w:color="auto"/>
              <w:right w:val="single" w:sz="4"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67" w:type="dxa"/>
            <w:tcBorders>
              <w:top w:val="single" w:sz="4" w:space="0" w:color="auto"/>
              <w:left w:val="single" w:sz="4" w:space="0" w:color="auto"/>
              <w:bottom w:val="single" w:sz="4" w:space="0" w:color="auto"/>
              <w:right w:val="single" w:sz="4"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4" w:space="0" w:color="auto"/>
              <w:left w:val="single" w:sz="4" w:space="0" w:color="auto"/>
              <w:bottom w:val="single" w:sz="4" w:space="0" w:color="auto"/>
              <w:right w:val="single" w:sz="4"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67" w:type="dxa"/>
            <w:tcBorders>
              <w:top w:val="single" w:sz="4" w:space="0" w:color="auto"/>
              <w:left w:val="single" w:sz="4" w:space="0" w:color="auto"/>
              <w:bottom w:val="single" w:sz="4" w:space="0" w:color="auto"/>
              <w:right w:val="single" w:sz="4"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67" w:type="dxa"/>
            <w:tcBorders>
              <w:top w:val="single" w:sz="4" w:space="0" w:color="auto"/>
              <w:left w:val="single" w:sz="4" w:space="0" w:color="auto"/>
              <w:bottom w:val="single" w:sz="4" w:space="0" w:color="auto"/>
              <w:right w:val="single" w:sz="4"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48EEBC2" w14:textId="41B650DD" w:rsidR="001D165A" w:rsidRDefault="000C73D0" w:rsidP="00FD0762">
            <w:pPr>
              <w:tabs>
                <w:tab w:val="left" w:pos="1985"/>
              </w:tabs>
              <w:rPr>
                <w:snapToGrid w:val="0"/>
                <w:color w:val="000000"/>
                <w:sz w:val="20"/>
              </w:rPr>
            </w:pPr>
            <w:r>
              <w:rPr>
                <w:snapToGrid w:val="0"/>
                <w:color w:val="000000"/>
                <w:sz w:val="20"/>
              </w:rPr>
              <w:t xml:space="preserve">Håkan </w:t>
            </w:r>
            <w:proofErr w:type="spellStart"/>
            <w:r>
              <w:rPr>
                <w:snapToGrid w:val="0"/>
                <w:color w:val="000000"/>
                <w:sz w:val="20"/>
              </w:rPr>
              <w:t>Svenneling</w:t>
            </w:r>
            <w:proofErr w:type="spellEnd"/>
            <w:r w:rsidR="001D165A" w:rsidRPr="005C4C7B">
              <w:rPr>
                <w:snapToGrid w:val="0"/>
                <w:color w:val="000000"/>
                <w:sz w:val="20"/>
              </w:rPr>
              <w:t xml:space="preserve"> (V)</w:t>
            </w:r>
          </w:p>
        </w:tc>
        <w:tc>
          <w:tcPr>
            <w:tcW w:w="449" w:type="dxa"/>
            <w:tcBorders>
              <w:top w:val="single" w:sz="4" w:space="0" w:color="auto"/>
              <w:left w:val="single" w:sz="4" w:space="0" w:color="auto"/>
              <w:bottom w:val="single" w:sz="4" w:space="0" w:color="auto"/>
              <w:right w:val="single" w:sz="4" w:space="0" w:color="auto"/>
            </w:tcBorders>
          </w:tcPr>
          <w:p w14:paraId="39F75129" w14:textId="4120DE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B7CBFF1" w14:textId="3A2EBD4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228019C" w14:textId="07EA2E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92BF33" w14:textId="128EB6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4" w:space="0" w:color="auto"/>
              <w:left w:val="single" w:sz="4" w:space="0" w:color="auto"/>
              <w:bottom w:val="single" w:sz="4" w:space="0" w:color="auto"/>
              <w:right w:val="single" w:sz="4" w:space="0" w:color="auto"/>
            </w:tcBorders>
          </w:tcPr>
          <w:p w14:paraId="736FB1DE" w14:textId="0C4EC4DF"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4" w:space="0" w:color="auto"/>
              <w:left w:val="single" w:sz="4" w:space="0" w:color="auto"/>
              <w:bottom w:val="single" w:sz="4" w:space="0" w:color="auto"/>
              <w:right w:val="single" w:sz="4"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EE0BC0B" w14:textId="0414E8F9" w:rsidR="001D165A"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567" w:type="dxa"/>
            <w:tcBorders>
              <w:top w:val="single" w:sz="4" w:space="0" w:color="auto"/>
              <w:left w:val="single" w:sz="4" w:space="0" w:color="auto"/>
              <w:bottom w:val="single" w:sz="4" w:space="0" w:color="auto"/>
              <w:right w:val="single" w:sz="4"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A7DF282" w14:textId="6C08A5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DE72812" w14:textId="15FED39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E5827E5" w14:textId="5743D4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4" w:space="0" w:color="auto"/>
              <w:left w:val="single" w:sz="4" w:space="0" w:color="auto"/>
              <w:bottom w:val="single" w:sz="4" w:space="0" w:color="auto"/>
              <w:right w:val="single" w:sz="4" w:space="0" w:color="auto"/>
            </w:tcBorders>
          </w:tcPr>
          <w:p w14:paraId="0CE1085D" w14:textId="2C9D47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3111289" w14:textId="373ADC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7B55B5F" w14:textId="359F318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4F5E3BF" w14:textId="59605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E71B3D6" w14:textId="4E1A13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Linus Lakso (MP)</w:t>
            </w:r>
          </w:p>
        </w:tc>
        <w:tc>
          <w:tcPr>
            <w:tcW w:w="449" w:type="dxa"/>
            <w:tcBorders>
              <w:top w:val="single" w:sz="4" w:space="0" w:color="auto"/>
              <w:left w:val="single" w:sz="4" w:space="0" w:color="auto"/>
              <w:bottom w:val="single" w:sz="4" w:space="0" w:color="auto"/>
              <w:right w:val="single" w:sz="4" w:space="0" w:color="auto"/>
            </w:tcBorders>
          </w:tcPr>
          <w:p w14:paraId="4D439C68" w14:textId="4C96E5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767DB16" w14:textId="4A5F7E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7606572" w14:textId="5FAD9F2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A5F84DF" w14:textId="466304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Borders>
              <w:top w:val="single" w:sz="4" w:space="0" w:color="auto"/>
              <w:left w:val="single" w:sz="4" w:space="0" w:color="auto"/>
              <w:bottom w:val="single" w:sz="4" w:space="0" w:color="auto"/>
              <w:right w:val="single" w:sz="4" w:space="0" w:color="auto"/>
            </w:tcBorders>
          </w:tcPr>
          <w:p w14:paraId="064EAEAF" w14:textId="44E34A78" w:rsidR="004E1691"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4" w:space="0" w:color="auto"/>
              <w:left w:val="single" w:sz="4" w:space="0" w:color="auto"/>
              <w:bottom w:val="single" w:sz="4" w:space="0" w:color="auto"/>
              <w:right w:val="single" w:sz="4" w:space="0" w:color="auto"/>
            </w:tcBorders>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C0216DF" w14:textId="313A4A6F" w:rsidR="004E1691"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567" w:type="dxa"/>
            <w:tcBorders>
              <w:top w:val="single" w:sz="4" w:space="0" w:color="auto"/>
              <w:left w:val="single" w:sz="4" w:space="0" w:color="auto"/>
              <w:bottom w:val="single" w:sz="4" w:space="0" w:color="auto"/>
              <w:right w:val="single" w:sz="4" w:space="0" w:color="auto"/>
            </w:tcBorders>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68609F3" w14:textId="5E7659B5"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95B19C4" w14:textId="1A558906"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4" w:space="0" w:color="auto"/>
              <w:left w:val="single" w:sz="4" w:space="0" w:color="auto"/>
              <w:bottom w:val="single" w:sz="4" w:space="0" w:color="auto"/>
              <w:right w:val="single" w:sz="4"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4" w:space="0" w:color="auto"/>
              <w:left w:val="single" w:sz="4" w:space="0" w:color="auto"/>
              <w:bottom w:val="single" w:sz="4" w:space="0" w:color="auto"/>
              <w:right w:val="single" w:sz="4" w:space="0" w:color="auto"/>
            </w:tcBorders>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73D0" w14:paraId="4EDA188F"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FC282DE" w14:textId="4695CE03" w:rsidR="000C73D0" w:rsidRPr="007E2968" w:rsidRDefault="000C73D0" w:rsidP="00FD0762">
            <w:pPr>
              <w:rPr>
                <w:sz w:val="20"/>
              </w:rPr>
            </w:pPr>
            <w:r>
              <w:rPr>
                <w:sz w:val="20"/>
              </w:rPr>
              <w:t xml:space="preserve">Samuel </w:t>
            </w:r>
            <w:r w:rsidRPr="000C73D0">
              <w:rPr>
                <w:sz w:val="20"/>
              </w:rPr>
              <w:t>Gonzalez Westling</w:t>
            </w:r>
            <w:r>
              <w:rPr>
                <w:sz w:val="20"/>
              </w:rPr>
              <w:t xml:space="preserve"> (V)</w:t>
            </w:r>
          </w:p>
        </w:tc>
        <w:tc>
          <w:tcPr>
            <w:tcW w:w="449" w:type="dxa"/>
            <w:tcBorders>
              <w:top w:val="single" w:sz="4" w:space="0" w:color="auto"/>
              <w:left w:val="single" w:sz="4" w:space="0" w:color="auto"/>
              <w:bottom w:val="single" w:sz="4" w:space="0" w:color="auto"/>
              <w:right w:val="single" w:sz="4" w:space="0" w:color="auto"/>
            </w:tcBorders>
          </w:tcPr>
          <w:p w14:paraId="54235CFB"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BB2FD52"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CAD2175"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28E96A49"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D9F31C3"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F44C500"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C4695E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AF26191"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F95C18F"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F2F422B"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30A66C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116B7F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9D45D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F8E3122"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CFFDD51"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4" w:space="0" w:color="auto"/>
              <w:left w:val="single" w:sz="4" w:space="0" w:color="auto"/>
              <w:bottom w:val="single" w:sz="4" w:space="0" w:color="auto"/>
              <w:right w:val="single" w:sz="4" w:space="0" w:color="auto"/>
            </w:tcBorders>
          </w:tcPr>
          <w:p w14:paraId="29DC2FBA" w14:textId="129887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2114866" w14:textId="333BA7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4" w:space="0" w:color="auto"/>
              <w:left w:val="single" w:sz="4" w:space="0" w:color="auto"/>
              <w:bottom w:val="single" w:sz="4" w:space="0" w:color="auto"/>
              <w:right w:val="single" w:sz="4"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4" w:space="0" w:color="auto"/>
              <w:left w:val="single" w:sz="4" w:space="0" w:color="auto"/>
              <w:bottom w:val="single" w:sz="4" w:space="0" w:color="auto"/>
              <w:right w:val="single" w:sz="4"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4" w:space="0" w:color="auto"/>
              <w:left w:val="single" w:sz="4" w:space="0" w:color="auto"/>
              <w:bottom w:val="single" w:sz="4" w:space="0" w:color="auto"/>
              <w:right w:val="single" w:sz="4" w:space="0" w:color="auto"/>
            </w:tcBorders>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D451E6" w14:textId="6E0A43E2" w:rsidR="001D165A" w:rsidRPr="007E2968" w:rsidRDefault="00D75546" w:rsidP="00FD0762">
            <w:pPr>
              <w:rPr>
                <w:sz w:val="20"/>
              </w:rPr>
            </w:pPr>
            <w:r w:rsidRPr="00D75546">
              <w:rPr>
                <w:sz w:val="20"/>
              </w:rPr>
              <w:t>Amanda Palmstierna</w:t>
            </w:r>
            <w:r>
              <w:rPr>
                <w:sz w:val="20"/>
              </w:rPr>
              <w:t xml:space="preserve"> </w:t>
            </w:r>
            <w:r w:rsidR="001D165A" w:rsidRPr="007E2968">
              <w:rPr>
                <w:sz w:val="20"/>
              </w:rPr>
              <w:t>(MP)</w:t>
            </w:r>
          </w:p>
        </w:tc>
        <w:tc>
          <w:tcPr>
            <w:tcW w:w="449" w:type="dxa"/>
            <w:tcBorders>
              <w:top w:val="single" w:sz="4" w:space="0" w:color="auto"/>
              <w:left w:val="single" w:sz="4" w:space="0" w:color="auto"/>
              <w:bottom w:val="single" w:sz="4" w:space="0" w:color="auto"/>
              <w:right w:val="single" w:sz="4" w:space="0" w:color="auto"/>
            </w:tcBorders>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6D8B8D" w14:textId="31715DB1" w:rsidR="001D165A" w:rsidRPr="007E2968" w:rsidRDefault="00246B5F" w:rsidP="00FD0762">
            <w:pPr>
              <w:rPr>
                <w:sz w:val="20"/>
              </w:rPr>
            </w:pPr>
            <w:r>
              <w:rPr>
                <w:sz w:val="20"/>
              </w:rPr>
              <w:t>Mats Persson (L)</w:t>
            </w:r>
          </w:p>
        </w:tc>
        <w:tc>
          <w:tcPr>
            <w:tcW w:w="449" w:type="dxa"/>
            <w:tcBorders>
              <w:top w:val="single" w:sz="4" w:space="0" w:color="auto"/>
              <w:left w:val="single" w:sz="4" w:space="0" w:color="auto"/>
              <w:bottom w:val="single" w:sz="4" w:space="0" w:color="auto"/>
              <w:right w:val="single" w:sz="4"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4" w:space="0" w:color="auto"/>
              <w:left w:val="single" w:sz="4" w:space="0" w:color="auto"/>
              <w:bottom w:val="single" w:sz="4" w:space="0" w:color="auto"/>
              <w:right w:val="single" w:sz="4" w:space="0" w:color="auto"/>
            </w:tcBorders>
          </w:tcPr>
          <w:p w14:paraId="23BEBE75" w14:textId="604819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73D0" w14:paraId="6BE77BFF" w14:textId="77777777" w:rsidTr="00665057">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B1F06D4" w14:textId="1DAA0829" w:rsidR="000C73D0" w:rsidRDefault="000C73D0" w:rsidP="00FD0762">
            <w:pPr>
              <w:rPr>
                <w:sz w:val="20"/>
              </w:rPr>
            </w:pPr>
            <w:r>
              <w:rPr>
                <w:sz w:val="20"/>
              </w:rPr>
              <w:t xml:space="preserve">Anette </w:t>
            </w:r>
            <w:proofErr w:type="spellStart"/>
            <w:r>
              <w:rPr>
                <w:sz w:val="20"/>
              </w:rPr>
              <w:t>Rangdag</w:t>
            </w:r>
            <w:proofErr w:type="spellEnd"/>
            <w:r>
              <w:rPr>
                <w:sz w:val="20"/>
              </w:rPr>
              <w:t xml:space="preserve"> (SD)</w:t>
            </w:r>
          </w:p>
        </w:tc>
        <w:tc>
          <w:tcPr>
            <w:tcW w:w="449" w:type="dxa"/>
            <w:tcBorders>
              <w:top w:val="single" w:sz="4" w:space="0" w:color="auto"/>
              <w:left w:val="single" w:sz="4" w:space="0" w:color="auto"/>
              <w:bottom w:val="single" w:sz="4" w:space="0" w:color="auto"/>
              <w:right w:val="single" w:sz="4" w:space="0" w:color="auto"/>
            </w:tcBorders>
          </w:tcPr>
          <w:p w14:paraId="7055FA09" w14:textId="5EACC4EB" w:rsidR="000C73D0"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2D661FA2"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1D86723" w14:textId="24466416" w:rsidR="000C73D0" w:rsidRDefault="0066505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67" w:type="dxa"/>
            <w:tcBorders>
              <w:top w:val="single" w:sz="4" w:space="0" w:color="auto"/>
              <w:left w:val="single" w:sz="4" w:space="0" w:color="auto"/>
              <w:bottom w:val="single" w:sz="4" w:space="0" w:color="auto"/>
              <w:right w:val="single" w:sz="4" w:space="0" w:color="auto"/>
            </w:tcBorders>
          </w:tcPr>
          <w:p w14:paraId="25F98907"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10A86D0"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BE2DF63"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9A09C54"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19A014E"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C30EF6B"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C5DACDE"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0BDA80C"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6E4C7A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D004F"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30917C9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866696E"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90B2574" w:rsidR="00655DB0" w:rsidRDefault="00655DB0" w:rsidP="00F736F1"/>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209A" w14:textId="77777777" w:rsidR="00525DC6" w:rsidRDefault="00525DC6" w:rsidP="002130F1">
      <w:r>
        <w:separator/>
      </w:r>
    </w:p>
  </w:endnote>
  <w:endnote w:type="continuationSeparator" w:id="0">
    <w:p w14:paraId="67DF2484" w14:textId="77777777" w:rsidR="00525DC6" w:rsidRDefault="00525DC6"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3613" w14:textId="77777777" w:rsidR="00525DC6" w:rsidRDefault="00525DC6" w:rsidP="002130F1">
      <w:r>
        <w:separator/>
      </w:r>
    </w:p>
  </w:footnote>
  <w:footnote w:type="continuationSeparator" w:id="0">
    <w:p w14:paraId="3376F10E" w14:textId="77777777" w:rsidR="00525DC6" w:rsidRDefault="00525DC6"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1E1B08"/>
    <w:multiLevelType w:val="hybridMultilevel"/>
    <w:tmpl w:val="909A10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BE1064"/>
    <w:multiLevelType w:val="hybridMultilevel"/>
    <w:tmpl w:val="2BBC0F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EC021A"/>
    <w:multiLevelType w:val="hybridMultilevel"/>
    <w:tmpl w:val="E0628D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4"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F434A0"/>
    <w:multiLevelType w:val="hybridMultilevel"/>
    <w:tmpl w:val="B75826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3"/>
  </w:num>
  <w:num w:numId="5">
    <w:abstractNumId w:val="3"/>
  </w:num>
  <w:num w:numId="6">
    <w:abstractNumId w:val="5"/>
  </w:num>
  <w:num w:numId="7">
    <w:abstractNumId w:val="1"/>
  </w:num>
  <w:num w:numId="8">
    <w:abstractNumId w:val="18"/>
  </w:num>
  <w:num w:numId="9">
    <w:abstractNumId w:val="20"/>
  </w:num>
  <w:num w:numId="10">
    <w:abstractNumId w:val="15"/>
  </w:num>
  <w:num w:numId="11">
    <w:abstractNumId w:val="11"/>
  </w:num>
  <w:num w:numId="12">
    <w:abstractNumId w:val="6"/>
  </w:num>
  <w:num w:numId="13">
    <w:abstractNumId w:val="16"/>
  </w:num>
  <w:num w:numId="14">
    <w:abstractNumId w:val="7"/>
  </w:num>
  <w:num w:numId="15">
    <w:abstractNumId w:val="8"/>
  </w:num>
  <w:num w:numId="16">
    <w:abstractNumId w:val="17"/>
  </w:num>
  <w:num w:numId="17">
    <w:abstractNumId w:val="14"/>
  </w:num>
  <w:num w:numId="18">
    <w:abstractNumId w:val="2"/>
  </w:num>
  <w:num w:numId="19">
    <w:abstractNumId w:val="4"/>
  </w:num>
  <w:num w:numId="20">
    <w:abstractNumId w:val="19"/>
  </w:num>
  <w:num w:numId="2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425"/>
    <w:rsid w:val="00030510"/>
    <w:rsid w:val="000305E7"/>
    <w:rsid w:val="00030B7F"/>
    <w:rsid w:val="00031133"/>
    <w:rsid w:val="000319C2"/>
    <w:rsid w:val="00032D19"/>
    <w:rsid w:val="0003355B"/>
    <w:rsid w:val="0003414D"/>
    <w:rsid w:val="0003427E"/>
    <w:rsid w:val="00035407"/>
    <w:rsid w:val="00036024"/>
    <w:rsid w:val="0003709C"/>
    <w:rsid w:val="000401E7"/>
    <w:rsid w:val="00040301"/>
    <w:rsid w:val="00041F79"/>
    <w:rsid w:val="00042475"/>
    <w:rsid w:val="000424DB"/>
    <w:rsid w:val="000427D7"/>
    <w:rsid w:val="00043B99"/>
    <w:rsid w:val="00043F21"/>
    <w:rsid w:val="000442DA"/>
    <w:rsid w:val="00044E80"/>
    <w:rsid w:val="00044F5A"/>
    <w:rsid w:val="000451FD"/>
    <w:rsid w:val="00045281"/>
    <w:rsid w:val="00045A8A"/>
    <w:rsid w:val="00050A20"/>
    <w:rsid w:val="00052598"/>
    <w:rsid w:val="00052937"/>
    <w:rsid w:val="00053421"/>
    <w:rsid w:val="000536D9"/>
    <w:rsid w:val="00053BE5"/>
    <w:rsid w:val="0005439B"/>
    <w:rsid w:val="00054831"/>
    <w:rsid w:val="0005545D"/>
    <w:rsid w:val="0005582F"/>
    <w:rsid w:val="000564A8"/>
    <w:rsid w:val="000569AB"/>
    <w:rsid w:val="00056A67"/>
    <w:rsid w:val="00060380"/>
    <w:rsid w:val="00061C55"/>
    <w:rsid w:val="0006202F"/>
    <w:rsid w:val="0006613C"/>
    <w:rsid w:val="00067059"/>
    <w:rsid w:val="00067448"/>
    <w:rsid w:val="0006776E"/>
    <w:rsid w:val="00067A33"/>
    <w:rsid w:val="000715BD"/>
    <w:rsid w:val="00071EB9"/>
    <w:rsid w:val="000726F3"/>
    <w:rsid w:val="00072C99"/>
    <w:rsid w:val="00073238"/>
    <w:rsid w:val="00073624"/>
    <w:rsid w:val="00075E21"/>
    <w:rsid w:val="00075E59"/>
    <w:rsid w:val="00076756"/>
    <w:rsid w:val="00080A73"/>
    <w:rsid w:val="00080E7B"/>
    <w:rsid w:val="000816C5"/>
    <w:rsid w:val="00081A05"/>
    <w:rsid w:val="00083B5C"/>
    <w:rsid w:val="00084198"/>
    <w:rsid w:val="00084B36"/>
    <w:rsid w:val="00085A2B"/>
    <w:rsid w:val="000861A8"/>
    <w:rsid w:val="0008637D"/>
    <w:rsid w:val="00087E93"/>
    <w:rsid w:val="000915AB"/>
    <w:rsid w:val="00092337"/>
    <w:rsid w:val="00093F5C"/>
    <w:rsid w:val="000941E8"/>
    <w:rsid w:val="0009483B"/>
    <w:rsid w:val="00094A63"/>
    <w:rsid w:val="00096F01"/>
    <w:rsid w:val="000A052E"/>
    <w:rsid w:val="000A094B"/>
    <w:rsid w:val="000A129A"/>
    <w:rsid w:val="000A13C3"/>
    <w:rsid w:val="000A200A"/>
    <w:rsid w:val="000A2CE1"/>
    <w:rsid w:val="000A3B99"/>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20E"/>
    <w:rsid w:val="000C3B08"/>
    <w:rsid w:val="000C6059"/>
    <w:rsid w:val="000C711E"/>
    <w:rsid w:val="000C73D0"/>
    <w:rsid w:val="000D056D"/>
    <w:rsid w:val="000D0B7A"/>
    <w:rsid w:val="000D2228"/>
    <w:rsid w:val="000D2552"/>
    <w:rsid w:val="000D2A40"/>
    <w:rsid w:val="000D2E98"/>
    <w:rsid w:val="000D3377"/>
    <w:rsid w:val="000D40B2"/>
    <w:rsid w:val="000D4BDB"/>
    <w:rsid w:val="000D6392"/>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37F"/>
    <w:rsid w:val="000F5CD2"/>
    <w:rsid w:val="000F5E38"/>
    <w:rsid w:val="000F62A2"/>
    <w:rsid w:val="000F692D"/>
    <w:rsid w:val="000F714D"/>
    <w:rsid w:val="000F7307"/>
    <w:rsid w:val="0010025E"/>
    <w:rsid w:val="00100761"/>
    <w:rsid w:val="00100BB1"/>
    <w:rsid w:val="001012C4"/>
    <w:rsid w:val="00102850"/>
    <w:rsid w:val="00103B78"/>
    <w:rsid w:val="00103FCA"/>
    <w:rsid w:val="0010468C"/>
    <w:rsid w:val="00104B70"/>
    <w:rsid w:val="001050C1"/>
    <w:rsid w:val="00105441"/>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1F34"/>
    <w:rsid w:val="00122AA3"/>
    <w:rsid w:val="001231EB"/>
    <w:rsid w:val="001235FB"/>
    <w:rsid w:val="00123673"/>
    <w:rsid w:val="00123797"/>
    <w:rsid w:val="00123D07"/>
    <w:rsid w:val="00125439"/>
    <w:rsid w:val="0012669A"/>
    <w:rsid w:val="00126738"/>
    <w:rsid w:val="00126CAC"/>
    <w:rsid w:val="0012748D"/>
    <w:rsid w:val="00127707"/>
    <w:rsid w:val="00127A75"/>
    <w:rsid w:val="00127B08"/>
    <w:rsid w:val="0013080B"/>
    <w:rsid w:val="001312B5"/>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742"/>
    <w:rsid w:val="00164FB6"/>
    <w:rsid w:val="001655C7"/>
    <w:rsid w:val="00165662"/>
    <w:rsid w:val="001662E4"/>
    <w:rsid w:val="001673BD"/>
    <w:rsid w:val="00170C7E"/>
    <w:rsid w:val="001710C0"/>
    <w:rsid w:val="00171EA9"/>
    <w:rsid w:val="00173E37"/>
    <w:rsid w:val="0017416D"/>
    <w:rsid w:val="00174597"/>
    <w:rsid w:val="00175E5F"/>
    <w:rsid w:val="00176050"/>
    <w:rsid w:val="0017737F"/>
    <w:rsid w:val="0018013C"/>
    <w:rsid w:val="00185858"/>
    <w:rsid w:val="001861E1"/>
    <w:rsid w:val="0018740A"/>
    <w:rsid w:val="0018780F"/>
    <w:rsid w:val="00187936"/>
    <w:rsid w:val="00187C01"/>
    <w:rsid w:val="00187D30"/>
    <w:rsid w:val="00187F17"/>
    <w:rsid w:val="0019256F"/>
    <w:rsid w:val="001925F5"/>
    <w:rsid w:val="001927AE"/>
    <w:rsid w:val="00192F1B"/>
    <w:rsid w:val="001933CF"/>
    <w:rsid w:val="00193522"/>
    <w:rsid w:val="00193A4A"/>
    <w:rsid w:val="00193D38"/>
    <w:rsid w:val="00195DE9"/>
    <w:rsid w:val="00196B2D"/>
    <w:rsid w:val="00196CFE"/>
    <w:rsid w:val="00196E22"/>
    <w:rsid w:val="00196F9A"/>
    <w:rsid w:val="001971BF"/>
    <w:rsid w:val="00197761"/>
    <w:rsid w:val="00197781"/>
    <w:rsid w:val="001A1512"/>
    <w:rsid w:val="001A1867"/>
    <w:rsid w:val="001A19D4"/>
    <w:rsid w:val="001A2B87"/>
    <w:rsid w:val="001A3165"/>
    <w:rsid w:val="001A3257"/>
    <w:rsid w:val="001A4184"/>
    <w:rsid w:val="001A4B24"/>
    <w:rsid w:val="001A5515"/>
    <w:rsid w:val="001A7140"/>
    <w:rsid w:val="001B04DF"/>
    <w:rsid w:val="001B0AEF"/>
    <w:rsid w:val="001B0F3C"/>
    <w:rsid w:val="001B1A28"/>
    <w:rsid w:val="001B2054"/>
    <w:rsid w:val="001B209A"/>
    <w:rsid w:val="001B264C"/>
    <w:rsid w:val="001B2BF4"/>
    <w:rsid w:val="001B3B27"/>
    <w:rsid w:val="001B4298"/>
    <w:rsid w:val="001B43F9"/>
    <w:rsid w:val="001B4700"/>
    <w:rsid w:val="001B5342"/>
    <w:rsid w:val="001B5FB6"/>
    <w:rsid w:val="001B61B8"/>
    <w:rsid w:val="001B6579"/>
    <w:rsid w:val="001B679D"/>
    <w:rsid w:val="001B6A85"/>
    <w:rsid w:val="001B6CAE"/>
    <w:rsid w:val="001C0623"/>
    <w:rsid w:val="001C1261"/>
    <w:rsid w:val="001C2B7B"/>
    <w:rsid w:val="001C3257"/>
    <w:rsid w:val="001C33DC"/>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421B"/>
    <w:rsid w:val="001D58E6"/>
    <w:rsid w:val="001D5957"/>
    <w:rsid w:val="001D627A"/>
    <w:rsid w:val="001D6526"/>
    <w:rsid w:val="001E047E"/>
    <w:rsid w:val="001E0BA2"/>
    <w:rsid w:val="001E10D7"/>
    <w:rsid w:val="001E1147"/>
    <w:rsid w:val="001E191C"/>
    <w:rsid w:val="001E1CC3"/>
    <w:rsid w:val="001E5BAB"/>
    <w:rsid w:val="001E625D"/>
    <w:rsid w:val="001E682F"/>
    <w:rsid w:val="001E6EE5"/>
    <w:rsid w:val="001F0CF0"/>
    <w:rsid w:val="001F11CE"/>
    <w:rsid w:val="001F23DE"/>
    <w:rsid w:val="001F24AF"/>
    <w:rsid w:val="001F294A"/>
    <w:rsid w:val="001F38DE"/>
    <w:rsid w:val="001F3C7B"/>
    <w:rsid w:val="001F4A9E"/>
    <w:rsid w:val="001F51AE"/>
    <w:rsid w:val="001F5EA6"/>
    <w:rsid w:val="001F61FD"/>
    <w:rsid w:val="001F6A18"/>
    <w:rsid w:val="001F6AC9"/>
    <w:rsid w:val="001F7E84"/>
    <w:rsid w:val="002006D8"/>
    <w:rsid w:val="00201383"/>
    <w:rsid w:val="00201442"/>
    <w:rsid w:val="00201E75"/>
    <w:rsid w:val="002029F3"/>
    <w:rsid w:val="0020368B"/>
    <w:rsid w:val="0020387B"/>
    <w:rsid w:val="00203984"/>
    <w:rsid w:val="00204401"/>
    <w:rsid w:val="002054AD"/>
    <w:rsid w:val="002056F1"/>
    <w:rsid w:val="00206555"/>
    <w:rsid w:val="002073AB"/>
    <w:rsid w:val="00207671"/>
    <w:rsid w:val="00210C6F"/>
    <w:rsid w:val="00210FD3"/>
    <w:rsid w:val="00211F78"/>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57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0FFE"/>
    <w:rsid w:val="00241084"/>
    <w:rsid w:val="00241781"/>
    <w:rsid w:val="00241FF0"/>
    <w:rsid w:val="0024203D"/>
    <w:rsid w:val="00242D8C"/>
    <w:rsid w:val="00243F79"/>
    <w:rsid w:val="002441F5"/>
    <w:rsid w:val="002443EF"/>
    <w:rsid w:val="00245505"/>
    <w:rsid w:val="00246B5F"/>
    <w:rsid w:val="00247064"/>
    <w:rsid w:val="002474FB"/>
    <w:rsid w:val="00247BF2"/>
    <w:rsid w:val="0025002F"/>
    <w:rsid w:val="002516C7"/>
    <w:rsid w:val="0025174A"/>
    <w:rsid w:val="002528F8"/>
    <w:rsid w:val="00253354"/>
    <w:rsid w:val="00253858"/>
    <w:rsid w:val="00253AD1"/>
    <w:rsid w:val="00255734"/>
    <w:rsid w:val="00255BCF"/>
    <w:rsid w:val="002569D3"/>
    <w:rsid w:val="00256C9C"/>
    <w:rsid w:val="00257715"/>
    <w:rsid w:val="00257D2B"/>
    <w:rsid w:val="0026023A"/>
    <w:rsid w:val="00261CB9"/>
    <w:rsid w:val="00263B38"/>
    <w:rsid w:val="002644D4"/>
    <w:rsid w:val="00265027"/>
    <w:rsid w:val="00266857"/>
    <w:rsid w:val="0026702E"/>
    <w:rsid w:val="00267CE1"/>
    <w:rsid w:val="00267EB1"/>
    <w:rsid w:val="00270F56"/>
    <w:rsid w:val="00271E64"/>
    <w:rsid w:val="0027247F"/>
    <w:rsid w:val="0027291D"/>
    <w:rsid w:val="002731AF"/>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2F8"/>
    <w:rsid w:val="002C57F9"/>
    <w:rsid w:val="002C5A9C"/>
    <w:rsid w:val="002C5B13"/>
    <w:rsid w:val="002C5E8D"/>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1E0F"/>
    <w:rsid w:val="002E23EC"/>
    <w:rsid w:val="002E24EE"/>
    <w:rsid w:val="002E2BF0"/>
    <w:rsid w:val="002E489D"/>
    <w:rsid w:val="002E505E"/>
    <w:rsid w:val="002E70A1"/>
    <w:rsid w:val="002E7359"/>
    <w:rsid w:val="002E766A"/>
    <w:rsid w:val="002E7D83"/>
    <w:rsid w:val="002F053B"/>
    <w:rsid w:val="002F211F"/>
    <w:rsid w:val="002F2740"/>
    <w:rsid w:val="002F72BA"/>
    <w:rsid w:val="00300673"/>
    <w:rsid w:val="00300D60"/>
    <w:rsid w:val="003012A5"/>
    <w:rsid w:val="0030234C"/>
    <w:rsid w:val="00302C89"/>
    <w:rsid w:val="00302CA0"/>
    <w:rsid w:val="00303925"/>
    <w:rsid w:val="0030397E"/>
    <w:rsid w:val="00304F56"/>
    <w:rsid w:val="003054F6"/>
    <w:rsid w:val="00305BEC"/>
    <w:rsid w:val="00305ED2"/>
    <w:rsid w:val="00306668"/>
    <w:rsid w:val="00306680"/>
    <w:rsid w:val="00307413"/>
    <w:rsid w:val="00307E10"/>
    <w:rsid w:val="00310EFE"/>
    <w:rsid w:val="00311C95"/>
    <w:rsid w:val="00312470"/>
    <w:rsid w:val="00312AA0"/>
    <w:rsid w:val="00313162"/>
    <w:rsid w:val="00313C01"/>
    <w:rsid w:val="003146D5"/>
    <w:rsid w:val="00316738"/>
    <w:rsid w:val="00317369"/>
    <w:rsid w:val="00317A58"/>
    <w:rsid w:val="00320856"/>
    <w:rsid w:val="0032171A"/>
    <w:rsid w:val="0032221D"/>
    <w:rsid w:val="0032255F"/>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26"/>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4848"/>
    <w:rsid w:val="00355D1B"/>
    <w:rsid w:val="003569EB"/>
    <w:rsid w:val="00360156"/>
    <w:rsid w:val="00360512"/>
    <w:rsid w:val="003608A3"/>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2AE4"/>
    <w:rsid w:val="00372C94"/>
    <w:rsid w:val="00372E60"/>
    <w:rsid w:val="00372E9D"/>
    <w:rsid w:val="00372F6A"/>
    <w:rsid w:val="003731B4"/>
    <w:rsid w:val="0037329D"/>
    <w:rsid w:val="003735A8"/>
    <w:rsid w:val="00373988"/>
    <w:rsid w:val="00373C98"/>
    <w:rsid w:val="00373CDE"/>
    <w:rsid w:val="00374046"/>
    <w:rsid w:val="0037439C"/>
    <w:rsid w:val="003747EA"/>
    <w:rsid w:val="00375A41"/>
    <w:rsid w:val="00376908"/>
    <w:rsid w:val="00381B13"/>
    <w:rsid w:val="00383280"/>
    <w:rsid w:val="00384E0C"/>
    <w:rsid w:val="00386485"/>
    <w:rsid w:val="0038796E"/>
    <w:rsid w:val="00390520"/>
    <w:rsid w:val="003908D2"/>
    <w:rsid w:val="00391552"/>
    <w:rsid w:val="0039167F"/>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9F2"/>
    <w:rsid w:val="003A2CAF"/>
    <w:rsid w:val="003A33A5"/>
    <w:rsid w:val="003A4229"/>
    <w:rsid w:val="003A5140"/>
    <w:rsid w:val="003A54BB"/>
    <w:rsid w:val="003A5D52"/>
    <w:rsid w:val="003A5E05"/>
    <w:rsid w:val="003A769B"/>
    <w:rsid w:val="003B2611"/>
    <w:rsid w:val="003B2E37"/>
    <w:rsid w:val="003B2E56"/>
    <w:rsid w:val="003B3B53"/>
    <w:rsid w:val="003B434C"/>
    <w:rsid w:val="003B4690"/>
    <w:rsid w:val="003B489B"/>
    <w:rsid w:val="003B4F9D"/>
    <w:rsid w:val="003B64D6"/>
    <w:rsid w:val="003B6520"/>
    <w:rsid w:val="003B6A6B"/>
    <w:rsid w:val="003B72FF"/>
    <w:rsid w:val="003B792B"/>
    <w:rsid w:val="003B7F4F"/>
    <w:rsid w:val="003C01E4"/>
    <w:rsid w:val="003C04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880"/>
    <w:rsid w:val="00400D3D"/>
    <w:rsid w:val="00403845"/>
    <w:rsid w:val="0040476C"/>
    <w:rsid w:val="00405A90"/>
    <w:rsid w:val="00405D42"/>
    <w:rsid w:val="00407018"/>
    <w:rsid w:val="00410E09"/>
    <w:rsid w:val="004110BF"/>
    <w:rsid w:val="004123D7"/>
    <w:rsid w:val="00413329"/>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4C45"/>
    <w:rsid w:val="00425098"/>
    <w:rsid w:val="004250D2"/>
    <w:rsid w:val="004252B7"/>
    <w:rsid w:val="004259BF"/>
    <w:rsid w:val="00426377"/>
    <w:rsid w:val="00426A43"/>
    <w:rsid w:val="00427039"/>
    <w:rsid w:val="0042756E"/>
    <w:rsid w:val="004277B3"/>
    <w:rsid w:val="0042782B"/>
    <w:rsid w:val="00427FFB"/>
    <w:rsid w:val="00430A64"/>
    <w:rsid w:val="00431175"/>
    <w:rsid w:val="00431427"/>
    <w:rsid w:val="004316D5"/>
    <w:rsid w:val="00433281"/>
    <w:rsid w:val="004337A4"/>
    <w:rsid w:val="00435318"/>
    <w:rsid w:val="00435433"/>
    <w:rsid w:val="0043545F"/>
    <w:rsid w:val="004361D1"/>
    <w:rsid w:val="00436A68"/>
    <w:rsid w:val="00437F79"/>
    <w:rsid w:val="00440513"/>
    <w:rsid w:val="00440A71"/>
    <w:rsid w:val="00441C92"/>
    <w:rsid w:val="00441F92"/>
    <w:rsid w:val="00443033"/>
    <w:rsid w:val="004431F3"/>
    <w:rsid w:val="0044326A"/>
    <w:rsid w:val="00443A3C"/>
    <w:rsid w:val="004446A8"/>
    <w:rsid w:val="00444C32"/>
    <w:rsid w:val="0044542E"/>
    <w:rsid w:val="004461F0"/>
    <w:rsid w:val="0044751B"/>
    <w:rsid w:val="0044770B"/>
    <w:rsid w:val="004531D2"/>
    <w:rsid w:val="00453A1B"/>
    <w:rsid w:val="004541EF"/>
    <w:rsid w:val="00454AB8"/>
    <w:rsid w:val="00454B1A"/>
    <w:rsid w:val="00455DB2"/>
    <w:rsid w:val="00456104"/>
    <w:rsid w:val="0045639F"/>
    <w:rsid w:val="00456895"/>
    <w:rsid w:val="00457CA5"/>
    <w:rsid w:val="00457D11"/>
    <w:rsid w:val="004606D5"/>
    <w:rsid w:val="00461F9F"/>
    <w:rsid w:val="00462710"/>
    <w:rsid w:val="00463253"/>
    <w:rsid w:val="00463722"/>
    <w:rsid w:val="00466D16"/>
    <w:rsid w:val="00466FE2"/>
    <w:rsid w:val="0046732C"/>
    <w:rsid w:val="00467CD3"/>
    <w:rsid w:val="00470E15"/>
    <w:rsid w:val="00471B89"/>
    <w:rsid w:val="004724D5"/>
    <w:rsid w:val="00472EF8"/>
    <w:rsid w:val="004731D8"/>
    <w:rsid w:val="00473648"/>
    <w:rsid w:val="0047437F"/>
    <w:rsid w:val="00474B88"/>
    <w:rsid w:val="00474FBA"/>
    <w:rsid w:val="004752EA"/>
    <w:rsid w:val="004758C0"/>
    <w:rsid w:val="00475D00"/>
    <w:rsid w:val="004765C9"/>
    <w:rsid w:val="00477B37"/>
    <w:rsid w:val="0048011F"/>
    <w:rsid w:val="00481097"/>
    <w:rsid w:val="0048197A"/>
    <w:rsid w:val="00482258"/>
    <w:rsid w:val="00484394"/>
    <w:rsid w:val="004844E7"/>
    <w:rsid w:val="0048614E"/>
    <w:rsid w:val="00486ECA"/>
    <w:rsid w:val="0048740A"/>
    <w:rsid w:val="0048758D"/>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706E"/>
    <w:rsid w:val="004A7C13"/>
    <w:rsid w:val="004B09AE"/>
    <w:rsid w:val="004B0DDC"/>
    <w:rsid w:val="004B12B6"/>
    <w:rsid w:val="004B12C1"/>
    <w:rsid w:val="004B1C51"/>
    <w:rsid w:val="004B215F"/>
    <w:rsid w:val="004B260F"/>
    <w:rsid w:val="004B333D"/>
    <w:rsid w:val="004B6A61"/>
    <w:rsid w:val="004B7D90"/>
    <w:rsid w:val="004C0612"/>
    <w:rsid w:val="004C16AC"/>
    <w:rsid w:val="004C18A9"/>
    <w:rsid w:val="004C2215"/>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3EA0"/>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62D"/>
    <w:rsid w:val="004E4B8A"/>
    <w:rsid w:val="004E7F67"/>
    <w:rsid w:val="004F2EE1"/>
    <w:rsid w:val="004F2F92"/>
    <w:rsid w:val="004F43CB"/>
    <w:rsid w:val="004F4AC8"/>
    <w:rsid w:val="004F5D52"/>
    <w:rsid w:val="004F6070"/>
    <w:rsid w:val="004F7183"/>
    <w:rsid w:val="0050042C"/>
    <w:rsid w:val="00500B6A"/>
    <w:rsid w:val="00500D6F"/>
    <w:rsid w:val="005012DB"/>
    <w:rsid w:val="00501C3F"/>
    <w:rsid w:val="00502380"/>
    <w:rsid w:val="0050267B"/>
    <w:rsid w:val="00502903"/>
    <w:rsid w:val="00503730"/>
    <w:rsid w:val="0050457F"/>
    <w:rsid w:val="00504A31"/>
    <w:rsid w:val="005055F5"/>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4DC"/>
    <w:rsid w:val="0051579C"/>
    <w:rsid w:val="00515A76"/>
    <w:rsid w:val="00516300"/>
    <w:rsid w:val="00516584"/>
    <w:rsid w:val="00516FF9"/>
    <w:rsid w:val="005201F5"/>
    <w:rsid w:val="005204D0"/>
    <w:rsid w:val="00520D18"/>
    <w:rsid w:val="005216BE"/>
    <w:rsid w:val="00522BDD"/>
    <w:rsid w:val="00523B38"/>
    <w:rsid w:val="00523CB0"/>
    <w:rsid w:val="005242EE"/>
    <w:rsid w:val="00524421"/>
    <w:rsid w:val="00525094"/>
    <w:rsid w:val="00525C18"/>
    <w:rsid w:val="00525DC6"/>
    <w:rsid w:val="00527783"/>
    <w:rsid w:val="00527FE0"/>
    <w:rsid w:val="00532E4C"/>
    <w:rsid w:val="00533167"/>
    <w:rsid w:val="005332C9"/>
    <w:rsid w:val="0053358C"/>
    <w:rsid w:val="0053369E"/>
    <w:rsid w:val="00533EE5"/>
    <w:rsid w:val="00534A8F"/>
    <w:rsid w:val="00534B36"/>
    <w:rsid w:val="0053512C"/>
    <w:rsid w:val="0053589E"/>
    <w:rsid w:val="00536378"/>
    <w:rsid w:val="0053677A"/>
    <w:rsid w:val="00536E3E"/>
    <w:rsid w:val="005372A7"/>
    <w:rsid w:val="00540C42"/>
    <w:rsid w:val="0054319F"/>
    <w:rsid w:val="00544729"/>
    <w:rsid w:val="00544E5D"/>
    <w:rsid w:val="00544ED2"/>
    <w:rsid w:val="0054546C"/>
    <w:rsid w:val="00545D9F"/>
    <w:rsid w:val="0054639F"/>
    <w:rsid w:val="0054689B"/>
    <w:rsid w:val="0054697F"/>
    <w:rsid w:val="00546FD2"/>
    <w:rsid w:val="00552D94"/>
    <w:rsid w:val="00553952"/>
    <w:rsid w:val="00553D8C"/>
    <w:rsid w:val="005545F9"/>
    <w:rsid w:val="005562F4"/>
    <w:rsid w:val="00556956"/>
    <w:rsid w:val="005606BF"/>
    <w:rsid w:val="00560A6B"/>
    <w:rsid w:val="0056221F"/>
    <w:rsid w:val="0056244F"/>
    <w:rsid w:val="0056325B"/>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C98"/>
    <w:rsid w:val="00583DEF"/>
    <w:rsid w:val="00584A73"/>
    <w:rsid w:val="00584D50"/>
    <w:rsid w:val="00587C15"/>
    <w:rsid w:val="00587C38"/>
    <w:rsid w:val="0059057B"/>
    <w:rsid w:val="00590786"/>
    <w:rsid w:val="00591D06"/>
    <w:rsid w:val="00592B67"/>
    <w:rsid w:val="00592C11"/>
    <w:rsid w:val="00592E14"/>
    <w:rsid w:val="00593E7E"/>
    <w:rsid w:val="00594389"/>
    <w:rsid w:val="00594C5F"/>
    <w:rsid w:val="005950DE"/>
    <w:rsid w:val="00595B59"/>
    <w:rsid w:val="0059689F"/>
    <w:rsid w:val="00597A95"/>
    <w:rsid w:val="005A083F"/>
    <w:rsid w:val="005A0B16"/>
    <w:rsid w:val="005A0CF3"/>
    <w:rsid w:val="005A17C9"/>
    <w:rsid w:val="005A1A51"/>
    <w:rsid w:val="005A1B58"/>
    <w:rsid w:val="005A1EC1"/>
    <w:rsid w:val="005A213B"/>
    <w:rsid w:val="005A2D95"/>
    <w:rsid w:val="005A437A"/>
    <w:rsid w:val="005A4515"/>
    <w:rsid w:val="005A483C"/>
    <w:rsid w:val="005A48E6"/>
    <w:rsid w:val="005A5CBA"/>
    <w:rsid w:val="005A6173"/>
    <w:rsid w:val="005A6F68"/>
    <w:rsid w:val="005A7765"/>
    <w:rsid w:val="005A7BA9"/>
    <w:rsid w:val="005B08BA"/>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05F"/>
    <w:rsid w:val="005C593E"/>
    <w:rsid w:val="005C5F17"/>
    <w:rsid w:val="005C73CC"/>
    <w:rsid w:val="005D012B"/>
    <w:rsid w:val="005D01ED"/>
    <w:rsid w:val="005D03C6"/>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5DFA"/>
    <w:rsid w:val="005E6024"/>
    <w:rsid w:val="005E631B"/>
    <w:rsid w:val="005E6C08"/>
    <w:rsid w:val="005E7551"/>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13C7"/>
    <w:rsid w:val="006026B4"/>
    <w:rsid w:val="00604293"/>
    <w:rsid w:val="00604400"/>
    <w:rsid w:val="0060455C"/>
    <w:rsid w:val="00604852"/>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B70"/>
    <w:rsid w:val="00617E5F"/>
    <w:rsid w:val="00617E79"/>
    <w:rsid w:val="00620408"/>
    <w:rsid w:val="0062054A"/>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58E"/>
    <w:rsid w:val="00634EDF"/>
    <w:rsid w:val="00635C4B"/>
    <w:rsid w:val="006375C2"/>
    <w:rsid w:val="00640471"/>
    <w:rsid w:val="006416E2"/>
    <w:rsid w:val="0064175B"/>
    <w:rsid w:val="00641F49"/>
    <w:rsid w:val="0064286F"/>
    <w:rsid w:val="00642E1E"/>
    <w:rsid w:val="0064466B"/>
    <w:rsid w:val="006454AD"/>
    <w:rsid w:val="00645A5D"/>
    <w:rsid w:val="00645A75"/>
    <w:rsid w:val="00646158"/>
    <w:rsid w:val="00646363"/>
    <w:rsid w:val="0064647F"/>
    <w:rsid w:val="0064667C"/>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5057"/>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2A02"/>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691A"/>
    <w:rsid w:val="006B77E1"/>
    <w:rsid w:val="006C0F9A"/>
    <w:rsid w:val="006C1585"/>
    <w:rsid w:val="006C17F9"/>
    <w:rsid w:val="006C1CD3"/>
    <w:rsid w:val="006C1E61"/>
    <w:rsid w:val="006C1F0D"/>
    <w:rsid w:val="006C3067"/>
    <w:rsid w:val="006C3ADA"/>
    <w:rsid w:val="006C471A"/>
    <w:rsid w:val="006C4B9F"/>
    <w:rsid w:val="006C5854"/>
    <w:rsid w:val="006C68DD"/>
    <w:rsid w:val="006C7B6B"/>
    <w:rsid w:val="006D05D3"/>
    <w:rsid w:val="006D14D3"/>
    <w:rsid w:val="006D15A0"/>
    <w:rsid w:val="006D214C"/>
    <w:rsid w:val="006D3CF4"/>
    <w:rsid w:val="006D4AF7"/>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E7CEC"/>
    <w:rsid w:val="006F051E"/>
    <w:rsid w:val="006F0526"/>
    <w:rsid w:val="006F0B70"/>
    <w:rsid w:val="006F1859"/>
    <w:rsid w:val="006F1914"/>
    <w:rsid w:val="006F1EF9"/>
    <w:rsid w:val="006F2692"/>
    <w:rsid w:val="006F2F2C"/>
    <w:rsid w:val="006F3398"/>
    <w:rsid w:val="006F423C"/>
    <w:rsid w:val="006F432A"/>
    <w:rsid w:val="006F49DB"/>
    <w:rsid w:val="006F4F00"/>
    <w:rsid w:val="006F6DF2"/>
    <w:rsid w:val="006F7B9C"/>
    <w:rsid w:val="0070143E"/>
    <w:rsid w:val="00702446"/>
    <w:rsid w:val="00702AC4"/>
    <w:rsid w:val="007030D7"/>
    <w:rsid w:val="007040E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591F"/>
    <w:rsid w:val="00716AAE"/>
    <w:rsid w:val="007171A5"/>
    <w:rsid w:val="00720924"/>
    <w:rsid w:val="0072119B"/>
    <w:rsid w:val="007216BA"/>
    <w:rsid w:val="00721D54"/>
    <w:rsid w:val="0072255C"/>
    <w:rsid w:val="007229F0"/>
    <w:rsid w:val="00722AE3"/>
    <w:rsid w:val="00723B37"/>
    <w:rsid w:val="00723D2E"/>
    <w:rsid w:val="007242CC"/>
    <w:rsid w:val="00725833"/>
    <w:rsid w:val="00725D72"/>
    <w:rsid w:val="0072640B"/>
    <w:rsid w:val="00726CFA"/>
    <w:rsid w:val="007276F4"/>
    <w:rsid w:val="007278D7"/>
    <w:rsid w:val="00727AF8"/>
    <w:rsid w:val="007315BE"/>
    <w:rsid w:val="0073165B"/>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24A9"/>
    <w:rsid w:val="00743F94"/>
    <w:rsid w:val="00744133"/>
    <w:rsid w:val="0074420B"/>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AB0"/>
    <w:rsid w:val="00775D7C"/>
    <w:rsid w:val="00775EB8"/>
    <w:rsid w:val="007763E9"/>
    <w:rsid w:val="00776992"/>
    <w:rsid w:val="00777079"/>
    <w:rsid w:val="0077731E"/>
    <w:rsid w:val="00777DA7"/>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7658"/>
    <w:rsid w:val="00797841"/>
    <w:rsid w:val="00797FA4"/>
    <w:rsid w:val="007A011E"/>
    <w:rsid w:val="007A02E4"/>
    <w:rsid w:val="007A261B"/>
    <w:rsid w:val="007A3B0F"/>
    <w:rsid w:val="007A4419"/>
    <w:rsid w:val="007A441D"/>
    <w:rsid w:val="007A51F9"/>
    <w:rsid w:val="007A5E81"/>
    <w:rsid w:val="007A5F1A"/>
    <w:rsid w:val="007A77E4"/>
    <w:rsid w:val="007A7A4A"/>
    <w:rsid w:val="007A7B0C"/>
    <w:rsid w:val="007B050E"/>
    <w:rsid w:val="007B0643"/>
    <w:rsid w:val="007B07CB"/>
    <w:rsid w:val="007B0B98"/>
    <w:rsid w:val="007B0E2D"/>
    <w:rsid w:val="007B15BC"/>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76B"/>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598"/>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4EB"/>
    <w:rsid w:val="007E6A87"/>
    <w:rsid w:val="007E7823"/>
    <w:rsid w:val="007F1893"/>
    <w:rsid w:val="007F1B8A"/>
    <w:rsid w:val="007F2B4F"/>
    <w:rsid w:val="007F375B"/>
    <w:rsid w:val="007F3CB9"/>
    <w:rsid w:val="007F3EBF"/>
    <w:rsid w:val="007F3FE4"/>
    <w:rsid w:val="007F406C"/>
    <w:rsid w:val="007F43FE"/>
    <w:rsid w:val="007F45B2"/>
    <w:rsid w:val="007F4BBB"/>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4A23"/>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4BBE"/>
    <w:rsid w:val="008250FA"/>
    <w:rsid w:val="00825DB9"/>
    <w:rsid w:val="008268A4"/>
    <w:rsid w:val="00827662"/>
    <w:rsid w:val="008304CE"/>
    <w:rsid w:val="00831F2D"/>
    <w:rsid w:val="00832DD8"/>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004A"/>
    <w:rsid w:val="008510F6"/>
    <w:rsid w:val="00852168"/>
    <w:rsid w:val="00852EB8"/>
    <w:rsid w:val="00853693"/>
    <w:rsid w:val="008536B0"/>
    <w:rsid w:val="00853825"/>
    <w:rsid w:val="00853B12"/>
    <w:rsid w:val="00853E8B"/>
    <w:rsid w:val="00854314"/>
    <w:rsid w:val="00854A24"/>
    <w:rsid w:val="0085608A"/>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28"/>
    <w:rsid w:val="00865C87"/>
    <w:rsid w:val="00866781"/>
    <w:rsid w:val="00866D4A"/>
    <w:rsid w:val="00870234"/>
    <w:rsid w:val="00870848"/>
    <w:rsid w:val="008716F1"/>
    <w:rsid w:val="00871EA3"/>
    <w:rsid w:val="00871F68"/>
    <w:rsid w:val="008727AB"/>
    <w:rsid w:val="00872886"/>
    <w:rsid w:val="00872D3C"/>
    <w:rsid w:val="00872DC2"/>
    <w:rsid w:val="00872E06"/>
    <w:rsid w:val="008733C2"/>
    <w:rsid w:val="0087424B"/>
    <w:rsid w:val="0087455C"/>
    <w:rsid w:val="00874E53"/>
    <w:rsid w:val="00875307"/>
    <w:rsid w:val="008755DD"/>
    <w:rsid w:val="00875A96"/>
    <w:rsid w:val="00876492"/>
    <w:rsid w:val="00876913"/>
    <w:rsid w:val="00876D3E"/>
    <w:rsid w:val="0088023D"/>
    <w:rsid w:val="00880882"/>
    <w:rsid w:val="00880DF6"/>
    <w:rsid w:val="00880F61"/>
    <w:rsid w:val="00881EA5"/>
    <w:rsid w:val="008822B7"/>
    <w:rsid w:val="008823ED"/>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114A"/>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922"/>
    <w:rsid w:val="008C1D6D"/>
    <w:rsid w:val="008C355D"/>
    <w:rsid w:val="008C37A6"/>
    <w:rsid w:val="008C4947"/>
    <w:rsid w:val="008C4999"/>
    <w:rsid w:val="008C4FD1"/>
    <w:rsid w:val="008C5385"/>
    <w:rsid w:val="008C57B9"/>
    <w:rsid w:val="008C59A1"/>
    <w:rsid w:val="008C607E"/>
    <w:rsid w:val="008C68A5"/>
    <w:rsid w:val="008C6CC5"/>
    <w:rsid w:val="008C7B5F"/>
    <w:rsid w:val="008C7DC4"/>
    <w:rsid w:val="008D0376"/>
    <w:rsid w:val="008D058C"/>
    <w:rsid w:val="008D1AA3"/>
    <w:rsid w:val="008D1B1B"/>
    <w:rsid w:val="008D1BD7"/>
    <w:rsid w:val="008D2343"/>
    <w:rsid w:val="008D2698"/>
    <w:rsid w:val="008D3FB5"/>
    <w:rsid w:val="008D419B"/>
    <w:rsid w:val="008D4335"/>
    <w:rsid w:val="008D52DA"/>
    <w:rsid w:val="008D5685"/>
    <w:rsid w:val="008D5B98"/>
    <w:rsid w:val="008D649E"/>
    <w:rsid w:val="008D6FE2"/>
    <w:rsid w:val="008D717C"/>
    <w:rsid w:val="008D7422"/>
    <w:rsid w:val="008D7A19"/>
    <w:rsid w:val="008E1FB2"/>
    <w:rsid w:val="008E2536"/>
    <w:rsid w:val="008E2702"/>
    <w:rsid w:val="008E2F4C"/>
    <w:rsid w:val="008E3BA3"/>
    <w:rsid w:val="008E4900"/>
    <w:rsid w:val="008E6577"/>
    <w:rsid w:val="008E6CAF"/>
    <w:rsid w:val="008E77C4"/>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6F00"/>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0DB"/>
    <w:rsid w:val="00916459"/>
    <w:rsid w:val="0091742B"/>
    <w:rsid w:val="00920FCA"/>
    <w:rsid w:val="00922B60"/>
    <w:rsid w:val="00922D50"/>
    <w:rsid w:val="00923350"/>
    <w:rsid w:val="009233D0"/>
    <w:rsid w:val="009246A6"/>
    <w:rsid w:val="00924F52"/>
    <w:rsid w:val="00925294"/>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1D7"/>
    <w:rsid w:val="00944EFE"/>
    <w:rsid w:val="00945F30"/>
    <w:rsid w:val="00945FAF"/>
    <w:rsid w:val="0095027E"/>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56D"/>
    <w:rsid w:val="00961582"/>
    <w:rsid w:val="009619BA"/>
    <w:rsid w:val="009639F9"/>
    <w:rsid w:val="00964A2A"/>
    <w:rsid w:val="00964FE8"/>
    <w:rsid w:val="00965288"/>
    <w:rsid w:val="00965875"/>
    <w:rsid w:val="00965A84"/>
    <w:rsid w:val="00965B7A"/>
    <w:rsid w:val="00965E43"/>
    <w:rsid w:val="00966DFD"/>
    <w:rsid w:val="009678A0"/>
    <w:rsid w:val="00970071"/>
    <w:rsid w:val="009706AF"/>
    <w:rsid w:val="009718BB"/>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4DA5"/>
    <w:rsid w:val="00986202"/>
    <w:rsid w:val="00986A35"/>
    <w:rsid w:val="009906F2"/>
    <w:rsid w:val="00993231"/>
    <w:rsid w:val="00993873"/>
    <w:rsid w:val="009940A2"/>
    <w:rsid w:val="009940E9"/>
    <w:rsid w:val="00994329"/>
    <w:rsid w:val="00994AA3"/>
    <w:rsid w:val="00994ECE"/>
    <w:rsid w:val="009966D6"/>
    <w:rsid w:val="00997BC8"/>
    <w:rsid w:val="009A1763"/>
    <w:rsid w:val="009A1A9C"/>
    <w:rsid w:val="009A1BFD"/>
    <w:rsid w:val="009A26AA"/>
    <w:rsid w:val="009A5B64"/>
    <w:rsid w:val="009A60B5"/>
    <w:rsid w:val="009A62F0"/>
    <w:rsid w:val="009A62F8"/>
    <w:rsid w:val="009A70F0"/>
    <w:rsid w:val="009A714D"/>
    <w:rsid w:val="009B0293"/>
    <w:rsid w:val="009B0587"/>
    <w:rsid w:val="009B23C1"/>
    <w:rsid w:val="009B27B8"/>
    <w:rsid w:val="009B3D3D"/>
    <w:rsid w:val="009B4288"/>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3A"/>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6169"/>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5BC"/>
    <w:rsid w:val="009E7E71"/>
    <w:rsid w:val="009F0252"/>
    <w:rsid w:val="009F0412"/>
    <w:rsid w:val="009F07E6"/>
    <w:rsid w:val="009F0E95"/>
    <w:rsid w:val="009F1808"/>
    <w:rsid w:val="009F1843"/>
    <w:rsid w:val="009F2C18"/>
    <w:rsid w:val="009F3914"/>
    <w:rsid w:val="009F42DE"/>
    <w:rsid w:val="009F42FA"/>
    <w:rsid w:val="009F450C"/>
    <w:rsid w:val="009F4948"/>
    <w:rsid w:val="009F50B8"/>
    <w:rsid w:val="009F52C7"/>
    <w:rsid w:val="009F592C"/>
    <w:rsid w:val="009F5C23"/>
    <w:rsid w:val="009F5EF8"/>
    <w:rsid w:val="009F5F90"/>
    <w:rsid w:val="009F62E0"/>
    <w:rsid w:val="009F6836"/>
    <w:rsid w:val="009F7472"/>
    <w:rsid w:val="009F74F7"/>
    <w:rsid w:val="009F7E39"/>
    <w:rsid w:val="009F7E47"/>
    <w:rsid w:val="00A00009"/>
    <w:rsid w:val="00A02494"/>
    <w:rsid w:val="00A02AD1"/>
    <w:rsid w:val="00A03524"/>
    <w:rsid w:val="00A03A03"/>
    <w:rsid w:val="00A06186"/>
    <w:rsid w:val="00A06DDC"/>
    <w:rsid w:val="00A06F10"/>
    <w:rsid w:val="00A07620"/>
    <w:rsid w:val="00A112C2"/>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479"/>
    <w:rsid w:val="00A26F01"/>
    <w:rsid w:val="00A27057"/>
    <w:rsid w:val="00A30B74"/>
    <w:rsid w:val="00A311F5"/>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55BC"/>
    <w:rsid w:val="00A56776"/>
    <w:rsid w:val="00A56C8C"/>
    <w:rsid w:val="00A57E03"/>
    <w:rsid w:val="00A606D7"/>
    <w:rsid w:val="00A619DC"/>
    <w:rsid w:val="00A627A6"/>
    <w:rsid w:val="00A62E0E"/>
    <w:rsid w:val="00A6311B"/>
    <w:rsid w:val="00A6384C"/>
    <w:rsid w:val="00A63874"/>
    <w:rsid w:val="00A64150"/>
    <w:rsid w:val="00A642E5"/>
    <w:rsid w:val="00A64789"/>
    <w:rsid w:val="00A6563E"/>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413"/>
    <w:rsid w:val="00A769E6"/>
    <w:rsid w:val="00A76AD4"/>
    <w:rsid w:val="00A77CDC"/>
    <w:rsid w:val="00A81062"/>
    <w:rsid w:val="00A8106F"/>
    <w:rsid w:val="00A81205"/>
    <w:rsid w:val="00A835DD"/>
    <w:rsid w:val="00A83CAF"/>
    <w:rsid w:val="00A8463C"/>
    <w:rsid w:val="00A8693F"/>
    <w:rsid w:val="00A87973"/>
    <w:rsid w:val="00A90278"/>
    <w:rsid w:val="00A903B6"/>
    <w:rsid w:val="00A90913"/>
    <w:rsid w:val="00A91108"/>
    <w:rsid w:val="00A91B64"/>
    <w:rsid w:val="00A9209F"/>
    <w:rsid w:val="00A923D9"/>
    <w:rsid w:val="00A92639"/>
    <w:rsid w:val="00A92DA8"/>
    <w:rsid w:val="00A9433A"/>
    <w:rsid w:val="00A9447B"/>
    <w:rsid w:val="00A94CB0"/>
    <w:rsid w:val="00A967CE"/>
    <w:rsid w:val="00A96B80"/>
    <w:rsid w:val="00AA04ED"/>
    <w:rsid w:val="00AA10DC"/>
    <w:rsid w:val="00AA1CCE"/>
    <w:rsid w:val="00AA21BD"/>
    <w:rsid w:val="00AA2DEF"/>
    <w:rsid w:val="00AA2E44"/>
    <w:rsid w:val="00AA2F04"/>
    <w:rsid w:val="00AA3C4B"/>
    <w:rsid w:val="00AA4B18"/>
    <w:rsid w:val="00AA4FB8"/>
    <w:rsid w:val="00AA5602"/>
    <w:rsid w:val="00AA5C5C"/>
    <w:rsid w:val="00AA63F9"/>
    <w:rsid w:val="00AB00A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07C9"/>
    <w:rsid w:val="00AD2C28"/>
    <w:rsid w:val="00AD2C9F"/>
    <w:rsid w:val="00AD355C"/>
    <w:rsid w:val="00AD3CEF"/>
    <w:rsid w:val="00AD431B"/>
    <w:rsid w:val="00AD4CC4"/>
    <w:rsid w:val="00AD5CC2"/>
    <w:rsid w:val="00AD5E3D"/>
    <w:rsid w:val="00AD5FE5"/>
    <w:rsid w:val="00AE0881"/>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5A85"/>
    <w:rsid w:val="00B06022"/>
    <w:rsid w:val="00B07E00"/>
    <w:rsid w:val="00B1048D"/>
    <w:rsid w:val="00B10617"/>
    <w:rsid w:val="00B1092E"/>
    <w:rsid w:val="00B10A71"/>
    <w:rsid w:val="00B114B6"/>
    <w:rsid w:val="00B119E9"/>
    <w:rsid w:val="00B12B3F"/>
    <w:rsid w:val="00B12F54"/>
    <w:rsid w:val="00B1376F"/>
    <w:rsid w:val="00B14D10"/>
    <w:rsid w:val="00B16276"/>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3138"/>
    <w:rsid w:val="00B3356F"/>
    <w:rsid w:val="00B338B9"/>
    <w:rsid w:val="00B35D99"/>
    <w:rsid w:val="00B371CD"/>
    <w:rsid w:val="00B37289"/>
    <w:rsid w:val="00B37318"/>
    <w:rsid w:val="00B37415"/>
    <w:rsid w:val="00B3779E"/>
    <w:rsid w:val="00B403C6"/>
    <w:rsid w:val="00B40E6A"/>
    <w:rsid w:val="00B42703"/>
    <w:rsid w:val="00B4288F"/>
    <w:rsid w:val="00B4307E"/>
    <w:rsid w:val="00B43157"/>
    <w:rsid w:val="00B432F7"/>
    <w:rsid w:val="00B434D3"/>
    <w:rsid w:val="00B44051"/>
    <w:rsid w:val="00B441EB"/>
    <w:rsid w:val="00B44C74"/>
    <w:rsid w:val="00B44F8A"/>
    <w:rsid w:val="00B46BAB"/>
    <w:rsid w:val="00B51109"/>
    <w:rsid w:val="00B52324"/>
    <w:rsid w:val="00B523FA"/>
    <w:rsid w:val="00B52791"/>
    <w:rsid w:val="00B530D2"/>
    <w:rsid w:val="00B532E0"/>
    <w:rsid w:val="00B543EA"/>
    <w:rsid w:val="00B545F6"/>
    <w:rsid w:val="00B54CA9"/>
    <w:rsid w:val="00B54D33"/>
    <w:rsid w:val="00B55952"/>
    <w:rsid w:val="00B559D8"/>
    <w:rsid w:val="00B55D3F"/>
    <w:rsid w:val="00B55D49"/>
    <w:rsid w:val="00B564FF"/>
    <w:rsid w:val="00B56E86"/>
    <w:rsid w:val="00B61274"/>
    <w:rsid w:val="00B6171E"/>
    <w:rsid w:val="00B62FE1"/>
    <w:rsid w:val="00B641A3"/>
    <w:rsid w:val="00B6555F"/>
    <w:rsid w:val="00B65826"/>
    <w:rsid w:val="00B66664"/>
    <w:rsid w:val="00B66723"/>
    <w:rsid w:val="00B670B4"/>
    <w:rsid w:val="00B67165"/>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0D23"/>
    <w:rsid w:val="00BA2B17"/>
    <w:rsid w:val="00BA2F1A"/>
    <w:rsid w:val="00BA4196"/>
    <w:rsid w:val="00BA4321"/>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1F7A"/>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4358"/>
    <w:rsid w:val="00BD5712"/>
    <w:rsid w:val="00BD6D34"/>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EB3"/>
    <w:rsid w:val="00BF2FAE"/>
    <w:rsid w:val="00BF3282"/>
    <w:rsid w:val="00BF3421"/>
    <w:rsid w:val="00BF4A20"/>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39B5"/>
    <w:rsid w:val="00C159ED"/>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47C63"/>
    <w:rsid w:val="00C50B34"/>
    <w:rsid w:val="00C5144C"/>
    <w:rsid w:val="00C51B38"/>
    <w:rsid w:val="00C51E52"/>
    <w:rsid w:val="00C51F14"/>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10C"/>
    <w:rsid w:val="00C71F02"/>
    <w:rsid w:val="00C73EBF"/>
    <w:rsid w:val="00C74A2D"/>
    <w:rsid w:val="00C75056"/>
    <w:rsid w:val="00C7540A"/>
    <w:rsid w:val="00C75BD7"/>
    <w:rsid w:val="00C75ECE"/>
    <w:rsid w:val="00C76190"/>
    <w:rsid w:val="00C76CA9"/>
    <w:rsid w:val="00C77557"/>
    <w:rsid w:val="00C776FC"/>
    <w:rsid w:val="00C7776A"/>
    <w:rsid w:val="00C8032C"/>
    <w:rsid w:val="00C80F07"/>
    <w:rsid w:val="00C8161B"/>
    <w:rsid w:val="00C824B8"/>
    <w:rsid w:val="00C82878"/>
    <w:rsid w:val="00C83BA0"/>
    <w:rsid w:val="00C856BA"/>
    <w:rsid w:val="00C861F4"/>
    <w:rsid w:val="00C869FA"/>
    <w:rsid w:val="00C87801"/>
    <w:rsid w:val="00C87922"/>
    <w:rsid w:val="00C87EC7"/>
    <w:rsid w:val="00C9305C"/>
    <w:rsid w:val="00C94F91"/>
    <w:rsid w:val="00C9538D"/>
    <w:rsid w:val="00C96555"/>
    <w:rsid w:val="00C97083"/>
    <w:rsid w:val="00C97189"/>
    <w:rsid w:val="00CA1CCB"/>
    <w:rsid w:val="00CA3C45"/>
    <w:rsid w:val="00CA41CC"/>
    <w:rsid w:val="00CA4A64"/>
    <w:rsid w:val="00CA4B8D"/>
    <w:rsid w:val="00CA4BBA"/>
    <w:rsid w:val="00CA5AB1"/>
    <w:rsid w:val="00CA5B50"/>
    <w:rsid w:val="00CA627F"/>
    <w:rsid w:val="00CA6365"/>
    <w:rsid w:val="00CA6B81"/>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2D19"/>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393"/>
    <w:rsid w:val="00CD70F2"/>
    <w:rsid w:val="00CD777A"/>
    <w:rsid w:val="00CD79A1"/>
    <w:rsid w:val="00CE0DCC"/>
    <w:rsid w:val="00CE1A34"/>
    <w:rsid w:val="00CE1D31"/>
    <w:rsid w:val="00CE2965"/>
    <w:rsid w:val="00CE3C3B"/>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5D47"/>
    <w:rsid w:val="00D061BA"/>
    <w:rsid w:val="00D06AE1"/>
    <w:rsid w:val="00D078E7"/>
    <w:rsid w:val="00D10A59"/>
    <w:rsid w:val="00D1166C"/>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50BC"/>
    <w:rsid w:val="00D25315"/>
    <w:rsid w:val="00D255F7"/>
    <w:rsid w:val="00D25687"/>
    <w:rsid w:val="00D266CC"/>
    <w:rsid w:val="00D26829"/>
    <w:rsid w:val="00D269F1"/>
    <w:rsid w:val="00D26D90"/>
    <w:rsid w:val="00D273B9"/>
    <w:rsid w:val="00D27745"/>
    <w:rsid w:val="00D30B3B"/>
    <w:rsid w:val="00D31BB3"/>
    <w:rsid w:val="00D31C7E"/>
    <w:rsid w:val="00D32006"/>
    <w:rsid w:val="00D329FA"/>
    <w:rsid w:val="00D33744"/>
    <w:rsid w:val="00D3400D"/>
    <w:rsid w:val="00D34ADC"/>
    <w:rsid w:val="00D357C1"/>
    <w:rsid w:val="00D36206"/>
    <w:rsid w:val="00D366B8"/>
    <w:rsid w:val="00D36D3D"/>
    <w:rsid w:val="00D4082E"/>
    <w:rsid w:val="00D40900"/>
    <w:rsid w:val="00D40DDD"/>
    <w:rsid w:val="00D424B1"/>
    <w:rsid w:val="00D43659"/>
    <w:rsid w:val="00D44061"/>
    <w:rsid w:val="00D4469E"/>
    <w:rsid w:val="00D4529D"/>
    <w:rsid w:val="00D4691C"/>
    <w:rsid w:val="00D46F51"/>
    <w:rsid w:val="00D476BB"/>
    <w:rsid w:val="00D47C3B"/>
    <w:rsid w:val="00D47F33"/>
    <w:rsid w:val="00D47FF3"/>
    <w:rsid w:val="00D5019A"/>
    <w:rsid w:val="00D50BF1"/>
    <w:rsid w:val="00D51ACC"/>
    <w:rsid w:val="00D52365"/>
    <w:rsid w:val="00D526D8"/>
    <w:rsid w:val="00D536F5"/>
    <w:rsid w:val="00D55234"/>
    <w:rsid w:val="00D554B4"/>
    <w:rsid w:val="00D5643D"/>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018"/>
    <w:rsid w:val="00D6765B"/>
    <w:rsid w:val="00D678EB"/>
    <w:rsid w:val="00D71021"/>
    <w:rsid w:val="00D7181F"/>
    <w:rsid w:val="00D71A8B"/>
    <w:rsid w:val="00D72982"/>
    <w:rsid w:val="00D73977"/>
    <w:rsid w:val="00D741CB"/>
    <w:rsid w:val="00D7441E"/>
    <w:rsid w:val="00D74CD3"/>
    <w:rsid w:val="00D75471"/>
    <w:rsid w:val="00D75546"/>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36D9"/>
    <w:rsid w:val="00DA4267"/>
    <w:rsid w:val="00DA4308"/>
    <w:rsid w:val="00DA4F9A"/>
    <w:rsid w:val="00DA5A31"/>
    <w:rsid w:val="00DA7002"/>
    <w:rsid w:val="00DB00F5"/>
    <w:rsid w:val="00DB1AE5"/>
    <w:rsid w:val="00DB28EE"/>
    <w:rsid w:val="00DB4445"/>
    <w:rsid w:val="00DB5BD3"/>
    <w:rsid w:val="00DB7849"/>
    <w:rsid w:val="00DB79BF"/>
    <w:rsid w:val="00DB79DB"/>
    <w:rsid w:val="00DC0588"/>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1461"/>
    <w:rsid w:val="00DE267C"/>
    <w:rsid w:val="00DE36F5"/>
    <w:rsid w:val="00DE4291"/>
    <w:rsid w:val="00DE44DE"/>
    <w:rsid w:val="00DE491B"/>
    <w:rsid w:val="00DE4CC5"/>
    <w:rsid w:val="00DE515B"/>
    <w:rsid w:val="00DE537F"/>
    <w:rsid w:val="00DE5C3F"/>
    <w:rsid w:val="00DE633D"/>
    <w:rsid w:val="00DE6783"/>
    <w:rsid w:val="00DE7AF2"/>
    <w:rsid w:val="00DF0395"/>
    <w:rsid w:val="00DF0770"/>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2A03"/>
    <w:rsid w:val="00E053E3"/>
    <w:rsid w:val="00E056FC"/>
    <w:rsid w:val="00E06172"/>
    <w:rsid w:val="00E06475"/>
    <w:rsid w:val="00E067E5"/>
    <w:rsid w:val="00E068EE"/>
    <w:rsid w:val="00E07CF2"/>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4E9A"/>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08F3"/>
    <w:rsid w:val="00E42495"/>
    <w:rsid w:val="00E4249A"/>
    <w:rsid w:val="00E425F4"/>
    <w:rsid w:val="00E42ECE"/>
    <w:rsid w:val="00E43509"/>
    <w:rsid w:val="00E44959"/>
    <w:rsid w:val="00E44B43"/>
    <w:rsid w:val="00E44B95"/>
    <w:rsid w:val="00E45F9E"/>
    <w:rsid w:val="00E460F6"/>
    <w:rsid w:val="00E5062E"/>
    <w:rsid w:val="00E50661"/>
    <w:rsid w:val="00E50E3A"/>
    <w:rsid w:val="00E518D7"/>
    <w:rsid w:val="00E5461E"/>
    <w:rsid w:val="00E54CB6"/>
    <w:rsid w:val="00E5584E"/>
    <w:rsid w:val="00E55912"/>
    <w:rsid w:val="00E5630E"/>
    <w:rsid w:val="00E56A64"/>
    <w:rsid w:val="00E56ADA"/>
    <w:rsid w:val="00E60753"/>
    <w:rsid w:val="00E60D28"/>
    <w:rsid w:val="00E60F4C"/>
    <w:rsid w:val="00E61719"/>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80DEC"/>
    <w:rsid w:val="00E818C0"/>
    <w:rsid w:val="00E82448"/>
    <w:rsid w:val="00E83BD3"/>
    <w:rsid w:val="00E83C14"/>
    <w:rsid w:val="00E8434D"/>
    <w:rsid w:val="00E84C9B"/>
    <w:rsid w:val="00E856B7"/>
    <w:rsid w:val="00E85EF0"/>
    <w:rsid w:val="00E90C62"/>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51E"/>
    <w:rsid w:val="00EA6ACA"/>
    <w:rsid w:val="00EB0BB3"/>
    <w:rsid w:val="00EB3542"/>
    <w:rsid w:val="00EB354F"/>
    <w:rsid w:val="00EB3A71"/>
    <w:rsid w:val="00EB53E3"/>
    <w:rsid w:val="00EB56A5"/>
    <w:rsid w:val="00EB583E"/>
    <w:rsid w:val="00EB5A37"/>
    <w:rsid w:val="00EB5B96"/>
    <w:rsid w:val="00EB61B4"/>
    <w:rsid w:val="00EB69EB"/>
    <w:rsid w:val="00EB6D11"/>
    <w:rsid w:val="00EB6DD7"/>
    <w:rsid w:val="00EB718F"/>
    <w:rsid w:val="00EB7534"/>
    <w:rsid w:val="00EC06B7"/>
    <w:rsid w:val="00EC0BB8"/>
    <w:rsid w:val="00EC1072"/>
    <w:rsid w:val="00EC139E"/>
    <w:rsid w:val="00EC2F92"/>
    <w:rsid w:val="00EC318D"/>
    <w:rsid w:val="00EC35A2"/>
    <w:rsid w:val="00EC3E07"/>
    <w:rsid w:val="00EC3F43"/>
    <w:rsid w:val="00EC4F5D"/>
    <w:rsid w:val="00EC5D7B"/>
    <w:rsid w:val="00EC6162"/>
    <w:rsid w:val="00EC61EB"/>
    <w:rsid w:val="00EC71C7"/>
    <w:rsid w:val="00EC7C2C"/>
    <w:rsid w:val="00EC7F4F"/>
    <w:rsid w:val="00ED0162"/>
    <w:rsid w:val="00ED0585"/>
    <w:rsid w:val="00ED0CAB"/>
    <w:rsid w:val="00ED0E00"/>
    <w:rsid w:val="00ED0E48"/>
    <w:rsid w:val="00ED1096"/>
    <w:rsid w:val="00ED1A28"/>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4DC"/>
    <w:rsid w:val="00EE48C1"/>
    <w:rsid w:val="00EE4970"/>
    <w:rsid w:val="00EE4B1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785"/>
    <w:rsid w:val="00F00990"/>
    <w:rsid w:val="00F016B5"/>
    <w:rsid w:val="00F01758"/>
    <w:rsid w:val="00F01F8F"/>
    <w:rsid w:val="00F043CC"/>
    <w:rsid w:val="00F045EE"/>
    <w:rsid w:val="00F0503F"/>
    <w:rsid w:val="00F053F8"/>
    <w:rsid w:val="00F065F0"/>
    <w:rsid w:val="00F06771"/>
    <w:rsid w:val="00F0689F"/>
    <w:rsid w:val="00F07286"/>
    <w:rsid w:val="00F1051E"/>
    <w:rsid w:val="00F1072F"/>
    <w:rsid w:val="00F11EDB"/>
    <w:rsid w:val="00F12FAE"/>
    <w:rsid w:val="00F14591"/>
    <w:rsid w:val="00F15BC0"/>
    <w:rsid w:val="00F1726C"/>
    <w:rsid w:val="00F176B4"/>
    <w:rsid w:val="00F1776F"/>
    <w:rsid w:val="00F17837"/>
    <w:rsid w:val="00F21135"/>
    <w:rsid w:val="00F21733"/>
    <w:rsid w:val="00F21A13"/>
    <w:rsid w:val="00F2235F"/>
    <w:rsid w:val="00F2241D"/>
    <w:rsid w:val="00F2349C"/>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16BC"/>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4F3"/>
    <w:rsid w:val="00F42793"/>
    <w:rsid w:val="00F428E6"/>
    <w:rsid w:val="00F42C81"/>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2DAB"/>
    <w:rsid w:val="00F63B32"/>
    <w:rsid w:val="00F63BF0"/>
    <w:rsid w:val="00F6561B"/>
    <w:rsid w:val="00F65DF8"/>
    <w:rsid w:val="00F6649D"/>
    <w:rsid w:val="00F67641"/>
    <w:rsid w:val="00F71145"/>
    <w:rsid w:val="00F717BD"/>
    <w:rsid w:val="00F722A8"/>
    <w:rsid w:val="00F72DB1"/>
    <w:rsid w:val="00F73627"/>
    <w:rsid w:val="00F736F1"/>
    <w:rsid w:val="00F740CF"/>
    <w:rsid w:val="00F74479"/>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7547"/>
    <w:rsid w:val="00FA0259"/>
    <w:rsid w:val="00FA0CA1"/>
    <w:rsid w:val="00FA3B48"/>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A25"/>
    <w:rsid w:val="00FC7B23"/>
    <w:rsid w:val="00FD0D99"/>
    <w:rsid w:val="00FD17CD"/>
    <w:rsid w:val="00FD3946"/>
    <w:rsid w:val="00FD6C35"/>
    <w:rsid w:val="00FD7B69"/>
    <w:rsid w:val="00FE2179"/>
    <w:rsid w:val="00FE2804"/>
    <w:rsid w:val="00FE2984"/>
    <w:rsid w:val="00FE3B74"/>
    <w:rsid w:val="00FE3D96"/>
    <w:rsid w:val="00FE3EAC"/>
    <w:rsid w:val="00FE418D"/>
    <w:rsid w:val="00FE58C1"/>
    <w:rsid w:val="00FE5979"/>
    <w:rsid w:val="00FE6FD2"/>
    <w:rsid w:val="00FE7BEF"/>
    <w:rsid w:val="00FE7E2D"/>
    <w:rsid w:val="00FE7ED5"/>
    <w:rsid w:val="00FF0198"/>
    <w:rsid w:val="00FF04EE"/>
    <w:rsid w:val="00FF0520"/>
    <w:rsid w:val="00FF087C"/>
    <w:rsid w:val="00FF10BB"/>
    <w:rsid w:val="00FF12AD"/>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588"/>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7891479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6481582">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47951387">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06805916">
      <w:bodyDiv w:val="1"/>
      <w:marLeft w:val="0"/>
      <w:marRight w:val="0"/>
      <w:marTop w:val="0"/>
      <w:marBottom w:val="0"/>
      <w:divBdr>
        <w:top w:val="none" w:sz="0" w:space="0" w:color="auto"/>
        <w:left w:val="none" w:sz="0" w:space="0" w:color="auto"/>
        <w:bottom w:val="none" w:sz="0" w:space="0" w:color="auto"/>
        <w:right w:val="none" w:sz="0" w:space="0" w:color="auto"/>
      </w:divBdr>
    </w:div>
    <w:div w:id="407577274">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4945583">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6367476">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18940">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30002753">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48316383">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092237337">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19132237">
      <w:bodyDiv w:val="1"/>
      <w:marLeft w:val="0"/>
      <w:marRight w:val="0"/>
      <w:marTop w:val="0"/>
      <w:marBottom w:val="0"/>
      <w:divBdr>
        <w:top w:val="none" w:sz="0" w:space="0" w:color="auto"/>
        <w:left w:val="none" w:sz="0" w:space="0" w:color="auto"/>
        <w:bottom w:val="none" w:sz="0" w:space="0" w:color="auto"/>
        <w:right w:val="none" w:sz="0" w:space="0" w:color="auto"/>
      </w:divBdr>
    </w:div>
    <w:div w:id="2123106826">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1997</Words>
  <Characters>12984</Characters>
  <Application>Microsoft Office Word</Application>
  <DocSecurity>0</DocSecurity>
  <Lines>1180</Lines>
  <Paragraphs>217</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4</cp:revision>
  <cp:lastPrinted>2025-10-21T11:07:00Z</cp:lastPrinted>
  <dcterms:created xsi:type="dcterms:W3CDTF">2025-10-21T12:11:00Z</dcterms:created>
  <dcterms:modified xsi:type="dcterms:W3CDTF">2025-10-22T13:31:00Z</dcterms:modified>
</cp:coreProperties>
</file>