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2E1B59C" w14:textId="25C6DBF5" w:rsidR="00ED0F5B" w:rsidRDefault="00ED0F5B" w:rsidP="0096348C">
      <w:pPr>
        <w:rPr>
          <w:szCs w:val="24"/>
        </w:rPr>
      </w:pPr>
    </w:p>
    <w:p w14:paraId="4A432077" w14:textId="2F100CF4" w:rsidR="00A01B6D" w:rsidRDefault="00A01B6D" w:rsidP="0096348C">
      <w:pPr>
        <w:rPr>
          <w:szCs w:val="24"/>
        </w:rPr>
      </w:pPr>
    </w:p>
    <w:p w14:paraId="41BD2436" w14:textId="72A5E77E" w:rsidR="00E45BFD" w:rsidRDefault="00E45BFD" w:rsidP="0096348C">
      <w:pPr>
        <w:rPr>
          <w:szCs w:val="24"/>
        </w:rPr>
      </w:pPr>
    </w:p>
    <w:p w14:paraId="61AEBE83" w14:textId="77777777" w:rsidR="006F12A1" w:rsidRPr="00D10746" w:rsidRDefault="006F12A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7BDECD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CA56EC">
              <w:rPr>
                <w:b/>
                <w:szCs w:val="24"/>
              </w:rPr>
              <w:t>5</w:t>
            </w:r>
            <w:r w:rsidR="00263005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29B556A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BF5D39">
              <w:rPr>
                <w:szCs w:val="24"/>
              </w:rPr>
              <w:t>5</w:t>
            </w:r>
            <w:r w:rsidR="00955E92" w:rsidRPr="001C05DA">
              <w:rPr>
                <w:szCs w:val="24"/>
              </w:rPr>
              <w:t>-</w:t>
            </w:r>
            <w:r w:rsidR="00263005">
              <w:rPr>
                <w:szCs w:val="24"/>
              </w:rPr>
              <w:t>12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655E1AFF" w14:textId="77777777" w:rsidR="00CA45DB" w:rsidRPr="005F56D5" w:rsidRDefault="00E4575E" w:rsidP="00EE1733">
            <w:pPr>
              <w:rPr>
                <w:szCs w:val="24"/>
              </w:rPr>
            </w:pPr>
            <w:r w:rsidRPr="005F56D5">
              <w:rPr>
                <w:szCs w:val="24"/>
              </w:rPr>
              <w:t>1</w:t>
            </w:r>
            <w:r w:rsidR="00DE3FFA" w:rsidRPr="005F56D5">
              <w:rPr>
                <w:szCs w:val="24"/>
              </w:rPr>
              <w:t>0</w:t>
            </w:r>
            <w:r w:rsidR="00BF5D39" w:rsidRPr="005F56D5">
              <w:rPr>
                <w:szCs w:val="24"/>
              </w:rPr>
              <w:t>:</w:t>
            </w:r>
            <w:r w:rsidRPr="005F56D5">
              <w:rPr>
                <w:szCs w:val="24"/>
              </w:rPr>
              <w:t>0</w:t>
            </w:r>
            <w:r w:rsidR="003D7D74" w:rsidRPr="005F56D5">
              <w:rPr>
                <w:szCs w:val="24"/>
              </w:rPr>
              <w:t>0</w:t>
            </w:r>
            <w:r w:rsidR="00953995" w:rsidRPr="005F56D5">
              <w:rPr>
                <w:szCs w:val="24"/>
              </w:rPr>
              <w:t>–</w:t>
            </w:r>
            <w:r w:rsidR="00443082" w:rsidRPr="005F56D5">
              <w:rPr>
                <w:szCs w:val="24"/>
              </w:rPr>
              <w:t>1</w:t>
            </w:r>
            <w:r w:rsidR="001972DE" w:rsidRPr="005F56D5">
              <w:rPr>
                <w:szCs w:val="24"/>
              </w:rPr>
              <w:t>0.</w:t>
            </w:r>
            <w:r w:rsidR="00443082" w:rsidRPr="005F56D5">
              <w:rPr>
                <w:szCs w:val="24"/>
              </w:rPr>
              <w:t>3</w:t>
            </w:r>
            <w:r w:rsidR="00CA56EC" w:rsidRPr="005F56D5">
              <w:rPr>
                <w:szCs w:val="24"/>
              </w:rPr>
              <w:t>0</w:t>
            </w:r>
          </w:p>
          <w:p w14:paraId="199E69E3" w14:textId="4DDB6423" w:rsidR="00443082" w:rsidRPr="001972DE" w:rsidRDefault="00443082" w:rsidP="00EE1733">
            <w:pPr>
              <w:rPr>
                <w:szCs w:val="24"/>
                <w:highlight w:val="yellow"/>
              </w:rPr>
            </w:pPr>
            <w:r w:rsidRPr="005F56D5">
              <w:rPr>
                <w:szCs w:val="24"/>
              </w:rPr>
              <w:t>10.40–11.15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C0ADA5D" w14:textId="77777777" w:rsidR="00E45BFD" w:rsidRDefault="00E45BFD" w:rsidP="00D15874">
      <w:pPr>
        <w:tabs>
          <w:tab w:val="left" w:pos="1418"/>
        </w:tabs>
        <w:rPr>
          <w:snapToGrid w:val="0"/>
          <w:szCs w:val="24"/>
        </w:rPr>
      </w:pPr>
    </w:p>
    <w:p w14:paraId="6BB3863A" w14:textId="77777777" w:rsidR="00DE3FFA" w:rsidRPr="00D10746" w:rsidRDefault="00DE3FF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EC7390" w:rsidRPr="00D10746" w14:paraId="27C8C4D6" w14:textId="77777777" w:rsidTr="00804B3A">
        <w:tc>
          <w:tcPr>
            <w:tcW w:w="567" w:type="dxa"/>
          </w:tcPr>
          <w:p w14:paraId="60BA5DF0" w14:textId="29C6E7E3" w:rsidR="00EC7390" w:rsidRDefault="00EC739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116B139A" w14:textId="77777777" w:rsidR="00E45BFD" w:rsidRDefault="00E45BFD" w:rsidP="00EC7390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riksdagens utvärderings- och forskningssekretariat (Rufs)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77DCE23" w14:textId="27D985F4" w:rsidR="00EC7390" w:rsidRDefault="00E45BFD" w:rsidP="00EC7390">
            <w:pPr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Företrädare från Rufs presentera</w:t>
            </w:r>
            <w:r w:rsidR="00F0255F">
              <w:rPr>
                <w:color w:val="000000"/>
                <w:szCs w:val="24"/>
              </w:rPr>
              <w:t>de</w:t>
            </w:r>
            <w:r>
              <w:rPr>
                <w:color w:val="000000"/>
                <w:szCs w:val="24"/>
              </w:rPr>
              <w:t xml:space="preserve"> uppföljnings- och utvärderings-gruppens rapport Hälso- och sjukvård för barn och unga i samhällets vård.</w:t>
            </w:r>
          </w:p>
          <w:p w14:paraId="68B2A09E" w14:textId="09AC835F" w:rsidR="00EC7390" w:rsidRPr="00933BD5" w:rsidRDefault="007D3099" w:rsidP="00EC7390">
            <w:pPr>
              <w:rPr>
                <w:b/>
                <w:bCs/>
                <w:szCs w:val="24"/>
              </w:rPr>
            </w:pPr>
            <w:r w:rsidRPr="007D3099">
              <w:rPr>
                <w:b/>
                <w:bCs/>
                <w:szCs w:val="24"/>
              </w:rPr>
              <w:t xml:space="preserve"> </w:t>
            </w:r>
          </w:p>
        </w:tc>
      </w:tr>
      <w:tr w:rsidR="00E45BFD" w:rsidRPr="00D10746" w14:paraId="15C2CD44" w14:textId="77777777" w:rsidTr="00804B3A">
        <w:tc>
          <w:tcPr>
            <w:tcW w:w="567" w:type="dxa"/>
          </w:tcPr>
          <w:p w14:paraId="2A3E3811" w14:textId="5F04D974" w:rsidR="00E45BFD" w:rsidRDefault="00E45BF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23B61452" w14:textId="77777777" w:rsidR="00E45BFD" w:rsidRPr="00EC7390" w:rsidRDefault="00E45BFD" w:rsidP="00E45BFD">
            <w:pPr>
              <w:rPr>
                <w:b/>
                <w:bCs/>
                <w:szCs w:val="24"/>
              </w:rPr>
            </w:pPr>
            <w:r w:rsidRPr="00EC7390">
              <w:rPr>
                <w:b/>
                <w:bCs/>
                <w:szCs w:val="24"/>
              </w:rPr>
              <w:t>Uppföljning och utvärdering</w:t>
            </w:r>
          </w:p>
          <w:p w14:paraId="334DB2F8" w14:textId="77777777" w:rsidR="00E45BFD" w:rsidRDefault="00E45BFD" w:rsidP="00E45BFD">
            <w:pPr>
              <w:rPr>
                <w:bCs/>
                <w:color w:val="FF0000"/>
                <w:szCs w:val="24"/>
              </w:rPr>
            </w:pPr>
          </w:p>
          <w:p w14:paraId="37439D6C" w14:textId="671F2FD5" w:rsidR="00E45BFD" w:rsidRPr="00B3390F" w:rsidRDefault="00E45BFD" w:rsidP="00B3390F">
            <w:pPr>
              <w:pStyle w:val="Default"/>
              <w:rPr>
                <w:color w:val="auto"/>
              </w:rPr>
            </w:pPr>
            <w:r w:rsidRPr="00B3390F">
              <w:rPr>
                <w:bCs/>
                <w:color w:val="auto"/>
              </w:rPr>
              <w:t xml:space="preserve">Utskottet beslutade att ställa sig bakom rapporten </w:t>
            </w:r>
            <w:r w:rsidRPr="00B3390F">
              <w:rPr>
                <w:color w:val="auto"/>
              </w:rPr>
              <w:t xml:space="preserve">Hälso- och sjukvård för barn och unga i samhällets vård, </w:t>
            </w:r>
            <w:r w:rsidRPr="00B3390F">
              <w:rPr>
                <w:bCs/>
                <w:color w:val="auto"/>
              </w:rPr>
              <w:t>som utskottets uppföljnings- och utvärderingsgrupp tagit fram</w:t>
            </w:r>
            <w:r w:rsidR="00B3390F" w:rsidRPr="00B3390F">
              <w:rPr>
                <w:bCs/>
                <w:color w:val="auto"/>
              </w:rPr>
              <w:t>, och</w:t>
            </w:r>
            <w:r w:rsidR="00B3390F" w:rsidRPr="00B3390F">
              <w:rPr>
                <w:color w:val="auto"/>
              </w:rPr>
              <w:t xml:space="preserve"> att anordna ett öppet seminarium om rapporten onsdagen den 15 juni 2022, kl. 9.00-10.30. </w:t>
            </w:r>
          </w:p>
          <w:p w14:paraId="2FF99B2D" w14:textId="77777777" w:rsidR="00E45BFD" w:rsidRPr="00EC7390" w:rsidRDefault="00E45BFD" w:rsidP="00EC7390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328537E3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BF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AEB3F0B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1DDE42B1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</w:p>
          <w:p w14:paraId="72B154E4" w14:textId="0D3A703B" w:rsidR="00BF5D39" w:rsidRDefault="00BF5D39" w:rsidP="00BF5D39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</w:t>
            </w:r>
            <w:r w:rsidRPr="00F24FB3">
              <w:rPr>
                <w:bCs/>
                <w:szCs w:val="24"/>
              </w:rPr>
              <w:t>22:</w:t>
            </w:r>
            <w:r w:rsidRPr="00A05EF4">
              <w:rPr>
                <w:bCs/>
                <w:szCs w:val="24"/>
              </w:rPr>
              <w:t>5</w:t>
            </w:r>
            <w:r w:rsidR="00263005" w:rsidRPr="00A05EF4">
              <w:rPr>
                <w:bCs/>
                <w:szCs w:val="24"/>
              </w:rPr>
              <w:t>4</w:t>
            </w:r>
            <w:r w:rsidRPr="00A05EF4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2E21CA" w:rsidRPr="00D10746" w14:paraId="2D9726A3" w14:textId="77777777" w:rsidTr="00804B3A">
        <w:tc>
          <w:tcPr>
            <w:tcW w:w="567" w:type="dxa"/>
          </w:tcPr>
          <w:p w14:paraId="5B33A942" w14:textId="78EB092F" w:rsidR="002E21CA" w:rsidRDefault="002E21C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BF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98F3E38" w14:textId="77777777" w:rsidR="00263005" w:rsidRDefault="00263005" w:rsidP="00263005">
            <w:pPr>
              <w:rPr>
                <w:bCs/>
                <w:szCs w:val="24"/>
              </w:rPr>
            </w:pPr>
            <w:r w:rsidRPr="00DE3FFA">
              <w:rPr>
                <w:b/>
                <w:bCs/>
                <w:color w:val="000000"/>
                <w:szCs w:val="24"/>
              </w:rPr>
              <w:t>Socialtjänstfrågor – barn och unga (SoU18)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73D4ABBF" w14:textId="1B029EA2" w:rsidR="00263005" w:rsidRPr="00263005" w:rsidRDefault="00263005" w:rsidP="00263005">
            <w:r w:rsidRPr="00DE3FFA">
              <w:rPr>
                <w:bCs/>
                <w:szCs w:val="24"/>
              </w:rPr>
              <w:t xml:space="preserve">Utskottet fortsatte behandlingen av motioner om </w:t>
            </w:r>
            <w:r w:rsidRPr="00DE3FFA">
              <w:rPr>
                <w:bCs/>
                <w:color w:val="000000"/>
                <w:szCs w:val="24"/>
              </w:rPr>
              <w:t>socialtjänstfrågor – barn och unga</w:t>
            </w:r>
            <w:r w:rsidRPr="00DE3FFA">
              <w:t>.</w:t>
            </w:r>
          </w:p>
          <w:p w14:paraId="67EF4AE1" w14:textId="77777777" w:rsidR="00DE3FFA" w:rsidRPr="003504BC" w:rsidRDefault="00DE3FFA" w:rsidP="00DE3F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EE6B1E6" w14:textId="7E09FDA3" w:rsidR="00DE3FFA" w:rsidRPr="00524C01" w:rsidRDefault="00DE3FFA" w:rsidP="00DE3F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1</w:t>
            </w:r>
            <w:r w:rsidR="00263005">
              <w:rPr>
                <w:bCs/>
                <w:szCs w:val="24"/>
              </w:rPr>
              <w:t>8</w:t>
            </w:r>
            <w:r w:rsidRPr="00524C01">
              <w:rPr>
                <w:bCs/>
                <w:szCs w:val="24"/>
              </w:rPr>
              <w:t>.</w:t>
            </w:r>
          </w:p>
          <w:p w14:paraId="5343A6EF" w14:textId="77777777" w:rsidR="00DE3FFA" w:rsidRPr="00524C01" w:rsidRDefault="00DE3FFA" w:rsidP="00DE3F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5290B5D" w14:textId="471098B9" w:rsidR="00BF5D39" w:rsidRPr="006C68A0" w:rsidRDefault="00DE3FFA" w:rsidP="006F12A1">
            <w:pPr>
              <w:pStyle w:val="Default"/>
              <w:rPr>
                <w:bCs/>
                <w:color w:val="auto"/>
              </w:rPr>
            </w:pPr>
            <w:r w:rsidRPr="006C68A0">
              <w:rPr>
                <w:bCs/>
                <w:color w:val="auto"/>
              </w:rPr>
              <w:t>S-, M-, SD-, C-, V-, KD-, L- och MP-ledamöterna anmälde reservationer.</w:t>
            </w:r>
            <w:r w:rsidR="00A406BE" w:rsidRPr="006C68A0">
              <w:rPr>
                <w:bCs/>
                <w:color w:val="auto"/>
              </w:rPr>
              <w:t xml:space="preserve"> M-, SD-, C-, V-, KD- och </w:t>
            </w:r>
            <w:r w:rsidR="00A90F4B">
              <w:rPr>
                <w:bCs/>
                <w:color w:val="auto"/>
              </w:rPr>
              <w:t>L</w:t>
            </w:r>
            <w:r w:rsidR="00A406BE" w:rsidRPr="006C68A0">
              <w:rPr>
                <w:bCs/>
                <w:color w:val="auto"/>
              </w:rPr>
              <w:t>-ledamöterna anmälde särskilda yttranden.</w:t>
            </w:r>
            <w:r w:rsidRPr="006C68A0">
              <w:rPr>
                <w:bCs/>
                <w:color w:val="auto"/>
              </w:rPr>
              <w:t xml:space="preserve"> </w:t>
            </w:r>
          </w:p>
          <w:p w14:paraId="67F142A8" w14:textId="4CDD699A" w:rsidR="006F12A1" w:rsidRDefault="006F12A1" w:rsidP="006F12A1">
            <w:pPr>
              <w:pStyle w:val="Default"/>
              <w:rPr>
                <w:b/>
                <w:bCs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1647DB87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BF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6D3858D" w14:textId="77777777" w:rsidR="00263005" w:rsidRDefault="00263005" w:rsidP="00263005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Barnets bästa när vård enligt LVU upphör – lex lilla hjärtat (SoU33)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3BB758E0" w14:textId="1B7CD8B8" w:rsidR="00263005" w:rsidRPr="00DE3FFA" w:rsidRDefault="00263005" w:rsidP="00263005">
            <w:r w:rsidRPr="00DE3FFA">
              <w:rPr>
                <w:bCs/>
                <w:szCs w:val="24"/>
              </w:rPr>
              <w:t xml:space="preserve">Utskottet fortsatte behandlingen av </w:t>
            </w:r>
            <w:r>
              <w:rPr>
                <w:bCs/>
                <w:szCs w:val="24"/>
              </w:rPr>
              <w:t>proposition 2021/22:178 och motioner</w:t>
            </w:r>
            <w:r w:rsidRPr="00DE3FFA">
              <w:t>.</w:t>
            </w:r>
          </w:p>
          <w:p w14:paraId="03D95D60" w14:textId="77777777" w:rsidR="00263005" w:rsidRPr="007C7E4D" w:rsidRDefault="00263005" w:rsidP="00263005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44DFD0BD" w14:textId="77777777" w:rsidR="00263005" w:rsidRPr="00524C01" w:rsidRDefault="00263005" w:rsidP="0026300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21A2538C" w14:textId="79ECD728" w:rsidR="00A045FA" w:rsidRPr="00524C01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3D7D5AB3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D309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70BDD56A" w14:textId="05F9F870" w:rsidR="001012CC" w:rsidRDefault="00263005" w:rsidP="001012CC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samlad strategi för alkohol-, narkotika-, dopnings- och tobakspolitiken samt spel om pengar 2022–2025 (SoU25)</w:t>
            </w:r>
            <w:r w:rsidR="001012CC">
              <w:rPr>
                <w:b/>
                <w:bCs/>
                <w:color w:val="000000"/>
                <w:szCs w:val="24"/>
              </w:rPr>
              <w:br/>
            </w:r>
          </w:p>
          <w:p w14:paraId="3DB13028" w14:textId="029C5596" w:rsidR="001012CC" w:rsidRPr="00DE3FFA" w:rsidRDefault="001012CC" w:rsidP="001012CC">
            <w:r w:rsidRPr="00DE3FFA">
              <w:rPr>
                <w:bCs/>
                <w:szCs w:val="24"/>
              </w:rPr>
              <w:t xml:space="preserve">Utskottet fortsatte behandlingen av </w:t>
            </w:r>
            <w:r w:rsidR="00263005">
              <w:rPr>
                <w:bCs/>
                <w:szCs w:val="24"/>
              </w:rPr>
              <w:t>skrivelse 2021/22:213 och motioner</w:t>
            </w:r>
            <w:r w:rsidRPr="00DE3FFA">
              <w:t>.</w:t>
            </w:r>
          </w:p>
          <w:p w14:paraId="519130B1" w14:textId="77777777" w:rsidR="001012CC" w:rsidRPr="007C7E4D" w:rsidRDefault="001012CC" w:rsidP="001012CC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4A05DF0D" w14:textId="77777777" w:rsidR="001012CC" w:rsidRPr="00524C01" w:rsidRDefault="001012CC" w:rsidP="001012CC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 w:rsidRPr="00524C01">
              <w:rPr>
                <w:bCs/>
                <w:szCs w:val="24"/>
              </w:rPr>
              <w:t>Ärendet bordlades.</w:t>
            </w:r>
          </w:p>
          <w:bookmarkEnd w:id="0"/>
          <w:p w14:paraId="715F3233" w14:textId="20030751" w:rsidR="007D3099" w:rsidRDefault="007D3099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D3099" w:rsidRPr="00D10746" w14:paraId="72E092B3" w14:textId="77777777" w:rsidTr="00804B3A">
        <w:tc>
          <w:tcPr>
            <w:tcW w:w="567" w:type="dxa"/>
          </w:tcPr>
          <w:p w14:paraId="0A875DF7" w14:textId="51DB4067" w:rsidR="007D3099" w:rsidRDefault="007D309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7AAF8DAE" w14:textId="77777777" w:rsidR="007D3099" w:rsidRDefault="007D3099" w:rsidP="007D309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Hårdare regler för nya nikotinprodukter (SoU31)</w:t>
            </w:r>
          </w:p>
          <w:p w14:paraId="3BDB5900" w14:textId="77777777" w:rsidR="007D3099" w:rsidRDefault="007D3099" w:rsidP="007D3099">
            <w:pPr>
              <w:rPr>
                <w:bCs/>
                <w:szCs w:val="24"/>
              </w:rPr>
            </w:pPr>
          </w:p>
          <w:p w14:paraId="68F23A87" w14:textId="3B299923" w:rsidR="007D3099" w:rsidRPr="00DE3FFA" w:rsidRDefault="007D3099" w:rsidP="007D3099">
            <w:r w:rsidRPr="00DE3FFA">
              <w:rPr>
                <w:bCs/>
                <w:szCs w:val="24"/>
              </w:rPr>
              <w:t xml:space="preserve">Utskottet fortsatte behandlingen av </w:t>
            </w:r>
            <w:r w:rsidRPr="0053516F">
              <w:rPr>
                <w:bCs/>
                <w:color w:val="000000"/>
                <w:szCs w:val="24"/>
              </w:rPr>
              <w:t>proposition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2021/22:200 och motioner</w:t>
            </w:r>
            <w:r w:rsidRPr="00DE3FFA">
              <w:t>.</w:t>
            </w:r>
          </w:p>
          <w:p w14:paraId="2FBC2B9B" w14:textId="77777777" w:rsidR="007D3099" w:rsidRPr="007C7E4D" w:rsidRDefault="007D3099" w:rsidP="007D3099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60E195A0" w14:textId="77777777" w:rsidR="007D3099" w:rsidRPr="00524C01" w:rsidRDefault="007D3099" w:rsidP="007D30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062C7712" w14:textId="77777777" w:rsidR="007D3099" w:rsidRDefault="007D3099" w:rsidP="001012C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32540" w:rsidRPr="00D10746" w14:paraId="75C2794A" w14:textId="77777777" w:rsidTr="00804B3A">
        <w:tc>
          <w:tcPr>
            <w:tcW w:w="567" w:type="dxa"/>
          </w:tcPr>
          <w:p w14:paraId="0B6FE1E7" w14:textId="0A5C1D5E" w:rsidR="00432540" w:rsidRPr="00933BD5" w:rsidRDefault="0043254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D309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40B404BE" w14:textId="77777777" w:rsidR="00432540" w:rsidRDefault="00432540" w:rsidP="00432540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Stärkt rätt till personlig assistans – grundläggande behov för personer som har en psykisk funktionsnedsättning och ökad rättssäkerhet för barn (SoU34)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526C669" w14:textId="77777777" w:rsidR="00432540" w:rsidRPr="00DE3FFA" w:rsidRDefault="00432540" w:rsidP="00432540">
            <w:r w:rsidRPr="00DE3FFA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53516F">
              <w:rPr>
                <w:bCs/>
                <w:szCs w:val="24"/>
              </w:rPr>
              <w:t xml:space="preserve"> </w:t>
            </w:r>
            <w:r w:rsidRPr="0053516F">
              <w:rPr>
                <w:bCs/>
                <w:color w:val="000000"/>
                <w:szCs w:val="24"/>
              </w:rPr>
              <w:t>proposition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2021/22:214 och motioner</w:t>
            </w:r>
            <w:r w:rsidRPr="00DE3FFA">
              <w:t>.</w:t>
            </w:r>
          </w:p>
          <w:p w14:paraId="4B969EBC" w14:textId="77777777" w:rsidR="00432540" w:rsidRPr="007C7E4D" w:rsidRDefault="00432540" w:rsidP="00432540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6C545E0C" w14:textId="77777777" w:rsidR="00432540" w:rsidRPr="00524C01" w:rsidRDefault="00432540" w:rsidP="0043254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5E3A1848" w14:textId="77777777" w:rsidR="00432540" w:rsidRPr="00933BD5" w:rsidRDefault="0043254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33D21" w:rsidRPr="00D10746" w14:paraId="43C9636E" w14:textId="77777777" w:rsidTr="00804B3A">
        <w:tc>
          <w:tcPr>
            <w:tcW w:w="567" w:type="dxa"/>
          </w:tcPr>
          <w:p w14:paraId="0144FDA7" w14:textId="35D8E5A2" w:rsidR="00F33D21" w:rsidRDefault="00F33D2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D309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5646A33" w14:textId="1E0A04F4" w:rsidR="00F33D21" w:rsidRDefault="00F33D21" w:rsidP="00F33D21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utskottsinitiativ om könstillhörighetslagen</w:t>
            </w:r>
            <w:r>
              <w:rPr>
                <w:color w:val="000000"/>
                <w:szCs w:val="24"/>
              </w:rPr>
              <w:br/>
            </w:r>
          </w:p>
          <w:p w14:paraId="784AD282" w14:textId="5D82E54F" w:rsidR="00F33D21" w:rsidRPr="00F33D21" w:rsidRDefault="00F33D21" w:rsidP="00F33D21">
            <w:r w:rsidRPr="00F33D21">
              <w:rPr>
                <w:szCs w:val="24"/>
              </w:rPr>
              <w:t>Utskottet fortsatte behandlingen av frågan om</w:t>
            </w:r>
            <w:r w:rsidRPr="00F33D21">
              <w:rPr>
                <w:bCs/>
                <w:szCs w:val="24"/>
              </w:rPr>
              <w:t xml:space="preserve"> </w:t>
            </w:r>
            <w:r w:rsidRPr="00F33D21">
              <w:rPr>
                <w:bCs/>
                <w:color w:val="000000"/>
                <w:szCs w:val="24"/>
              </w:rPr>
              <w:t>könstillhörighetslagen</w:t>
            </w:r>
            <w:r w:rsidRPr="00F33D21">
              <w:t xml:space="preserve">. </w:t>
            </w:r>
          </w:p>
          <w:p w14:paraId="697AB6F7" w14:textId="77777777" w:rsidR="00F33D21" w:rsidRDefault="00F33D21" w:rsidP="00F33D21"/>
          <w:p w14:paraId="112CC18B" w14:textId="77777777" w:rsidR="00A90F4B" w:rsidRPr="00A90F4B" w:rsidRDefault="00A90F4B" w:rsidP="00A90F4B">
            <w:pPr>
              <w:rPr>
                <w:iCs/>
                <w:sz w:val="22"/>
              </w:rPr>
            </w:pPr>
            <w:r w:rsidRPr="00A90F4B">
              <w:rPr>
                <w:iCs/>
              </w:rPr>
              <w:t xml:space="preserve">Utskottet beslutade att inte påbörja ett beredningsarbete. </w:t>
            </w:r>
          </w:p>
          <w:p w14:paraId="7D09ADF6" w14:textId="77777777" w:rsidR="00A90F4B" w:rsidRPr="00A90F4B" w:rsidRDefault="00A90F4B" w:rsidP="00A90F4B">
            <w:pPr>
              <w:rPr>
                <w:iCs/>
              </w:rPr>
            </w:pPr>
          </w:p>
          <w:p w14:paraId="7763A69B" w14:textId="77777777" w:rsidR="00A90F4B" w:rsidRPr="00A90F4B" w:rsidRDefault="00A90F4B" w:rsidP="00A90F4B">
            <w:pPr>
              <w:rPr>
                <w:iCs/>
              </w:rPr>
            </w:pPr>
            <w:r w:rsidRPr="00A90F4B">
              <w:rPr>
                <w:iCs/>
              </w:rPr>
              <w:t>Mot beslutet reserverade sig MP-ledamoten och ansåg att utskottet borde ha inlett ett beredningsarbete i syfte att kunna ta ett initiativ.</w:t>
            </w:r>
          </w:p>
          <w:p w14:paraId="44FB8C68" w14:textId="77777777" w:rsidR="00A90F4B" w:rsidRPr="00A90F4B" w:rsidRDefault="00A90F4B" w:rsidP="00A90F4B">
            <w:pPr>
              <w:rPr>
                <w:iCs/>
              </w:rPr>
            </w:pPr>
          </w:p>
          <w:p w14:paraId="0146549E" w14:textId="77777777" w:rsidR="00A90F4B" w:rsidRPr="00A90F4B" w:rsidRDefault="00A90F4B" w:rsidP="00A90F4B">
            <w:pPr>
              <w:rPr>
                <w:iCs/>
              </w:rPr>
            </w:pPr>
            <w:r w:rsidRPr="00A90F4B">
              <w:rPr>
                <w:iCs/>
              </w:rPr>
              <w:t xml:space="preserve">Utskottet noterade att enligt den regeringsförklaring som dåvarande statsminister Stefan </w:t>
            </w:r>
            <w:proofErr w:type="spellStart"/>
            <w:r w:rsidRPr="00A90F4B">
              <w:rPr>
                <w:iCs/>
              </w:rPr>
              <w:t>Löfven</w:t>
            </w:r>
            <w:proofErr w:type="spellEnd"/>
            <w:r w:rsidRPr="00A90F4B">
              <w:rPr>
                <w:iCs/>
              </w:rPr>
              <w:t xml:space="preserve"> avgav den 14 september 2021 skulle en ny lag om könstillhörighet beslutas av riksdagen under innevarande mandatperiod. Frågan nämns inte i statsminister Magdalena Anderssons regeringsförklaring den 30 november 2021, men enligt den information som lämnats till utskottet är det regeringens avsikt att inhämta ett lagrådsyttrande före innevarande mandatperiods slut.</w:t>
            </w:r>
          </w:p>
          <w:p w14:paraId="4EC3ACCF" w14:textId="77777777" w:rsidR="00F33D21" w:rsidRDefault="00F33D21" w:rsidP="0043254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B6E4C73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7D309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3505ED2E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D309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0A399A1" w:rsidR="008E2FED" w:rsidRPr="00BF5D39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BF5D39">
              <w:rPr>
                <w:szCs w:val="24"/>
              </w:rPr>
              <w:t>Inkomna skrivelser enligt bilaga 2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10D1DBED" w:rsidR="00B17881" w:rsidRPr="00A05EF4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05EF4">
              <w:rPr>
                <w:b/>
                <w:snapToGrid w:val="0"/>
                <w:szCs w:val="24"/>
              </w:rPr>
              <w:t xml:space="preserve">§ </w:t>
            </w:r>
            <w:r w:rsidR="00432540" w:rsidRPr="00A05EF4">
              <w:rPr>
                <w:b/>
                <w:snapToGrid w:val="0"/>
                <w:szCs w:val="24"/>
              </w:rPr>
              <w:t>1</w:t>
            </w:r>
            <w:r w:rsidR="00B3390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3A69062" w14:textId="77777777" w:rsidR="00B17881" w:rsidRPr="00A05EF4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05EF4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A05EF4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6577342F" w:rsidR="00B17881" w:rsidRPr="00A05EF4" w:rsidRDefault="00B17881" w:rsidP="00B17881">
            <w:pPr>
              <w:rPr>
                <w:szCs w:val="24"/>
              </w:rPr>
            </w:pPr>
            <w:r w:rsidRPr="00A05EF4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A05EF4">
              <w:rPr>
                <w:szCs w:val="24"/>
              </w:rPr>
              <w:t>t</w:t>
            </w:r>
            <w:r w:rsidR="00263005" w:rsidRPr="00A05EF4">
              <w:rPr>
                <w:szCs w:val="24"/>
              </w:rPr>
              <w:t>or</w:t>
            </w:r>
            <w:r w:rsidR="00FA70A0" w:rsidRPr="00A05EF4">
              <w:rPr>
                <w:szCs w:val="24"/>
              </w:rPr>
              <w:t>s</w:t>
            </w:r>
            <w:r w:rsidRPr="00A05EF4">
              <w:rPr>
                <w:szCs w:val="24"/>
              </w:rPr>
              <w:t xml:space="preserve">dag den </w:t>
            </w:r>
            <w:r w:rsidR="00DE3FFA" w:rsidRPr="00A05EF4">
              <w:rPr>
                <w:szCs w:val="24"/>
              </w:rPr>
              <w:t>1</w:t>
            </w:r>
            <w:r w:rsidR="00263005" w:rsidRPr="00A05EF4">
              <w:rPr>
                <w:szCs w:val="24"/>
              </w:rPr>
              <w:t>9</w:t>
            </w:r>
            <w:r w:rsidR="00056B3D" w:rsidRPr="00A05EF4">
              <w:rPr>
                <w:szCs w:val="24"/>
              </w:rPr>
              <w:t xml:space="preserve"> maj</w:t>
            </w:r>
            <w:r w:rsidRPr="00A05EF4">
              <w:rPr>
                <w:szCs w:val="24"/>
              </w:rPr>
              <w:t xml:space="preserve"> 2022 kl. </w:t>
            </w:r>
            <w:r w:rsidR="004C1D09" w:rsidRPr="00A05EF4">
              <w:rPr>
                <w:szCs w:val="24"/>
              </w:rPr>
              <w:t>1</w:t>
            </w:r>
            <w:r w:rsidR="00263005" w:rsidRPr="00A05EF4">
              <w:rPr>
                <w:szCs w:val="24"/>
              </w:rPr>
              <w:t>0</w:t>
            </w:r>
            <w:r w:rsidRPr="00A05EF4">
              <w:rPr>
                <w:szCs w:val="24"/>
              </w:rPr>
              <w:t>.</w:t>
            </w:r>
            <w:r w:rsidR="004C1D09" w:rsidRPr="00A05EF4">
              <w:rPr>
                <w:szCs w:val="24"/>
              </w:rPr>
              <w:t>0</w:t>
            </w:r>
            <w:r w:rsidRPr="00A05EF4">
              <w:rPr>
                <w:szCs w:val="24"/>
              </w:rPr>
              <w:t>0</w:t>
            </w:r>
            <w:r w:rsidRPr="00A05EF4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A05EF4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A05EF4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A05EF4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A05EF4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A05EF4">
              <w:rPr>
                <w:szCs w:val="24"/>
              </w:rPr>
              <w:t>Vid protokollet</w:t>
            </w:r>
          </w:p>
          <w:p w14:paraId="0276CF53" w14:textId="422A21DC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A05EF4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DB36560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A05EF4">
              <w:rPr>
                <w:szCs w:val="24"/>
              </w:rPr>
              <w:t xml:space="preserve">Justeras den </w:t>
            </w:r>
            <w:r w:rsidR="00DE3FFA" w:rsidRPr="00A05EF4">
              <w:rPr>
                <w:snapToGrid w:val="0"/>
                <w:szCs w:val="24"/>
              </w:rPr>
              <w:t>1</w:t>
            </w:r>
            <w:r w:rsidR="00263005" w:rsidRPr="00A05EF4">
              <w:rPr>
                <w:snapToGrid w:val="0"/>
                <w:szCs w:val="24"/>
              </w:rPr>
              <w:t>9</w:t>
            </w:r>
            <w:r w:rsidR="00056B3D" w:rsidRPr="00A05EF4">
              <w:rPr>
                <w:snapToGrid w:val="0"/>
                <w:szCs w:val="24"/>
              </w:rPr>
              <w:t xml:space="preserve"> maj</w:t>
            </w:r>
            <w:r w:rsidRPr="00A05EF4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A05EF4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A05EF4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60BBD07B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263005">
              <w:rPr>
                <w:sz w:val="22"/>
                <w:szCs w:val="22"/>
              </w:rPr>
              <w:t>5</w:t>
            </w:r>
          </w:p>
        </w:tc>
      </w:tr>
      <w:tr w:rsidR="008344E2" w:rsidRPr="005F56D5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74A6C4B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 xml:space="preserve">§ </w:t>
            </w:r>
            <w:proofErr w:type="gramStart"/>
            <w:r w:rsidRPr="005F56D5">
              <w:rPr>
                <w:sz w:val="20"/>
              </w:rPr>
              <w:t>1</w:t>
            </w:r>
            <w:r w:rsidR="00CA56EC" w:rsidRPr="005F56D5">
              <w:rPr>
                <w:sz w:val="20"/>
              </w:rPr>
              <w:t>-</w:t>
            </w:r>
            <w:r w:rsidR="005F56D5">
              <w:rPr>
                <w:sz w:val="20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3426EB3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  <w:r w:rsidR="001663C9" w:rsidRPr="005F56D5">
              <w:rPr>
                <w:sz w:val="20"/>
              </w:rPr>
              <w:t xml:space="preserve"> </w:t>
            </w:r>
            <w:proofErr w:type="gramStart"/>
            <w:r w:rsidR="005F56D5">
              <w:rPr>
                <w:sz w:val="20"/>
              </w:rPr>
              <w:t>3-5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42773DB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  <w:r w:rsidR="003113CD" w:rsidRPr="005F56D5">
              <w:rPr>
                <w:sz w:val="20"/>
              </w:rPr>
              <w:t xml:space="preserve"> </w:t>
            </w:r>
            <w:proofErr w:type="gramStart"/>
            <w:r w:rsidR="005F56D5">
              <w:rPr>
                <w:sz w:val="20"/>
              </w:rPr>
              <w:t>6-7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8944E8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  <w:r w:rsidR="00AD2C28" w:rsidRPr="005F56D5">
              <w:rPr>
                <w:sz w:val="20"/>
              </w:rPr>
              <w:t xml:space="preserve"> </w:t>
            </w:r>
            <w:r w:rsidR="005F56D5">
              <w:rPr>
                <w:sz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7C94A2A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  <w:r w:rsidR="004055F7" w:rsidRPr="005F56D5">
              <w:rPr>
                <w:sz w:val="20"/>
              </w:rPr>
              <w:t xml:space="preserve"> </w:t>
            </w:r>
            <w:r w:rsidR="005F56D5">
              <w:rPr>
                <w:sz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4FE2A9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  <w:proofErr w:type="gramStart"/>
            <w:r w:rsidR="005F56D5">
              <w:rPr>
                <w:sz w:val="20"/>
              </w:rPr>
              <w:t>10-12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333DE8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  <w:r w:rsidR="00EB7687" w:rsidRPr="005F56D5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5F56D5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  <w:r w:rsidR="00CD0A22" w:rsidRPr="005F56D5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§</w:t>
            </w:r>
          </w:p>
        </w:tc>
      </w:tr>
      <w:tr w:rsidR="008344E2" w:rsidRPr="005F56D5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V</w:t>
            </w:r>
          </w:p>
        </w:tc>
      </w:tr>
      <w:tr w:rsidR="008344E2" w:rsidRPr="005F56D5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26EDF62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5C8C150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7E583BA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16789E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89EBEB8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73CD6F9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ECAE3F4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648DF67E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9CF182B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FCC77D8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02DC580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5105A158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33CE73F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D331D7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5F56D5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1EE764A6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F6BA4FB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EB7657F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5A923D1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8EE81AC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6963DE5D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551C1049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5AD29DC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8613359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AC0DABC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3D7C354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0304DE3F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0F7B75F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482D22F1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131F2CD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04AD145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A602024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59AD518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5614298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ECE182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5F56D5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 xml:space="preserve">Linda Lindberg </w:t>
            </w:r>
            <w:r w:rsidR="008344E2" w:rsidRPr="005F56D5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8BC49FF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6409E99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5AD591D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5A4932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FC6B899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BAEE65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80F3D49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048EFBFF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143399E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0F77D5E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7B99955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05CFF2A6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BD9D1CD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C54F15B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1CE88ACB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2C86FA0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390C6A1B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C2917DB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8DEE456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406D2556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14B0A0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5F56D5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536ECE43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BAD39E3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9C1FB1F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185F37A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3400D80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58138C9A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275D511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5883074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B9426D9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1B68283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AFEAED4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D880CD5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6A36C59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5F58B6D5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1C46B349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922EF65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7A3FCB8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AB89E76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D5E037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D93DB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5A01023D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B67010D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8EAD2C0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8882658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7FFF1725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AA062AB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5F56D5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71B74B7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2B586354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D60341F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0D1E9E1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5CF9978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EF5AE35" w:rsidR="008344E2" w:rsidRPr="005F56D5" w:rsidRDefault="005F56D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584C32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5F56D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5F56D5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5F56D5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 xml:space="preserve">Clara Aranda </w:t>
            </w:r>
            <w:r w:rsidR="002309B2" w:rsidRPr="005F56D5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65EDCA4C" w:rsidR="002309B2" w:rsidRPr="005F56D5" w:rsidRDefault="005F56D5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4F733C9" w:rsidR="002309B2" w:rsidRPr="005F56D5" w:rsidRDefault="005F56D5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05E6204" w:rsidR="002309B2" w:rsidRPr="005F56D5" w:rsidRDefault="005F56D5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64069874" w:rsidR="002309B2" w:rsidRPr="005F56D5" w:rsidRDefault="005F56D5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E357577" w:rsidR="002309B2" w:rsidRPr="005F56D5" w:rsidRDefault="005F56D5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25DABF68" w:rsidR="002309B2" w:rsidRPr="005F56D5" w:rsidRDefault="005F56D5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3A6AAEA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5F56D5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269B3585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726426AB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58E4D14E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6AFF9C61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1383B9EC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89E63BB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44E846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96FC8D2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58A395E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0BC4EE5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7542E52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B61E87F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55A98846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32C1F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3695277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3018D07A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CE094BA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BEE27C5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1BE07AB5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65439D02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39B6DE9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4B7FBA2B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37CFAD4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CB68474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F711AA7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BAA2F7F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CF5F4D9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495C72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5F56D5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 xml:space="preserve">Per Ramhorn </w:t>
            </w:r>
            <w:r w:rsidR="00E52D28" w:rsidRPr="005F56D5">
              <w:rPr>
                <w:sz w:val="20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DF2E50F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FF60329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707319C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E04F551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74FB11B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06BC0A5F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F07E09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7D82AA9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F1D732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DDAD4A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242203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0C270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733D8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19FE079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5F56D5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E52D28" w:rsidRPr="005F56D5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5F56D5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3F51B772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A16A176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8BEB5EC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59C24B00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D913E39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3B9AF74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E980C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79380046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66BBD13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6978965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4E5715C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058D2780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DEB86D3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6E23457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25E8C416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294E4D0F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EBDE155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B3BB6BA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35794FA5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630C4A38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5A6AF34B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8E7B5B2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073FEAC2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29669D93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56D5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5F56D5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5F56D5" w:rsidRDefault="00E52D28" w:rsidP="00E52D28">
            <w:pPr>
              <w:rPr>
                <w:sz w:val="20"/>
              </w:rPr>
            </w:pPr>
            <w:r w:rsidRPr="005F56D5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034E0294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3F9718C4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3E745F2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6579248F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37200D27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625185AB" w:rsidR="00E52D28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520E0D8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5F56D5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56D5" w:rsidRPr="005F56D5" w14:paraId="32EAE56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62E1" w14:textId="786EA229" w:rsidR="005F56D5" w:rsidRPr="005F56D5" w:rsidRDefault="005F56D5" w:rsidP="00E52D28">
            <w:pPr>
              <w:rPr>
                <w:sz w:val="20"/>
              </w:rPr>
            </w:pPr>
            <w:r w:rsidRPr="005F56D5">
              <w:rPr>
                <w:sz w:val="20"/>
              </w:rPr>
              <w:t>Emma Hult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4761" w14:textId="365D2048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0E9C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3D41" w14:textId="6B2FE051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C481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2CD3" w14:textId="641F09A4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A20D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88E3" w14:textId="39EBE55C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6732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D73C" w14:textId="74CCD1B8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EC32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F403" w14:textId="1F65B64F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D343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5F58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A109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C6CFF4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F249CE2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4A65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B253" w14:textId="77777777" w:rsidR="005F56D5" w:rsidRPr="005F56D5" w:rsidRDefault="005F56D5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5F56D5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5F56D5" w:rsidRDefault="006676B6" w:rsidP="006676B6">
            <w:pPr>
              <w:rPr>
                <w:sz w:val="20"/>
              </w:rPr>
            </w:pPr>
            <w:r w:rsidRPr="005F56D5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5F56D5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5F56D5" w:rsidRDefault="006676B6" w:rsidP="006676B6">
            <w:pPr>
              <w:rPr>
                <w:sz w:val="20"/>
              </w:rPr>
            </w:pPr>
            <w:r w:rsidRPr="005F56D5">
              <w:rPr>
                <w:sz w:val="20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06F5BB43" w:rsidR="006676B6" w:rsidRPr="005F56D5" w:rsidRDefault="005F56D5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50F1DDC7" w:rsidR="006676B6" w:rsidRPr="005F56D5" w:rsidRDefault="005F56D5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2BA83499" w:rsidR="006676B6" w:rsidRPr="005F56D5" w:rsidRDefault="005F56D5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42FCD9B3" w:rsidR="006676B6" w:rsidRPr="005F56D5" w:rsidRDefault="005F56D5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2AA3F25F" w:rsidR="006676B6" w:rsidRPr="005F56D5" w:rsidRDefault="005F56D5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6F6B8ED" w:rsidR="006676B6" w:rsidRPr="005F56D5" w:rsidRDefault="005F56D5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3AC84E6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5F56D5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5F56D5" w:rsidRDefault="006676B6" w:rsidP="006676B6">
            <w:pPr>
              <w:spacing w:before="60"/>
              <w:rPr>
                <w:sz w:val="20"/>
              </w:rPr>
            </w:pPr>
            <w:r w:rsidRPr="005F56D5">
              <w:rPr>
                <w:sz w:val="20"/>
              </w:rPr>
              <w:t>N = Närvarande</w:t>
            </w:r>
          </w:p>
          <w:p w14:paraId="731C3633" w14:textId="77777777" w:rsidR="006676B6" w:rsidRPr="005F56D5" w:rsidRDefault="006676B6" w:rsidP="006676B6">
            <w:pPr>
              <w:spacing w:before="60"/>
              <w:rPr>
                <w:sz w:val="20"/>
              </w:rPr>
            </w:pPr>
            <w:r w:rsidRPr="005F56D5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5F56D5" w:rsidRDefault="006676B6" w:rsidP="006676B6">
            <w:pPr>
              <w:spacing w:before="60"/>
              <w:rPr>
                <w:sz w:val="20"/>
              </w:rPr>
            </w:pPr>
            <w:r w:rsidRPr="005F56D5">
              <w:rPr>
                <w:sz w:val="20"/>
              </w:rPr>
              <w:t>X = ledamöter som deltagit i handläggningen</w:t>
            </w:r>
            <w:r w:rsidRPr="005F56D5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5F56D5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30017D8F" w:rsidR="00EA6502" w:rsidRPr="005F56D5" w:rsidRDefault="00EA6502" w:rsidP="00601CA6">
      <w:pPr>
        <w:widowControl/>
        <w:rPr>
          <w:b/>
          <w:sz w:val="20"/>
        </w:rPr>
      </w:pPr>
    </w:p>
    <w:p w14:paraId="15D569D9" w14:textId="6D6288EB" w:rsidR="005F56D5" w:rsidRDefault="005F56D5">
      <w:pPr>
        <w:widowControl/>
        <w:rPr>
          <w:b/>
          <w:szCs w:val="24"/>
        </w:rPr>
      </w:pPr>
      <w:bookmarkStart w:id="1" w:name="_GoBack"/>
      <w:bookmarkEnd w:id="1"/>
    </w:p>
    <w:sectPr w:rsidR="005F56D5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176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3005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2540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08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0DAD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6D5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8A0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A1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099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5EF4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6BE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0F4B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3F"/>
    <w:rsid w:val="00B30962"/>
    <w:rsid w:val="00B30B7F"/>
    <w:rsid w:val="00B30EE0"/>
    <w:rsid w:val="00B31038"/>
    <w:rsid w:val="00B310DA"/>
    <w:rsid w:val="00B31913"/>
    <w:rsid w:val="00B31AF9"/>
    <w:rsid w:val="00B33675"/>
    <w:rsid w:val="00B3390F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2A7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5BF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390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55F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3D21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A63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199F-3AFE-4436-8891-37E04C2C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4105</TotalTime>
  <Pages>4</Pages>
  <Words>739</Words>
  <Characters>4590</Characters>
  <Application>Microsoft Office Word</Application>
  <DocSecurity>0</DocSecurity>
  <Lines>1530</Lines>
  <Paragraphs>380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1030</cp:revision>
  <cp:lastPrinted>2022-03-17T12:17:00Z</cp:lastPrinted>
  <dcterms:created xsi:type="dcterms:W3CDTF">2020-06-26T09:11:00Z</dcterms:created>
  <dcterms:modified xsi:type="dcterms:W3CDTF">2022-05-19T09:10:00Z</dcterms:modified>
</cp:coreProperties>
</file>