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D4573">
        <w:tblPrEx>
          <w:tblCellMar>
            <w:top w:w="0" w:type="dxa"/>
            <w:bottom w:w="0" w:type="dxa"/>
          </w:tblCellMar>
        </w:tblPrEx>
        <w:tc>
          <w:tcPr>
            <w:tcW w:w="2268" w:type="dxa"/>
          </w:tcPr>
          <w:p w:rsidR="005A0AB0" w:rsidRPr="006D4573" w:rsidRDefault="005A0AB0">
            <w:pPr>
              <w:framePr w:w="4400" w:h="1644" w:wrap="notBeside" w:vAnchor="page" w:hAnchor="page" w:x="6573" w:y="721"/>
              <w:rPr>
                <w:rFonts w:ascii="TradeGothic" w:hAnsi="TradeGothic"/>
                <w:i/>
                <w:sz w:val="18"/>
              </w:rPr>
            </w:pPr>
          </w:p>
        </w:tc>
        <w:tc>
          <w:tcPr>
            <w:tcW w:w="2347" w:type="dxa"/>
            <w:gridSpan w:val="2"/>
          </w:tcPr>
          <w:p w:rsidR="005A0AB0" w:rsidRPr="006D4573" w:rsidRDefault="005A0AB0">
            <w:pPr>
              <w:framePr w:w="4400" w:h="1644" w:wrap="notBeside" w:vAnchor="page" w:hAnchor="page" w:x="6573" w:y="721"/>
              <w:rPr>
                <w:rFonts w:ascii="TradeGothic" w:hAnsi="TradeGothic"/>
                <w:i/>
                <w:sz w:val="18"/>
              </w:rPr>
            </w:pPr>
          </w:p>
        </w:tc>
      </w:tr>
      <w:tr w:rsidR="00000000" w:rsidRPr="006D4573">
        <w:tblPrEx>
          <w:tblCellMar>
            <w:top w:w="0" w:type="dxa"/>
            <w:bottom w:w="0" w:type="dxa"/>
          </w:tblCellMar>
        </w:tblPrEx>
        <w:tc>
          <w:tcPr>
            <w:tcW w:w="4615" w:type="dxa"/>
            <w:gridSpan w:val="3"/>
          </w:tcPr>
          <w:p w:rsidR="005A0AB0" w:rsidRPr="006D4573" w:rsidRDefault="005A0AB0">
            <w:pPr>
              <w:framePr w:w="4400" w:h="1644" w:wrap="notBeside" w:vAnchor="page" w:hAnchor="page" w:x="6573" w:y="721"/>
              <w:rPr>
                <w:rFonts w:ascii="TradeGothic" w:hAnsi="TradeGothic"/>
                <w:b/>
                <w:sz w:val="22"/>
              </w:rPr>
            </w:pPr>
            <w:r w:rsidRPr="006D4573">
              <w:rPr>
                <w:rFonts w:ascii="TradeGothic" w:hAnsi="TradeGothic"/>
                <w:b/>
                <w:sz w:val="22"/>
              </w:rPr>
              <w:t>Rådspromemoria</w:t>
            </w:r>
          </w:p>
        </w:tc>
      </w:tr>
      <w:tr w:rsidR="00000000" w:rsidRPr="006D4573">
        <w:tblPrEx>
          <w:tblCellMar>
            <w:top w:w="0" w:type="dxa"/>
            <w:bottom w:w="0" w:type="dxa"/>
          </w:tblCellMar>
        </w:tblPrEx>
        <w:tc>
          <w:tcPr>
            <w:tcW w:w="3402" w:type="dxa"/>
            <w:gridSpan w:val="2"/>
          </w:tcPr>
          <w:p w:rsidR="005A0AB0" w:rsidRPr="006D4573" w:rsidRDefault="005A0AB0">
            <w:pPr>
              <w:framePr w:w="4400" w:h="1644" w:wrap="notBeside" w:vAnchor="page" w:hAnchor="page" w:x="6573" w:y="721"/>
            </w:pPr>
          </w:p>
        </w:tc>
        <w:tc>
          <w:tcPr>
            <w:tcW w:w="1213" w:type="dxa"/>
          </w:tcPr>
          <w:p w:rsidR="005A0AB0" w:rsidRPr="006D4573" w:rsidRDefault="005A0AB0">
            <w:pPr>
              <w:framePr w:w="4400" w:h="1644" w:wrap="notBeside" w:vAnchor="page" w:hAnchor="page" w:x="6573" w:y="721"/>
            </w:pPr>
          </w:p>
        </w:tc>
      </w:tr>
      <w:tr w:rsidR="00000000" w:rsidRPr="006D4573">
        <w:tblPrEx>
          <w:tblCellMar>
            <w:top w:w="0" w:type="dxa"/>
            <w:bottom w:w="0" w:type="dxa"/>
          </w:tblCellMar>
        </w:tblPrEx>
        <w:tc>
          <w:tcPr>
            <w:tcW w:w="2268" w:type="dxa"/>
          </w:tcPr>
          <w:p w:rsidR="005A0AB0" w:rsidRPr="006D4573" w:rsidRDefault="005A0AB0">
            <w:pPr>
              <w:framePr w:w="4400" w:h="1644" w:wrap="notBeside" w:vAnchor="page" w:hAnchor="page" w:x="6573" w:y="721"/>
            </w:pPr>
            <w:r w:rsidRPr="006D4573">
              <w:t>2006-11-10</w:t>
            </w:r>
          </w:p>
        </w:tc>
        <w:tc>
          <w:tcPr>
            <w:tcW w:w="2347" w:type="dxa"/>
            <w:gridSpan w:val="2"/>
          </w:tcPr>
          <w:p w:rsidR="005A0AB0" w:rsidRPr="006D4573" w:rsidRDefault="005A0AB0">
            <w:pPr>
              <w:framePr w:w="4400" w:h="1644" w:wrap="notBeside" w:vAnchor="page" w:hAnchor="page" w:x="6573" w:y="721"/>
            </w:pPr>
          </w:p>
        </w:tc>
      </w:tr>
      <w:tr w:rsidR="00000000" w:rsidRPr="006D4573">
        <w:tblPrEx>
          <w:tblCellMar>
            <w:top w:w="0" w:type="dxa"/>
            <w:bottom w:w="0" w:type="dxa"/>
          </w:tblCellMar>
        </w:tblPrEx>
        <w:tc>
          <w:tcPr>
            <w:tcW w:w="2268" w:type="dxa"/>
          </w:tcPr>
          <w:p w:rsidR="005A0AB0" w:rsidRPr="006D4573" w:rsidRDefault="005A0AB0">
            <w:pPr>
              <w:framePr w:w="4400" w:h="1644" w:wrap="notBeside" w:vAnchor="page" w:hAnchor="page" w:x="6573" w:y="721"/>
            </w:pPr>
          </w:p>
        </w:tc>
        <w:tc>
          <w:tcPr>
            <w:tcW w:w="2347" w:type="dxa"/>
            <w:gridSpan w:val="2"/>
          </w:tcPr>
          <w:p w:rsidR="005A0AB0" w:rsidRPr="006D4573" w:rsidRDefault="005A0AB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
                <w:i w:val="0"/>
                <w:sz w:val="22"/>
              </w:rPr>
            </w:pPr>
            <w:r w:rsidRPr="006D4573">
              <w:rPr>
                <w:b/>
                <w:i w:val="0"/>
                <w:sz w:val="22"/>
              </w:rPr>
              <w:t>Miljö- och samhällsbyggnadsdepartementet</w:t>
            </w: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r w:rsidRPr="006D4573">
              <w:rPr>
                <w:bCs/>
                <w:iCs/>
              </w:rPr>
              <w:t>Enheten för energifrågor</w:t>
            </w: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r w:rsidR="00000000" w:rsidRPr="006D4573">
        <w:tblPrEx>
          <w:tblCellMar>
            <w:top w:w="0" w:type="dxa"/>
            <w:bottom w:w="0" w:type="dxa"/>
          </w:tblCellMar>
        </w:tblPrEx>
        <w:trPr>
          <w:trHeight w:val="284"/>
        </w:trPr>
        <w:tc>
          <w:tcPr>
            <w:tcW w:w="4911" w:type="dxa"/>
          </w:tcPr>
          <w:p w:rsidR="005A0AB0" w:rsidRPr="006D4573" w:rsidRDefault="005A0AB0">
            <w:pPr>
              <w:pStyle w:val="Avsndare"/>
              <w:framePr w:h="2483" w:wrap="notBeside" w:x="1504"/>
              <w:rPr>
                <w:bCs/>
                <w:iCs/>
              </w:rPr>
            </w:pPr>
          </w:p>
        </w:tc>
      </w:tr>
    </w:tbl>
    <w:p w:rsidR="005A0AB0" w:rsidRPr="006D4573" w:rsidRDefault="005A0AB0">
      <w:pPr>
        <w:framePr w:w="4400" w:h="2523" w:wrap="notBeside" w:vAnchor="page" w:hAnchor="page" w:x="6453" w:y="2445"/>
        <w:ind w:left="142"/>
        <w:rPr>
          <w:b/>
        </w:rPr>
      </w:pPr>
    </w:p>
    <w:p w:rsidR="005A0AB0" w:rsidRPr="006D4573" w:rsidRDefault="005A0AB0">
      <w:pPr>
        <w:pStyle w:val="RKrubrik"/>
        <w:pBdr>
          <w:bottom w:val="single" w:sz="6" w:space="1" w:color="auto"/>
        </w:pBdr>
      </w:pPr>
      <w:bookmarkStart w:id="0" w:name="bRubrik"/>
      <w:bookmarkEnd w:id="0"/>
      <w:r w:rsidRPr="006D4573">
        <w:t>Rådets möte (TTE/Energi) den 23 november 2006</w:t>
      </w:r>
    </w:p>
    <w:p w:rsidR="005A0AB0" w:rsidRPr="006D4573" w:rsidRDefault="005A0AB0">
      <w:pPr>
        <w:pStyle w:val="RKnormal"/>
      </w:pPr>
    </w:p>
    <w:p w:rsidR="005A0AB0" w:rsidRPr="006D4573" w:rsidRDefault="005A0AB0">
      <w:pPr>
        <w:pStyle w:val="RKnormal"/>
      </w:pPr>
      <w:r w:rsidRPr="006D4573">
        <w:t>Dagordningspunkt 3</w:t>
      </w:r>
    </w:p>
    <w:p w:rsidR="005A0AB0" w:rsidRPr="006D4573" w:rsidRDefault="005A0AB0">
      <w:pPr>
        <w:pStyle w:val="RKnormal"/>
      </w:pPr>
    </w:p>
    <w:p w:rsidR="005A0AB0" w:rsidRPr="006D4573" w:rsidRDefault="005A0AB0">
      <w:pPr>
        <w:pStyle w:val="RKnormal"/>
      </w:pPr>
      <w:r w:rsidRPr="006D4573">
        <w:t>Rubrik: Hållbarhet för produktion och konsumtion av energi: Främja energieffektivisering och förnybar energi</w:t>
      </w:r>
    </w:p>
    <w:p w:rsidR="005A0AB0" w:rsidRPr="006D4573" w:rsidRDefault="005A0AB0">
      <w:pPr>
        <w:pStyle w:val="RKnormal"/>
      </w:pPr>
      <w:r w:rsidRPr="006D4573">
        <w:t xml:space="preserve">- presentation av handlingsplan för energieffektivisering </w:t>
      </w:r>
    </w:p>
    <w:p w:rsidR="005A0AB0" w:rsidRPr="006D4573" w:rsidRDefault="005A0AB0">
      <w:pPr>
        <w:pStyle w:val="RKnormal"/>
      </w:pPr>
      <w:r w:rsidRPr="006D4573">
        <w:t>- antagande av rådsslutsatser om handlingsplanen för energieffektivisering</w:t>
      </w:r>
    </w:p>
    <w:p w:rsidR="005A0AB0" w:rsidRPr="006D4573" w:rsidRDefault="005A0AB0">
      <w:pPr>
        <w:pStyle w:val="RKnormal"/>
      </w:pPr>
      <w:r w:rsidRPr="006D4573">
        <w:t xml:space="preserve">- politisk debatt </w:t>
      </w:r>
    </w:p>
    <w:p w:rsidR="005A0AB0" w:rsidRPr="006D4573" w:rsidRDefault="005A0AB0">
      <w:pPr>
        <w:pStyle w:val="RKnormal"/>
      </w:pPr>
    </w:p>
    <w:p w:rsidR="005A0AB0" w:rsidRPr="006D4573" w:rsidRDefault="005A0AB0">
      <w:pPr>
        <w:pStyle w:val="RKnormal"/>
      </w:pPr>
      <w:r w:rsidRPr="006D4573">
        <w:t xml:space="preserve">Dokument: </w:t>
      </w:r>
    </w:p>
    <w:p w:rsidR="005A0AB0" w:rsidRPr="006D4573" w:rsidRDefault="005A0AB0">
      <w:pPr>
        <w:pStyle w:val="RKnormal"/>
      </w:pPr>
      <w:r w:rsidRPr="006D4573">
        <w:t xml:space="preserve">dok. 14349/06 + ADD1 och ADD 2, ENER 247, ENV 563, TRANS 273, ECOFIN 356, RELEX 708, RECH 271 </w:t>
      </w:r>
    </w:p>
    <w:p w:rsidR="005A0AB0" w:rsidRPr="006D4573" w:rsidRDefault="005A0AB0">
      <w:pPr>
        <w:pStyle w:val="RKnormal"/>
      </w:pPr>
      <w:r w:rsidRPr="006D4573">
        <w:t>dok. 14155/06, REV 1+REV 2 +REV 3, ENER 241ENV 549</w:t>
      </w:r>
    </w:p>
    <w:p w:rsidR="005A0AB0" w:rsidRPr="006D4573" w:rsidRDefault="005A0AB0">
      <w:pPr>
        <w:pStyle w:val="RKnormal"/>
      </w:pPr>
      <w:r w:rsidRPr="006D4573">
        <w:t>dok. DS 769/06, ENER</w:t>
      </w:r>
    </w:p>
    <w:p w:rsidR="005A0AB0" w:rsidRPr="006D4573" w:rsidRDefault="005A0AB0">
      <w:pPr>
        <w:pStyle w:val="RKnormal"/>
      </w:pPr>
    </w:p>
    <w:p w:rsidR="005A0AB0" w:rsidRPr="006D4573" w:rsidRDefault="005A0AB0">
      <w:pPr>
        <w:pStyle w:val="RKnormal"/>
      </w:pPr>
      <w:r w:rsidRPr="006D4573">
        <w:t xml:space="preserve">Tidigare dokument:    - - - </w:t>
      </w:r>
    </w:p>
    <w:p w:rsidR="005A0AB0" w:rsidRPr="006D4573" w:rsidRDefault="005A0AB0">
      <w:pPr>
        <w:pStyle w:val="RKnormal"/>
      </w:pPr>
    </w:p>
    <w:p w:rsidR="005A0AB0" w:rsidRPr="006D4573" w:rsidRDefault="005A0AB0">
      <w:pPr>
        <w:pStyle w:val="RKnormal"/>
      </w:pPr>
      <w:r w:rsidRPr="006D4573">
        <w:t>Tidigare behandlad vid samråd med EU-nämnden: Ej behandlat.</w:t>
      </w:r>
    </w:p>
    <w:p w:rsidR="005A0AB0" w:rsidRPr="006D4573" w:rsidRDefault="005A0AB0">
      <w:pPr>
        <w:pStyle w:val="RKnormal"/>
      </w:pPr>
    </w:p>
    <w:p w:rsidR="005A0AB0" w:rsidRPr="006D4573" w:rsidRDefault="005A0AB0">
      <w:pPr>
        <w:pStyle w:val="RKrubrik"/>
      </w:pPr>
      <w:r w:rsidRPr="006D4573">
        <w:t>Bakgrund</w:t>
      </w:r>
    </w:p>
    <w:p w:rsidR="005A0AB0" w:rsidRPr="006D4573" w:rsidRDefault="005A0AB0">
      <w:pPr>
        <w:pStyle w:val="RKnormal"/>
      </w:pPr>
      <w:r w:rsidRPr="006D4573">
        <w:t>Kommissionens handlingsplan för energieffektivisering presenterades den 19 oktober 2006. Vid rådsmötet kommer kommissionen presentera handlingsplanen och ministrarna kommer att anta rådsslutsatser. Dagordningspunkten innehåller även en politisk debatt om främjandet av energieffektivisering och förnybar energi. Ordförandeskapet har förberett tre frågor mot bakgrund av handlingsplanen och rådsslutsatserna. Ordförandeskapet hoppas att debatten skall kunna vägleda kommissionen i deras överväganden i utarbetand</w:t>
      </w:r>
      <w:r w:rsidRPr="006D4573">
        <w:t>et av den strategiska energiöversynen och vägkartan för förnybar energi som planeras läggas fram i januari nästa år. Frågorna handlar om vilka åtgärder för energieffektivisering respektive förnybar energi som bör prioriteras för att man ska kunna överbrygga barriärerna för att uppnå de tre övergripande energipolitiska målsättningarna om försörjningstrygghet, konkurrenskraft och hållbarhet.</w:t>
      </w:r>
    </w:p>
    <w:p w:rsidR="005A0AB0" w:rsidRPr="006D4573" w:rsidRDefault="005A0AB0">
      <w:pPr>
        <w:pStyle w:val="RKnormal"/>
      </w:pPr>
    </w:p>
    <w:p w:rsidR="005A0AB0" w:rsidRPr="006D4573" w:rsidRDefault="005A0AB0">
      <w:pPr>
        <w:pStyle w:val="RKrubrik"/>
      </w:pPr>
      <w:r w:rsidRPr="006D4573">
        <w:t>Rättslig grund och beslutsförfarande</w:t>
      </w:r>
    </w:p>
    <w:p w:rsidR="005A0AB0" w:rsidRPr="006D4573" w:rsidRDefault="005A0AB0">
      <w:pPr>
        <w:pStyle w:val="RKnormal"/>
      </w:pPr>
      <w:r w:rsidRPr="006D4573">
        <w:t xml:space="preserve">Slutsatserna antas med enhällighet. </w:t>
      </w:r>
    </w:p>
    <w:p w:rsidR="005A0AB0" w:rsidRPr="006D4573" w:rsidRDefault="005A0AB0">
      <w:pPr>
        <w:pStyle w:val="RKrubrik"/>
        <w:rPr>
          <w:i/>
          <w:iCs/>
        </w:rPr>
      </w:pPr>
      <w:r w:rsidRPr="006D4573">
        <w:rPr>
          <w:i/>
          <w:iCs/>
        </w:rPr>
        <w:t>Svensk ståndpunkt</w:t>
      </w:r>
    </w:p>
    <w:p w:rsidR="005A0AB0" w:rsidRPr="006D4573" w:rsidRDefault="005A0AB0">
      <w:pPr>
        <w:pStyle w:val="RKnormal"/>
      </w:pPr>
      <w:r w:rsidRPr="006D4573">
        <w:t>SE bör ställa sig bakom rådsslutsatserna. SE anser att de prioriterade åtgärdsområden som lyfts fram i rådsslutsatserna är väl avvägda. SE anser även att rådsslutsatserna ger en god grund för kommissionens arbete inom energieffektiviserings</w:t>
      </w:r>
      <w:r w:rsidRPr="006D4573">
        <w:softHyphen/>
        <w:t xml:space="preserve">området de närmaste sex åren. </w:t>
      </w:r>
    </w:p>
    <w:p w:rsidR="005A0AB0" w:rsidRPr="006D4573" w:rsidRDefault="005A0AB0">
      <w:pPr>
        <w:pStyle w:val="RKnormal"/>
      </w:pPr>
    </w:p>
    <w:p w:rsidR="005A0AB0" w:rsidRPr="006D4573" w:rsidRDefault="005A0AB0">
      <w:pPr>
        <w:pStyle w:val="RKnormal"/>
      </w:pPr>
      <w:r w:rsidRPr="006D4573">
        <w:t>När det gäller frågorna om energieffektivisering i policydebatten anser SE att rådsslutsatserna ger en god grund för prioritering av fortsatta åtgärder och de barriärer som behöver överbryggas för att uppnå en ökad energieffektivitet. Vidare anser SE att ett utökat inter</w:t>
      </w:r>
      <w:r w:rsidRPr="006D4573">
        <w:softHyphen/>
        <w:t>nationellt samarbete vad gäller energieffektivisering i nuläget bör inriktas på samverkan kring frågor om produktstandarder och kriterier för energieffektivitet för energianvändande utrustning. När det gäller förnybar energi anser SE att gemensamma övergripande målsättningar för förnybar energi bör ställas upp och att det bör överlåtas åt medlems</w:t>
      </w:r>
      <w:r w:rsidRPr="006D4573">
        <w:softHyphen/>
        <w:t>staterna att prioritera inom vilka sektorer som åtgärder skall vidtas utifrån olika nationella förutsättningar.</w:t>
      </w:r>
    </w:p>
    <w:p w:rsidR="005A0AB0" w:rsidRPr="006D4573" w:rsidRDefault="005A0AB0">
      <w:pPr>
        <w:pStyle w:val="RKrubrik"/>
      </w:pPr>
      <w:r w:rsidRPr="006D4573">
        <w:t>Europaparlamentets inställning</w:t>
      </w:r>
    </w:p>
    <w:p w:rsidR="005A0AB0" w:rsidRPr="006D4573" w:rsidRDefault="005A0AB0">
      <w:pPr>
        <w:pStyle w:val="RKnormal"/>
      </w:pPr>
      <w:r w:rsidRPr="006D4573">
        <w:t xml:space="preserve">- - - </w:t>
      </w:r>
    </w:p>
    <w:p w:rsidR="005A0AB0" w:rsidRPr="006D4573" w:rsidRDefault="005A0AB0">
      <w:pPr>
        <w:pStyle w:val="RKrubrik"/>
        <w:rPr>
          <w:i/>
          <w:iCs/>
        </w:rPr>
      </w:pPr>
      <w:r w:rsidRPr="006D4573">
        <w:rPr>
          <w:i/>
          <w:iCs/>
        </w:rPr>
        <w:t>Förslaget</w:t>
      </w:r>
    </w:p>
    <w:p w:rsidR="005A0AB0" w:rsidRPr="006D4573" w:rsidRDefault="005A0AB0">
      <w:pPr>
        <w:pStyle w:val="RKnormal"/>
      </w:pPr>
      <w:r w:rsidRPr="006D4573">
        <w:t>Handlingsplanen om energieffektivisering tar sin utgångspunkt i den grönbok om energi</w:t>
      </w:r>
      <w:r w:rsidRPr="006D4573">
        <w:softHyphen/>
        <w:t>effektivisering som presenterades i juni 2005. Grönboken utgjorde en utgångspunkt för en bred diskussion om ett europeiskt initiativ för ökad energieffektivitet efter att åtgärderna i den förra handlingsplanen för ökad energieffektivitet från 2000 genomförts. Vid energiministermötet i december 2005 antogs rådslutsatser där rådet i stort ställde sig bakom kommissionens ambition om att fördubbla satsningarna på energi</w:t>
      </w:r>
      <w:r w:rsidRPr="006D4573">
        <w:softHyphen/>
        <w:t xml:space="preserve">effektivisering så att sammantaget ca 20 procent i energibesparingar kan uppnås till 2020. </w:t>
      </w:r>
      <w:r w:rsidRPr="006D4573">
        <w:t xml:space="preserve">Grönboken har även varit ute på remiss till och med. mars 2006. </w:t>
      </w:r>
    </w:p>
    <w:p w:rsidR="005A0AB0" w:rsidRPr="006D4573" w:rsidRDefault="005A0AB0">
      <w:pPr>
        <w:pStyle w:val="RKnormal"/>
      </w:pPr>
    </w:p>
    <w:p w:rsidR="005A0AB0" w:rsidRPr="006D4573" w:rsidRDefault="005A0AB0">
      <w:pPr>
        <w:pStyle w:val="RKnormal"/>
      </w:pPr>
      <w:r w:rsidRPr="006D4573">
        <w:t>Handlingsplanen innehåller ett paket av prioriterade åtgärder, bl.a. insatser för energianvändande utrustning samt byggnader, transporter och effektivare produktion och distribution av energi. De omkring 75 olika åtgärderna som kommissionen redovisar i planen motiveras främst av behovet av att minska utsläppen av klimatpåverkande gaser och att minska importberoendet av energi.</w:t>
      </w:r>
    </w:p>
    <w:p w:rsidR="005A0AB0" w:rsidRPr="006D4573" w:rsidRDefault="005A0AB0">
      <w:pPr>
        <w:pStyle w:val="RKrubrik"/>
        <w:rPr>
          <w:i/>
          <w:iCs/>
        </w:rPr>
      </w:pPr>
      <w:r w:rsidRPr="006D4573">
        <w:rPr>
          <w:i/>
          <w:iCs/>
        </w:rPr>
        <w:t>Gällande svenska regler och förslagets effekter på dessa</w:t>
      </w:r>
    </w:p>
    <w:p w:rsidR="005A0AB0" w:rsidRPr="006D4573" w:rsidRDefault="005A0AB0">
      <w:pPr>
        <w:pStyle w:val="RKnormal"/>
      </w:pPr>
      <w:r w:rsidRPr="006D4573">
        <w:t xml:space="preserve">Åtgärderna i handlingsplanen ankommer inte direkt på Sverige att genomföra utan avser åtgärder inom kommissionen.  </w:t>
      </w:r>
    </w:p>
    <w:p w:rsidR="005A0AB0" w:rsidRPr="006D4573" w:rsidRDefault="005A0AB0">
      <w:pPr>
        <w:pStyle w:val="RKrubrik"/>
      </w:pPr>
      <w:r w:rsidRPr="006D4573">
        <w:t>Ekonomiska konsekvenser</w:t>
      </w:r>
    </w:p>
    <w:p w:rsidR="005A0AB0" w:rsidRPr="006D4573" w:rsidRDefault="005A0AB0">
      <w:pPr>
        <w:pStyle w:val="RKnormal"/>
      </w:pPr>
      <w:r w:rsidRPr="006D4573">
        <w:t xml:space="preserve">- - - </w:t>
      </w:r>
    </w:p>
    <w:p w:rsidR="005A0AB0" w:rsidRPr="006D4573" w:rsidRDefault="005A0AB0">
      <w:pPr>
        <w:pStyle w:val="RKrubrik"/>
      </w:pPr>
      <w:r w:rsidRPr="006D4573">
        <w:t>Övrigt</w:t>
      </w:r>
    </w:p>
    <w:p w:rsidR="005A0AB0" w:rsidRPr="006D4573" w:rsidRDefault="005A0AB0">
      <w:pPr>
        <w:pStyle w:val="RKnormal"/>
      </w:pPr>
      <w:r w:rsidRPr="006D4573">
        <w:t xml:space="preserve">- - - </w:t>
      </w:r>
    </w:p>
    <w:p w:rsidR="005A0AB0" w:rsidRPr="006D4573" w:rsidRDefault="005A0AB0">
      <w:pPr>
        <w:pStyle w:val="RKnormal"/>
        <w:rPr>
          <w:i/>
          <w:iCs/>
        </w:rPr>
      </w:pPr>
    </w:p>
    <w:p w:rsidR="005A0AB0" w:rsidRPr="006D4573" w:rsidRDefault="005A0AB0">
      <w:pPr>
        <w:pStyle w:val="RKnormal"/>
        <w:ind w:left="-1134"/>
      </w:pPr>
    </w:p>
    <w:p w:rsidR="005A0AB0" w:rsidRPr="006D4573" w:rsidRDefault="005A0AB0">
      <w:pPr>
        <w:pStyle w:val="RKrubrik"/>
        <w:spacing w:before="0" w:after="0"/>
      </w:pPr>
    </w:p>
    <w:p w:rsidR="005A0AB0" w:rsidRPr="006D4573" w:rsidRDefault="005A0AB0">
      <w:pPr>
        <w:pStyle w:val="RKnormal"/>
      </w:pPr>
    </w:p>
    <w:p w:rsidR="005A0AB0" w:rsidRPr="006D4573" w:rsidRDefault="005A0AB0">
      <w:pPr>
        <w:pStyle w:val="RKnormal"/>
      </w:pPr>
    </w:p>
    <w:sectPr w:rsidR="005A0AB0" w:rsidRPr="006D45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AB0" w:rsidRPr="006D4573" w:rsidRDefault="005A0AB0">
      <w:r w:rsidRPr="006D4573">
        <w:separator/>
      </w:r>
    </w:p>
  </w:endnote>
  <w:endnote w:type="continuationSeparator" w:id="0">
    <w:p w:rsidR="005A0AB0" w:rsidRPr="006D4573" w:rsidRDefault="005A0AB0">
      <w:r w:rsidRPr="006D4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AB0" w:rsidRPr="006D4573" w:rsidRDefault="005A0AB0">
      <w:r w:rsidRPr="006D4573">
        <w:separator/>
      </w:r>
    </w:p>
  </w:footnote>
  <w:footnote w:type="continuationSeparator" w:id="0">
    <w:p w:rsidR="005A0AB0" w:rsidRPr="006D4573" w:rsidRDefault="005A0AB0">
      <w:r w:rsidRPr="006D4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B0" w:rsidRPr="006D4573" w:rsidRDefault="005A0AB0">
    <w:pPr>
      <w:pStyle w:val="Sidhuvud"/>
      <w:framePr w:wrap="around" w:vAnchor="text" w:hAnchor="margin" w:xAlign="right" w:y="1"/>
      <w:rPr>
        <w:rStyle w:val="Sidnummer"/>
        <w:rPrChange w:id="1" w:author="Lars Brink" w:date="2025-12-17T04:56:00Z" w16du:dateUtc="2025-12-17T03:56:00Z">
          <w:rPr>
            <w:rStyle w:val="Sidnummer"/>
          </w:rPr>
        </w:rPrChange>
      </w:rPr>
    </w:pPr>
    <w:r w:rsidRPr="006D4573">
      <w:rPr>
        <w:rStyle w:val="Sidnummer"/>
      </w:rPr>
      <w:fldChar w:fldCharType="begin" w:fldLock="1"/>
    </w:r>
    <w:r w:rsidRPr="006D4573">
      <w:rPr>
        <w:rStyle w:val="Sidnummer"/>
      </w:rPr>
      <w:instrText xml:space="preserve">PAGE  </w:instrText>
    </w:r>
    <w:r w:rsidRPr="006D4573">
      <w:rPr>
        <w:rStyle w:val="Sidnummer"/>
      </w:rPr>
      <w:fldChar w:fldCharType="separate"/>
    </w:r>
    <w:r w:rsidRPr="006D4573">
      <w:rPr>
        <w:rStyle w:val="Sidnummer"/>
        <w:rPrChange w:id="2" w:author="Lars Brink" w:date="2025-12-17T04:56:00Z" w16du:dateUtc="2025-12-17T03:56:00Z">
          <w:rPr>
            <w:rStyle w:val="Sidnummer"/>
            <w:noProof/>
          </w:rPr>
        </w:rPrChange>
      </w:rPr>
      <w:t>2</w:t>
    </w:r>
    <w:r w:rsidRPr="006D4573">
      <w:rPr>
        <w:rStyle w:val="Sidnummer"/>
        <w:rPrChange w:id="3" w:author="Lars Brink" w:date="2025-12-17T04:56:00Z" w16du:dateUtc="2025-12-17T03:5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D4573">
      <w:tblPrEx>
        <w:tblCellMar>
          <w:top w:w="0" w:type="dxa"/>
          <w:bottom w:w="0" w:type="dxa"/>
        </w:tblCellMar>
      </w:tblPrEx>
      <w:trPr>
        <w:cantSplit/>
      </w:trPr>
      <w:tc>
        <w:tcPr>
          <w:tcW w:w="3119" w:type="dxa"/>
        </w:tcPr>
        <w:p w:rsidR="005A0AB0" w:rsidRPr="006D4573" w:rsidRDefault="005A0AB0">
          <w:pPr>
            <w:pStyle w:val="Sidhuvud"/>
            <w:spacing w:line="200" w:lineRule="atLeast"/>
            <w:ind w:right="357"/>
            <w:rPr>
              <w:rFonts w:ascii="TradeGothic" w:hAnsi="TradeGothic"/>
              <w:b/>
              <w:bCs/>
              <w:sz w:val="16"/>
              <w:rPrChange w:id="4" w:author="Lars Brink" w:date="2025-12-17T04:56:00Z" w16du:dateUtc="2025-12-17T03:56:00Z">
                <w:rPr>
                  <w:rFonts w:ascii="TradeGothic" w:hAnsi="TradeGothic"/>
                  <w:b/>
                  <w:bCs/>
                  <w:sz w:val="16"/>
                </w:rPr>
              </w:rPrChange>
            </w:rPr>
          </w:pPr>
        </w:p>
      </w:tc>
      <w:tc>
        <w:tcPr>
          <w:tcW w:w="4111" w:type="dxa"/>
          <w:tcMar>
            <w:left w:w="567" w:type="dxa"/>
          </w:tcMar>
        </w:tcPr>
        <w:p w:rsidR="005A0AB0" w:rsidRPr="006D4573" w:rsidRDefault="005A0AB0">
          <w:pPr>
            <w:pStyle w:val="Sidhuvud"/>
            <w:ind w:right="360"/>
            <w:rPr>
              <w:rPrChange w:id="5" w:author="Lars Brink" w:date="2025-12-17T04:56:00Z" w16du:dateUtc="2025-12-17T03:56:00Z">
                <w:rPr/>
              </w:rPrChange>
            </w:rPr>
          </w:pPr>
        </w:p>
      </w:tc>
      <w:tc>
        <w:tcPr>
          <w:tcW w:w="1525" w:type="dxa"/>
        </w:tcPr>
        <w:p w:rsidR="005A0AB0" w:rsidRPr="006D4573" w:rsidRDefault="005A0AB0">
          <w:pPr>
            <w:pStyle w:val="Sidhuvud"/>
            <w:ind w:right="360"/>
            <w:rPr>
              <w:rPrChange w:id="6" w:author="Lars Brink" w:date="2025-12-17T04:56:00Z" w16du:dateUtc="2025-12-17T03:56:00Z">
                <w:rPr/>
              </w:rPrChange>
            </w:rPr>
          </w:pPr>
        </w:p>
      </w:tc>
    </w:tr>
  </w:tbl>
  <w:p w:rsidR="005A0AB0" w:rsidRPr="006D4573" w:rsidRDefault="005A0AB0">
    <w:pPr>
      <w:pStyle w:val="Sidhuvud"/>
      <w:ind w:right="357" w:firstLine="357"/>
      <w:rPr>
        <w:rPrChange w:id="7" w:author="Lars Brink" w:date="2025-12-17T04:56:00Z" w16du:dateUtc="2025-12-17T03:5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B0" w:rsidRPr="006D4573" w:rsidRDefault="005A0AB0">
    <w:pPr>
      <w:pStyle w:val="Sidhuvud"/>
      <w:framePr w:wrap="around" w:vAnchor="text" w:hAnchor="margin" w:xAlign="right" w:y="1"/>
      <w:rPr>
        <w:rStyle w:val="Sidnummer"/>
        <w:rPrChange w:id="8" w:author="Lars Brink" w:date="2025-12-17T04:56:00Z" w16du:dateUtc="2025-12-17T03:56:00Z">
          <w:rPr>
            <w:rStyle w:val="Sidnummer"/>
          </w:rPr>
        </w:rPrChange>
      </w:rPr>
    </w:pPr>
    <w:r w:rsidRPr="006D4573">
      <w:rPr>
        <w:rStyle w:val="Sidnummer"/>
      </w:rPr>
      <w:fldChar w:fldCharType="begin" w:fldLock="1"/>
    </w:r>
    <w:r w:rsidRPr="006D4573">
      <w:rPr>
        <w:rStyle w:val="Sidnummer"/>
      </w:rPr>
      <w:instrText xml:space="preserve">PAGE  </w:instrText>
    </w:r>
    <w:r w:rsidRPr="006D4573">
      <w:rPr>
        <w:rStyle w:val="Sidnummer"/>
      </w:rPr>
      <w:fldChar w:fldCharType="separate"/>
    </w:r>
    <w:r w:rsidRPr="006D4573">
      <w:rPr>
        <w:rStyle w:val="Sidnummer"/>
        <w:rPrChange w:id="9" w:author="Lars Brink" w:date="2025-12-17T04:56:00Z" w16du:dateUtc="2025-12-17T03:56:00Z">
          <w:rPr>
            <w:rStyle w:val="Sidnummer"/>
            <w:noProof/>
          </w:rPr>
        </w:rPrChange>
      </w:rPr>
      <w:t>3</w:t>
    </w:r>
    <w:r w:rsidRPr="006D4573">
      <w:rPr>
        <w:rStyle w:val="Sidnummer"/>
        <w:rPrChange w:id="10" w:author="Lars Brink" w:date="2025-12-17T04:56:00Z" w16du:dateUtc="2025-12-17T03:5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D4573">
      <w:tblPrEx>
        <w:tblCellMar>
          <w:top w:w="0" w:type="dxa"/>
          <w:bottom w:w="0" w:type="dxa"/>
        </w:tblCellMar>
      </w:tblPrEx>
      <w:trPr>
        <w:cantSplit/>
      </w:trPr>
      <w:tc>
        <w:tcPr>
          <w:tcW w:w="3119" w:type="dxa"/>
        </w:tcPr>
        <w:p w:rsidR="005A0AB0" w:rsidRPr="006D4573" w:rsidRDefault="005A0AB0">
          <w:pPr>
            <w:pStyle w:val="Sidhuvud"/>
            <w:spacing w:line="200" w:lineRule="atLeast"/>
            <w:ind w:right="357"/>
            <w:rPr>
              <w:rFonts w:ascii="TradeGothic" w:hAnsi="TradeGothic"/>
              <w:b/>
              <w:bCs/>
              <w:sz w:val="16"/>
              <w:rPrChange w:id="11" w:author="Lars Brink" w:date="2025-12-17T04:56:00Z" w16du:dateUtc="2025-12-17T03:56:00Z">
                <w:rPr>
                  <w:rFonts w:ascii="TradeGothic" w:hAnsi="TradeGothic"/>
                  <w:b/>
                  <w:bCs/>
                  <w:sz w:val="16"/>
                </w:rPr>
              </w:rPrChange>
            </w:rPr>
          </w:pPr>
        </w:p>
      </w:tc>
      <w:tc>
        <w:tcPr>
          <w:tcW w:w="4111" w:type="dxa"/>
          <w:tcMar>
            <w:left w:w="567" w:type="dxa"/>
          </w:tcMar>
        </w:tcPr>
        <w:p w:rsidR="005A0AB0" w:rsidRPr="006D4573" w:rsidRDefault="005A0AB0">
          <w:pPr>
            <w:pStyle w:val="Sidhuvud"/>
            <w:ind w:right="360"/>
            <w:rPr>
              <w:rPrChange w:id="12" w:author="Lars Brink" w:date="2025-12-17T04:56:00Z" w16du:dateUtc="2025-12-17T03:56:00Z">
                <w:rPr/>
              </w:rPrChange>
            </w:rPr>
          </w:pPr>
        </w:p>
      </w:tc>
      <w:tc>
        <w:tcPr>
          <w:tcW w:w="1525" w:type="dxa"/>
        </w:tcPr>
        <w:p w:rsidR="005A0AB0" w:rsidRPr="006D4573" w:rsidRDefault="005A0AB0">
          <w:pPr>
            <w:pStyle w:val="Sidhuvud"/>
            <w:ind w:right="360"/>
            <w:rPr>
              <w:rPrChange w:id="13" w:author="Lars Brink" w:date="2025-12-17T04:56:00Z" w16du:dateUtc="2025-12-17T03:56:00Z">
                <w:rPr/>
              </w:rPrChange>
            </w:rPr>
          </w:pPr>
        </w:p>
      </w:tc>
    </w:tr>
  </w:tbl>
  <w:p w:rsidR="005A0AB0" w:rsidRPr="006D4573" w:rsidRDefault="005A0AB0">
    <w:pPr>
      <w:pStyle w:val="Sidhuvud"/>
      <w:ind w:right="357" w:firstLine="357"/>
      <w:rPr>
        <w:rPrChange w:id="14" w:author="Lars Brink" w:date="2025-12-17T04:56:00Z" w16du:dateUtc="2025-12-17T03:5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B0" w:rsidRPr="006D4573" w:rsidRDefault="006D4573">
    <w:pPr>
      <w:framePr w:w="2948" w:h="1321" w:hRule="exact" w:wrap="notBeside" w:vAnchor="page" w:hAnchor="page" w:x="1362" w:y="653"/>
    </w:pPr>
    <w:r w:rsidRPr="006D457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A0AB0" w:rsidRPr="006D4573" w:rsidRDefault="005A0AB0">
    <w:pPr>
      <w:pStyle w:val="RKrubrik"/>
      <w:keepNext w:val="0"/>
      <w:tabs>
        <w:tab w:val="clear" w:pos="1134"/>
        <w:tab w:val="clear" w:pos="2835"/>
      </w:tabs>
      <w:spacing w:before="0" w:after="0" w:line="320" w:lineRule="atLeast"/>
      <w:rPr>
        <w:bCs/>
      </w:rPr>
    </w:pPr>
  </w:p>
  <w:p w:rsidR="005A0AB0" w:rsidRPr="006D4573" w:rsidRDefault="005A0AB0">
    <w:pPr>
      <w:rPr>
        <w:rFonts w:ascii="TradeGothic" w:hAnsi="TradeGothic"/>
        <w:b/>
        <w:bCs/>
        <w:spacing w:val="12"/>
        <w:sz w:val="22"/>
      </w:rPr>
    </w:pPr>
  </w:p>
  <w:p w:rsidR="005A0AB0" w:rsidRPr="006D4573" w:rsidRDefault="005A0AB0">
    <w:pPr>
      <w:pStyle w:val="RKrubrik"/>
      <w:keepNext w:val="0"/>
      <w:tabs>
        <w:tab w:val="clear" w:pos="1134"/>
        <w:tab w:val="clear" w:pos="2835"/>
      </w:tabs>
      <w:spacing w:before="0" w:after="0" w:line="320" w:lineRule="atLeast"/>
      <w:rPr>
        <w:bCs/>
      </w:rPr>
    </w:pPr>
  </w:p>
  <w:p w:rsidR="005A0AB0" w:rsidRPr="006D4573" w:rsidRDefault="005A0AB0">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B547AF"/>
    <w:rsid w:val="005A0AB0"/>
    <w:rsid w:val="006D4573"/>
    <w:rsid w:val="00B547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E5205E-27F5-4ED4-BE3E-97B37D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Revision">
    <w:name w:val="Revision"/>
    <w:hidden/>
    <w:uiPriority w:val="99"/>
    <w:semiHidden/>
    <w:rsid w:val="006D457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534</Words>
  <Characters>3513</Characters>
  <Application>Microsoft Office Word</Application>
  <DocSecurity>4</DocSecurity>
  <Lines>106</Lines>
  <Paragraphs>39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2006-11-10T15:34:00Z</cp:lastPrinted>
  <dcterms:created xsi:type="dcterms:W3CDTF">2025-12-17T03:56:00Z</dcterms:created>
  <dcterms:modified xsi:type="dcterms:W3CDTF">2025-12-17T03:56:00Z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11;0;0;384</vt:lpwstr>
  </property>
  <property fmtid="{D5CDD505-2E9C-101B-9397-08002B2CF9AE}" pid="3" name="Sprak">
    <vt:lpwstr>Svenska</vt:lpwstr>
  </property>
  <property fmtid="{D5CDD505-2E9C-101B-9397-08002B2CF9AE}" pid="4" name="DokID">
    <vt:i4>60</vt:i4>
  </property>
</Properties>
</file>