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777" w:rsidRPr="00350777" w:rsidRDefault="00350777">
      <w:pPr>
        <w:pStyle w:val="Frslagsrubrik"/>
      </w:pPr>
      <w:r w:rsidRPr="00350777">
        <w:t>Förslag till riksdagsbeslut</w:t>
      </w:r>
    </w:p>
    <w:p w:rsidR="00350777" w:rsidRPr="00350777" w:rsidRDefault="00350777">
      <w:pPr>
        <w:pStyle w:val="Hemstlatt"/>
        <w:numPr>
          <w:ilvl w:val="0"/>
          <w:numId w:val="1"/>
        </w:numPr>
      </w:pPr>
      <w:r w:rsidRPr="00350777">
        <w:t xml:space="preserve">Riksdagen tillkännager för regeringen som sin mening vad som anförs i motionen om att </w:t>
      </w:r>
      <w:r w:rsidRPr="00350777">
        <w:rPr>
          <w:color w:val="000000"/>
        </w:rPr>
        <w:t>det bör byggas upp ett n</w:t>
      </w:r>
      <w:r w:rsidRPr="00350777">
        <w:rPr>
          <w:color w:val="000000"/>
        </w:rPr>
        <w:t>a</w:t>
      </w:r>
      <w:r w:rsidRPr="00350777">
        <w:rPr>
          <w:color w:val="000000"/>
        </w:rPr>
        <w:t>tionellt likvärdigt kontrollsystem.</w:t>
      </w:r>
    </w:p>
    <w:p w:rsidR="00350777" w:rsidRPr="00350777" w:rsidRDefault="00350777">
      <w:pPr>
        <w:pStyle w:val="Hemstlatt"/>
        <w:numPr>
          <w:ilvl w:val="0"/>
          <w:numId w:val="1"/>
        </w:numPr>
      </w:pPr>
      <w:r w:rsidRPr="00350777">
        <w:t>Riksdagen tillkännager för regeringen som sin mening vad som anförs i motionen om att regeringen bör analysera situationen och överväga behovet av ett förtydligande av lagstiftningen vad b</w:t>
      </w:r>
      <w:r w:rsidRPr="00350777">
        <w:t>e</w:t>
      </w:r>
      <w:r w:rsidRPr="00350777">
        <w:t>träffar produkter och restprodukter och lägga fram erforderliga la</w:t>
      </w:r>
      <w:r w:rsidRPr="00350777">
        <w:t>g</w:t>
      </w:r>
      <w:r w:rsidRPr="00350777">
        <w:t>förslag för riksdagen.</w:t>
      </w:r>
    </w:p>
    <w:p w:rsidR="00350777" w:rsidRPr="00350777" w:rsidRDefault="00350777">
      <w:pPr>
        <w:pStyle w:val="Rubrik1"/>
      </w:pPr>
      <w:r w:rsidRPr="00350777">
        <w:t>Bakgrund</w:t>
      </w:r>
    </w:p>
    <w:p w:rsidR="00350777" w:rsidRPr="00350777" w:rsidRDefault="00350777">
      <w:pPr>
        <w:autoSpaceDE w:val="0"/>
        <w:autoSpaceDN w:val="0"/>
        <w:adjustRightInd w:val="0"/>
        <w:rPr>
          <w:color w:val="000000"/>
          <w:szCs w:val="22"/>
        </w:rPr>
      </w:pPr>
      <w:r w:rsidRPr="00350777">
        <w:rPr>
          <w:color w:val="000000"/>
        </w:rPr>
        <w:t xml:space="preserve">Regeringen föreslår vissa ändringar i </w:t>
      </w:r>
      <w:hyperlink r:id="rId7" w:history="1">
        <w:r w:rsidRPr="00350777">
          <w:rPr>
            <w:color w:val="000000"/>
          </w:rPr>
          <w:t>lagen (2010:598</w:t>
        </w:r>
      </w:hyperlink>
      <w:r w:rsidRPr="00350777">
        <w:rPr>
          <w:color w:val="000000"/>
        </w:rPr>
        <w:t>) om hållbarhetskriterier för biodrivmedel och flytande biobränslen förkortad HBL.</w:t>
      </w:r>
    </w:p>
    <w:p w:rsidR="00350777" w:rsidRPr="00350777" w:rsidRDefault="00350777">
      <w:pPr>
        <w:pStyle w:val="Normaltindrag"/>
      </w:pPr>
      <w:r w:rsidRPr="00350777">
        <w:t>Regeringens förslag berör frågor om vem som ska rapportera om hållbara drivmedel och flytande biobränslen samt att den rapporteringsskyldiga ska ha rätt att få ett hållbarhetsbesked från tillsynsmyndigheten. Hållbarhetsbeskedet ska kunna användas vid deklaration för energiskatt och koldioxidskatt och vid deklaration för elcertifikat. För att få ett hållbarhetsbesked ska den rapport</w:t>
      </w:r>
      <w:r w:rsidRPr="00350777">
        <w:t>e</w:t>
      </w:r>
      <w:r w:rsidRPr="00350777">
        <w:t>ringsskyldige upprätta ett kontrollsystem som säkerställer att hans eller he</w:t>
      </w:r>
      <w:r w:rsidRPr="00350777">
        <w:t>n</w:t>
      </w:r>
      <w:r w:rsidRPr="00350777">
        <w:t>nes biobränslen kan anses som hållbara.</w:t>
      </w:r>
    </w:p>
    <w:p w:rsidR="00350777" w:rsidRPr="00350777" w:rsidRDefault="00350777">
      <w:pPr>
        <w:pStyle w:val="Rubrik1"/>
      </w:pPr>
      <w:r w:rsidRPr="00350777">
        <w:lastRenderedPageBreak/>
        <w:t>Inför ett nationellt system</w:t>
      </w:r>
    </w:p>
    <w:p w:rsidR="00350777" w:rsidRPr="00350777" w:rsidRDefault="00350777">
      <w:pPr>
        <w:autoSpaceDE w:val="0"/>
        <w:autoSpaceDN w:val="0"/>
        <w:adjustRightInd w:val="0"/>
        <w:rPr>
          <w:color w:val="000000"/>
        </w:rPr>
      </w:pPr>
      <w:r w:rsidRPr="00350777">
        <w:rPr>
          <w:color w:val="000000"/>
        </w:rPr>
        <w:t>För en effektiv och rättvis kontroll av de rapporteringsskyldiga krävs ett n</w:t>
      </w:r>
      <w:r w:rsidRPr="00350777">
        <w:rPr>
          <w:color w:val="000000"/>
        </w:rPr>
        <w:t>a</w:t>
      </w:r>
      <w:r w:rsidRPr="00350777">
        <w:rPr>
          <w:color w:val="000000"/>
        </w:rPr>
        <w:t>tionellt likvärdigt system.</w:t>
      </w:r>
    </w:p>
    <w:p w:rsidR="00350777" w:rsidRPr="00350777" w:rsidRDefault="00350777">
      <w:pPr>
        <w:pStyle w:val="Normaltindrag"/>
      </w:pPr>
      <w:r w:rsidRPr="00350777">
        <w:t>En del remissinstanser är kritiska till att kontrollsystemet bygger på att det är den rapporteringsskyldige som själv ska godkänna sitt eget system. Vi delar den kritiken och anser att tillsynsmyndighetens uppgift blir svårhante</w:t>
      </w:r>
      <w:r w:rsidRPr="00350777">
        <w:t>r</w:t>
      </w:r>
      <w:r w:rsidRPr="00350777">
        <w:t>lig, då kontrollerna blir av så skiftande karaktär. De olika systemen kan komma att variera stort och leda till att arbetet med en effektiv kontroll fö</w:t>
      </w:r>
      <w:r w:rsidRPr="00350777">
        <w:t>r</w:t>
      </w:r>
      <w:r w:rsidRPr="00350777">
        <w:t>svåras. Vi anser att det i stället bör byggas upp ett nationellt likvärdigt ko</w:t>
      </w:r>
      <w:r w:rsidRPr="00350777">
        <w:t>n</w:t>
      </w:r>
      <w:r w:rsidRPr="00350777">
        <w:t>trollsystem. Detta bör ges regeringen till känna.</w:t>
      </w:r>
    </w:p>
    <w:p w:rsidR="00350777" w:rsidRPr="00350777" w:rsidRDefault="00350777">
      <w:pPr>
        <w:pStyle w:val="Rubrik1"/>
      </w:pPr>
      <w:r w:rsidRPr="00350777">
        <w:t>Klimatneutral lag viktig</w:t>
      </w:r>
    </w:p>
    <w:p w:rsidR="00350777" w:rsidRPr="00350777" w:rsidRDefault="00350777">
      <w:pPr>
        <w:autoSpaceDE w:val="0"/>
        <w:autoSpaceDN w:val="0"/>
        <w:adjustRightInd w:val="0"/>
        <w:rPr>
          <w:color w:val="000000"/>
        </w:rPr>
      </w:pPr>
      <w:r w:rsidRPr="00350777">
        <w:rPr>
          <w:color w:val="000000"/>
        </w:rPr>
        <w:t>Lagstiftning bör ha ett klimatneutralt perspektiv på varor och tjänster. Vi anser inte att en och samma produkt ska kunna omfattas av olika regler.</w:t>
      </w:r>
    </w:p>
    <w:p w:rsidR="00350777" w:rsidRPr="00350777" w:rsidRDefault="00350777">
      <w:pPr>
        <w:pStyle w:val="Normaltindrag"/>
      </w:pPr>
      <w:r w:rsidRPr="00350777">
        <w:t>Regeringen har tagit intryck av framförd kritik när det gäller definitionen av restprodukter. Den nya lagtexten ökar förståelsen om vad som är en pr</w:t>
      </w:r>
      <w:r w:rsidRPr="00350777">
        <w:t>o</w:t>
      </w:r>
      <w:r w:rsidRPr="00350777">
        <w:t xml:space="preserve">dukt och vad som är en restprodukt. Dock kan det kvarstå otydligheter i själva författningskommentarerna, vilket ligger till grund för tolkningen och </w:t>
      </w:r>
      <w:r w:rsidRPr="00350777">
        <w:br/>
        <w:t>tilläm</w:t>
      </w:r>
      <w:r w:rsidRPr="00350777">
        <w:t>p</w:t>
      </w:r>
      <w:r w:rsidRPr="00350777">
        <w:t>ningen av lagtexten. Innebär texten i författningskommentaren att en råvara som används som biodrivmedel i vissa sammanhang felaktigt kan uppfattas som en restprodukt och inte som en produkt? Som restprodukt gäl</w:t>
      </w:r>
      <w:r w:rsidRPr="00350777">
        <w:t>l</w:t>
      </w:r>
      <w:r w:rsidRPr="00350777">
        <w:t>er andra regler för t.ex. spårbarhet. Det skulle då kunna leda till att t.ex. r</w:t>
      </w:r>
      <w:r w:rsidRPr="00350777">
        <w:t>å</w:t>
      </w:r>
      <w:r w:rsidRPr="00350777">
        <w:t>tallolja blir mer lönsamt att använda som biodrivmedel jämför</w:t>
      </w:r>
      <w:r w:rsidRPr="00350777">
        <w:t>t med använ</w:t>
      </w:r>
      <w:r w:rsidRPr="00350777">
        <w:t>d</w:t>
      </w:r>
      <w:r w:rsidRPr="00350777">
        <w:t>ning i andra sektorer. Lagstiftningen riskerar därmed att inte ha ett klimatn</w:t>
      </w:r>
      <w:r w:rsidRPr="00350777">
        <w:t>e</w:t>
      </w:r>
      <w:r w:rsidRPr="00350777">
        <w:t>utralt perspe</w:t>
      </w:r>
      <w:r w:rsidRPr="00350777">
        <w:t>k</w:t>
      </w:r>
      <w:r w:rsidRPr="00350777">
        <w:t>tiv, utan inriktas mot att premiera en råvaras konsumtion inom ett visst område. I propositionen finns ingen analys och konsekvensbedö</w:t>
      </w:r>
      <w:r w:rsidRPr="00350777">
        <w:t>m</w:t>
      </w:r>
      <w:r w:rsidRPr="00350777">
        <w:t>ning av detta.</w:t>
      </w:r>
    </w:p>
    <w:p w:rsidR="00350777" w:rsidRPr="00350777" w:rsidRDefault="00350777">
      <w:pPr>
        <w:pStyle w:val="Normaltindrag"/>
      </w:pPr>
      <w:r w:rsidRPr="00350777">
        <w:t>Det är olyckligt om tillämpningen av lagen skulle kunna leda fram till en situation där samma råvara kan tolkas som både produkt och restprodukt. Vi anser därför att regeringen bör analysera situationen och överväga behovet av ett förtydligande av lagstiftni</w:t>
      </w:r>
      <w:r w:rsidRPr="00350777">
        <w:t>ngen vad beträffar produkter och restprodu</w:t>
      </w:r>
      <w:r w:rsidRPr="00350777">
        <w:t>k</w:t>
      </w:r>
      <w:r w:rsidRPr="00350777">
        <w:t>ter och lägga fram erforderliga lagförslag för riksdagen. Detta bör ges regerin</w:t>
      </w:r>
      <w:r w:rsidRPr="00350777">
        <w:t>g</w:t>
      </w:r>
      <w:r w:rsidRPr="00350777">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0777">
        <w:trPr>
          <w:cantSplit/>
        </w:trPr>
        <w:tc>
          <w:tcPr>
            <w:tcW w:w="3046" w:type="dxa"/>
          </w:tcPr>
          <w:p w:rsidR="00350777" w:rsidRPr="00350777" w:rsidRDefault="00350777">
            <w:pPr>
              <w:pStyle w:val="UnderskriftDatum"/>
              <w:spacing w:before="240"/>
            </w:pPr>
            <w:r w:rsidRPr="00350777">
              <w:t>Stockholm den 22 juni 2011</w:t>
            </w:r>
          </w:p>
        </w:tc>
        <w:tc>
          <w:tcPr>
            <w:tcW w:w="3047" w:type="dxa"/>
          </w:tcPr>
          <w:p w:rsidR="00350777" w:rsidRPr="00350777" w:rsidRDefault="00350777">
            <w:pPr>
              <w:pStyle w:val="Underskrifter"/>
              <w:spacing w:before="240"/>
            </w:pPr>
          </w:p>
        </w:tc>
      </w:tr>
      <w:tr w:rsidR="00000000" w:rsidRPr="00350777">
        <w:trPr>
          <w:cantSplit/>
        </w:trPr>
        <w:tc>
          <w:tcPr>
            <w:tcW w:w="3046" w:type="dxa"/>
          </w:tcPr>
          <w:p w:rsidR="00350777" w:rsidRPr="00350777" w:rsidRDefault="00350777">
            <w:pPr>
              <w:pStyle w:val="Underskrifter"/>
            </w:pPr>
            <w:r w:rsidRPr="00350777">
              <w:t>Jens Holm (V)</w:t>
            </w:r>
          </w:p>
        </w:tc>
        <w:tc>
          <w:tcPr>
            <w:tcW w:w="3046" w:type="dxa"/>
          </w:tcPr>
          <w:p w:rsidR="00350777" w:rsidRPr="00350777" w:rsidRDefault="00350777">
            <w:pPr>
              <w:pStyle w:val="Underskrifter"/>
            </w:pPr>
          </w:p>
        </w:tc>
      </w:tr>
      <w:tr w:rsidR="00000000" w:rsidRPr="00350777">
        <w:trPr>
          <w:cantSplit/>
        </w:trPr>
        <w:tc>
          <w:tcPr>
            <w:tcW w:w="3046" w:type="dxa"/>
          </w:tcPr>
          <w:p w:rsidR="00350777" w:rsidRPr="00350777" w:rsidRDefault="00350777">
            <w:pPr>
              <w:pStyle w:val="Underskrifter"/>
            </w:pPr>
            <w:r w:rsidRPr="00350777">
              <w:t>Torbjörn Björlund (V)</w:t>
            </w:r>
          </w:p>
        </w:tc>
        <w:tc>
          <w:tcPr>
            <w:tcW w:w="3046" w:type="dxa"/>
          </w:tcPr>
          <w:p w:rsidR="00350777" w:rsidRPr="00350777" w:rsidRDefault="00350777">
            <w:pPr>
              <w:pStyle w:val="Underskrifter"/>
            </w:pPr>
            <w:r w:rsidRPr="00350777">
              <w:t>Siv Holma (V)</w:t>
            </w:r>
          </w:p>
        </w:tc>
      </w:tr>
      <w:tr w:rsidR="00000000" w:rsidRPr="00350777">
        <w:trPr>
          <w:cantSplit/>
        </w:trPr>
        <w:tc>
          <w:tcPr>
            <w:tcW w:w="3046" w:type="dxa"/>
          </w:tcPr>
          <w:p w:rsidR="00350777" w:rsidRPr="00350777" w:rsidRDefault="00350777">
            <w:pPr>
              <w:pStyle w:val="Underskrifter"/>
            </w:pPr>
            <w:r w:rsidRPr="00350777">
              <w:t>Hans Linde (V)</w:t>
            </w:r>
          </w:p>
        </w:tc>
        <w:tc>
          <w:tcPr>
            <w:tcW w:w="3046" w:type="dxa"/>
          </w:tcPr>
          <w:p w:rsidR="00350777" w:rsidRPr="00350777" w:rsidRDefault="00350777">
            <w:pPr>
              <w:pStyle w:val="Underskrifter"/>
            </w:pPr>
            <w:r w:rsidRPr="00350777">
              <w:t>Kent Persson (V)</w:t>
            </w:r>
          </w:p>
        </w:tc>
      </w:tr>
      <w:tr w:rsidR="00000000" w:rsidRPr="00350777">
        <w:trPr>
          <w:cantSplit/>
        </w:trPr>
        <w:tc>
          <w:tcPr>
            <w:tcW w:w="3046" w:type="dxa"/>
          </w:tcPr>
          <w:p w:rsidR="00350777" w:rsidRPr="00350777" w:rsidRDefault="00350777">
            <w:pPr>
              <w:pStyle w:val="Underskrifter"/>
            </w:pPr>
            <w:r w:rsidRPr="00350777">
              <w:t>Jonas Sjöstedt (V)</w:t>
            </w:r>
          </w:p>
        </w:tc>
        <w:tc>
          <w:tcPr>
            <w:tcW w:w="3046" w:type="dxa"/>
          </w:tcPr>
          <w:p w:rsidR="00350777" w:rsidRPr="00350777" w:rsidRDefault="00350777">
            <w:pPr>
              <w:pStyle w:val="Underskrifter"/>
            </w:pPr>
          </w:p>
        </w:tc>
      </w:tr>
    </w:tbl>
    <w:p w:rsidR="00350777" w:rsidRPr="00350777" w:rsidRDefault="00350777">
      <w:pPr>
        <w:pStyle w:val="Normaltindrag"/>
      </w:pPr>
    </w:p>
    <w:sectPr w:rsidR="00000000" w:rsidRPr="00350777">
      <w:headerReference w:type="even" r:id="rId8"/>
      <w:headerReference w:type="default" r:id="rId9"/>
      <w:footerReference w:type="even" r:id="rId10"/>
      <w:footerReference w:type="default" r:id="rId11"/>
      <w:headerReference w:type="first" r:id="rId12"/>
      <w:footerReference w:type="first" r:id="rId1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777" w:rsidRPr="00350777" w:rsidRDefault="00350777">
      <w:r w:rsidRPr="00350777">
        <w:separator/>
      </w:r>
    </w:p>
  </w:endnote>
  <w:endnote w:type="continuationSeparator" w:id="0">
    <w:p w:rsidR="00350777" w:rsidRPr="00350777" w:rsidRDefault="00350777">
      <w:r w:rsidRPr="003507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777" w:rsidRPr="00350777" w:rsidRDefault="00350777">
    <w:pPr>
      <w:pStyle w:val="Sidfot"/>
    </w:pPr>
    <w:r w:rsidRPr="003507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49905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77" w:rsidRDefault="003507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0777" w:rsidRDefault="003507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777" w:rsidRPr="00350777" w:rsidRDefault="00350777">
    <w:pPr>
      <w:pStyle w:val="Sidfot"/>
    </w:pPr>
    <w:r w:rsidRPr="003507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5552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77" w:rsidRDefault="0035077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0777" w:rsidRDefault="0035077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777" w:rsidRPr="00350777" w:rsidRDefault="00350777">
    <w:pPr>
      <w:pStyle w:val="Sidfot"/>
    </w:pPr>
    <w:r w:rsidRPr="003507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7414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77" w:rsidRDefault="003507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0777" w:rsidRDefault="003507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777" w:rsidRPr="00350777" w:rsidRDefault="00350777">
      <w:r w:rsidRPr="00350777">
        <w:separator/>
      </w:r>
    </w:p>
  </w:footnote>
  <w:footnote w:type="continuationSeparator" w:id="0">
    <w:p w:rsidR="00350777" w:rsidRPr="00350777" w:rsidRDefault="00350777">
      <w:r w:rsidRPr="003507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777" w:rsidRPr="00350777" w:rsidRDefault="00350777">
    <w:pPr>
      <w:pStyle w:val="Sidhuvud"/>
    </w:pPr>
    <w:r w:rsidRPr="003507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4397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77" w:rsidRDefault="003507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0777" w:rsidRDefault="00350777">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777" w:rsidRPr="00350777" w:rsidRDefault="00350777">
    <w:pPr>
      <w:pStyle w:val="Sidhuvud"/>
    </w:pPr>
    <w:r w:rsidRPr="003507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052886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777" w:rsidRDefault="003507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0777" w:rsidRDefault="00350777">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0777" w:rsidRPr="00350777" w:rsidRDefault="00350777">
    <w:pPr>
      <w:pStyle w:val="FSHNormal"/>
      <w:tabs>
        <w:tab w:val="right" w:pos="5840"/>
      </w:tabs>
    </w:pPr>
    <w:r w:rsidRPr="00350777">
      <w:br/>
    </w:r>
    <w:r w:rsidRPr="00350777">
      <w:fldChar w:fldCharType="begin" w:fldLock="1"/>
    </w:r>
    <w:r w:rsidRPr="00350777">
      <w:instrText xml:space="preserve"> DOCPROPERTY</w:instrText>
    </w:r>
    <w:r w:rsidRPr="00350777">
      <w:rPr>
        <w:sz w:val="18"/>
      </w:rPr>
      <w:instrText xml:space="preserve"> "YearUser" *\charformat </w:instrText>
    </w:r>
    <w:r w:rsidRPr="00350777">
      <w:fldChar w:fldCharType="separate"/>
    </w:r>
    <w:r w:rsidRPr="00350777">
      <w:t>2010/11</w:t>
    </w:r>
    <w:r w:rsidRPr="00350777">
      <w:fldChar w:fldCharType="end"/>
    </w:r>
    <w:r w:rsidRPr="00350777">
      <w:t xml:space="preserve"> </w:t>
    </w:r>
    <w:r w:rsidRPr="00350777">
      <w:tab/>
      <w:t xml:space="preserve">mnr: </w:t>
    </w:r>
    <w:r w:rsidRPr="00350777">
      <w:fldChar w:fldCharType="begin" w:fldLock="1"/>
    </w:r>
    <w:r w:rsidRPr="00350777">
      <w:instrText xml:space="preserve"> DOCPROPERTY</w:instrText>
    </w:r>
    <w:r w:rsidRPr="00350777">
      <w:rPr>
        <w:sz w:val="18"/>
      </w:rPr>
      <w:instrText xml:space="preserve"> "Motionsnummer" *\charformat </w:instrText>
    </w:r>
    <w:r w:rsidRPr="00350777">
      <w:fldChar w:fldCharType="separate"/>
    </w:r>
    <w:r w:rsidRPr="00350777">
      <w:t>MJ7</w:t>
    </w:r>
    <w:r w:rsidRPr="00350777">
      <w:fldChar w:fldCharType="end"/>
    </w:r>
    <w:r w:rsidRPr="00350777">
      <w:br/>
    </w:r>
    <w:r w:rsidRPr="00350777">
      <w:fldChar w:fldCharType="begin" w:fldLock="1"/>
    </w:r>
    <w:r w:rsidRPr="00350777">
      <w:instrText xml:space="preserve"> DOCPROPERTY</w:instrText>
    </w:r>
    <w:r w:rsidRPr="00350777">
      <w:rPr>
        <w:sz w:val="18"/>
      </w:rPr>
      <w:instrText xml:space="preserve"> "Samling" *\charformat </w:instrText>
    </w:r>
    <w:r w:rsidRPr="00350777">
      <w:fldChar w:fldCharType="end"/>
    </w:r>
    <w:r w:rsidRPr="00350777">
      <w:tab/>
      <w:t xml:space="preserve">pnr: </w:t>
    </w:r>
    <w:r w:rsidRPr="00350777">
      <w:fldChar w:fldCharType="begin" w:fldLock="1"/>
    </w:r>
    <w:r w:rsidRPr="00350777">
      <w:instrText xml:space="preserve"> DOCPROPERTY</w:instrText>
    </w:r>
    <w:r w:rsidRPr="00350777">
      <w:rPr>
        <w:sz w:val="18"/>
      </w:rPr>
      <w:instrText xml:space="preserve"> "Partinummer" *\charformat </w:instrText>
    </w:r>
    <w:r w:rsidRPr="00350777">
      <w:fldChar w:fldCharType="separate"/>
    </w:r>
    <w:r w:rsidRPr="00350777">
      <w:t>V35</w:t>
    </w:r>
    <w:r w:rsidRPr="00350777">
      <w:fldChar w:fldCharType="end"/>
    </w:r>
  </w:p>
  <w:p w:rsidR="00350777" w:rsidRPr="00350777" w:rsidRDefault="00350777">
    <w:pPr>
      <w:pStyle w:val="FSHRub1"/>
    </w:pPr>
    <w:r w:rsidRPr="00350777">
      <w:t>Motion till riksdagen</w:t>
    </w:r>
    <w:r w:rsidRPr="00350777">
      <w:br/>
    </w:r>
    <w:r w:rsidRPr="00350777">
      <w:fldChar w:fldCharType="begin" w:fldLock="1"/>
    </w:r>
    <w:r w:rsidRPr="00350777">
      <w:instrText xml:space="preserve"> DOCPROPERTY "YearUser" *\charformat </w:instrText>
    </w:r>
    <w:r w:rsidRPr="00350777">
      <w:fldChar w:fldCharType="separate"/>
    </w:r>
    <w:r w:rsidRPr="00350777">
      <w:t>2010/11</w:t>
    </w:r>
    <w:r w:rsidRPr="00350777">
      <w:fldChar w:fldCharType="end"/>
    </w:r>
    <w:r w:rsidRPr="00350777">
      <w:t>:</w:t>
    </w:r>
    <w:r w:rsidRPr="00350777">
      <w:fldChar w:fldCharType="begin" w:fldLock="1"/>
    </w:r>
    <w:r w:rsidRPr="00350777">
      <w:instrText xml:space="preserve"> DOCPROPERTY "Motionsnummer" *\charformat </w:instrText>
    </w:r>
    <w:r w:rsidRPr="00350777">
      <w:fldChar w:fldCharType="separate"/>
    </w:r>
    <w:r w:rsidRPr="00350777">
      <w:t>MJ7</w:t>
    </w:r>
    <w:r w:rsidRPr="00350777">
      <w:fldChar w:fldCharType="end"/>
    </w:r>
  </w:p>
  <w:p w:rsidR="00350777" w:rsidRPr="00350777" w:rsidRDefault="00350777">
    <w:pPr>
      <w:pStyle w:val="FSHNormalS5"/>
    </w:pPr>
    <w:r w:rsidRPr="00350777">
      <w:fldChar w:fldCharType="begin" w:fldLock="1"/>
    </w:r>
    <w:r w:rsidRPr="00350777">
      <w:instrText xml:space="preserve"> DOCPROPERTY "MotionarText" *\charformat </w:instrText>
    </w:r>
    <w:r w:rsidRPr="00350777">
      <w:fldChar w:fldCharType="separate"/>
    </w:r>
    <w:r w:rsidRPr="00350777">
      <w:t>av Jens Holm m.fl. (V)</w:t>
    </w:r>
    <w:r w:rsidRPr="00350777">
      <w:fldChar w:fldCharType="end"/>
    </w:r>
    <w:r w:rsidRPr="00350777">
      <w:br/>
    </w:r>
    <w:r w:rsidRPr="00350777">
      <w:fldChar w:fldCharType="begin" w:fldLock="1"/>
    </w:r>
    <w:r w:rsidRPr="00350777">
      <w:instrText xml:space="preserve"> DOCPROPERTY "SvarFrasKort" *\charformat </w:instrText>
    </w:r>
    <w:r w:rsidRPr="00350777">
      <w:fldChar w:fldCharType="separate"/>
    </w:r>
    <w:r w:rsidRPr="00350777">
      <w:t>med anledning av prop. 2010/11:152</w:t>
    </w:r>
    <w:r w:rsidRPr="00350777">
      <w:fldChar w:fldCharType="end"/>
    </w:r>
  </w:p>
  <w:p w:rsidR="00350777" w:rsidRPr="00350777" w:rsidRDefault="00350777">
    <w:pPr>
      <w:pStyle w:val="FSHTitel"/>
    </w:pPr>
    <w:r w:rsidRPr="00350777">
      <w:fldChar w:fldCharType="begin" w:fldLock="1"/>
    </w:r>
    <w:r w:rsidRPr="00350777">
      <w:instrText xml:space="preserve"> DOCPROPERTY</w:instrText>
    </w:r>
    <w:r w:rsidRPr="00350777">
      <w:rPr>
        <w:sz w:val="18"/>
      </w:rPr>
      <w:instrText xml:space="preserve"> "RubrikSvar" *\charformat </w:instrText>
    </w:r>
    <w:r w:rsidRPr="00350777">
      <w:fldChar w:fldCharType="separate"/>
    </w:r>
    <w:r w:rsidRPr="00350777">
      <w:t>Införande av hållbarhetsbesked i lagen (2010:598) om hållbarhetskriterier för biodrivmedel och flytande biobränsle</w:t>
    </w:r>
    <w:r w:rsidRPr="00350777">
      <w:fldChar w:fldCharType="end"/>
    </w:r>
  </w:p>
  <w:p w:rsidR="00350777" w:rsidRPr="00350777" w:rsidRDefault="00350777">
    <w:pPr>
      <w:pStyle w:val="Normal00"/>
    </w:pPr>
  </w:p>
  <w:p w:rsidR="00350777" w:rsidRPr="00350777" w:rsidRDefault="00350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01A4599"/>
    <w:multiLevelType w:val="hybridMultilevel"/>
    <w:tmpl w:val="7F240EEE"/>
    <w:lvl w:ilvl="0" w:tplc="22CC3F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6385801">
    <w:abstractNumId w:val="3"/>
  </w:num>
  <w:num w:numId="2" w16cid:durableId="1372463405">
    <w:abstractNumId w:val="2"/>
  </w:num>
  <w:num w:numId="3" w16cid:durableId="3439417">
    <w:abstractNumId w:val="1"/>
  </w:num>
  <w:num w:numId="4" w16cid:durableId="113335330">
    <w:abstractNumId w:val="0"/>
  </w:num>
  <w:num w:numId="5" w16cid:durableId="1107311729">
    <w:abstractNumId w:val="7"/>
  </w:num>
  <w:num w:numId="6" w16cid:durableId="1975481615">
    <w:abstractNumId w:val="6"/>
  </w:num>
  <w:num w:numId="7" w16cid:durableId="421995109">
    <w:abstractNumId w:val="5"/>
  </w:num>
  <w:num w:numId="8" w16cid:durableId="753164105">
    <w:abstractNumId w:val="4"/>
  </w:num>
  <w:num w:numId="9" w16cid:durableId="1130049479">
    <w:abstractNumId w:val="8"/>
  </w:num>
  <w:num w:numId="10" w16cid:durableId="271716533">
    <w:abstractNumId w:val="9"/>
  </w:num>
  <w:num w:numId="11" w16cid:durableId="742484372">
    <w:abstractNumId w:val="10"/>
  </w:num>
  <w:num w:numId="12" w16cid:durableId="241329951">
    <w:abstractNumId w:val="13"/>
  </w:num>
  <w:num w:numId="13" w16cid:durableId="1578586942">
    <w:abstractNumId w:val="15"/>
  </w:num>
  <w:num w:numId="14" w16cid:durableId="1074816180">
    <w:abstractNumId w:val="17"/>
  </w:num>
  <w:num w:numId="15" w16cid:durableId="750929799">
    <w:abstractNumId w:val="11"/>
  </w:num>
  <w:num w:numId="16" w16cid:durableId="1331326154">
    <w:abstractNumId w:val="19"/>
  </w:num>
  <w:num w:numId="17" w16cid:durableId="1422793653">
    <w:abstractNumId w:val="18"/>
  </w:num>
  <w:num w:numId="18" w16cid:durableId="684358267">
    <w:abstractNumId w:val="14"/>
  </w:num>
  <w:num w:numId="19" w16cid:durableId="248121437">
    <w:abstractNumId w:val="12"/>
  </w:num>
  <w:num w:numId="20" w16cid:durableId="3727324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126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6-22"/>
    <w:docVar w:name="PersonGUIDs" w:val="{4C5A52D9-57D3-4837-8681-D18310330361},{D15D0462-146C-44BC-ADFC-351897A94EF1},{067EC5B1-F12A-4854-8B10-117296BF7C72},{00468181-7122-42C5-877E-69489063FE94},{3EA40B84-2474-4E42-A764-D13EB4E0906F},{DA248C4D-AFF6-4AC5-94CA-AED252C8C8C8}"/>
  </w:docVars>
  <w:rsids>
    <w:rsidRoot w:val="008960CE"/>
    <w:rsid w:val="00350777"/>
    <w:rsid w:val="008960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5:chartTrackingRefBased/>
  <w15:docId w15:val="{17354B57-7B97-4457-9C98-A08C17A6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iksdagen.se/webbnav/index.aspx?nid=3911&amp;bet=2010:59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2948</Characters>
  <Application>Microsoft Office Word</Application>
  <DocSecurity>4</DocSecurity>
  <Lines>62</Lines>
  <Paragraphs>23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3420</CharactersWithSpaces>
  <SharedDoc>false</SharedDoc>
  <HLinks>
    <vt:vector size="6" baseType="variant">
      <vt:variant>
        <vt:i4>2031641</vt:i4>
      </vt:variant>
      <vt:variant>
        <vt:i4>0</vt:i4>
      </vt:variant>
      <vt:variant>
        <vt:i4>0</vt:i4>
      </vt:variant>
      <vt:variant>
        <vt:i4>5</vt:i4>
      </vt:variant>
      <vt:variant>
        <vt:lpwstr>http://www.riksdagen.se/webbnav/index.aspx?nid=3911&amp;bet=2010:598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2011-06-27T12:58:00Z</cp:lastPrinted>
  <dcterms:created xsi:type="dcterms:W3CDTF">2025-12-18T01:39:00Z</dcterms:created>
  <dcterms:modified xsi:type="dcterms:W3CDTF">2025-12-18T01:39:00Z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mot2000_533_2011-06-22</vt:lpwstr>
  </property>
  <property fmtid="{D5CDD505-2E9C-101B-9397-08002B2CF9AE}" pid="3" name="version">
    <vt:lpwstr>mot2000_524_2011-06-22</vt:lpwstr>
  </property>
  <property fmtid="{D5CDD505-2E9C-101B-9397-08002B2CF9AE}" pid="4" name="dokumenttyp">
    <vt:lpwstr>motion</vt:lpwstr>
  </property>
  <property fmtid="{D5CDD505-2E9C-101B-9397-08002B2CF9AE}" pid="5" name="Sekr">
    <vt:lpwstr>MG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prop. 2010/11:152 Införande av hållbarhetsbesked i lagen (2010:598) om hållbarhetskriterier för biodrivmedel och flytande biobränsle</vt:lpwstr>
  </property>
  <property fmtid="{D5CDD505-2E9C-101B-9397-08002B2CF9AE}" pid="11" name="SvarFrasKort">
    <vt:lpwstr>med anledning av prop. 2010/11:152</vt:lpwstr>
  </property>
  <property fmtid="{D5CDD505-2E9C-101B-9397-08002B2CF9AE}" pid="12" name="Svar">
    <vt:lpwstr>Proposition</vt:lpwstr>
  </property>
  <property fmtid="{D5CDD505-2E9C-101B-9397-08002B2CF9AE}" pid="13" name="SvarNr">
    <vt:lpwstr>2010/11:152</vt:lpwstr>
  </property>
  <property fmtid="{D5CDD505-2E9C-101B-9397-08002B2CF9AE}" pid="14" name="RubrikSvar">
    <vt:lpwstr>Införande av hållbarhetsbesked i lagen (2010:598) om hållbarhetskriterier för biodrivmedel och flytande biobränsle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Jens Holm m.fl. (V)</vt:lpwstr>
  </property>
  <property fmtid="{D5CDD505-2E9C-101B-9397-08002B2CF9AE}" pid="26" name="MotionarLista">
    <vt:lpwstr>Holm, Jens (V)\Björlund, Torbjörn (V)\Holma, Siv (V)\Linde, Hans (V)\Persson, Kent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Torbjörn Björlund (V), Siv Holma (V), Hans Linde (V), Kent Persson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MJ7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juni 2011</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20102011000000000086000000350075</vt:lpwstr>
  </property>
  <property fmtid="{D5CDD505-2E9C-101B-9397-08002B2CF9AE}" pid="47" name="datum">
    <vt:lpwstr>110622</vt:lpwstr>
  </property>
  <property fmtid="{D5CDD505-2E9C-101B-9397-08002B2CF9AE}" pid="48" name="avsändar-e-post">
    <vt:lpwstr>maya.ek@riksdagen.se</vt:lpwstr>
  </property>
  <property fmtid="{D5CDD505-2E9C-101B-9397-08002B2CF9AE}" pid="49" name="id">
    <vt:lpwstr>20102011000000000086000000350075</vt:lpwstr>
  </property>
  <property fmtid="{D5CDD505-2E9C-101B-9397-08002B2CF9AE}" pid="50" name="nummer">
    <vt:lpwstr>7</vt:lpwstr>
  </property>
  <property fmtid="{D5CDD505-2E9C-101B-9397-08002B2CF9AE}" pid="51" name="utskottsbeteckning">
    <vt:lpwstr>MJ</vt:lpwstr>
  </property>
  <property fmtid="{D5CDD505-2E9C-101B-9397-08002B2CF9AE}" pid="52" name="GlobalUID">
    <vt:lpwstr>{8D036D0D-5E96-4189-B032-018F9A4325D5}</vt:lpwstr>
  </property>
  <property fmtid="{D5CDD505-2E9C-101B-9397-08002B2CF9AE}" pid="53" name="Överföringar">
    <vt:i4>0</vt:i4>
  </property>
  <property fmtid="{D5CDD505-2E9C-101B-9397-08002B2CF9AE}" pid="54" name="Checksum">
    <vt:lpwstr>*0004291931968*</vt:lpwstr>
  </property>
  <property fmtid="{D5CDD505-2E9C-101B-9397-08002B2CF9AE}" pid="55" name="skuggnummer">
    <vt:lpwstr/>
  </property>
  <property fmtid="{D5CDD505-2E9C-101B-9397-08002B2CF9AE}" pid="56" name="urixVersion">
    <vt:lpwstr>4.4.0.7</vt:lpwstr>
  </property>
  <property fmtid="{D5CDD505-2E9C-101B-9397-08002B2CF9AE}" pid="57" name="urixOrigin">
    <vt:lpwstr>110627 15:16:24.681</vt:lpwstr>
  </property>
  <property fmtid="{D5CDD505-2E9C-101B-9397-08002B2CF9AE}" pid="58" name="urixGuid">
    <vt:lpwstr>{B09B03BC-202D-4CEF-889B-F6E4FD0035EC}</vt:lpwstr>
  </property>
</Properties>
</file>