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655EEFF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E945B6">
              <w:rPr>
                <w:b/>
              </w:rPr>
              <w:t>2</w:t>
            </w:r>
            <w:r w:rsidR="003D676C">
              <w:rPr>
                <w:b/>
              </w:rPr>
              <w:t>9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0A348AC9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C47A1D">
              <w:t>0</w:t>
            </w:r>
            <w:r w:rsidR="0077731E">
              <w:t>4</w:t>
            </w:r>
            <w:r w:rsidR="004D2A50">
              <w:t>-</w:t>
            </w:r>
            <w:r w:rsidR="0077731E">
              <w:t>1</w:t>
            </w:r>
            <w:r w:rsidR="003D676C">
              <w:t>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7B78D7A" w:rsidR="00141DA2" w:rsidRPr="0012669A" w:rsidRDefault="00044F5A" w:rsidP="008C57B9">
            <w:r>
              <w:t>1</w:t>
            </w:r>
            <w:r w:rsidR="003D676C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534B36">
              <w:t>10.50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1B3B27" w:rsidRPr="0012669A" w14:paraId="405C5FAA" w14:textId="77777777" w:rsidTr="00D7630C">
        <w:trPr>
          <w:trHeight w:val="950"/>
        </w:trPr>
        <w:tc>
          <w:tcPr>
            <w:tcW w:w="567" w:type="dxa"/>
          </w:tcPr>
          <w:p w14:paraId="47DE4C77" w14:textId="18A8E83A" w:rsidR="001B3B27" w:rsidRDefault="001B3B2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051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3F56635D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702EC8A4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6283A96" w14:textId="32EF79F7" w:rsidR="001B3B27" w:rsidRPr="00F923B5" w:rsidRDefault="00360512" w:rsidP="00360512">
            <w:pPr>
              <w:widowControl w:val="0"/>
              <w:rPr>
                <w:bCs/>
                <w:iCs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CA7AC2">
              <w:t>2</w:t>
            </w:r>
            <w:r w:rsidR="003D676C">
              <w:t>8</w:t>
            </w:r>
            <w:r w:rsidR="008B3878">
              <w:t>.</w:t>
            </w:r>
            <w:r>
              <w:br/>
            </w:r>
          </w:p>
        </w:tc>
      </w:tr>
      <w:tr w:rsidR="00665F4E" w:rsidRPr="0012669A" w14:paraId="660D029C" w14:textId="77777777" w:rsidTr="00D7630C">
        <w:trPr>
          <w:trHeight w:val="950"/>
        </w:trPr>
        <w:tc>
          <w:tcPr>
            <w:tcW w:w="567" w:type="dxa"/>
          </w:tcPr>
          <w:p w14:paraId="647AEC51" w14:textId="3B9529C4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24AB1FC8" w14:textId="77777777" w:rsidR="00CE6C8A" w:rsidRDefault="000B52CC" w:rsidP="00CE6C8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175B14">
              <w:rPr>
                <w:b/>
                <w:bCs/>
              </w:rPr>
              <w:t>Genomförande av elmarknadsdirektivet när det gäller leverans av el och aggregering</w:t>
            </w:r>
            <w:r>
              <w:rPr>
                <w:b/>
                <w:bCs/>
              </w:rPr>
              <w:t>stjänster (NU9)</w:t>
            </w:r>
          </w:p>
          <w:p w14:paraId="12F95EC4" w14:textId="77777777" w:rsidR="000B52CC" w:rsidRDefault="000B52CC" w:rsidP="00CE6C8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9BA95BD" w14:textId="2A2DDB54" w:rsidR="000B52CC" w:rsidRDefault="000B52CC" w:rsidP="000B52C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0B52CC">
              <w:rPr>
                <w:rFonts w:eastAsiaTheme="minorHAnsi"/>
                <w:color w:val="000000"/>
                <w:lang w:eastAsia="en-US"/>
              </w:rPr>
              <w:t>Utskottet fortsatte beredningen av proposition 2022/23:59 och motion.</w:t>
            </w:r>
          </w:p>
          <w:p w14:paraId="3C43F70A" w14:textId="16690617" w:rsidR="003D676C" w:rsidRDefault="003D676C" w:rsidP="000B52C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6A416926" w14:textId="75C6E719" w:rsidR="003D676C" w:rsidRPr="003D676C" w:rsidRDefault="003D676C" w:rsidP="003D676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676C">
              <w:rPr>
                <w:rFonts w:eastAsiaTheme="minorHAnsi"/>
                <w:color w:val="000000"/>
                <w:lang w:eastAsia="en-US"/>
              </w:rPr>
              <w:t>Utskottet justerade betänkande 2022/23:NU</w:t>
            </w:r>
            <w:r>
              <w:rPr>
                <w:rFonts w:eastAsiaTheme="minorHAnsi"/>
                <w:color w:val="000000"/>
                <w:lang w:eastAsia="en-US"/>
              </w:rPr>
              <w:t>9</w:t>
            </w:r>
            <w:r w:rsidRPr="003D676C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6A6BC865" w14:textId="77777777" w:rsidR="003D676C" w:rsidRPr="003D676C" w:rsidRDefault="003D676C" w:rsidP="003D676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561B5075" w14:textId="4F5C0F33" w:rsidR="003D676C" w:rsidRDefault="003D676C" w:rsidP="003D676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676C">
              <w:rPr>
                <w:rFonts w:eastAsiaTheme="minorHAnsi"/>
                <w:color w:val="000000"/>
                <w:lang w:eastAsia="en-US"/>
              </w:rPr>
              <w:t>S-, SD-, V-</w:t>
            </w:r>
            <w:r w:rsidR="003B652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D676C">
              <w:rPr>
                <w:rFonts w:eastAsiaTheme="minorHAnsi"/>
                <w:color w:val="000000"/>
                <w:lang w:eastAsia="en-US"/>
              </w:rPr>
              <w:t xml:space="preserve">och </w:t>
            </w:r>
            <w:r w:rsidR="003B6520">
              <w:rPr>
                <w:rFonts w:eastAsiaTheme="minorHAnsi"/>
                <w:color w:val="000000"/>
                <w:lang w:eastAsia="en-US"/>
              </w:rPr>
              <w:t>C</w:t>
            </w:r>
            <w:r w:rsidRPr="003D676C">
              <w:rPr>
                <w:rFonts w:eastAsiaTheme="minorHAnsi"/>
                <w:color w:val="000000"/>
                <w:lang w:eastAsia="en-US"/>
              </w:rPr>
              <w:t>-ledamöterna anmälde reservationer.</w:t>
            </w:r>
          </w:p>
          <w:p w14:paraId="7FB3AA8B" w14:textId="2AA29234" w:rsidR="008B1E70" w:rsidRDefault="008B1E70" w:rsidP="003D676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50A0583A" w14:textId="5EECA32D" w:rsidR="000B52CC" w:rsidRDefault="008B1E70" w:rsidP="000B52C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8B1E70">
              <w:rPr>
                <w:rFonts w:eastAsiaTheme="minorHAnsi"/>
                <w:color w:val="000000"/>
                <w:lang w:eastAsia="en-US"/>
              </w:rPr>
              <w:t>S</w:t>
            </w:r>
            <w:r>
              <w:rPr>
                <w:rFonts w:eastAsiaTheme="minorHAnsi"/>
                <w:color w:val="000000"/>
                <w:lang w:eastAsia="en-US"/>
              </w:rPr>
              <w:t>-</w:t>
            </w:r>
            <w:r w:rsidR="003B6520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och </w:t>
            </w:r>
            <w:r w:rsidR="003B6520">
              <w:rPr>
                <w:rFonts w:eastAsiaTheme="minorHAnsi"/>
                <w:color w:val="000000"/>
                <w:lang w:eastAsia="en-US"/>
              </w:rPr>
              <w:t>SD</w:t>
            </w:r>
            <w:r>
              <w:rPr>
                <w:rFonts w:eastAsiaTheme="minorHAnsi"/>
                <w:color w:val="000000"/>
                <w:lang w:eastAsia="en-US"/>
              </w:rPr>
              <w:t>-ledamöterna anmälde särskilda yttranden.</w:t>
            </w:r>
          </w:p>
          <w:p w14:paraId="5AC8D7D6" w14:textId="6A155D12" w:rsidR="008B1E70" w:rsidRPr="0018740A" w:rsidRDefault="008B1E70" w:rsidP="000B52C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65F4E" w:rsidRPr="0012669A" w14:paraId="52394D17" w14:textId="77777777" w:rsidTr="00D7630C">
        <w:trPr>
          <w:trHeight w:val="950"/>
        </w:trPr>
        <w:tc>
          <w:tcPr>
            <w:tcW w:w="567" w:type="dxa"/>
          </w:tcPr>
          <w:p w14:paraId="4FE72759" w14:textId="29F58578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02DFF3BF" w14:textId="77777777" w:rsidR="000B52CC" w:rsidRDefault="003D676C" w:rsidP="003D676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 xml:space="preserve">Verksamheten vid </w:t>
            </w:r>
            <w:r w:rsidRPr="00DA4D96">
              <w:rPr>
                <w:b/>
              </w:rPr>
              <w:t>Visit Sweden</w:t>
            </w:r>
            <w:r w:rsidRPr="00DA4D96">
              <w:rPr>
                <w:bCs/>
              </w:rPr>
              <w:t xml:space="preserve"> </w:t>
            </w:r>
            <w:r w:rsidRPr="00F4314F">
              <w:rPr>
                <w:b/>
              </w:rPr>
              <w:t>AB</w:t>
            </w:r>
            <w:r w:rsidR="000B52CC">
              <w:rPr>
                <w:b/>
              </w:rPr>
              <w:br/>
            </w:r>
          </w:p>
          <w:p w14:paraId="2F8031F8" w14:textId="77777777" w:rsidR="003D676C" w:rsidRDefault="003D676C" w:rsidP="003D676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Verkställande direktör Susanne Andersson, Visit Sweden, </w:t>
            </w:r>
            <w:r w:rsidRPr="003D676C">
              <w:rPr>
                <w:rFonts w:eastAsiaTheme="minorHAnsi"/>
                <w:color w:val="000000"/>
                <w:lang w:eastAsia="en-US"/>
              </w:rPr>
              <w:t xml:space="preserve">lämnade information och svarade på frågor om </w:t>
            </w:r>
            <w:r>
              <w:rPr>
                <w:rFonts w:eastAsiaTheme="minorHAnsi"/>
                <w:color w:val="000000"/>
                <w:lang w:eastAsia="en-US"/>
              </w:rPr>
              <w:t>verksamheten.</w:t>
            </w:r>
          </w:p>
          <w:p w14:paraId="71DD4F54" w14:textId="6B36C714" w:rsidR="003D676C" w:rsidRPr="00665F4E" w:rsidRDefault="003D676C" w:rsidP="003D676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65F4E" w:rsidRPr="0012669A" w14:paraId="2A0B5891" w14:textId="77777777" w:rsidTr="00D7630C">
        <w:trPr>
          <w:trHeight w:val="950"/>
        </w:trPr>
        <w:tc>
          <w:tcPr>
            <w:tcW w:w="567" w:type="dxa"/>
          </w:tcPr>
          <w:p w14:paraId="4D7D89E2" w14:textId="08B13A69" w:rsidR="00665F4E" w:rsidRDefault="0018740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4E5EE974" w14:textId="77777777" w:rsidR="00CE6C8A" w:rsidRDefault="003D676C" w:rsidP="000B52CC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DA4D96">
              <w:rPr>
                <w:b/>
                <w:bCs/>
                <w:iCs/>
              </w:rPr>
              <w:t>Kompletterande bestämmelser till EU:s gaslagringsdirektiv</w:t>
            </w:r>
            <w:r>
              <w:rPr>
                <w:b/>
                <w:bCs/>
                <w:iCs/>
              </w:rPr>
              <w:t xml:space="preserve"> (NU17)</w:t>
            </w:r>
          </w:p>
          <w:p w14:paraId="61DBE17A" w14:textId="77777777" w:rsidR="003D676C" w:rsidRDefault="003D676C" w:rsidP="000B52CC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7D13ECDE" w14:textId="718C9967" w:rsidR="003D676C" w:rsidRPr="003D676C" w:rsidRDefault="003D676C" w:rsidP="003D676C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3D676C">
              <w:rPr>
                <w:bCs/>
              </w:rPr>
              <w:t xml:space="preserve">Utskottet inledde beredningen av </w:t>
            </w:r>
            <w:r>
              <w:rPr>
                <w:bCs/>
              </w:rPr>
              <w:t>proposition</w:t>
            </w:r>
            <w:r w:rsidRPr="003D676C">
              <w:rPr>
                <w:bCs/>
              </w:rPr>
              <w:t xml:space="preserve"> 2022/23:</w:t>
            </w:r>
            <w:r>
              <w:rPr>
                <w:bCs/>
              </w:rPr>
              <w:t>89 och motioner</w:t>
            </w:r>
            <w:r w:rsidRPr="003D676C">
              <w:rPr>
                <w:bCs/>
              </w:rPr>
              <w:t>.</w:t>
            </w:r>
          </w:p>
          <w:p w14:paraId="007303ED" w14:textId="77777777" w:rsidR="003D676C" w:rsidRPr="003D676C" w:rsidRDefault="003D676C" w:rsidP="003D676C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483DBA3B" w14:textId="77777777" w:rsidR="003D676C" w:rsidRDefault="003D676C" w:rsidP="003D676C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3D676C">
              <w:rPr>
                <w:bCs/>
              </w:rPr>
              <w:t>Ärendet bordlades.</w:t>
            </w:r>
          </w:p>
          <w:p w14:paraId="641F9105" w14:textId="39E6043F" w:rsidR="003D676C" w:rsidRPr="00A75B49" w:rsidRDefault="003D676C" w:rsidP="003D676C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C861F4" w:rsidRPr="0012669A" w14:paraId="345C108B" w14:textId="77777777" w:rsidTr="00D7630C">
        <w:trPr>
          <w:trHeight w:val="950"/>
        </w:trPr>
        <w:tc>
          <w:tcPr>
            <w:tcW w:w="567" w:type="dxa"/>
          </w:tcPr>
          <w:p w14:paraId="4985B05F" w14:textId="63B0769C" w:rsidR="00C861F4" w:rsidRDefault="00C861F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4131A38E" w14:textId="11FA14B5" w:rsidR="00C861F4" w:rsidRPr="00C861F4" w:rsidRDefault="00C861F4" w:rsidP="00C861F4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861F4">
              <w:rPr>
                <w:b/>
                <w:bCs/>
                <w:iCs/>
              </w:rPr>
              <w:t xml:space="preserve">Förslag till förordning om </w:t>
            </w:r>
            <w:r w:rsidR="00534B36" w:rsidRPr="00534B36">
              <w:rPr>
                <w:b/>
                <w:bCs/>
                <w:iCs/>
              </w:rPr>
              <w:t>godkännande och marknadskontroll av mobila maskiner som inte är avsedda att användas för transporter på väg som framförs på allmän väg och om ändring av förordning (EU) 2019/1020</w:t>
            </w:r>
          </w:p>
          <w:p w14:paraId="285C6863" w14:textId="77777777" w:rsidR="00C861F4" w:rsidRPr="00C861F4" w:rsidRDefault="00C861F4" w:rsidP="00C861F4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7C1D63B8" w14:textId="2BE3FEE7" w:rsidR="00C861F4" w:rsidRPr="00C861F4" w:rsidRDefault="00C861F4" w:rsidP="00C861F4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861F4">
              <w:rPr>
                <w:iCs/>
              </w:rPr>
              <w:t>Utskottet beslutade att begära information om regeringens bedömning av tillämpningen av subsidiaritetsprincipen i förslaget (COM(202</w:t>
            </w:r>
            <w:r>
              <w:rPr>
                <w:iCs/>
              </w:rPr>
              <w:t>3</w:t>
            </w:r>
            <w:r w:rsidRPr="00C861F4">
              <w:rPr>
                <w:iCs/>
              </w:rPr>
              <w:t xml:space="preserve">) </w:t>
            </w:r>
            <w:r w:rsidR="00534B36">
              <w:rPr>
                <w:iCs/>
              </w:rPr>
              <w:t>178</w:t>
            </w:r>
            <w:r w:rsidRPr="00C861F4">
              <w:rPr>
                <w:iCs/>
              </w:rPr>
              <w:t>).</w:t>
            </w:r>
          </w:p>
          <w:p w14:paraId="0E878E2C" w14:textId="77777777" w:rsidR="00C861F4" w:rsidRPr="00C861F4" w:rsidRDefault="00C861F4" w:rsidP="00C861F4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6C825CC4" w14:textId="394FC0D4" w:rsidR="00C861F4" w:rsidRDefault="00C861F4" w:rsidP="00C861F4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861F4">
              <w:rPr>
                <w:iCs/>
              </w:rPr>
              <w:t>Denna paragraf förklarades omedelbart justerad.</w:t>
            </w:r>
          </w:p>
          <w:p w14:paraId="4E1C955E" w14:textId="77777777" w:rsidR="00C861F4" w:rsidRDefault="00C861F4" w:rsidP="00C861F4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0F2F1155" w14:textId="77777777" w:rsidR="00534B36" w:rsidRDefault="00534B36" w:rsidP="00C861F4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28CBFAAA" w14:textId="399B2033" w:rsidR="00534B36" w:rsidRPr="00DA4D96" w:rsidRDefault="00534B36" w:rsidP="00C861F4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3B6520" w:rsidRPr="0012669A" w14:paraId="18872FD0" w14:textId="77777777" w:rsidTr="00D7630C">
        <w:trPr>
          <w:trHeight w:val="950"/>
        </w:trPr>
        <w:tc>
          <w:tcPr>
            <w:tcW w:w="567" w:type="dxa"/>
          </w:tcPr>
          <w:p w14:paraId="1DBE1807" w14:textId="42EE959F" w:rsidR="003B6520" w:rsidRDefault="003B652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162" w:type="dxa"/>
          </w:tcPr>
          <w:p w14:paraId="3921E2D6" w14:textId="77777777" w:rsidR="003B6520" w:rsidRDefault="003B6520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Övrigt</w:t>
            </w:r>
          </w:p>
          <w:p w14:paraId="20A30FA2" w14:textId="77777777" w:rsidR="003B6520" w:rsidRDefault="003B6520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753335DC" w14:textId="414DF228" w:rsidR="003B6520" w:rsidRDefault="003B6520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MP-ledamoten meddelade att </w:t>
            </w:r>
            <w:r w:rsidR="00213831">
              <w:rPr>
                <w:bCs/>
              </w:rPr>
              <w:t>d</w:t>
            </w:r>
            <w:r>
              <w:rPr>
                <w:bCs/>
              </w:rPr>
              <w:t xml:space="preserve">ennes avsikt vid justeringen av betänkande NU9 </w:t>
            </w:r>
            <w:r w:rsidRPr="003B6520">
              <w:rPr>
                <w:bCs/>
              </w:rPr>
              <w:t xml:space="preserve">Genomförande av elmarknadsdirektivet när det gäller leverans av el och aggregeringstjänster </w:t>
            </w:r>
            <w:r>
              <w:rPr>
                <w:bCs/>
              </w:rPr>
              <w:t>hade varit att stödja de reservationer som framtagits för MP.</w:t>
            </w:r>
          </w:p>
          <w:p w14:paraId="20AC9970" w14:textId="6F784D1D" w:rsidR="003B6520" w:rsidRPr="003B6520" w:rsidRDefault="003B6520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1E623622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6520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4483C4D5" w:rsidR="00300D60" w:rsidRPr="00F42793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Nästa sammanträde äger rum </w:t>
            </w:r>
            <w:r w:rsidR="0077731E">
              <w:rPr>
                <w:bCs/>
              </w:rPr>
              <w:t>tors</w:t>
            </w:r>
            <w:r w:rsidRPr="00F42793">
              <w:rPr>
                <w:bCs/>
              </w:rPr>
              <w:t xml:space="preserve">dagen den </w:t>
            </w:r>
            <w:r w:rsidR="003D676C">
              <w:rPr>
                <w:bCs/>
              </w:rPr>
              <w:t>20</w:t>
            </w:r>
            <w:r w:rsidR="00CE6C8A">
              <w:rPr>
                <w:bCs/>
              </w:rPr>
              <w:t xml:space="preserve"> april</w:t>
            </w:r>
            <w:r w:rsidRPr="00F42793">
              <w:rPr>
                <w:bCs/>
              </w:rPr>
              <w:t xml:space="preserve"> 202</w:t>
            </w:r>
            <w:r w:rsidR="008B7E65" w:rsidRPr="00F42793">
              <w:rPr>
                <w:bCs/>
              </w:rPr>
              <w:t>3</w:t>
            </w:r>
            <w:r w:rsidRPr="00F42793">
              <w:rPr>
                <w:bCs/>
              </w:rPr>
              <w:t xml:space="preserve"> </w:t>
            </w:r>
          </w:p>
          <w:p w14:paraId="64307BA5" w14:textId="12DC092A" w:rsidR="00A74A3A" w:rsidRPr="0077189E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kl. </w:t>
            </w:r>
            <w:r w:rsidR="00A139B7" w:rsidRPr="00F42793">
              <w:rPr>
                <w:bCs/>
              </w:rPr>
              <w:t>1</w:t>
            </w:r>
            <w:r w:rsidR="0077731E">
              <w:rPr>
                <w:bCs/>
              </w:rPr>
              <w:t>0</w:t>
            </w:r>
            <w:r w:rsidR="00A139B7" w:rsidRPr="00F42793">
              <w:rPr>
                <w:bCs/>
              </w:rPr>
              <w:t>.</w:t>
            </w:r>
            <w:r w:rsidRPr="00F42793">
              <w:rPr>
                <w:bCs/>
              </w:rPr>
              <w:t>00.</w:t>
            </w: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3E07E09B" w14:textId="77777777" w:rsidR="00144E22" w:rsidRDefault="00144E22" w:rsidP="00DC0D46">
            <w:pPr>
              <w:tabs>
                <w:tab w:val="left" w:pos="1701"/>
              </w:tabs>
            </w:pPr>
          </w:p>
          <w:p w14:paraId="2AE97F75" w14:textId="77777777" w:rsidR="0077189E" w:rsidRDefault="0077189E" w:rsidP="00DC0D46">
            <w:pPr>
              <w:tabs>
                <w:tab w:val="left" w:pos="1701"/>
              </w:tabs>
            </w:pPr>
          </w:p>
          <w:p w14:paraId="02C45F05" w14:textId="77777777" w:rsidR="0077189E" w:rsidRDefault="0077189E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3BE689A6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3D676C">
              <w:t>20</w:t>
            </w:r>
            <w:r w:rsidR="00CE6C8A">
              <w:t xml:space="preserve"> april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397AAE07" w:rsidR="00DC0D46" w:rsidRPr="00355D1B" w:rsidRDefault="00DC0D46" w:rsidP="00DC0D46">
            <w:pPr>
              <w:tabs>
                <w:tab w:val="left" w:pos="1701"/>
              </w:tabs>
            </w:pPr>
          </w:p>
        </w:tc>
      </w:tr>
    </w:tbl>
    <w:p w14:paraId="63D40D5A" w14:textId="25AC061F" w:rsidR="0077189E" w:rsidRDefault="0077189E">
      <w:bookmarkStart w:id="0" w:name="_Hlk97030853"/>
    </w:p>
    <w:p w14:paraId="5373A1A3" w14:textId="77777777" w:rsidR="0077189E" w:rsidRDefault="0077189E">
      <w:r>
        <w:br w:type="page"/>
      </w:r>
    </w:p>
    <w:p w14:paraId="4BA21FD5" w14:textId="77777777" w:rsidR="00417D9F" w:rsidRDefault="00417D9F"/>
    <w:p w14:paraId="5D1D89E9" w14:textId="77777777" w:rsidR="00300D60" w:rsidRDefault="00300D60"/>
    <w:tbl>
      <w:tblPr>
        <w:tblW w:w="88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283"/>
        <w:gridCol w:w="426"/>
        <w:gridCol w:w="283"/>
        <w:gridCol w:w="425"/>
        <w:gridCol w:w="426"/>
        <w:gridCol w:w="283"/>
        <w:gridCol w:w="284"/>
        <w:gridCol w:w="443"/>
        <w:gridCol w:w="407"/>
        <w:gridCol w:w="18"/>
        <w:gridCol w:w="426"/>
        <w:gridCol w:w="548"/>
      </w:tblGrid>
      <w:tr w:rsidR="00B8320F" w14:paraId="66CEFB4D" w14:textId="77777777" w:rsidTr="00EC71C7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01B21554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3146D5">
              <w:rPr>
                <w:sz w:val="20"/>
              </w:rPr>
              <w:t>2</w:t>
            </w:r>
            <w:r w:rsidR="003D676C">
              <w:rPr>
                <w:sz w:val="20"/>
              </w:rPr>
              <w:t>9</w:t>
            </w:r>
          </w:p>
        </w:tc>
      </w:tr>
      <w:tr w:rsidR="00B8320F" w14:paraId="0DF86746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27BB2AC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933792">
              <w:rPr>
                <w:sz w:val="22"/>
                <w:szCs w:val="22"/>
              </w:rPr>
              <w:t>–</w:t>
            </w:r>
            <w:r w:rsidR="00534B36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16353AA0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</w:t>
            </w:r>
            <w:r w:rsidR="003B652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556DD7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4B63F9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D264ACE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5B02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BB0DE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53443B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D3773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40973495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5521049F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7FF787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7D82049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6C2821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5736DA8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2CAC952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3C4B6F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39B22F13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26AEEB42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3C8FFB0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6EBB2652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7D61D05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73E3989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5105C852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1CB9FA79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FF47FA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39BC5F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3C4838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65E2D345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25CAAFFA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5BC232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4A33F14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197015E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49CFE3F8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6BCDD040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D2873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F21C2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43EA277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47697C22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51BB1D90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5AFC3B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4AEBB7D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0DF3540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6141AC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3DAAEC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1E0002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34CBF26E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269EFF6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5770E1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5A21E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44DD7E0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060F23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56D9BAE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E351E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0F2023C8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05277142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48A12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249649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D2E52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5C5AF65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7EE2C2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F2DE62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5F095D83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5530AFFE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1A17668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52C63CC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6D1C2E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41FA2B8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913A6F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6AC2F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244503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651237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6F25870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356497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010B09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62C029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6BF8BA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1AC273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47DC73E5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796FB5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00777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390371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05554ABA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6F57031D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585080C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69A0C9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2A29C6D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554F83A" w:rsidR="0062608C" w:rsidRDefault="0077731E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Sara Gille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342076C5" w:rsidR="0062608C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781F5117" w:rsidR="0062608C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7BD199AF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7F44572F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0B861E2B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5C793C0E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6476CC60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CC903C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FE69AA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38123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3201D2C8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3C8B63CE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620CDE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3824423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0333C7B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6C480B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3AE132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64E6DC8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1AC078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36A033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0BF5B50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</w:t>
            </w:r>
            <w:proofErr w:type="spellStart"/>
            <w:r w:rsidRPr="00536378">
              <w:rPr>
                <w:snapToGrid w:val="0"/>
                <w:color w:val="000000"/>
                <w:sz w:val="20"/>
                <w:lang w:val="en-US"/>
              </w:rPr>
              <w:t>Ahlstedt</w:t>
            </w:r>
            <w:proofErr w:type="spellEnd"/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D0C8E0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5E0428A6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14EAC8F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28425C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010AA8D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0B001980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4A80A303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15662FC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63409B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AA538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1DDF0AFC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43FA8760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740A9D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10B523F7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D284D2E" w:rsidR="00B8320F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B9FA9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09EAB1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008E8FA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2FEF0B3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6CA4D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5DE8CB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14EF2E09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584EA7B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6D4AF1B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6EB37D2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6C8CC020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012B" w14:paraId="7E8AABFB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3BC0" w14:textId="3BE7E412" w:rsidR="005D012B" w:rsidRDefault="005D012B" w:rsidP="00FD076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2C55" w14:textId="103179F9" w:rsidR="005D012B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B52F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B307" w14:textId="0E25DFB7" w:rsidR="005D012B" w:rsidRDefault="00534B3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DD33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B635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F070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C2B8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D201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3CF0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B575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FD0F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DABA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E6D7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94B5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EC71C7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EC71C7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4781" w14:textId="77777777" w:rsidR="00AA6502" w:rsidRDefault="00AA6502" w:rsidP="002130F1">
      <w:r>
        <w:separator/>
      </w:r>
    </w:p>
  </w:endnote>
  <w:endnote w:type="continuationSeparator" w:id="0">
    <w:p w14:paraId="139EE5C6" w14:textId="77777777" w:rsidR="00AA6502" w:rsidRDefault="00AA6502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824B" w14:textId="77777777" w:rsidR="00AA6502" w:rsidRDefault="00AA6502" w:rsidP="002130F1">
      <w:r>
        <w:separator/>
      </w:r>
    </w:p>
  </w:footnote>
  <w:footnote w:type="continuationSeparator" w:id="0">
    <w:p w14:paraId="428A70BE" w14:textId="77777777" w:rsidR="00AA6502" w:rsidRDefault="00AA6502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761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A3C"/>
    <w:rsid w:val="004446A8"/>
    <w:rsid w:val="00444C32"/>
    <w:rsid w:val="0044542E"/>
    <w:rsid w:val="0044770B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768C"/>
    <w:rsid w:val="00651534"/>
    <w:rsid w:val="00651C34"/>
    <w:rsid w:val="00651CF1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929"/>
    <w:rsid w:val="00693DC7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C750D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1D7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3B3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878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D95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4E3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D5A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A6502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332F"/>
    <w:rsid w:val="00B74D7C"/>
    <w:rsid w:val="00B751B7"/>
    <w:rsid w:val="00B75C33"/>
    <w:rsid w:val="00B769DA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771A"/>
    <w:rsid w:val="00BC7BCC"/>
    <w:rsid w:val="00BC7D45"/>
    <w:rsid w:val="00BD04EA"/>
    <w:rsid w:val="00BD061A"/>
    <w:rsid w:val="00BD0FEC"/>
    <w:rsid w:val="00BD11C8"/>
    <w:rsid w:val="00BD2613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A1D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3131</Characters>
  <Application>Microsoft Office Word</Application>
  <DocSecurity>0</DocSecurity>
  <Lines>1565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2023-04-11T09:42:00Z</cp:lastPrinted>
  <dcterms:created xsi:type="dcterms:W3CDTF">2023-04-20T13:42:00Z</dcterms:created>
  <dcterms:modified xsi:type="dcterms:W3CDTF">2023-04-20T13:43:00Z</dcterms:modified>
</cp:coreProperties>
</file>