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6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97"/>
        <w:gridCol w:w="198"/>
        <w:gridCol w:w="1560"/>
      </w:tblGrid>
      <w:tr w:rsidR="00000000" w:rsidRPr="009151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58" w:type="dxa"/>
          <w:cantSplit/>
          <w:trHeight w:val="1320"/>
        </w:trPr>
        <w:tc>
          <w:tcPr>
            <w:tcW w:w="5897" w:type="dxa"/>
          </w:tcPr>
          <w:p w:rsidR="00CB1751" w:rsidRPr="009151B0" w:rsidRDefault="00CB1751">
            <w:pPr>
              <w:pStyle w:val="HuvudRubrik"/>
            </w:pPr>
            <w:r w:rsidRPr="009151B0">
              <w:t>Regeringskansliet</w:t>
            </w:r>
          </w:p>
          <w:p w:rsidR="00CB1751" w:rsidRPr="009151B0" w:rsidRDefault="00CB1751">
            <w:pPr>
              <w:pStyle w:val="HuvudRubrik"/>
            </w:pPr>
            <w:r w:rsidRPr="009151B0">
              <w:t>Faktapromemoria  2010/11:FPM121</w:t>
            </w:r>
          </w:p>
        </w:tc>
      </w:tr>
      <w:tr w:rsidR="00000000" w:rsidRPr="009151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58" w:type="dxa"/>
          <w:cantSplit/>
          <w:trHeight w:val="240"/>
        </w:trPr>
        <w:tc>
          <w:tcPr>
            <w:tcW w:w="5897" w:type="dxa"/>
          </w:tcPr>
          <w:p w:rsidR="00CB1751" w:rsidRPr="009151B0" w:rsidRDefault="00CB1751">
            <w:pPr>
              <w:pStyle w:val="HuvudRubrik"/>
              <w:rPr>
                <w:sz w:val="28"/>
              </w:rPr>
            </w:pPr>
            <w:r w:rsidRPr="009151B0">
              <w:t>EU:s system för tullsänkningar för utvecklingsländer</w:t>
            </w:r>
          </w:p>
        </w:tc>
      </w:tr>
      <w:tr w:rsidR="00000000" w:rsidRPr="009151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/>
        </w:trPr>
        <w:tc>
          <w:tcPr>
            <w:tcW w:w="7655" w:type="dxa"/>
            <w:gridSpan w:val="3"/>
          </w:tcPr>
          <w:p w:rsidR="00CB1751" w:rsidRPr="009151B0" w:rsidRDefault="00CB1751">
            <w:pPr>
              <w:pStyle w:val="Departement"/>
              <w:rPr>
                <w:sz w:val="28"/>
              </w:rPr>
            </w:pPr>
            <w:r w:rsidRPr="009151B0">
              <w:t>Utrikesdepartementet</w:t>
            </w:r>
          </w:p>
        </w:tc>
      </w:tr>
      <w:tr w:rsidR="00000000" w:rsidRPr="009151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0"/>
        </w:trPr>
        <w:tc>
          <w:tcPr>
            <w:tcW w:w="7655" w:type="dxa"/>
            <w:gridSpan w:val="3"/>
          </w:tcPr>
          <w:p w:rsidR="00CB1751" w:rsidRPr="009151B0" w:rsidRDefault="00CB1751">
            <w:pPr>
              <w:pStyle w:val="Dokumentdatum"/>
            </w:pPr>
            <w:r w:rsidRPr="009151B0">
              <w:t>2011-06-15</w:t>
            </w:r>
          </w:p>
        </w:tc>
      </w:tr>
      <w:tr w:rsidR="00000000" w:rsidRPr="009151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6"/>
        </w:trPr>
        <w:tc>
          <w:tcPr>
            <w:tcW w:w="7655" w:type="dxa"/>
            <w:gridSpan w:val="3"/>
            <w:vAlign w:val="bottom"/>
          </w:tcPr>
          <w:p w:rsidR="00CB1751" w:rsidRPr="009151B0" w:rsidRDefault="00CB1751">
            <w:pPr>
              <w:pStyle w:val="Dokumentbeteckning"/>
              <w:tabs>
                <w:tab w:val="left" w:pos="6096"/>
              </w:tabs>
            </w:pPr>
            <w:r w:rsidRPr="009151B0">
              <w:t>Dokumentbeteckning</w:t>
            </w:r>
          </w:p>
        </w:tc>
      </w:tr>
      <w:tr w:rsidR="00000000" w:rsidRPr="009151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60" w:type="dxa"/>
          <w:trHeight w:val="120"/>
        </w:trPr>
        <w:tc>
          <w:tcPr>
            <w:tcW w:w="6095" w:type="dxa"/>
            <w:gridSpan w:val="2"/>
          </w:tcPr>
          <w:p w:rsidR="00CB1751" w:rsidRPr="009151B0" w:rsidRDefault="00CB1751">
            <w:bookmarkStart w:id="0" w:name="KomNr"/>
            <w:bookmarkEnd w:id="0"/>
            <w:r w:rsidRPr="009151B0">
              <w:t>KOM (2011) 241</w:t>
            </w:r>
          </w:p>
        </w:tc>
      </w:tr>
      <w:tr w:rsidR="00000000" w:rsidRPr="009151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60" w:type="dxa"/>
          <w:trHeight w:val="120"/>
        </w:trPr>
        <w:tc>
          <w:tcPr>
            <w:tcW w:w="6095" w:type="dxa"/>
            <w:gridSpan w:val="2"/>
          </w:tcPr>
          <w:p w:rsidR="00CB1751" w:rsidRPr="009151B0" w:rsidRDefault="00CB1751">
            <w:pPr>
              <w:pStyle w:val="Dokumentbeteckning-titel"/>
            </w:pPr>
            <w:r w:rsidRPr="009151B0">
              <w:t>Förslag till Europaparlamentets och rådets förordning om tillämpning av Al</w:t>
            </w:r>
            <w:r w:rsidRPr="009151B0">
              <w:t>l</w:t>
            </w:r>
            <w:r w:rsidRPr="009151B0">
              <w:t>männa preferenssystemet</w:t>
            </w:r>
          </w:p>
        </w:tc>
      </w:tr>
    </w:tbl>
    <w:p w:rsidR="00CB1751" w:rsidRPr="009151B0" w:rsidRDefault="00CB1751">
      <w:pPr>
        <w:tabs>
          <w:tab w:val="left" w:pos="6096"/>
        </w:tabs>
      </w:pPr>
    </w:p>
    <w:p w:rsidR="00CB1751" w:rsidRPr="009151B0" w:rsidRDefault="00CB1751">
      <w:pPr>
        <w:pStyle w:val="Rubrik1"/>
        <w:numPr>
          <w:ilvl w:val="0"/>
          <w:numId w:val="0"/>
        </w:numPr>
        <w:tabs>
          <w:tab w:val="left" w:pos="2552"/>
          <w:tab w:val="left" w:pos="2835"/>
          <w:tab w:val="left" w:pos="3544"/>
          <w:tab w:val="left" w:pos="5812"/>
          <w:tab w:val="left" w:pos="6096"/>
        </w:tabs>
      </w:pPr>
      <w:r w:rsidRPr="009151B0">
        <w:t>Sammanfattning</w:t>
      </w:r>
    </w:p>
    <w:p w:rsidR="00CB1751" w:rsidRPr="009151B0" w:rsidRDefault="00CB1751">
      <w:pPr>
        <w:tabs>
          <w:tab w:val="left" w:pos="2552"/>
          <w:tab w:val="left" w:pos="2694"/>
          <w:tab w:val="left" w:pos="2835"/>
          <w:tab w:val="left" w:pos="3544"/>
          <w:tab w:val="left" w:pos="5812"/>
          <w:tab w:val="left" w:pos="6096"/>
        </w:tabs>
        <w:ind w:right="56"/>
      </w:pPr>
      <w:r w:rsidRPr="009151B0">
        <w:t>Kommissionen har presenterat ett utkast till ny förordning för preferenser (tul</w:t>
      </w:r>
      <w:r w:rsidRPr="009151B0">
        <w:t>l</w:t>
      </w:r>
      <w:r w:rsidRPr="009151B0">
        <w:t>sänkningar) för utvecklingsländer (Generalised System of Preferences, GSP, Allmänna preferenssystemet). Den nu gällande rådsföror</w:t>
      </w:r>
      <w:r w:rsidRPr="009151B0">
        <w:t>d</w:t>
      </w:r>
      <w:r w:rsidRPr="009151B0">
        <w:t>ningen kommer att upphöra senast den 31 d</w:t>
      </w:r>
      <w:r w:rsidRPr="009151B0">
        <w:t>e</w:t>
      </w:r>
      <w:r w:rsidRPr="009151B0">
        <w:t>cember 2013.</w:t>
      </w:r>
    </w:p>
    <w:p w:rsidR="00CB1751" w:rsidRPr="009151B0" w:rsidRDefault="00CB1751">
      <w:pPr>
        <w:tabs>
          <w:tab w:val="left" w:pos="2552"/>
          <w:tab w:val="left" w:pos="2835"/>
          <w:tab w:val="left" w:pos="3544"/>
          <w:tab w:val="left" w:pos="5812"/>
          <w:tab w:val="left" w:pos="6096"/>
        </w:tabs>
        <w:ind w:right="56"/>
      </w:pPr>
      <w:r w:rsidRPr="009151B0">
        <w:t>Förslaget utgår ifrån det gällande GSP-systemet. Systemet erbj</w:t>
      </w:r>
      <w:r w:rsidRPr="009151B0">
        <w:t>u</w:t>
      </w:r>
      <w:r w:rsidRPr="009151B0">
        <w:t>der olika typer av tullsänkning beroende på utvecklingsnivå. De, enligt FN: s förteckning,  minst utvecklade länderna erbjuds, liksom tidigare, tullfrihet för samtl</w:t>
      </w:r>
      <w:r w:rsidRPr="009151B0">
        <w:t>i</w:t>
      </w:r>
      <w:r w:rsidRPr="009151B0">
        <w:t>ga varor utom vapen. Utvecklingsländer som ratif</w:t>
      </w:r>
      <w:r w:rsidRPr="009151B0">
        <w:t>i</w:t>
      </w:r>
      <w:r w:rsidRPr="009151B0">
        <w:t>cerat och effektivt efterlever sina åtaganden under vissa internationella konventioner, främst på områdena arbet</w:t>
      </w:r>
      <w:r w:rsidRPr="009151B0">
        <w:t>s</w:t>
      </w:r>
      <w:r w:rsidRPr="009151B0">
        <w:t>rätt och mänskliga rättigheter, kan erbjudas utökad tullfrihet genom delsystemet GSP+. De flesta utvecklingsländer omfattas av bassystemet för GSP, som inn</w:t>
      </w:r>
      <w:r w:rsidRPr="009151B0">
        <w:t>e</w:t>
      </w:r>
      <w:r w:rsidRPr="009151B0">
        <w:t>håller tullfrihet men för vi</w:t>
      </w:r>
      <w:r w:rsidRPr="009151B0">
        <w:t>ssa produkter endast erbjuder tullsänknin</w:t>
      </w:r>
      <w:r w:rsidRPr="009151B0">
        <w:t>g</w:t>
      </w:r>
      <w:r w:rsidRPr="009151B0">
        <w:t xml:space="preserve">ar. </w:t>
      </w:r>
    </w:p>
    <w:p w:rsidR="00CB1751" w:rsidRPr="009151B0" w:rsidRDefault="00CB1751">
      <w:pPr>
        <w:tabs>
          <w:tab w:val="left" w:pos="2552"/>
          <w:tab w:val="left" w:pos="2835"/>
          <w:tab w:val="left" w:pos="3544"/>
          <w:tab w:val="left" w:pos="5812"/>
          <w:tab w:val="left" w:pos="6096"/>
        </w:tabs>
        <w:ind w:right="56"/>
      </w:pPr>
      <w:r w:rsidRPr="009151B0">
        <w:t>De mer betydande förslagen till förändringar jämfört med tidigare ordning är:</w:t>
      </w:r>
    </w:p>
    <w:p w:rsidR="00CB1751" w:rsidRPr="009151B0" w:rsidRDefault="00CB1751">
      <w:r w:rsidRPr="009151B0">
        <w:t>– Systemet föreslås gälla för länder som inte klassific</w:t>
      </w:r>
      <w:r w:rsidRPr="009151B0">
        <w:t>e</w:t>
      </w:r>
      <w:r w:rsidRPr="009151B0">
        <w:t>ras av Världsbanken som höginkomstländer (high-income) eller övermedeli</w:t>
      </w:r>
      <w:r w:rsidRPr="009151B0">
        <w:t>n</w:t>
      </w:r>
      <w:r w:rsidRPr="009151B0">
        <w:t>komstländer (upper middle-income) under de senaste tre åren. Höginkomst- och medelinkomstländer för</w:t>
      </w:r>
      <w:r w:rsidRPr="009151B0">
        <w:t>e</w:t>
      </w:r>
      <w:r w:rsidRPr="009151B0">
        <w:t>slås föras ut ur s</w:t>
      </w:r>
      <w:r w:rsidRPr="009151B0">
        <w:t>y</w:t>
      </w:r>
      <w:r w:rsidRPr="009151B0">
        <w:t>stemet.</w:t>
      </w:r>
    </w:p>
    <w:p w:rsidR="00CB1751" w:rsidRPr="009151B0" w:rsidRDefault="00CB1751">
      <w:r w:rsidRPr="009151B0">
        <w:t>– Den nya förordningen föreslås gälla utan tidsb</w:t>
      </w:r>
      <w:r w:rsidRPr="009151B0">
        <w:t>e</w:t>
      </w:r>
      <w:r w:rsidRPr="009151B0">
        <w:t>gränsning.</w:t>
      </w:r>
    </w:p>
    <w:p w:rsidR="00CB1751" w:rsidRPr="009151B0" w:rsidRDefault="00CB1751">
      <w:r w:rsidRPr="009151B0">
        <w:t>– För delsystemet med g</w:t>
      </w:r>
      <w:r w:rsidRPr="009151B0">
        <w:t>e</w:t>
      </w:r>
      <w:r w:rsidRPr="009151B0">
        <w:t>nerösare preferenser för länder som ratificerat och effektivt efterlever vissa internationella konventioner (GSP+), föreslås en up</w:t>
      </w:r>
      <w:r w:rsidRPr="009151B0">
        <w:t>p</w:t>
      </w:r>
      <w:r w:rsidRPr="009151B0">
        <w:t>mjukning av de ekonomiska kraven, vilket innebär att fler länder kan ansöka till systemet. Dessutom föreslås att ansökningar kan lämnas in och behandlas l</w:t>
      </w:r>
      <w:r w:rsidRPr="009151B0">
        <w:t>ö</w:t>
      </w:r>
      <w:r w:rsidRPr="009151B0">
        <w:t>pande.</w:t>
      </w:r>
    </w:p>
    <w:p w:rsidR="00CB1751" w:rsidRPr="009151B0" w:rsidRDefault="00CB1751">
      <w:r w:rsidRPr="009151B0">
        <w:t>– EU:s nya fördrag medför förändringar i maktbefogenheterna mellan instituti</w:t>
      </w:r>
      <w:r w:rsidRPr="009151B0">
        <w:t>o</w:t>
      </w:r>
      <w:r w:rsidRPr="009151B0">
        <w:t>nerna. Förslag lämnas om hur den rättsliga anpassningen kan göras i denna fö</w:t>
      </w:r>
      <w:r w:rsidRPr="009151B0">
        <w:t>r</w:t>
      </w:r>
      <w:r w:rsidRPr="009151B0">
        <w:t xml:space="preserve">ordning. </w:t>
      </w:r>
    </w:p>
    <w:p w:rsidR="00CB1751" w:rsidRPr="009151B0" w:rsidRDefault="00CB1751"/>
    <w:p w:rsidR="00CB1751" w:rsidRPr="009151B0" w:rsidRDefault="00CB1751">
      <w:r w:rsidRPr="009151B0">
        <w:t>Kommissionen anger att systemet ska fokusera på utvecklingslä</w:t>
      </w:r>
      <w:r w:rsidRPr="009151B0">
        <w:t>n</w:t>
      </w:r>
      <w:r w:rsidRPr="009151B0">
        <w:t>der i störst behov av preferenser, en målsättning som regeringen stöder. Förslaget  innehå</w:t>
      </w:r>
      <w:r w:rsidRPr="009151B0">
        <w:t>l</w:t>
      </w:r>
      <w:r w:rsidRPr="009151B0">
        <w:t>ler element som stöder förenklingar, öppenhet och stabil</w:t>
      </w:r>
      <w:r w:rsidRPr="009151B0">
        <w:t>i</w:t>
      </w:r>
      <w:r w:rsidRPr="009151B0">
        <w:t xml:space="preserve">tet, exempelvis att </w:t>
      </w:r>
      <w:r w:rsidRPr="009151B0">
        <w:lastRenderedPageBreak/>
        <w:t>systemet föreslås gälla utan tidsbegränsning, att ans</w:t>
      </w:r>
      <w:r w:rsidRPr="009151B0">
        <w:t>ö</w:t>
      </w:r>
      <w:r w:rsidRPr="009151B0">
        <w:t>kan om GSP+ kan lämnas när ansökarlandet uppfyller kraven och inte vid angivna ansökningstil</w:t>
      </w:r>
      <w:r w:rsidRPr="009151B0">
        <w:t>l</w:t>
      </w:r>
      <w:r w:rsidRPr="009151B0">
        <w:t xml:space="preserve">fällen. Regeringen stödjer detta. </w:t>
      </w:r>
    </w:p>
    <w:p w:rsidR="00CB1751" w:rsidRPr="009151B0" w:rsidRDefault="00CB1751"/>
    <w:p w:rsidR="00CB1751" w:rsidRPr="009151B0" w:rsidRDefault="00CB1751">
      <w:pPr>
        <w:pStyle w:val="Rubrik1"/>
        <w:tabs>
          <w:tab w:val="left" w:pos="2552"/>
          <w:tab w:val="left" w:pos="2835"/>
          <w:tab w:val="left" w:pos="3544"/>
          <w:tab w:val="left" w:pos="5812"/>
          <w:tab w:val="left" w:pos="6096"/>
        </w:tabs>
        <w:ind w:right="3876"/>
      </w:pPr>
      <w:r w:rsidRPr="009151B0">
        <w:t>Förslaget</w:t>
      </w:r>
    </w:p>
    <w:p w:rsidR="00CB1751" w:rsidRPr="009151B0" w:rsidRDefault="00CB1751">
      <w:pPr>
        <w:pStyle w:val="Rubrik2"/>
        <w:numPr>
          <w:ilvl w:val="0"/>
          <w:numId w:val="0"/>
        </w:numPr>
        <w:tabs>
          <w:tab w:val="left" w:pos="2552"/>
          <w:tab w:val="left" w:pos="2835"/>
          <w:tab w:val="left" w:pos="3544"/>
          <w:tab w:val="left" w:pos="5812"/>
          <w:tab w:val="left" w:pos="6096"/>
        </w:tabs>
        <w:ind w:right="3876"/>
      </w:pPr>
      <w:r w:rsidRPr="009151B0">
        <w:t>Ärendets bakgrund</w:t>
      </w:r>
    </w:p>
    <w:p w:rsidR="00CB1751" w:rsidRPr="009151B0" w:rsidRDefault="00CB1751">
      <w:pPr>
        <w:tabs>
          <w:tab w:val="left" w:pos="2552"/>
          <w:tab w:val="left" w:pos="2835"/>
          <w:tab w:val="left" w:pos="3544"/>
          <w:tab w:val="left" w:pos="5812"/>
          <w:tab w:val="left" w:pos="6096"/>
        </w:tabs>
        <w:ind w:right="56"/>
      </w:pPr>
      <w:r w:rsidRPr="009151B0">
        <w:t>EU har sedan 1970-talet ett system med tullsänkningar och tullfrihet för utvec</w:t>
      </w:r>
      <w:r w:rsidRPr="009151B0">
        <w:t>k</w:t>
      </w:r>
      <w:r w:rsidRPr="009151B0">
        <w:t>lingsländer vid import till EU. Systemet har tillämpats g</w:t>
      </w:r>
      <w:r w:rsidRPr="009151B0">
        <w:t>e</w:t>
      </w:r>
      <w:r w:rsidRPr="009151B0">
        <w:t>nom tidsbegränsade rådsfö</w:t>
      </w:r>
      <w:r w:rsidRPr="009151B0">
        <w:t>r</w:t>
      </w:r>
      <w:r w:rsidRPr="009151B0">
        <w:t>ordningar. Den nu gällande rådsförordningen kommer att upphöra senast den 31 december 2013. För att utvecklingsländerna inte ska förlora sina tul</w:t>
      </w:r>
      <w:r w:rsidRPr="009151B0">
        <w:t>l</w:t>
      </w:r>
      <w:r w:rsidRPr="009151B0">
        <w:t>förmåner måste en ny rådsförordning för GSP ha besl</w:t>
      </w:r>
      <w:r w:rsidRPr="009151B0">
        <w:t>u</w:t>
      </w:r>
      <w:r w:rsidRPr="009151B0">
        <w:t>tats av EU och trätt i kraft innan dess. Kommissi</w:t>
      </w:r>
      <w:r w:rsidRPr="009151B0">
        <w:t>o</w:t>
      </w:r>
      <w:r w:rsidRPr="009151B0">
        <w:t>nen beslutade om förslaget till ny rådsförordning för GSP vid kommissionärsmötet den 10 maj 2011. Lissabo</w:t>
      </w:r>
      <w:r w:rsidRPr="009151B0">
        <w:t>n</w:t>
      </w:r>
      <w:r w:rsidRPr="009151B0">
        <w:t>fördraget innebär att rådet och Europaparlamentet (EP) ingår som medbeslu</w:t>
      </w:r>
      <w:r w:rsidRPr="009151B0">
        <w:t>tande institutioner i  ordinarie la</w:t>
      </w:r>
      <w:r w:rsidRPr="009151B0">
        <w:t>g</w:t>
      </w:r>
      <w:r w:rsidRPr="009151B0">
        <w:t>stiftningsproceduren. EP och rådet ska slutligen nå fram till ett förhandlat förslag som de gemensamt kan godkänna. När förslaget är go</w:t>
      </w:r>
      <w:r w:rsidRPr="009151B0">
        <w:t>d</w:t>
      </w:r>
      <w:r w:rsidRPr="009151B0">
        <w:t>känt träder det i kraft vid den tidpunkt som beslutas, dock senast den 31 dece</w:t>
      </w:r>
      <w:r w:rsidRPr="009151B0">
        <w:t>m</w:t>
      </w:r>
      <w:r w:rsidRPr="009151B0">
        <w:t>ber 2013.</w:t>
      </w:r>
    </w:p>
    <w:p w:rsidR="00CB1751" w:rsidRPr="009151B0" w:rsidRDefault="00CB1751">
      <w:pPr>
        <w:tabs>
          <w:tab w:val="left" w:pos="2552"/>
          <w:tab w:val="left" w:pos="2835"/>
          <w:tab w:val="left" w:pos="3544"/>
          <w:tab w:val="left" w:pos="5812"/>
          <w:tab w:val="left" w:pos="6096"/>
        </w:tabs>
        <w:ind w:right="3876"/>
      </w:pPr>
    </w:p>
    <w:p w:rsidR="00CB1751" w:rsidRPr="009151B0" w:rsidRDefault="00CB1751">
      <w:pPr>
        <w:pStyle w:val="Rubrik2"/>
        <w:tabs>
          <w:tab w:val="left" w:pos="2552"/>
          <w:tab w:val="left" w:pos="2835"/>
          <w:tab w:val="left" w:pos="3544"/>
          <w:tab w:val="left" w:pos="5812"/>
          <w:tab w:val="left" w:pos="6096"/>
        </w:tabs>
        <w:ind w:right="56"/>
      </w:pPr>
      <w:r w:rsidRPr="009151B0">
        <w:t>Förslagets innehåll</w:t>
      </w:r>
    </w:p>
    <w:p w:rsidR="00CB1751" w:rsidRPr="009151B0" w:rsidRDefault="00CB1751">
      <w:pPr>
        <w:tabs>
          <w:tab w:val="left" w:pos="2552"/>
          <w:tab w:val="left" w:pos="2835"/>
          <w:tab w:val="left" w:pos="3544"/>
          <w:tab w:val="left" w:pos="5812"/>
          <w:tab w:val="left" w:pos="6096"/>
        </w:tabs>
        <w:ind w:right="3876"/>
      </w:pPr>
    </w:p>
    <w:p w:rsidR="00CB1751" w:rsidRPr="009151B0" w:rsidRDefault="00CB1751">
      <w:pPr>
        <w:tabs>
          <w:tab w:val="left" w:pos="2552"/>
          <w:tab w:val="left" w:pos="2835"/>
          <w:tab w:val="left" w:pos="3544"/>
          <w:tab w:val="left" w:pos="5812"/>
          <w:tab w:val="left" w:pos="6096"/>
        </w:tabs>
        <w:ind w:right="56"/>
      </w:pPr>
      <w:r w:rsidRPr="009151B0">
        <w:t>Kommissionen anger att ledstjärnorna i framtagandet av försl</w:t>
      </w:r>
      <w:r w:rsidRPr="009151B0">
        <w:t>a</w:t>
      </w:r>
      <w:r w:rsidRPr="009151B0">
        <w:t>get har varit att GSP-systemet ska vara enkelt, förutsägbart och öka effektiviteten i detta i</w:t>
      </w:r>
      <w:r w:rsidRPr="009151B0">
        <w:t>n</w:t>
      </w:r>
      <w:r w:rsidRPr="009151B0">
        <w:t xml:space="preserve">strument. </w:t>
      </w:r>
    </w:p>
    <w:p w:rsidR="00CB1751" w:rsidRPr="009151B0" w:rsidRDefault="00CB1751">
      <w:pPr>
        <w:tabs>
          <w:tab w:val="left" w:pos="2552"/>
          <w:tab w:val="left" w:pos="2835"/>
          <w:tab w:val="left" w:pos="3544"/>
          <w:tab w:val="left" w:pos="5812"/>
          <w:tab w:val="left" w:pos="6096"/>
        </w:tabs>
        <w:ind w:right="56"/>
      </w:pPr>
      <w:r w:rsidRPr="009151B0">
        <w:t>Förslaget från kommissionen till ny rådsförordning u</w:t>
      </w:r>
      <w:r w:rsidRPr="009151B0">
        <w:t>t</w:t>
      </w:r>
      <w:r w:rsidRPr="009151B0">
        <w:t>går ifrån det gällande systemet. Den grundläggande utfor</w:t>
      </w:r>
      <w:r w:rsidRPr="009151B0">
        <w:t>m</w:t>
      </w:r>
      <w:r w:rsidRPr="009151B0">
        <w:t>ningen av GSP-systemet erbjuder olika typer av tullsänkning beroende på utvecklingsnivå. De minst utvecklade lä</w:t>
      </w:r>
      <w:r w:rsidRPr="009151B0">
        <w:t>n</w:t>
      </w:r>
      <w:r w:rsidRPr="009151B0">
        <w:t>derna erbjuds, liksom tidigare, tull- och kvotafrihet för samtliga varor utom vapen. Utvecklingsländer som ratificerat och effektivt efterlever sina åtaga</w:t>
      </w:r>
      <w:r w:rsidRPr="009151B0">
        <w:t>n</w:t>
      </w:r>
      <w:r w:rsidRPr="009151B0">
        <w:t>den  under vissa internationella konve</w:t>
      </w:r>
      <w:r w:rsidRPr="009151B0">
        <w:t>n</w:t>
      </w:r>
      <w:r w:rsidRPr="009151B0">
        <w:t>tioner, främst på områdena arbetsrätt och mänskliga rättigheter,  kan erbjudas utökad tullfrihet genom de</w:t>
      </w:r>
      <w:r w:rsidRPr="009151B0">
        <w:t>l</w:t>
      </w:r>
      <w:r w:rsidRPr="009151B0">
        <w:t>systemet GSP+. De flesta utvecklingsländer</w:t>
      </w:r>
      <w:r w:rsidRPr="009151B0">
        <w:t xml:space="preserve"> omfattas av bassystemet för GSP, som innehåller tullfrihet men för vissa produkter endast erbjuder tullsän</w:t>
      </w:r>
      <w:r w:rsidRPr="009151B0">
        <w:t>k</w:t>
      </w:r>
      <w:r w:rsidRPr="009151B0">
        <w:t xml:space="preserve">ningar. </w:t>
      </w:r>
    </w:p>
    <w:p w:rsidR="00CB1751" w:rsidRPr="009151B0" w:rsidRDefault="00CB1751">
      <w:pPr>
        <w:tabs>
          <w:tab w:val="left" w:pos="2552"/>
          <w:tab w:val="left" w:pos="2835"/>
          <w:tab w:val="left" w:pos="3544"/>
          <w:tab w:val="left" w:pos="5812"/>
          <w:tab w:val="left" w:pos="6096"/>
        </w:tabs>
        <w:ind w:right="56"/>
      </w:pPr>
      <w:r w:rsidRPr="009151B0">
        <w:t>En del förändringar föreslås dock. De mer betydande förslagen till förän</w:t>
      </w:r>
      <w:r w:rsidRPr="009151B0">
        <w:t>d</w:t>
      </w:r>
      <w:r w:rsidRPr="009151B0">
        <w:t>ring  är:</w:t>
      </w:r>
    </w:p>
    <w:p w:rsidR="00CB1751" w:rsidRPr="009151B0" w:rsidRDefault="00CB1751">
      <w:pPr>
        <w:tabs>
          <w:tab w:val="left" w:pos="2552"/>
          <w:tab w:val="left" w:pos="2835"/>
          <w:tab w:val="left" w:pos="3544"/>
          <w:tab w:val="left" w:pos="5812"/>
          <w:tab w:val="left" w:pos="6096"/>
        </w:tabs>
        <w:ind w:right="56"/>
      </w:pPr>
      <w:r w:rsidRPr="009151B0">
        <w:t>– Systemet föreslås gälla för länder som inte klassificerats av Världsbanken som höginkomstländer (high-income) eller övermede</w:t>
      </w:r>
      <w:r w:rsidRPr="009151B0">
        <w:t>l</w:t>
      </w:r>
      <w:r w:rsidRPr="009151B0">
        <w:t>inkomstländer (upper middle-income) under de senaste tre åren. Detta innebär en väsentlig förän</w:t>
      </w:r>
      <w:r w:rsidRPr="009151B0">
        <w:t>d</w:t>
      </w:r>
      <w:r w:rsidRPr="009151B0">
        <w:t>ring av systemet som tidigare endast uteslöt höginkomstländer. De länder som dä</w:t>
      </w:r>
      <w:r w:rsidRPr="009151B0">
        <w:t>r</w:t>
      </w:r>
      <w:r w:rsidRPr="009151B0">
        <w:t>med skulle uteslutas med den nya förordningen omfattar bl.a.: Ryssland, K</w:t>
      </w:r>
      <w:r w:rsidRPr="009151B0">
        <w:t>a</w:t>
      </w:r>
      <w:r w:rsidRPr="009151B0">
        <w:t>zakstan, Brasilien, Argentina, Iran, Fiji, Gabon, Namibia och Bot</w:t>
      </w:r>
      <w:r w:rsidRPr="009151B0">
        <w:t>s</w:t>
      </w:r>
      <w:r w:rsidRPr="009151B0">
        <w:t>wana. Detta är den mest betydande föreslagna förändringen i systemet. Kommi</w:t>
      </w:r>
      <w:r w:rsidRPr="009151B0">
        <w:t>s</w:t>
      </w:r>
      <w:r w:rsidRPr="009151B0">
        <w:t>sionens förslag inn</w:t>
      </w:r>
      <w:r w:rsidRPr="009151B0">
        <w:t>e</w:t>
      </w:r>
      <w:r w:rsidRPr="009151B0">
        <w:t>bär en minskning av tullförmånerna som resultat främst av den förändrade länderomfattnin</w:t>
      </w:r>
      <w:r w:rsidRPr="009151B0">
        <w:t>g</w:t>
      </w:r>
      <w:r w:rsidRPr="009151B0">
        <w:t xml:space="preserve">en. </w:t>
      </w:r>
    </w:p>
    <w:p w:rsidR="00CB1751" w:rsidRPr="009151B0" w:rsidRDefault="00CB1751"/>
    <w:p w:rsidR="00CB1751" w:rsidRPr="009151B0" w:rsidRDefault="00CB1751">
      <w:pPr>
        <w:tabs>
          <w:tab w:val="left" w:pos="2552"/>
          <w:tab w:val="left" w:pos="2835"/>
          <w:tab w:val="left" w:pos="3544"/>
          <w:tab w:val="left" w:pos="5812"/>
          <w:tab w:val="left" w:pos="6096"/>
        </w:tabs>
        <w:ind w:right="56"/>
      </w:pPr>
      <w:r w:rsidRPr="009151B0">
        <w:t>– Kommissionen föreslår att den nya förordningen inte ges slutdatum. Detta ger stabilitet och förutsägbarhet för syst</w:t>
      </w:r>
      <w:r w:rsidRPr="009151B0">
        <w:t>e</w:t>
      </w:r>
      <w:r w:rsidRPr="009151B0">
        <w:t>met.</w:t>
      </w:r>
    </w:p>
    <w:p w:rsidR="00CB1751" w:rsidRPr="009151B0" w:rsidRDefault="00CB1751"/>
    <w:p w:rsidR="00CB1751" w:rsidRPr="009151B0" w:rsidRDefault="00CB1751">
      <w:pPr>
        <w:tabs>
          <w:tab w:val="left" w:pos="2552"/>
          <w:tab w:val="left" w:pos="2835"/>
          <w:tab w:val="left" w:pos="3544"/>
          <w:tab w:val="left" w:pos="5812"/>
          <w:tab w:val="left" w:pos="6096"/>
        </w:tabs>
        <w:ind w:right="56"/>
      </w:pPr>
      <w:r w:rsidRPr="009151B0">
        <w:t>– För GSP+ föreslås en förändring som innebär att fler länder kan omfattas av s</w:t>
      </w:r>
      <w:r w:rsidRPr="009151B0">
        <w:t>y</w:t>
      </w:r>
      <w:r w:rsidRPr="009151B0">
        <w:t>stemet. Denna förändring innebär en vidgning av de ekonomiska kriterierna som möjliggör att ett utvecklingsland kan ha en större impor</w:t>
      </w:r>
      <w:r w:rsidRPr="009151B0">
        <w:t>t</w:t>
      </w:r>
      <w:r w:rsidRPr="009151B0">
        <w:t>andel till EU inom ramen för GSP+. Detta är en mycket betydelsefull förändring som regeringen drivit kraftfullt för att bredda möjligheterna för utvecklingsländer att omfa</w:t>
      </w:r>
      <w:r w:rsidRPr="009151B0">
        <w:t>t</w:t>
      </w:r>
      <w:r w:rsidRPr="009151B0">
        <w:t>tas av GSP+ och därmed uppmuntra till att ansluta sig till och tillämpa internati</w:t>
      </w:r>
      <w:r w:rsidRPr="009151B0">
        <w:t>o</w:t>
      </w:r>
      <w:r w:rsidRPr="009151B0">
        <w:t>nella konventioner. Pakistan kommer därmed få möjlighet att ansöka om de ytterligare förmåner GSP+ ger. EU: s medlemslände</w:t>
      </w:r>
      <w:r w:rsidRPr="009151B0">
        <w:t>r enades om denna inrik</w:t>
      </w:r>
      <w:r w:rsidRPr="009151B0">
        <w:t>t</w:t>
      </w:r>
      <w:r w:rsidRPr="009151B0">
        <w:t>ning redan vid Europeiska r</w:t>
      </w:r>
      <w:r w:rsidRPr="009151B0">
        <w:t>å</w:t>
      </w:r>
      <w:r w:rsidRPr="009151B0">
        <w:t>dets (ER) i september förra året. EU beslutade att verka för att lämna ett brett stöd, inklusive på handelsområdet, till P</w:t>
      </w:r>
      <w:r w:rsidRPr="009151B0">
        <w:t>a</w:t>
      </w:r>
      <w:r w:rsidRPr="009151B0">
        <w:t>kistan med anledning av översvämningskatastrofen i landet i augusti 2010. I ER:s deklar</w:t>
      </w:r>
      <w:r w:rsidRPr="009151B0">
        <w:t>a</w:t>
      </w:r>
      <w:r w:rsidRPr="009151B0">
        <w:t>tion binder sig EU för att Pakistan ska vara berättigat till GSP+ för 2014, föru</w:t>
      </w:r>
      <w:r w:rsidRPr="009151B0">
        <w:t>t</w:t>
      </w:r>
      <w:r w:rsidRPr="009151B0">
        <w:t>satt att landet uppfyller de nödvändiga kriterierna framförallt kriteriet att effe</w:t>
      </w:r>
      <w:r w:rsidRPr="009151B0">
        <w:t>k</w:t>
      </w:r>
      <w:r w:rsidRPr="009151B0">
        <w:t>tivt efterleva sina internationella åtaganden om mänskliga rättigheter och a</w:t>
      </w:r>
      <w:r w:rsidRPr="009151B0">
        <w:t>r</w:t>
      </w:r>
      <w:r w:rsidRPr="009151B0">
        <w:t>betsrätt</w:t>
      </w:r>
      <w:r w:rsidRPr="009151B0">
        <w:t>.</w:t>
      </w:r>
    </w:p>
    <w:p w:rsidR="00CB1751" w:rsidRPr="009151B0" w:rsidRDefault="00CB1751">
      <w:pPr>
        <w:tabs>
          <w:tab w:val="left" w:pos="2552"/>
          <w:tab w:val="left" w:pos="2835"/>
          <w:tab w:val="left" w:pos="3544"/>
          <w:tab w:val="left" w:pos="5812"/>
          <w:tab w:val="left" w:pos="6096"/>
        </w:tabs>
        <w:ind w:right="56"/>
      </w:pPr>
      <w:r w:rsidRPr="009151B0">
        <w:t>Tidigare har länder haft möjlighet att ansöka till dels</w:t>
      </w:r>
      <w:r w:rsidRPr="009151B0">
        <w:t>y</w:t>
      </w:r>
      <w:r w:rsidRPr="009151B0">
        <w:t>stemet GSP+ endast vid vissa tillfällen under förordningens giltighetstid. Nu föreslås att ansökningar kan lämnas in och ska behandlas löpande. Detta förenklar ansökningsproced</w:t>
      </w:r>
      <w:r w:rsidRPr="009151B0">
        <w:t>u</w:t>
      </w:r>
      <w:r w:rsidRPr="009151B0">
        <w:t>ren.</w:t>
      </w:r>
    </w:p>
    <w:p w:rsidR="00CB1751" w:rsidRPr="009151B0" w:rsidRDefault="00CB1751"/>
    <w:p w:rsidR="00CB1751" w:rsidRPr="009151B0" w:rsidRDefault="00CB1751">
      <w:r w:rsidRPr="009151B0">
        <w:t>Gradering (återinförande av tullavgifter med anledning av betydande importö</w:t>
      </w:r>
      <w:r w:rsidRPr="009151B0">
        <w:t>k</w:t>
      </w:r>
      <w:r w:rsidRPr="009151B0">
        <w:t>ning) ska inte tillämpas gentemot länder som omfattas av dels</w:t>
      </w:r>
      <w:r w:rsidRPr="009151B0">
        <w:t>y</w:t>
      </w:r>
      <w:r w:rsidRPr="009151B0">
        <w:t>stemet GSP+.</w:t>
      </w:r>
    </w:p>
    <w:p w:rsidR="00CB1751" w:rsidRPr="009151B0" w:rsidRDefault="00CB1751">
      <w:pPr>
        <w:tabs>
          <w:tab w:val="left" w:pos="2552"/>
          <w:tab w:val="left" w:pos="2835"/>
          <w:tab w:val="left" w:pos="3544"/>
          <w:tab w:val="left" w:pos="5812"/>
          <w:tab w:val="left" w:pos="6096"/>
        </w:tabs>
        <w:ind w:right="56"/>
      </w:pPr>
    </w:p>
    <w:p w:rsidR="00CB1751" w:rsidRPr="009151B0" w:rsidRDefault="00CB1751">
      <w:pPr>
        <w:tabs>
          <w:tab w:val="left" w:pos="2552"/>
          <w:tab w:val="left" w:pos="2835"/>
          <w:tab w:val="left" w:pos="3544"/>
          <w:tab w:val="left" w:pos="5812"/>
          <w:tab w:val="left" w:pos="6096"/>
        </w:tabs>
        <w:ind w:right="56"/>
        <w:rPr>
          <w:b/>
        </w:rPr>
      </w:pPr>
      <w:r w:rsidRPr="009151B0">
        <w:t>– Lissabonfördraget medför att maktbefogenheterna fö</w:t>
      </w:r>
      <w:r w:rsidRPr="009151B0">
        <w:t>r</w:t>
      </w:r>
      <w:r w:rsidRPr="009151B0">
        <w:t>ändras mellan EU: s institutioner. Såväl delegerade akter som genomförandebefoge</w:t>
      </w:r>
      <w:r w:rsidRPr="009151B0">
        <w:t>n</w:t>
      </w:r>
      <w:r w:rsidRPr="009151B0">
        <w:t>het föreslås i förslaget till GSP-förordning, beroende på innebörden i den enskilda art</w:t>
      </w:r>
      <w:r w:rsidRPr="009151B0">
        <w:t>i</w:t>
      </w:r>
      <w:r w:rsidRPr="009151B0">
        <w:t xml:space="preserve">keln. </w:t>
      </w:r>
    </w:p>
    <w:p w:rsidR="00CB1751" w:rsidRPr="009151B0" w:rsidRDefault="00CB1751">
      <w:pPr>
        <w:tabs>
          <w:tab w:val="left" w:pos="2552"/>
          <w:tab w:val="left" w:pos="2835"/>
          <w:tab w:val="left" w:pos="3544"/>
          <w:tab w:val="left" w:pos="5812"/>
          <w:tab w:val="left" w:pos="6096"/>
        </w:tabs>
        <w:ind w:right="3876"/>
      </w:pPr>
    </w:p>
    <w:p w:rsidR="00CB1751" w:rsidRPr="009151B0" w:rsidRDefault="00CB1751">
      <w:pPr>
        <w:pStyle w:val="Rubrik2"/>
        <w:tabs>
          <w:tab w:val="left" w:pos="2552"/>
          <w:tab w:val="left" w:pos="2835"/>
          <w:tab w:val="left" w:pos="3544"/>
          <w:tab w:val="left" w:pos="5812"/>
          <w:tab w:val="left" w:pos="6096"/>
        </w:tabs>
        <w:ind w:right="56"/>
      </w:pPr>
      <w:r w:rsidRPr="009151B0">
        <w:t>Gällande svenska regler och förslagets effekt på dessa</w:t>
      </w:r>
    </w:p>
    <w:p w:rsidR="00CB1751" w:rsidRPr="009151B0" w:rsidRDefault="00CB1751">
      <w:pPr>
        <w:tabs>
          <w:tab w:val="left" w:pos="2552"/>
          <w:tab w:val="left" w:pos="2835"/>
          <w:tab w:val="left" w:pos="3544"/>
          <w:tab w:val="left" w:pos="5812"/>
          <w:tab w:val="left" w:pos="6096"/>
        </w:tabs>
        <w:ind w:right="56"/>
      </w:pPr>
      <w:r w:rsidRPr="009151B0">
        <w:t>Förslaget är direkt tillämpligt i Sverige och bedöms inte innebära någon påve</w:t>
      </w:r>
      <w:r w:rsidRPr="009151B0">
        <w:t>r</w:t>
      </w:r>
      <w:r w:rsidRPr="009151B0">
        <w:t>kan på svenska regler.</w:t>
      </w:r>
    </w:p>
    <w:p w:rsidR="00CB1751" w:rsidRPr="009151B0" w:rsidRDefault="00CB1751">
      <w:pPr>
        <w:pStyle w:val="Rubrik2"/>
        <w:tabs>
          <w:tab w:val="left" w:pos="2552"/>
          <w:tab w:val="left" w:pos="2835"/>
          <w:tab w:val="left" w:pos="3544"/>
          <w:tab w:val="left" w:pos="5812"/>
          <w:tab w:val="left" w:pos="6096"/>
        </w:tabs>
        <w:ind w:right="56"/>
      </w:pPr>
      <w:r w:rsidRPr="009151B0">
        <w:t>Budgetära konsekvenser / Konsekvensanalys</w:t>
      </w:r>
    </w:p>
    <w:p w:rsidR="00CB1751" w:rsidRPr="009151B0" w:rsidRDefault="00CB1751"/>
    <w:p w:rsidR="00CB1751" w:rsidRPr="009151B0" w:rsidRDefault="00CB1751">
      <w:pPr>
        <w:tabs>
          <w:tab w:val="left" w:pos="2552"/>
          <w:tab w:val="left" w:pos="2835"/>
          <w:tab w:val="left" w:pos="3544"/>
          <w:tab w:val="left" w:pos="5812"/>
          <w:tab w:val="left" w:pos="6096"/>
        </w:tabs>
        <w:ind w:right="56"/>
      </w:pPr>
      <w:r w:rsidRPr="009151B0">
        <w:t>Kommissionen bedömer att förslaget inte medför några kostnader för geme</w:t>
      </w:r>
      <w:r w:rsidRPr="009151B0">
        <w:t>n</w:t>
      </w:r>
      <w:r w:rsidRPr="009151B0">
        <w:t>skapens budget. Tullintäkterna till EU kommer att öka genom att länderkre</w:t>
      </w:r>
      <w:r w:rsidRPr="009151B0">
        <w:t>t</w:t>
      </w:r>
      <w:r w:rsidRPr="009151B0">
        <w:t>sen som omfattas av preferenssystemet föreslås minska</w:t>
      </w:r>
      <w:r w:rsidRPr="009151B0">
        <w:rPr>
          <w:sz w:val="20"/>
        </w:rPr>
        <w:t>. F</w:t>
      </w:r>
      <w:r w:rsidRPr="009151B0">
        <w:rPr>
          <w:bCs/>
          <w:iCs/>
          <w:color w:val="000000"/>
          <w:sz w:val="20"/>
        </w:rPr>
        <w:t>å nya länder up</w:t>
      </w:r>
      <w:r w:rsidRPr="009151B0">
        <w:rPr>
          <w:bCs/>
          <w:iCs/>
          <w:color w:val="000000"/>
          <w:sz w:val="20"/>
        </w:rPr>
        <w:t>p</w:t>
      </w:r>
      <w:r w:rsidRPr="009151B0">
        <w:rPr>
          <w:bCs/>
          <w:iCs/>
          <w:color w:val="000000"/>
          <w:sz w:val="20"/>
        </w:rPr>
        <w:t>fyller i dagsläget kraven för att ansöka om GSP+ även med de vidgade ek</w:t>
      </w:r>
      <w:r w:rsidRPr="009151B0">
        <w:rPr>
          <w:bCs/>
          <w:iCs/>
          <w:color w:val="000000"/>
          <w:sz w:val="20"/>
        </w:rPr>
        <w:t>o</w:t>
      </w:r>
      <w:r w:rsidRPr="009151B0">
        <w:rPr>
          <w:bCs/>
          <w:iCs/>
          <w:color w:val="000000"/>
          <w:sz w:val="20"/>
        </w:rPr>
        <w:t>nomiska kriterierna, vilket medför att de uppskattade kostnadseffekterna av den förändringen är l</w:t>
      </w:r>
      <w:r w:rsidRPr="009151B0">
        <w:rPr>
          <w:bCs/>
          <w:iCs/>
          <w:color w:val="000000"/>
          <w:sz w:val="20"/>
        </w:rPr>
        <w:t>i</w:t>
      </w:r>
      <w:r w:rsidRPr="009151B0">
        <w:rPr>
          <w:bCs/>
          <w:iCs/>
          <w:color w:val="000000"/>
          <w:sz w:val="20"/>
        </w:rPr>
        <w:t>ten i den totala EU-budgeten.</w:t>
      </w:r>
      <w:r w:rsidRPr="009151B0">
        <w:t xml:space="preserve"> I förslaget från kommissionen bedöms att  omfattningen av tullsän</w:t>
      </w:r>
      <w:r w:rsidRPr="009151B0">
        <w:t>k</w:t>
      </w:r>
      <w:r w:rsidRPr="009151B0">
        <w:t>ningarna i GSP-systemet  kommer att minska från  2,97 miljarder € år 2009 till en beräknad årlig preferensomfattning på 1,87 miljarder €.  Dessa siffror är emellertid uppskattningar baserade på framtida handel</w:t>
      </w:r>
      <w:r w:rsidRPr="009151B0">
        <w:t>s</w:t>
      </w:r>
      <w:r w:rsidRPr="009151B0">
        <w:t>mönster. De påverkas givetvis av en rad faktor</w:t>
      </w:r>
      <w:r w:rsidRPr="009151B0">
        <w:t>er utöver ev. förändringar i EU:s preferenssystem. Minskningen av pref</w:t>
      </w:r>
      <w:r w:rsidRPr="009151B0">
        <w:t>e</w:t>
      </w:r>
      <w:r w:rsidRPr="009151B0">
        <w:t xml:space="preserve">renserna beror främst på att färre länder föreslås ingå i systemet. </w:t>
      </w:r>
    </w:p>
    <w:p w:rsidR="00CB1751" w:rsidRPr="009151B0" w:rsidRDefault="00CB1751"/>
    <w:p w:rsidR="00CB1751" w:rsidRPr="009151B0" w:rsidRDefault="00CB1751">
      <w:pPr>
        <w:pStyle w:val="Rubrik1"/>
        <w:tabs>
          <w:tab w:val="left" w:pos="2552"/>
          <w:tab w:val="left" w:pos="2835"/>
          <w:tab w:val="left" w:pos="3544"/>
          <w:tab w:val="left" w:pos="5812"/>
          <w:tab w:val="left" w:pos="6096"/>
        </w:tabs>
        <w:ind w:right="3876"/>
      </w:pPr>
      <w:r w:rsidRPr="009151B0">
        <w:t>Ståndpunkter</w:t>
      </w:r>
    </w:p>
    <w:p w:rsidR="00CB1751" w:rsidRPr="009151B0" w:rsidRDefault="00CB1751">
      <w:pPr>
        <w:pStyle w:val="Rubrik2"/>
        <w:tabs>
          <w:tab w:val="left" w:pos="2552"/>
          <w:tab w:val="left" w:pos="2835"/>
          <w:tab w:val="left" w:pos="3544"/>
          <w:tab w:val="left" w:pos="5812"/>
          <w:tab w:val="left" w:pos="6096"/>
        </w:tabs>
        <w:ind w:right="56"/>
      </w:pPr>
      <w:r w:rsidRPr="009151B0">
        <w:t>Preliminär svensk ståndpunkt</w:t>
      </w:r>
    </w:p>
    <w:p w:rsidR="00CB1751" w:rsidRPr="009151B0" w:rsidRDefault="00CB1751">
      <w:pPr>
        <w:tabs>
          <w:tab w:val="left" w:pos="2552"/>
          <w:tab w:val="left" w:pos="2835"/>
          <w:tab w:val="left" w:pos="3544"/>
          <w:tab w:val="left" w:pos="5812"/>
          <w:tab w:val="left" w:pos="6096"/>
        </w:tabs>
        <w:ind w:right="56"/>
      </w:pPr>
      <w:r w:rsidRPr="009151B0">
        <w:t>Regeringen har konsekvent framfört till kommissionen, medlemsstaterna och andra intressenter att GSP-systemet ska fungera som ett instr</w:t>
      </w:r>
      <w:r w:rsidRPr="009151B0">
        <w:t>u</w:t>
      </w:r>
      <w:r w:rsidRPr="009151B0">
        <w:t>ment för stöd till utveckling genom ökat deltagande av utveckling</w:t>
      </w:r>
      <w:r w:rsidRPr="009151B0">
        <w:t>s</w:t>
      </w:r>
      <w:r w:rsidRPr="009151B0">
        <w:t>länder i handeln med EU. För att uppfylla detta syfte är en grundläggande förutsättning att syst</w:t>
      </w:r>
      <w:r w:rsidRPr="009151B0">
        <w:t>e</w:t>
      </w:r>
      <w:r w:rsidRPr="009151B0">
        <w:t xml:space="preserve">met är enkelt, öppet och stabilt. </w:t>
      </w:r>
    </w:p>
    <w:p w:rsidR="00CB1751" w:rsidRPr="009151B0" w:rsidRDefault="00CB1751"/>
    <w:p w:rsidR="00CB1751" w:rsidRPr="009151B0" w:rsidRDefault="00CB1751">
      <w:r w:rsidRPr="009151B0">
        <w:t>Kommissionen anger att systemet ska fokusera på utvecklingslä</w:t>
      </w:r>
      <w:r w:rsidRPr="009151B0">
        <w:t>n</w:t>
      </w:r>
      <w:r w:rsidRPr="009151B0">
        <w:t>der i störst behov av preferenser, en målsättning som regeringen stöder. För att öka fokus</w:t>
      </w:r>
      <w:r w:rsidRPr="009151B0">
        <w:t>e</w:t>
      </w:r>
      <w:r w:rsidRPr="009151B0">
        <w:t>ringen föreslår kommissionen att ett antal länder som ligger på en relativt högre utvecklingsnivå förs ut ur systemet. Regeringen avser att särskilt bevaka effe</w:t>
      </w:r>
      <w:r w:rsidRPr="009151B0">
        <w:t>k</w:t>
      </w:r>
      <w:r w:rsidRPr="009151B0">
        <w:t>terna av detta. Regeringen anser att förbättringar för den grupp länder som b</w:t>
      </w:r>
      <w:r w:rsidRPr="009151B0">
        <w:t>e</w:t>
      </w:r>
      <w:r w:rsidRPr="009151B0">
        <w:t>finner sig på lägre utvecklingsnivåer kan göras genom exempelvis förbättr</w:t>
      </w:r>
      <w:r w:rsidRPr="009151B0">
        <w:t>a</w:t>
      </w:r>
      <w:r w:rsidRPr="009151B0">
        <w:t>de pref</w:t>
      </w:r>
      <w:r w:rsidRPr="009151B0">
        <w:t>e</w:t>
      </w:r>
      <w:r w:rsidRPr="009151B0">
        <w:t>renser för varor dessa länder har intresse av att exportera till EU.</w:t>
      </w:r>
    </w:p>
    <w:p w:rsidR="00CB1751" w:rsidRPr="009151B0" w:rsidRDefault="00CB1751"/>
    <w:p w:rsidR="00CB1751" w:rsidRPr="009151B0" w:rsidRDefault="00CB1751">
      <w:r w:rsidRPr="009151B0">
        <w:t>Förslaget från kommissionen innehåller element som stöder förenklingar, ö</w:t>
      </w:r>
      <w:r w:rsidRPr="009151B0">
        <w:t>p</w:t>
      </w:r>
      <w:r w:rsidRPr="009151B0">
        <w:t>penhet och stabilitet. Regeringen stödjer detta. De främsta exemplen på fören</w:t>
      </w:r>
      <w:r w:rsidRPr="009151B0">
        <w:t>k</w:t>
      </w:r>
      <w:r w:rsidRPr="009151B0">
        <w:t>lingar är att systemet föreslås gälla utan tidsbegränsning, att ansökan om GSP+ kan lämnas när ansökarlandet uppfyller kraven och inte vid angivna ansökning</w:t>
      </w:r>
      <w:r w:rsidRPr="009151B0">
        <w:t>s</w:t>
      </w:r>
      <w:r w:rsidRPr="009151B0">
        <w:t>tillfällen, att gradering (återinförande av tullavgifter med anledning av betyda</w:t>
      </w:r>
      <w:r w:rsidRPr="009151B0">
        <w:t>n</w:t>
      </w:r>
      <w:r w:rsidRPr="009151B0">
        <w:t>de importökning) inte kan gälla för länder som omfattas av dels</w:t>
      </w:r>
      <w:r w:rsidRPr="009151B0">
        <w:t>y</w:t>
      </w:r>
      <w:r w:rsidRPr="009151B0">
        <w:t>stemet GSP+.</w:t>
      </w:r>
    </w:p>
    <w:p w:rsidR="00CB1751" w:rsidRPr="009151B0" w:rsidRDefault="00CB1751"/>
    <w:p w:rsidR="00CB1751" w:rsidRPr="009151B0" w:rsidRDefault="00CB1751">
      <w:r w:rsidRPr="009151B0">
        <w:rPr>
          <w:color w:val="000000"/>
        </w:rPr>
        <w:t>GSP+ har varit ett effektivt instrument för att främja anslutning till det intern</w:t>
      </w:r>
      <w:r w:rsidRPr="009151B0">
        <w:rPr>
          <w:color w:val="000000"/>
        </w:rPr>
        <w:t>a</w:t>
      </w:r>
      <w:r w:rsidRPr="009151B0">
        <w:rPr>
          <w:color w:val="000000"/>
        </w:rPr>
        <w:t xml:space="preserve">tionella regelverket </w:t>
      </w:r>
      <w:r w:rsidRPr="009151B0">
        <w:t>vad gäller respekt för främst mänskliga rättigheter och a</w:t>
      </w:r>
      <w:r w:rsidRPr="009151B0">
        <w:t>r</w:t>
      </w:r>
      <w:r w:rsidRPr="009151B0">
        <w:t>betsrätt. Sverige vill även fortsättningsvis värna GSP+programmets karaktär av incitamen</w:t>
      </w:r>
      <w:r w:rsidRPr="009151B0">
        <w:t>t</w:t>
      </w:r>
      <w:r w:rsidRPr="009151B0">
        <w:t>sprogram och motverka att. kraven på deltagande länder urvattnas eller undergrävs. Endast de länder som anslutit sig till de erforderliga internati</w:t>
      </w:r>
      <w:r w:rsidRPr="009151B0">
        <w:t>o</w:t>
      </w:r>
      <w:r w:rsidRPr="009151B0">
        <w:t>nella konventionerna, främst inom områdena mänskliga rättigheter och arbet</w:t>
      </w:r>
      <w:r w:rsidRPr="009151B0">
        <w:t>s</w:t>
      </w:r>
      <w:r w:rsidRPr="009151B0">
        <w:t>rätt, och som även effektivt efterlever sina åtaga</w:t>
      </w:r>
      <w:r w:rsidRPr="009151B0">
        <w:t>n</w:t>
      </w:r>
      <w:r w:rsidRPr="009151B0">
        <w:t>den under dessa i praktiken, ska få komma i åtnjutande av det ökade m</w:t>
      </w:r>
      <w:r w:rsidRPr="009151B0">
        <w:t>arknadstillträde som GSP+ erbjuder. Sverige bör även fortsättningsvis aktivt delta i de pågående metodologiska di</w:t>
      </w:r>
      <w:r w:rsidRPr="009151B0">
        <w:t>s</w:t>
      </w:r>
      <w:r w:rsidRPr="009151B0">
        <w:t>kussionerna om hur ’e</w:t>
      </w:r>
      <w:r w:rsidRPr="009151B0">
        <w:t>f</w:t>
      </w:r>
      <w:r w:rsidRPr="009151B0">
        <w:t>fektiv efterlevnad’’ av de internationella åtagandena ska kunna mätas och utvärderas på ett objektivt och förutsä</w:t>
      </w:r>
      <w:r w:rsidRPr="009151B0">
        <w:t>g</w:t>
      </w:r>
      <w:r w:rsidRPr="009151B0">
        <w:t>bart sätt.</w:t>
      </w:r>
    </w:p>
    <w:p w:rsidR="00CB1751" w:rsidRPr="009151B0" w:rsidRDefault="00CB1751"/>
    <w:p w:rsidR="00CB1751" w:rsidRPr="009151B0" w:rsidRDefault="00CB1751">
      <w:pPr>
        <w:pStyle w:val="Rubrik2"/>
        <w:tabs>
          <w:tab w:val="left" w:pos="2410"/>
          <w:tab w:val="left" w:pos="2835"/>
          <w:tab w:val="left" w:pos="3544"/>
          <w:tab w:val="left" w:pos="5812"/>
          <w:tab w:val="left" w:pos="6096"/>
        </w:tabs>
      </w:pPr>
      <w:r w:rsidRPr="009151B0">
        <w:t>Medlemsstaternas ståndpunkter</w:t>
      </w:r>
    </w:p>
    <w:p w:rsidR="00CB1751" w:rsidRPr="009151B0" w:rsidRDefault="00CB1751">
      <w:pPr>
        <w:tabs>
          <w:tab w:val="left" w:pos="2410"/>
          <w:tab w:val="left" w:pos="2835"/>
          <w:tab w:val="left" w:pos="3544"/>
          <w:tab w:val="left" w:pos="5812"/>
          <w:tab w:val="left" w:pos="6096"/>
        </w:tabs>
        <w:ind w:right="56"/>
      </w:pPr>
      <w:r w:rsidRPr="009151B0">
        <w:t>Medlemsstaterna analyserar förslaget och har begärt kompletterande inform</w:t>
      </w:r>
      <w:r w:rsidRPr="009151B0">
        <w:t>a</w:t>
      </w:r>
      <w:r w:rsidRPr="009151B0">
        <w:t>tion. Några klara positioner har ännu inte redovisats. Några medlemsstater har understrukit systemets betydelse för stöd för fattiga länder genom tullsänknin</w:t>
      </w:r>
      <w:r w:rsidRPr="009151B0">
        <w:t>g</w:t>
      </w:r>
      <w:r w:rsidRPr="009151B0">
        <w:t>ar. Andra medlemsstater har angett betydelsen av att hänsyn tas till produ</w:t>
      </w:r>
      <w:r w:rsidRPr="009151B0">
        <w:t>k</w:t>
      </w:r>
      <w:r w:rsidRPr="009151B0">
        <w:t>tionsintressen inom EU.</w:t>
      </w:r>
    </w:p>
    <w:p w:rsidR="00CB1751" w:rsidRPr="009151B0" w:rsidRDefault="00CB1751">
      <w:pPr>
        <w:pStyle w:val="Rubrik2"/>
        <w:tabs>
          <w:tab w:val="left" w:pos="2552"/>
          <w:tab w:val="left" w:pos="2835"/>
          <w:tab w:val="left" w:pos="3544"/>
          <w:tab w:val="left" w:pos="5812"/>
          <w:tab w:val="left" w:pos="6096"/>
        </w:tabs>
        <w:ind w:right="-85"/>
      </w:pPr>
      <w:r w:rsidRPr="009151B0">
        <w:t>Institutionernas ståndpunkter</w:t>
      </w:r>
    </w:p>
    <w:p w:rsidR="00CB1751" w:rsidRPr="009151B0" w:rsidRDefault="00CB1751">
      <w:pPr>
        <w:tabs>
          <w:tab w:val="left" w:pos="2552"/>
          <w:tab w:val="left" w:pos="2835"/>
          <w:tab w:val="left" w:pos="3544"/>
          <w:tab w:val="left" w:pos="5812"/>
          <w:tab w:val="left" w:pos="6096"/>
        </w:tabs>
        <w:ind w:right="-85"/>
      </w:pPr>
      <w:r w:rsidRPr="009151B0">
        <w:t>Förslaget har lämnats till EP och rådet för behandling enligt den ordinarie la</w:t>
      </w:r>
      <w:r w:rsidRPr="009151B0">
        <w:t>g</w:t>
      </w:r>
      <w:r w:rsidRPr="009151B0">
        <w:t>stiftningsproceduren. EP har ännu inre utsett någon rapportör för ärendet och några ståndpunkter  har därför ännu inte lä</w:t>
      </w:r>
      <w:r w:rsidRPr="009151B0">
        <w:t>m</w:t>
      </w:r>
      <w:r w:rsidRPr="009151B0">
        <w:t>nats.</w:t>
      </w:r>
    </w:p>
    <w:p w:rsidR="00CB1751" w:rsidRPr="009151B0" w:rsidRDefault="00CB1751">
      <w:pPr>
        <w:pStyle w:val="Rubrik2"/>
        <w:tabs>
          <w:tab w:val="left" w:pos="2552"/>
          <w:tab w:val="left" w:pos="2835"/>
          <w:tab w:val="left" w:pos="5812"/>
          <w:tab w:val="left" w:pos="6096"/>
        </w:tabs>
        <w:ind w:right="-85"/>
      </w:pPr>
      <w:r w:rsidRPr="009151B0">
        <w:t>Remissinstansernas ståndpunkter</w:t>
      </w:r>
    </w:p>
    <w:p w:rsidR="00CB1751" w:rsidRPr="009151B0" w:rsidRDefault="00CB1751">
      <w:pPr>
        <w:tabs>
          <w:tab w:val="left" w:pos="3544"/>
          <w:tab w:val="left" w:pos="5812"/>
          <w:tab w:val="left" w:pos="6096"/>
        </w:tabs>
        <w:ind w:right="-85"/>
      </w:pPr>
      <w:r w:rsidRPr="009151B0">
        <w:t>Förslaget har inte sänts ut på formell remissbehandling.</w:t>
      </w:r>
    </w:p>
    <w:p w:rsidR="00CB1751" w:rsidRPr="009151B0" w:rsidRDefault="00CB1751">
      <w:pPr>
        <w:pStyle w:val="Rubrik1"/>
        <w:tabs>
          <w:tab w:val="left" w:pos="3544"/>
          <w:tab w:val="left" w:pos="5812"/>
          <w:tab w:val="left" w:pos="6096"/>
        </w:tabs>
        <w:ind w:right="-85"/>
      </w:pPr>
      <w:r w:rsidRPr="009151B0">
        <w:t>Förslagets förutsättningar</w:t>
      </w:r>
    </w:p>
    <w:p w:rsidR="00CB1751" w:rsidRPr="009151B0" w:rsidRDefault="00CB1751">
      <w:pPr>
        <w:pStyle w:val="Rubrik2"/>
        <w:tabs>
          <w:tab w:val="left" w:pos="3544"/>
          <w:tab w:val="left" w:pos="5812"/>
          <w:tab w:val="left" w:pos="6096"/>
        </w:tabs>
        <w:ind w:right="-85"/>
      </w:pPr>
      <w:r w:rsidRPr="009151B0">
        <w:t>Rättslig grund och beslutsförfarande</w:t>
      </w:r>
    </w:p>
    <w:p w:rsidR="00CB1751" w:rsidRPr="009151B0" w:rsidRDefault="00CB1751">
      <w:pPr>
        <w:tabs>
          <w:tab w:val="left" w:pos="3544"/>
          <w:tab w:val="left" w:pos="5812"/>
          <w:tab w:val="left" w:pos="6096"/>
        </w:tabs>
        <w:ind w:right="-85"/>
      </w:pPr>
      <w:r w:rsidRPr="009151B0">
        <w:t>Särskilt artikel 207 i Fördr</w:t>
      </w:r>
      <w:r w:rsidRPr="009151B0">
        <w:t>a</w:t>
      </w:r>
      <w:r w:rsidRPr="009151B0">
        <w:t>get om Europeiska Unionens funktionssätt (EUF). Förordningen beslutas genom det ordinarie lagstiftningsförf</w:t>
      </w:r>
      <w:r w:rsidRPr="009151B0">
        <w:t>a</w:t>
      </w:r>
      <w:r w:rsidRPr="009151B0">
        <w:t>randet där EP och rådet b</w:t>
      </w:r>
      <w:r w:rsidRPr="009151B0">
        <w:t>e</w:t>
      </w:r>
      <w:r w:rsidRPr="009151B0">
        <w:t>slutar. Beslut i rådet tas med kvalificerad majoritet.</w:t>
      </w:r>
    </w:p>
    <w:p w:rsidR="00CB1751" w:rsidRPr="009151B0" w:rsidRDefault="00CB1751">
      <w:pPr>
        <w:tabs>
          <w:tab w:val="left" w:pos="3544"/>
          <w:tab w:val="left" w:pos="5812"/>
          <w:tab w:val="left" w:pos="6096"/>
        </w:tabs>
        <w:ind w:right="-85"/>
      </w:pPr>
    </w:p>
    <w:p w:rsidR="00CB1751" w:rsidRPr="009151B0" w:rsidRDefault="00CB1751">
      <w:pPr>
        <w:pStyle w:val="Rubrik2"/>
        <w:tabs>
          <w:tab w:val="left" w:pos="3544"/>
          <w:tab w:val="left" w:pos="5812"/>
          <w:tab w:val="left" w:pos="6096"/>
        </w:tabs>
        <w:ind w:right="56"/>
      </w:pPr>
      <w:r w:rsidRPr="009151B0">
        <w:t>Subsidiaritets- och proportionalitetsprincipen</w:t>
      </w:r>
    </w:p>
    <w:p w:rsidR="00CB1751" w:rsidRPr="009151B0" w:rsidRDefault="00CB1751">
      <w:pPr>
        <w:tabs>
          <w:tab w:val="left" w:pos="3544"/>
          <w:tab w:val="left" w:pos="5812"/>
          <w:tab w:val="left" w:pos="6096"/>
        </w:tabs>
        <w:ind w:right="-85"/>
      </w:pPr>
      <w:r w:rsidRPr="009151B0">
        <w:t>Förslaget omfattas av EU: exklusiva befogenheter.</w:t>
      </w:r>
    </w:p>
    <w:p w:rsidR="00CB1751" w:rsidRPr="009151B0" w:rsidRDefault="00CB1751">
      <w:pPr>
        <w:pStyle w:val="Rubrik1"/>
        <w:tabs>
          <w:tab w:val="left" w:pos="3544"/>
          <w:tab w:val="left" w:pos="5812"/>
          <w:tab w:val="left" w:pos="6096"/>
        </w:tabs>
        <w:ind w:right="3876"/>
      </w:pPr>
      <w:r w:rsidRPr="009151B0">
        <w:t>Övrigt</w:t>
      </w:r>
    </w:p>
    <w:p w:rsidR="00CB1751" w:rsidRPr="009151B0" w:rsidRDefault="00CB1751">
      <w:pPr>
        <w:pStyle w:val="Rubrik2"/>
        <w:tabs>
          <w:tab w:val="left" w:pos="3544"/>
          <w:tab w:val="left" w:pos="5812"/>
          <w:tab w:val="left" w:pos="6096"/>
        </w:tabs>
        <w:ind w:right="56"/>
      </w:pPr>
      <w:r w:rsidRPr="009151B0">
        <w:t>Fortsatt behandling av ärendet</w:t>
      </w:r>
    </w:p>
    <w:p w:rsidR="00CB1751" w:rsidRPr="009151B0" w:rsidRDefault="00CB1751">
      <w:pPr>
        <w:tabs>
          <w:tab w:val="left" w:pos="3544"/>
          <w:tab w:val="left" w:pos="5812"/>
          <w:tab w:val="left" w:pos="6096"/>
        </w:tabs>
        <w:ind w:right="-85"/>
      </w:pPr>
      <w:r w:rsidRPr="009151B0">
        <w:t>Förslaget kommer att behandlas i EP och rådet enligt den ordinarie lagstiftning</w:t>
      </w:r>
      <w:r w:rsidRPr="009151B0">
        <w:t>s</w:t>
      </w:r>
      <w:r w:rsidRPr="009151B0">
        <w:t>proceduren. I rådet kommer förhandlingar främst ske i rådsarbetsgru</w:t>
      </w:r>
      <w:r w:rsidRPr="009151B0">
        <w:t>p</w:t>
      </w:r>
      <w:r w:rsidRPr="009151B0">
        <w:t>pen för GSP.</w:t>
      </w:r>
    </w:p>
    <w:p w:rsidR="00CB1751" w:rsidRPr="009151B0" w:rsidRDefault="00CB1751">
      <w:pPr>
        <w:pStyle w:val="Rubrik2"/>
        <w:tabs>
          <w:tab w:val="left" w:pos="5812"/>
          <w:tab w:val="left" w:pos="6096"/>
        </w:tabs>
        <w:ind w:right="-341"/>
      </w:pPr>
      <w:r w:rsidRPr="009151B0">
        <w:t>Fackuttryck/termer</w:t>
      </w:r>
    </w:p>
    <w:p w:rsidR="00CB1751" w:rsidRPr="009151B0" w:rsidRDefault="00CB1751">
      <w:pPr>
        <w:tabs>
          <w:tab w:val="left" w:pos="5812"/>
          <w:tab w:val="left" w:pos="6096"/>
        </w:tabs>
        <w:ind w:right="-341"/>
      </w:pPr>
      <w:r w:rsidRPr="009151B0">
        <w:rPr>
          <w:b/>
        </w:rPr>
        <w:t>Generalised System of Preferences (GSP)</w:t>
      </w:r>
      <w:r w:rsidRPr="009151B0">
        <w:t xml:space="preserve"> är den engelska beteckningen på det Allmänna preferenssystemet, dvs. EU: s preferenssystem för utveckling</w:t>
      </w:r>
      <w:r w:rsidRPr="009151B0">
        <w:t>s</w:t>
      </w:r>
      <w:r w:rsidRPr="009151B0">
        <w:t>länder.</w:t>
      </w:r>
    </w:p>
    <w:p w:rsidR="00CB1751" w:rsidRPr="009151B0" w:rsidRDefault="00CB1751">
      <w:r w:rsidRPr="009151B0">
        <w:t xml:space="preserve"> </w:t>
      </w:r>
    </w:p>
    <w:p w:rsidR="00CB1751" w:rsidRPr="009151B0" w:rsidRDefault="00CB1751">
      <w:r w:rsidRPr="009151B0">
        <w:rPr>
          <w:b/>
        </w:rPr>
        <w:t>Minst utvecklade länder (MUL).</w:t>
      </w:r>
      <w:r w:rsidRPr="009151B0">
        <w:t xml:space="preserve"> FN fastställer en förteckning över länder som definieras som minst utvecklade länder. Ett fyrtital länder ingår i förteckningen. Rev</w:t>
      </w:r>
      <w:r w:rsidRPr="009151B0">
        <w:t>i</w:t>
      </w:r>
      <w:r w:rsidRPr="009151B0">
        <w:t>dering görs löpande. Den förteckningen används för att ange vilka länder som omfa</w:t>
      </w:r>
      <w:r w:rsidRPr="009151B0">
        <w:t>t</w:t>
      </w:r>
      <w:r w:rsidRPr="009151B0">
        <w:t>tas av EU:s delsystem EBA (Everything But Arms), dvs. systemet för tullfrihet för de minst utvecklade länderna för sam</w:t>
      </w:r>
      <w:r w:rsidRPr="009151B0">
        <w:t>t</w:t>
      </w:r>
      <w:r w:rsidRPr="009151B0">
        <w:t>liga varor utom vapen vid import till EU.</w:t>
      </w:r>
    </w:p>
    <w:p w:rsidR="00CB1751" w:rsidRPr="009151B0" w:rsidRDefault="00CB1751"/>
    <w:p w:rsidR="00CB1751" w:rsidRPr="009151B0" w:rsidRDefault="00CB1751">
      <w:r w:rsidRPr="009151B0">
        <w:rPr>
          <w:b/>
        </w:rPr>
        <w:t>Everything But Arms (EBA).</w:t>
      </w:r>
      <w:r w:rsidRPr="009151B0">
        <w:t xml:space="preserve"> Delsystem inom GSP-förordningen, för de minst utvecklade länderna, som erbjuder tullfrihet för samtliga varor utom vapen vid import till EU. En föru</w:t>
      </w:r>
      <w:r w:rsidRPr="009151B0">
        <w:t>t</w:t>
      </w:r>
      <w:r w:rsidRPr="009151B0">
        <w:t>sättning är att varorna har ursprung i ett minst utvecklat land genom att de har tillve</w:t>
      </w:r>
      <w:r w:rsidRPr="009151B0">
        <w:t>r</w:t>
      </w:r>
      <w:r w:rsidRPr="009151B0">
        <w:t>kats enligt de ursprungsregler som gäller för GSP-systemet.</w:t>
      </w:r>
    </w:p>
    <w:p w:rsidR="00CB1751" w:rsidRPr="009151B0" w:rsidRDefault="00CB1751"/>
    <w:p w:rsidR="00CB1751" w:rsidRPr="009151B0" w:rsidRDefault="00CB1751">
      <w:r w:rsidRPr="009151B0">
        <w:rPr>
          <w:b/>
        </w:rPr>
        <w:t>GSP+.</w:t>
      </w:r>
      <w:r w:rsidRPr="009151B0">
        <w:t xml:space="preserve"> Ett delsystem i det Allmänna preferenssystemet som omfattar extra prefere</w:t>
      </w:r>
      <w:r w:rsidRPr="009151B0">
        <w:t>n</w:t>
      </w:r>
      <w:r w:rsidRPr="009151B0">
        <w:t>ser för de länder som ratificerat och ”effektivt efterlever” åtagandena i sin lagstif</w:t>
      </w:r>
      <w:r w:rsidRPr="009151B0">
        <w:t>t</w:t>
      </w:r>
      <w:r w:rsidRPr="009151B0">
        <w:t>ning ett tjugotal internationella konventioner, främst på områdena arbetsrätt och mänskliga rättigh</w:t>
      </w:r>
      <w:r w:rsidRPr="009151B0">
        <w:t>e</w:t>
      </w:r>
      <w:r w:rsidRPr="009151B0">
        <w:t xml:space="preserve">ter. </w:t>
      </w:r>
    </w:p>
    <w:p w:rsidR="00CB1751" w:rsidRPr="009151B0" w:rsidRDefault="00CB1751"/>
    <w:p w:rsidR="00CB1751" w:rsidRPr="009151B0" w:rsidRDefault="00CB1751">
      <w:r w:rsidRPr="009151B0">
        <w:rPr>
          <w:b/>
        </w:rPr>
        <w:t>Delegerad befogenhet</w:t>
      </w:r>
      <w:r w:rsidRPr="009151B0">
        <w:t>. Befogenhet som delegeras från lagstiftaren (Europapa</w:t>
      </w:r>
      <w:r w:rsidRPr="009151B0">
        <w:t>r</w:t>
      </w:r>
      <w:r w:rsidRPr="009151B0">
        <w:t>lamentet och rådet) till kommissionen, regleras i artikel 290 EUF-fördraget. Deleg</w:t>
      </w:r>
      <w:r w:rsidRPr="009151B0">
        <w:t>e</w:t>
      </w:r>
      <w:r w:rsidRPr="009151B0">
        <w:t>rad befogenhet kan endast tillämpas om befogenheten härleds från en lagstiftningsakt. Den delegerade befoge</w:t>
      </w:r>
      <w:r w:rsidRPr="009151B0">
        <w:t>n</w:t>
      </w:r>
      <w:r w:rsidRPr="009151B0">
        <w:t>heten kan endast tillämpas på akter med allmän räckvidd som inte är lagstiftningsakter och som kompletterar eller ändrar vissa icke väsentliga delar av den lagstiftningsakt den är knuten till.</w:t>
      </w:r>
    </w:p>
    <w:p w:rsidR="00CB1751" w:rsidRPr="009151B0" w:rsidRDefault="00CB1751"/>
    <w:p w:rsidR="00CB1751" w:rsidRPr="009151B0" w:rsidRDefault="00CB1751">
      <w:r w:rsidRPr="009151B0">
        <w:rPr>
          <w:b/>
        </w:rPr>
        <w:t>Delegerad akt</w:t>
      </w:r>
      <w:r w:rsidRPr="009151B0">
        <w:t xml:space="preserve"> . Akt antagen av kommissionen med del</w:t>
      </w:r>
      <w:r w:rsidRPr="009151B0">
        <w:t>e</w:t>
      </w:r>
      <w:r w:rsidRPr="009151B0">
        <w:t>gerad befogenhet.</w:t>
      </w:r>
    </w:p>
    <w:p w:rsidR="00CB1751" w:rsidRPr="009151B0" w:rsidRDefault="00CB1751"/>
    <w:p w:rsidR="00CB1751" w:rsidRPr="009151B0" w:rsidRDefault="00CB1751">
      <w:r w:rsidRPr="009151B0">
        <w:rPr>
          <w:b/>
        </w:rPr>
        <w:t>Genomförandebefogenhet</w:t>
      </w:r>
      <w:r w:rsidRPr="009151B0">
        <w:t>. Befogenhet att, i de fall enhetliga villkor för g</w:t>
      </w:r>
      <w:r w:rsidRPr="009151B0">
        <w:t>e</w:t>
      </w:r>
      <w:r w:rsidRPr="009151B0">
        <w:t>nomf</w:t>
      </w:r>
      <w:r w:rsidRPr="009151B0">
        <w:t>ö</w:t>
      </w:r>
      <w:r w:rsidRPr="009151B0">
        <w:t>rande krävs, mer precist genomföra rättsligt bindande akter genom att anta genomf</w:t>
      </w:r>
      <w:r w:rsidRPr="009151B0">
        <w:t>ö</w:t>
      </w:r>
      <w:r w:rsidRPr="009151B0">
        <w:t>randeakter. Lagstiftaren (Europaparlamentet och rådet) kan genom en lagstiftning</w:t>
      </w:r>
      <w:r w:rsidRPr="009151B0">
        <w:t>s</w:t>
      </w:r>
      <w:r w:rsidRPr="009151B0">
        <w:t>akt tilldela kommissionen, eller i vederbörligen motiverade fall rådet, denna bef</w:t>
      </w:r>
      <w:r w:rsidRPr="009151B0">
        <w:t>o</w:t>
      </w:r>
      <w:r w:rsidRPr="009151B0">
        <w:t>genhet enligt artikel 291 EUF-fördraget. I de allra flesta fall tillämpas genomföra</w:t>
      </w:r>
      <w:r w:rsidRPr="009151B0">
        <w:t>n</w:t>
      </w:r>
      <w:r w:rsidRPr="009151B0">
        <w:t>debefogenhet genom kommittéförfarande.</w:t>
      </w:r>
    </w:p>
    <w:p w:rsidR="00CB1751" w:rsidRPr="009151B0" w:rsidRDefault="00CB1751"/>
    <w:p w:rsidR="00CB1751" w:rsidRPr="009151B0" w:rsidRDefault="00CB1751">
      <w:r w:rsidRPr="009151B0">
        <w:rPr>
          <w:b/>
        </w:rPr>
        <w:t>Genomförandeakt</w:t>
      </w:r>
      <w:r w:rsidRPr="009151B0">
        <w:t>. Akt antagen av kommissionen eller rådet med genomföra</w:t>
      </w:r>
      <w:r w:rsidRPr="009151B0">
        <w:t>n</w:t>
      </w:r>
      <w:r w:rsidRPr="009151B0">
        <w:t>deb</w:t>
      </w:r>
      <w:r w:rsidRPr="009151B0">
        <w:t>e</w:t>
      </w:r>
      <w:r w:rsidRPr="009151B0">
        <w:t>fogenhet.</w:t>
      </w:r>
    </w:p>
    <w:p w:rsidR="00CB1751" w:rsidRPr="009151B0" w:rsidRDefault="00CB1751"/>
    <w:p w:rsidR="00CB1751" w:rsidRPr="009151B0" w:rsidRDefault="00CB1751">
      <w:r w:rsidRPr="009151B0">
        <w:rPr>
          <w:b/>
        </w:rPr>
        <w:t>Lagstiftningsakt</w:t>
      </w:r>
      <w:r w:rsidRPr="009151B0">
        <w:t xml:space="preserve"> . I EU-terminologi är det en akt som är antagen med det ord</w:t>
      </w:r>
      <w:r w:rsidRPr="009151B0">
        <w:t>i</w:t>
      </w:r>
      <w:r w:rsidRPr="009151B0">
        <w:t>narie eller det särskilda lagstiftningsförfarandet, se artikla</w:t>
      </w:r>
      <w:r w:rsidRPr="009151B0">
        <w:t>r</w:t>
      </w:r>
      <w:r w:rsidRPr="009151B0">
        <w:t>na 289 och 294 EUF-fördaget</w:t>
      </w:r>
    </w:p>
    <w:p w:rsidR="00CB1751" w:rsidRPr="009151B0" w:rsidRDefault="00CB1751"/>
    <w:p w:rsidR="00CB1751" w:rsidRPr="009151B0" w:rsidRDefault="00CB1751">
      <w:r w:rsidRPr="009151B0">
        <w:rPr>
          <w:b/>
        </w:rPr>
        <w:t>Ordinarie lagstiftningsförfarande</w:t>
      </w:r>
      <w:r w:rsidRPr="009151B0">
        <w:t>. Består i att Europaparlamentet, och rådet på förslag från kommissionen gemensamt antar en förordning, ett direktiv eller ett b</w:t>
      </w:r>
      <w:r w:rsidRPr="009151B0">
        <w:t>e</w:t>
      </w:r>
      <w:r w:rsidRPr="009151B0">
        <w:t>slut.</w:t>
      </w:r>
    </w:p>
    <w:p w:rsidR="00CB1751" w:rsidRPr="009151B0" w:rsidRDefault="00CB1751"/>
    <w:p w:rsidR="00CB1751" w:rsidRPr="009151B0" w:rsidRDefault="00CB1751">
      <w:r w:rsidRPr="009151B0">
        <w:rPr>
          <w:b/>
        </w:rPr>
        <w:t>Särskilt lagstiftningsförfarande</w:t>
      </w:r>
      <w:r w:rsidRPr="009151B0">
        <w:t>. Tillämpas i de särskilda fall som anges i fördraget, t.ex. antagandet av budgeten. Europaparlame</w:t>
      </w:r>
      <w:r w:rsidRPr="009151B0">
        <w:t>n</w:t>
      </w:r>
      <w:r w:rsidRPr="009151B0">
        <w:t>tet med medverkan av rådet eller rådet med medverkan av Europaparlamentet, antar en förordning, ett dire</w:t>
      </w:r>
      <w:r w:rsidRPr="009151B0">
        <w:t>k</w:t>
      </w:r>
      <w:r w:rsidRPr="009151B0">
        <w:t>tiv eller ett beslut.</w:t>
      </w:r>
    </w:p>
    <w:p w:rsidR="00CB1751" w:rsidRPr="009151B0" w:rsidRDefault="00CB1751"/>
    <w:p w:rsidR="00CB1751" w:rsidRPr="009151B0" w:rsidRDefault="00CB1751">
      <w:pPr>
        <w:sectPr w:rsidR="00000000" w:rsidRPr="009151B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794" w:right="4727" w:bottom="851" w:left="1361" w:header="510" w:footer="454" w:gutter="0"/>
          <w:cols w:space="708"/>
          <w:rtlGutter/>
          <w:docGrid w:linePitch="360"/>
        </w:sectPr>
      </w:pPr>
    </w:p>
    <w:p w:rsidR="00CB1751" w:rsidRPr="009151B0" w:rsidRDefault="00CB1751"/>
    <w:p w:rsidR="00CB1751" w:rsidRPr="009151B0" w:rsidRDefault="00CB1751"/>
    <w:sectPr w:rsidR="00CB1751" w:rsidRPr="009151B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737" w:right="4876" w:bottom="4508" w:left="1134" w:header="227" w:footer="22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1751" w:rsidRPr="009151B0" w:rsidRDefault="00CB1751">
      <w:r w:rsidRPr="009151B0">
        <w:separator/>
      </w:r>
    </w:p>
  </w:endnote>
  <w:endnote w:type="continuationSeparator" w:id="0">
    <w:p w:rsidR="00CB1751" w:rsidRPr="009151B0" w:rsidRDefault="00CB1751">
      <w:r w:rsidRPr="009151B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1751" w:rsidRPr="009151B0" w:rsidRDefault="00CB175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1751" w:rsidRPr="009151B0" w:rsidRDefault="00CB175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1751" w:rsidRPr="009151B0" w:rsidRDefault="00CB1751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1751" w:rsidRPr="009151B0" w:rsidRDefault="00CB1751">
    <w:pPr>
      <w:pStyle w:val="Sidfo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1751" w:rsidRPr="009151B0" w:rsidRDefault="00CB1751">
    <w:pPr>
      <w:pStyle w:val="SidfotH"/>
      <w:framePr w:wrap="around"/>
    </w:pPr>
    <w:r w:rsidRPr="009151B0">
      <w:fldChar w:fldCharType="begin" w:fldLock="1"/>
    </w:r>
    <w:r w:rsidRPr="009151B0">
      <w:instrText xml:space="preserve"> PAGE </w:instrText>
    </w:r>
    <w:r w:rsidRPr="009151B0">
      <w:fldChar w:fldCharType="separate"/>
    </w:r>
    <w:r w:rsidRPr="009151B0">
      <w:t>6</w:t>
    </w:r>
    <w:r w:rsidRPr="009151B0">
      <w:fldChar w:fldCharType="end"/>
    </w:r>
  </w:p>
  <w:p w:rsidR="00CB1751" w:rsidRPr="009151B0" w:rsidRDefault="00CB1751">
    <w:pPr>
      <w:pStyle w:val="Sidfo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1751" w:rsidRPr="009151B0" w:rsidRDefault="00CB1751">
    <w:pPr>
      <w:pStyle w:val="SidfotH"/>
      <w:framePr w:wrap="around"/>
    </w:pPr>
    <w:r w:rsidRPr="009151B0">
      <w:fldChar w:fldCharType="begin" w:fldLock="1"/>
    </w:r>
    <w:r w:rsidRPr="009151B0">
      <w:instrText xml:space="preserve"> PAGE </w:instrText>
    </w:r>
    <w:r w:rsidRPr="009151B0">
      <w:fldChar w:fldCharType="separate"/>
    </w:r>
    <w:r w:rsidRPr="009151B0">
      <w:t>7</w:t>
    </w:r>
    <w:r w:rsidRPr="009151B0">
      <w:fldChar w:fldCharType="end"/>
    </w:r>
  </w:p>
  <w:p w:rsidR="00CB1751" w:rsidRPr="009151B0" w:rsidRDefault="00CB175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1751" w:rsidRPr="009151B0" w:rsidRDefault="00CB1751">
      <w:r w:rsidRPr="009151B0">
        <w:separator/>
      </w:r>
    </w:p>
  </w:footnote>
  <w:footnote w:type="continuationSeparator" w:id="0">
    <w:p w:rsidR="00CB1751" w:rsidRPr="009151B0" w:rsidRDefault="00CB1751">
      <w:r w:rsidRPr="009151B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1751" w:rsidRPr="009151B0" w:rsidRDefault="00CB175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1751" w:rsidRPr="009151B0" w:rsidRDefault="00CB175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1751" w:rsidRPr="009151B0" w:rsidRDefault="00CB1751">
    <w:pPr>
      <w:pStyle w:val="Sidhuvu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1751" w:rsidRPr="009151B0" w:rsidRDefault="00CB1751">
    <w:pPr>
      <w:pStyle w:val="Sidhuvud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1751" w:rsidRPr="009151B0" w:rsidRDefault="00CB1751">
    <w:pPr>
      <w:pStyle w:val="Kantrubrik"/>
      <w:framePr w:h="1157" w:hRule="exact" w:wrap="around" w:y="738"/>
    </w:pPr>
    <w:r w:rsidRPr="009151B0">
      <w:fldChar w:fldCharType="begin" w:fldLock="1"/>
    </w:r>
    <w:r w:rsidRPr="009151B0">
      <w:instrText xml:space="preserve"> DOCPROPERTY Ar</w:instrText>
    </w:r>
    <w:r w:rsidRPr="009151B0">
      <w:fldChar w:fldCharType="separate"/>
    </w:r>
    <w:r w:rsidRPr="009151B0">
      <w:t>2010/11</w:t>
    </w:r>
    <w:r w:rsidRPr="009151B0">
      <w:fldChar w:fldCharType="end"/>
    </w:r>
    <w:r w:rsidRPr="009151B0">
      <w:t>:</w:t>
    </w:r>
    <w:r w:rsidRPr="009151B0">
      <w:fldChar w:fldCharType="begin" w:fldLock="1"/>
    </w:r>
    <w:r w:rsidRPr="009151B0">
      <w:instrText xml:space="preserve"> DOCPROPERTY Typ</w:instrText>
    </w:r>
    <w:r w:rsidRPr="009151B0">
      <w:fldChar w:fldCharType="separate"/>
    </w:r>
    <w:r w:rsidRPr="009151B0">
      <w:t>FPM</w:t>
    </w:r>
    <w:r w:rsidRPr="009151B0">
      <w:fldChar w:fldCharType="end"/>
    </w:r>
    <w:r w:rsidRPr="009151B0">
      <w:fldChar w:fldCharType="begin" w:fldLock="1"/>
    </w:r>
    <w:r w:rsidRPr="009151B0">
      <w:instrText xml:space="preserve"> DOCPROPERTY Nr</w:instrText>
    </w:r>
    <w:r w:rsidRPr="009151B0">
      <w:fldChar w:fldCharType="separate"/>
    </w:r>
    <w:r w:rsidRPr="009151B0">
      <w:t>121</w:t>
    </w:r>
    <w:r w:rsidRPr="009151B0">
      <w:fldChar w:fldCharType="end"/>
    </w:r>
  </w:p>
  <w:p w:rsidR="00CB1751" w:rsidRPr="009151B0" w:rsidRDefault="00CB1751">
    <w:pPr>
      <w:pStyle w:val="Sidhuvud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1751" w:rsidRPr="009151B0" w:rsidRDefault="009151B0">
    <w:pPr>
      <w:pStyle w:val="Sidhuvud"/>
    </w:pPr>
    <w:r w:rsidRPr="009151B0">
      <w:rPr>
        <w:noProof/>
        <w:sz w:val="20"/>
        <w:lang w:eastAsia="en-US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4464685</wp:posOffset>
              </wp:positionH>
              <wp:positionV relativeFrom="page">
                <wp:posOffset>274320</wp:posOffset>
              </wp:positionV>
              <wp:extent cx="533400" cy="981075"/>
              <wp:effectExtent l="0" t="0" r="0" b="0"/>
              <wp:wrapNone/>
              <wp:docPr id="155303869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400" cy="981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1751" w:rsidRDefault="00CB1751">
                          <w:pPr>
                            <w:pStyle w:val="Logo"/>
                          </w:pPr>
                          <w:r>
                            <w:object w:dxaOrig="840" w:dyaOrig="1545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5" type="#_x0000_t75" style="width:42pt;height:77.15pt" filled="t">
                                <v:imagedata r:id="rId1" o:title=""/>
                              </v:shape>
                              <o:OLEObject Type="Embed" ProgID="Word.Picture.8" ShapeID="_x0000_i1025" DrawAspect="Content" ObjectID="_1827521093" r:id="rId2"/>
                            </w:objec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51.55pt;margin-top:21.6pt;width:42pt;height:77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" o:allowincell="f" stroked="f">
              <v:textbox inset="0,0,0,0">
                <w:txbxContent>
                  <w:p w:rsidR="00CB1751" w:rsidRDefault="00CB1751">
                    <w:pPr>
                      <w:pStyle w:val="Logo"/>
                    </w:pPr>
                    <w:r>
                      <w:object w:dxaOrig="840" w:dyaOrig="1545">
                        <v:shape id="_x0000_i1025" type="#_x0000_t75" style="width:42pt;height:77.15pt" filled="t">
                          <v:imagedata r:id="rId1" o:title=""/>
                        </v:shape>
                        <o:OLEObject Type="Embed" ProgID="Word.Picture.8" ShapeID="_x0000_i1025" DrawAspect="Content" ObjectID="_1827521093" r:id="rId3"/>
                      </w:objec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56903ED0"/>
    <w:lvl w:ilvl="0">
      <w:start w:val="1"/>
      <w:numFmt w:val="decimal"/>
      <w:pStyle w:val="Rubrik1"/>
      <w:isLgl/>
      <w:lvlText w:val="%1"/>
      <w:lvlJc w:val="left"/>
      <w:pPr>
        <w:tabs>
          <w:tab w:val="num" w:pos="624"/>
        </w:tabs>
        <w:ind w:left="624" w:hanging="624"/>
      </w:pPr>
    </w:lvl>
    <w:lvl w:ilvl="1">
      <w:start w:val="1"/>
      <w:numFmt w:val="decimal"/>
      <w:pStyle w:val="Rubrik2"/>
      <w:isLgl/>
      <w:lvlText w:val="%1.%2"/>
      <w:lvlJc w:val="left"/>
      <w:pPr>
        <w:tabs>
          <w:tab w:val="num" w:pos="624"/>
        </w:tabs>
        <w:ind w:left="624" w:hanging="624"/>
      </w:pPr>
    </w:lvl>
    <w:lvl w:ilvl="2">
      <w:start w:val="1"/>
      <w:numFmt w:val="decimal"/>
      <w:pStyle w:val="Rubrik3"/>
      <w:isLgl/>
      <w:lvlText w:val="%1.%2.%3"/>
      <w:lvlJc w:val="left"/>
      <w:pPr>
        <w:tabs>
          <w:tab w:val="num" w:pos="624"/>
        </w:tabs>
        <w:ind w:left="624" w:hanging="624"/>
      </w:pPr>
    </w:lvl>
    <w:lvl w:ilvl="3">
      <w:start w:val="1"/>
      <w:numFmt w:val="decimal"/>
      <w:pStyle w:val="Rubri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2C570C7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B490665"/>
    <w:multiLevelType w:val="hybridMultilevel"/>
    <w:tmpl w:val="72A808FC"/>
    <w:lvl w:ilvl="0" w:tplc="02141722">
      <w:start w:val="1"/>
      <w:numFmt w:val="bullet"/>
      <w:lvlRestart w:val="0"/>
      <w:pStyle w:val="Punktlista"/>
      <w:lvlText w:val=""/>
      <w:lvlJc w:val="left"/>
      <w:pPr>
        <w:tabs>
          <w:tab w:val="num" w:pos="-723"/>
        </w:tabs>
        <w:ind w:left="-723" w:hanging="35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5042469A"/>
    <w:multiLevelType w:val="singleLevel"/>
    <w:tmpl w:val="85EC3E8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5E25BA7"/>
    <w:multiLevelType w:val="singleLevel"/>
    <w:tmpl w:val="85EC3E8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7001E68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B9D1B34"/>
    <w:multiLevelType w:val="hybridMultilevel"/>
    <w:tmpl w:val="AF921E02"/>
    <w:lvl w:ilvl="0" w:tplc="041D000F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7" w15:restartNumberingAfterBreak="0">
    <w:nsid w:val="7C2147B4"/>
    <w:multiLevelType w:val="multilevel"/>
    <w:tmpl w:val="95C8C2EE"/>
    <w:lvl w:ilvl="0">
      <w:start w:val="1"/>
      <w:numFmt w:val="decimal"/>
      <w:suff w:val="space"/>
      <w:lvlText w:val="%1"/>
      <w:lvlJc w:val="left"/>
      <w:pPr>
        <w:ind w:left="0" w:firstLine="0"/>
      </w:pPr>
    </w:lvl>
    <w:lvl w:ilvl="1">
      <w:start w:val="1"/>
      <w:numFmt w:val="decimal"/>
      <w:suff w:val="space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218862085">
    <w:abstractNumId w:val="5"/>
  </w:num>
  <w:num w:numId="2" w16cid:durableId="56827675">
    <w:abstractNumId w:val="1"/>
  </w:num>
  <w:num w:numId="3" w16cid:durableId="2003506281">
    <w:abstractNumId w:val="3"/>
  </w:num>
  <w:num w:numId="4" w16cid:durableId="875582552">
    <w:abstractNumId w:val="4"/>
  </w:num>
  <w:num w:numId="5" w16cid:durableId="2021736430">
    <w:abstractNumId w:val="7"/>
  </w:num>
  <w:num w:numId="6" w16cid:durableId="1176725913">
    <w:abstractNumId w:val="0"/>
  </w:num>
  <w:num w:numId="7" w16cid:durableId="1822380905">
    <w:abstractNumId w:val="2"/>
  </w:num>
  <w:num w:numId="8" w16cid:durableId="8460949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ctiveWritingStyle w:appName="MSWord" w:lang="sv-SE" w:vendorID="0" w:dllVersion="512" w:checkStyle="1"/>
  <w:activeWritingStyle w:appName="MSWord" w:lang="sv-SE" w:vendorID="666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nkDat" w:val="2011-06-15"/>
    <w:docVar w:name="Ar" w:val="2010/11"/>
    <w:docVar w:name="Dep" w:val="Utrikesdepartementet"/>
    <w:docVar w:name="DepWeb" w:val="Utrikesdepartementet"/>
    <w:docVar w:name="GDB1" w:val="KOM (2011) 241"/>
    <w:docVar w:name="GDB10" w:val=" "/>
    <w:docVar w:name="GDB11" w:val=" "/>
    <w:docVar w:name="GDB12" w:val=" "/>
    <w:docVar w:name="GDB13" w:val=" "/>
    <w:docVar w:name="GDB2" w:val=" "/>
    <w:docVar w:name="GDB3" w:val=" "/>
    <w:docVar w:name="GDB4" w:val=" "/>
    <w:docVar w:name="GDB5" w:val=" "/>
    <w:docVar w:name="GDB6" w:val=" "/>
    <w:docVar w:name="GDB7" w:val=" "/>
    <w:docVar w:name="GDB8" w:val=" "/>
    <w:docVar w:name="GDB9" w:val=" "/>
    <w:docVar w:name="GDT1" w:val="Förslag till Europaparlamentets och rådets förordning om tillämpning av Allmänna preferenssystemet"/>
    <w:docVar w:name="GDT10" w:val=" "/>
    <w:docVar w:name="GDT11" w:val=" "/>
    <w:docVar w:name="GDT12" w:val=" "/>
    <w:docVar w:name="GDT13" w:val=" "/>
    <w:docVar w:name="GDT2" w:val=" "/>
    <w:docVar w:name="GDT3" w:val=" "/>
    <w:docVar w:name="GDT4" w:val=" "/>
    <w:docVar w:name="GDT5" w:val=" "/>
    <w:docVar w:name="GDT6" w:val=" "/>
    <w:docVar w:name="GDT7" w:val=" "/>
    <w:docVar w:name="GDT8" w:val=" "/>
    <w:docVar w:name="GDT9" w:val=" "/>
    <w:docVar w:name="GDTWeb" w:val="KOM (2011) 241"/>
    <w:docVar w:name="Nr" w:val="121"/>
    <w:docVar w:name="RD_APPVERSION" w:val="3.00"/>
    <w:docVar w:name="Rub" w:val="EU:s system för tullsänkningar för utvecklingsländer"/>
    <w:docVar w:name="UppDat" w:val="2011-06-15"/>
    <w:docVar w:name="Utsk" w:val="Utrikesutskottet"/>
  </w:docVars>
  <w:rsids>
    <w:rsidRoot w:val="003801E5"/>
    <w:rsid w:val="003801E5"/>
    <w:rsid w:val="009151B0"/>
    <w:rsid w:val="00CB1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55A92F1-848E-45E3-BA7F-EFB707977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Normaltindrag"/>
    <w:qFormat/>
    <w:pPr>
      <w:spacing w:before="122" w:line="245" w:lineRule="exac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numPr>
        <w:numId w:val="6"/>
      </w:numPr>
      <w:suppressAutoHyphens/>
      <w:spacing w:before="313" w:line="300" w:lineRule="exact"/>
      <w:jc w:val="left"/>
      <w:outlineLvl w:val="0"/>
    </w:pPr>
    <w:rPr>
      <w:sz w:val="28"/>
    </w:rPr>
  </w:style>
  <w:style w:type="paragraph" w:styleId="Rubrik2">
    <w:name w:val="heading 2"/>
    <w:basedOn w:val="Rubrik1"/>
    <w:next w:val="Normal"/>
    <w:qFormat/>
    <w:pPr>
      <w:numPr>
        <w:ilvl w:val="1"/>
      </w:numPr>
      <w:spacing w:before="360" w:line="256" w:lineRule="exact"/>
      <w:outlineLvl w:val="1"/>
    </w:pPr>
    <w:rPr>
      <w:sz w:val="24"/>
    </w:rPr>
  </w:style>
  <w:style w:type="paragraph" w:styleId="Rubrik3">
    <w:name w:val="heading 3"/>
    <w:basedOn w:val="Rubrik1"/>
    <w:next w:val="Normal"/>
    <w:qFormat/>
    <w:pPr>
      <w:numPr>
        <w:ilvl w:val="2"/>
      </w:numPr>
      <w:spacing w:before="398" w:line="214" w:lineRule="exact"/>
      <w:outlineLvl w:val="2"/>
    </w:pPr>
    <w:rPr>
      <w:b/>
      <w:sz w:val="19"/>
    </w:rPr>
  </w:style>
  <w:style w:type="paragraph" w:styleId="Rubrik4">
    <w:name w:val="heading 4"/>
    <w:basedOn w:val="Rubrik3"/>
    <w:next w:val="Normal"/>
    <w:qFormat/>
    <w:pPr>
      <w:numPr>
        <w:ilvl w:val="3"/>
      </w:numPr>
      <w:outlineLvl w:val="3"/>
    </w:pPr>
    <w:rPr>
      <w:b w:val="0"/>
      <w:i/>
    </w:rPr>
  </w:style>
  <w:style w:type="paragraph" w:styleId="Rubrik5">
    <w:name w:val="heading 5"/>
    <w:basedOn w:val="Rubrik3"/>
    <w:next w:val="Normal"/>
    <w:qFormat/>
    <w:pPr>
      <w:outlineLvl w:val="4"/>
    </w:pPr>
    <w:rPr>
      <w:b w:val="0"/>
    </w:rPr>
  </w:style>
  <w:style w:type="paragraph" w:styleId="Rubrik6">
    <w:name w:val="heading 6"/>
    <w:basedOn w:val="Normal"/>
    <w:next w:val="Normal"/>
    <w:qFormat/>
    <w:pPr>
      <w:keepNext/>
      <w:spacing w:before="240" w:after="60"/>
      <w:outlineLvl w:val="5"/>
    </w:pPr>
    <w:rPr>
      <w:sz w:val="16"/>
    </w:rPr>
  </w:style>
  <w:style w:type="paragraph" w:styleId="Rubrik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Rubrik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basedOn w:val="Normal"/>
    <w:pPr>
      <w:spacing w:before="0"/>
      <w:ind w:firstLine="170"/>
    </w:pPr>
  </w:style>
  <w:style w:type="paragraph" w:customStyle="1" w:styleId="BetRubrik">
    <w:name w:val="BetRubrik"/>
    <w:basedOn w:val="Rubrik1"/>
    <w:pPr>
      <w:numPr>
        <w:numId w:val="0"/>
      </w:numPr>
      <w:spacing w:line="480" w:lineRule="exact"/>
      <w:ind w:left="624" w:hanging="624"/>
      <w:outlineLvl w:val="9"/>
    </w:pPr>
    <w:rPr>
      <w:sz w:val="36"/>
    </w:rPr>
  </w:style>
  <w:style w:type="paragraph" w:styleId="Citat">
    <w:name w:val="Quote"/>
    <w:basedOn w:val="Normal"/>
    <w:next w:val="Normal"/>
    <w:qFormat/>
    <w:pPr>
      <w:spacing w:before="125" w:line="214" w:lineRule="exact"/>
    </w:pPr>
  </w:style>
  <w:style w:type="paragraph" w:customStyle="1" w:styleId="CitatIndrag">
    <w:name w:val="CitatIndrag"/>
    <w:basedOn w:val="Citat"/>
    <w:pPr>
      <w:spacing w:before="0"/>
      <w:ind w:firstLine="170"/>
    </w:pPr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styleId="Fotnotstext">
    <w:name w:val="footnote text"/>
    <w:basedOn w:val="Normal"/>
    <w:semiHidden/>
    <w:pPr>
      <w:spacing w:line="170" w:lineRule="exact"/>
    </w:pPr>
    <w:rPr>
      <w:sz w:val="17"/>
    </w:rPr>
  </w:style>
  <w:style w:type="paragraph" w:customStyle="1" w:styleId="HuvudRubrik">
    <w:name w:val="HuvudRubrik"/>
    <w:basedOn w:val="Normal"/>
    <w:pPr>
      <w:suppressAutoHyphens/>
      <w:spacing w:before="0" w:line="400" w:lineRule="exact"/>
      <w:jc w:val="left"/>
    </w:pPr>
    <w:rPr>
      <w:sz w:val="36"/>
    </w:rPr>
  </w:style>
  <w:style w:type="paragraph" w:customStyle="1" w:styleId="HuvudRubrikRad2">
    <w:name w:val="HuvudRubrikRad2"/>
    <w:basedOn w:val="HuvudRubrik"/>
  </w:style>
  <w:style w:type="paragraph" w:customStyle="1" w:styleId="Innehll">
    <w:name w:val="Innehåll"/>
    <w:basedOn w:val="Rubrik1"/>
    <w:next w:val="Normal"/>
    <w:pPr>
      <w:numPr>
        <w:numId w:val="0"/>
      </w:numPr>
      <w:spacing w:before="0" w:after="245"/>
      <w:ind w:left="624" w:hanging="624"/>
      <w:outlineLvl w:val="9"/>
    </w:pPr>
  </w:style>
  <w:style w:type="paragraph" w:styleId="Innehll1">
    <w:name w:val="toc 1"/>
    <w:basedOn w:val="Normal"/>
    <w:autoRedefine/>
    <w:semiHidden/>
    <w:pPr>
      <w:tabs>
        <w:tab w:val="right" w:leader="dot" w:pos="5670"/>
      </w:tabs>
      <w:spacing w:before="0"/>
      <w:ind w:right="567"/>
    </w:pPr>
  </w:style>
  <w:style w:type="paragraph" w:styleId="Innehll2">
    <w:name w:val="toc 2"/>
    <w:basedOn w:val="Innehll1"/>
    <w:autoRedefine/>
    <w:semiHidden/>
    <w:pPr>
      <w:ind w:left="227"/>
    </w:pPr>
  </w:style>
  <w:style w:type="paragraph" w:styleId="Innehll3">
    <w:name w:val="toc 3"/>
    <w:basedOn w:val="Innehll1"/>
    <w:autoRedefine/>
    <w:semiHidden/>
    <w:pPr>
      <w:ind w:left="454" w:right="680"/>
    </w:pPr>
  </w:style>
  <w:style w:type="paragraph" w:styleId="Innehll4">
    <w:name w:val="toc 4"/>
    <w:basedOn w:val="Innehll1"/>
    <w:autoRedefine/>
    <w:semiHidden/>
    <w:pPr>
      <w:ind w:left="680"/>
    </w:pPr>
  </w:style>
  <w:style w:type="paragraph" w:styleId="Innehll5">
    <w:name w:val="toc 5"/>
    <w:basedOn w:val="Innehll4"/>
    <w:next w:val="Normal"/>
    <w:autoRedefine/>
    <w:semiHidden/>
    <w:pPr>
      <w:ind w:left="907"/>
    </w:pPr>
  </w:style>
  <w:style w:type="paragraph" w:styleId="Innehll6">
    <w:name w:val="toc 6"/>
    <w:basedOn w:val="Innehll5"/>
    <w:next w:val="Normal"/>
    <w:autoRedefine/>
    <w:semiHidden/>
    <w:pPr>
      <w:ind w:left="1134"/>
    </w:pPr>
  </w:style>
  <w:style w:type="paragraph" w:styleId="Innehll7">
    <w:name w:val="toc 7"/>
    <w:basedOn w:val="Innehll6"/>
    <w:next w:val="Normal"/>
    <w:autoRedefine/>
    <w:semiHidden/>
    <w:pPr>
      <w:ind w:left="1361"/>
    </w:pPr>
  </w:style>
  <w:style w:type="paragraph" w:styleId="Innehll8">
    <w:name w:val="toc 8"/>
    <w:basedOn w:val="Innehll7"/>
    <w:next w:val="Normal"/>
    <w:autoRedefine/>
    <w:semiHidden/>
    <w:pPr>
      <w:ind w:left="1588"/>
    </w:pPr>
  </w:style>
  <w:style w:type="paragraph" w:styleId="Innehll9">
    <w:name w:val="toc 9"/>
    <w:basedOn w:val="Normal"/>
    <w:next w:val="Normal"/>
    <w:autoRedefine/>
    <w:semiHidden/>
    <w:pPr>
      <w:tabs>
        <w:tab w:val="right" w:leader="dot" w:pos="5896"/>
      </w:tabs>
      <w:ind w:left="1814"/>
    </w:pPr>
  </w:style>
  <w:style w:type="paragraph" w:customStyle="1" w:styleId="Kantrubrik">
    <w:name w:val="Kantrubrik"/>
    <w:basedOn w:val="Normal"/>
    <w:pPr>
      <w:framePr w:w="1758" w:h="1159" w:hRule="exact" w:wrap="around" w:vAnchor="page" w:hAnchor="page" w:x="7372" w:y="568"/>
      <w:spacing w:before="0"/>
    </w:pPr>
    <w:rPr>
      <w:sz w:val="21"/>
    </w:rPr>
  </w:style>
  <w:style w:type="character" w:styleId="Kommentarsreferens">
    <w:name w:val="annotation reference"/>
    <w:basedOn w:val="Standardstycketeckensnitt"/>
    <w:semiHidden/>
    <w:rPr>
      <w:sz w:val="16"/>
    </w:rPr>
  </w:style>
  <w:style w:type="paragraph" w:customStyle="1" w:styleId="Logo">
    <w:name w:val="Logo"/>
    <w:basedOn w:val="Normal"/>
    <w:pPr>
      <w:spacing w:before="0" w:line="240" w:lineRule="auto"/>
      <w:jc w:val="left"/>
    </w:pPr>
  </w:style>
  <w:style w:type="paragraph" w:styleId="Makrotext">
    <w:name w:val="macro"/>
    <w:semiHidden/>
    <w:pPr>
      <w:tabs>
        <w:tab w:val="left" w:pos="170"/>
        <w:tab w:val="left" w:pos="340"/>
        <w:tab w:val="left" w:pos="510"/>
        <w:tab w:val="left" w:pos="680"/>
        <w:tab w:val="left" w:pos="851"/>
        <w:tab w:val="left" w:pos="1021"/>
        <w:tab w:val="left" w:pos="1191"/>
        <w:tab w:val="left" w:pos="1361"/>
        <w:tab w:val="left" w:pos="1531"/>
        <w:tab w:val="left" w:pos="1701"/>
      </w:tabs>
      <w:spacing w:line="0" w:lineRule="atLeast"/>
      <w:jc w:val="both"/>
    </w:pPr>
    <w:rPr>
      <w:rFonts w:ascii="Arial" w:hAnsi="Arial"/>
      <w:lang w:val="sv-SE" w:eastAsia="sv-SE"/>
    </w:rPr>
  </w:style>
  <w:style w:type="paragraph" w:customStyle="1" w:styleId="NormalRam">
    <w:name w:val="NormalRam"/>
    <w:basedOn w:val="Normal"/>
    <w:pPr>
      <w:framePr w:hSpace="142" w:wrap="around" w:vAnchor="page" w:hAnchor="text" w:y="1" w:anchorLock="1"/>
    </w:pPr>
  </w:style>
  <w:style w:type="paragraph" w:styleId="Sidfot">
    <w:name w:val="footer"/>
    <w:basedOn w:val="Normal"/>
    <w:pPr>
      <w:tabs>
        <w:tab w:val="center" w:pos="4703"/>
        <w:tab w:val="right" w:pos="9406"/>
      </w:tabs>
    </w:pPr>
  </w:style>
  <w:style w:type="paragraph" w:styleId="Sidhuvud">
    <w:name w:val="header"/>
    <w:basedOn w:val="Normal"/>
    <w:pPr>
      <w:tabs>
        <w:tab w:val="center" w:pos="4252"/>
        <w:tab w:val="right" w:pos="8504"/>
      </w:tabs>
      <w:spacing w:before="0"/>
      <w:ind w:left="-851"/>
      <w:jc w:val="left"/>
    </w:pPr>
  </w:style>
  <w:style w:type="paragraph" w:customStyle="1" w:styleId="SidfotH">
    <w:name w:val="SidfotH"/>
    <w:basedOn w:val="Normal"/>
    <w:pPr>
      <w:framePr w:w="567" w:hSpace="142" w:vSpace="142" w:wrap="around" w:vAnchor="page" w:hAnchor="page" w:x="8223" w:y="12475" w:anchorLock="1"/>
      <w:tabs>
        <w:tab w:val="center" w:pos="4252"/>
        <w:tab w:val="right" w:pos="8504"/>
      </w:tabs>
      <w:spacing w:before="0" w:line="240" w:lineRule="auto"/>
      <w:jc w:val="right"/>
    </w:pPr>
    <w:rPr>
      <w:sz w:val="18"/>
    </w:rPr>
  </w:style>
  <w:style w:type="paragraph" w:customStyle="1" w:styleId="SidfotV">
    <w:name w:val="SidfotV"/>
    <w:basedOn w:val="SidfotH"/>
    <w:pPr>
      <w:framePr w:wrap="around" w:xAlign="inside"/>
    </w:pPr>
  </w:style>
  <w:style w:type="paragraph" w:customStyle="1" w:styleId="SidhuvudKant">
    <w:name w:val="SidhuvudKant"/>
    <w:basedOn w:val="Sidhuvud"/>
    <w:pPr>
      <w:ind w:left="0"/>
    </w:pPr>
    <w:rPr>
      <w:sz w:val="21"/>
    </w:rPr>
  </w:style>
  <w:style w:type="paragraph" w:customStyle="1" w:styleId="SidhuvudKantBilaga">
    <w:name w:val="SidhuvudKantBilaga"/>
    <w:basedOn w:val="SidhuvudKant"/>
  </w:style>
  <w:style w:type="character" w:styleId="Sidnummer">
    <w:name w:val="page number"/>
    <w:basedOn w:val="Standardstycketeckensnitt"/>
    <w:rPr>
      <w:rFonts w:ascii="Times New Roman" w:hAnsi="Times New Roman"/>
      <w:sz w:val="19"/>
    </w:rPr>
  </w:style>
  <w:style w:type="paragraph" w:customStyle="1" w:styleId="Tryckort">
    <w:name w:val="Tryckort"/>
    <w:basedOn w:val="Normal"/>
    <w:pPr>
      <w:framePr w:wrap="around" w:hAnchor="text" w:yAlign="bottom"/>
      <w:spacing w:before="0" w:line="160" w:lineRule="exact"/>
    </w:pPr>
    <w:rPr>
      <w:sz w:val="16"/>
    </w:rPr>
  </w:style>
  <w:style w:type="paragraph" w:customStyle="1" w:styleId="Dokumentbeteckning-titel">
    <w:name w:val="Dokumentbeteckning - titel"/>
    <w:basedOn w:val="Normal"/>
    <w:pPr>
      <w:spacing w:before="0"/>
    </w:pPr>
  </w:style>
  <w:style w:type="paragraph" w:customStyle="1" w:styleId="Dokumentdatum">
    <w:name w:val="Dokumentdatum"/>
    <w:basedOn w:val="Normal"/>
    <w:pPr>
      <w:spacing w:before="240" w:line="240" w:lineRule="auto"/>
      <w:jc w:val="left"/>
    </w:pPr>
    <w:rPr>
      <w:sz w:val="24"/>
    </w:rPr>
  </w:style>
  <w:style w:type="paragraph" w:customStyle="1" w:styleId="Dokumentbeteckning">
    <w:name w:val="Dokumentbeteckning"/>
    <w:basedOn w:val="HuvudRubrik"/>
    <w:rPr>
      <w:sz w:val="28"/>
    </w:rPr>
  </w:style>
  <w:style w:type="paragraph" w:customStyle="1" w:styleId="Departement">
    <w:name w:val="Departement"/>
    <w:basedOn w:val="Normal"/>
    <w:pPr>
      <w:suppressAutoHyphens/>
      <w:spacing w:before="160" w:line="240" w:lineRule="auto"/>
      <w:jc w:val="left"/>
    </w:pPr>
    <w:rPr>
      <w:sz w:val="26"/>
    </w:rPr>
  </w:style>
  <w:style w:type="paragraph" w:customStyle="1" w:styleId="BetUnderLogga">
    <w:name w:val="BetUnderLogga"/>
    <w:basedOn w:val="Normal"/>
    <w:pPr>
      <w:spacing w:before="0" w:line="360" w:lineRule="atLeast"/>
      <w:jc w:val="left"/>
    </w:pPr>
    <w:rPr>
      <w:sz w:val="22"/>
    </w:rPr>
  </w:style>
  <w:style w:type="paragraph" w:styleId="Kommentarer">
    <w:name w:val="annotation text"/>
    <w:basedOn w:val="Normal"/>
    <w:semiHidden/>
    <w:pPr>
      <w:jc w:val="left"/>
    </w:pPr>
    <w:rPr>
      <w:sz w:val="20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Ballongtext1">
    <w:name w:val="Ballongtext1"/>
    <w:basedOn w:val="Normal"/>
    <w:semiHidden/>
    <w:rPr>
      <w:rFonts w:ascii="Tahoma" w:hAnsi="Tahoma" w:cs="Tahoma"/>
      <w:sz w:val="16"/>
      <w:szCs w:val="16"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Kommentarsmne">
    <w:name w:val="annotation subject"/>
    <w:basedOn w:val="Kommentarer"/>
    <w:next w:val="Kommentarer"/>
    <w:semiHidden/>
    <w:pPr>
      <w:jc w:val="both"/>
    </w:pPr>
    <w:rPr>
      <w:b/>
      <w:bCs/>
    </w:rPr>
  </w:style>
  <w:style w:type="paragraph" w:customStyle="1" w:styleId="Brdtext1">
    <w:name w:val="Brödtext1"/>
    <w:basedOn w:val="Normal"/>
    <w:link w:val="Brdtext1Char"/>
    <w:pPr>
      <w:spacing w:before="0" w:line="320" w:lineRule="exact"/>
      <w:jc w:val="left"/>
    </w:pPr>
    <w:rPr>
      <w:rFonts w:ascii="OrigGarmnd BT" w:hAnsi="OrigGarmnd BT"/>
      <w:sz w:val="24"/>
      <w:lang w:eastAsia="en-US"/>
    </w:rPr>
  </w:style>
  <w:style w:type="character" w:customStyle="1" w:styleId="Brdtext1Char">
    <w:name w:val="Brödtext1 Char"/>
    <w:basedOn w:val="Standardstycketeckensnitt"/>
    <w:link w:val="Brdtext1"/>
    <w:rPr>
      <w:rFonts w:ascii="OrigGarmnd BT" w:hAnsi="OrigGarmnd BT"/>
      <w:sz w:val="24"/>
      <w:lang w:val="sv-SE" w:eastAsia="en-US" w:bidi="ar-SA"/>
    </w:rPr>
  </w:style>
  <w:style w:type="paragraph" w:customStyle="1" w:styleId="RKnormal">
    <w:name w:val="RKnormal"/>
    <w:basedOn w:val="Normal"/>
    <w:link w:val="RKnormalChar"/>
    <w:pPr>
      <w:tabs>
        <w:tab w:val="left" w:pos="3260"/>
      </w:tabs>
      <w:overflowPunct w:val="0"/>
      <w:autoSpaceDE w:val="0"/>
      <w:autoSpaceDN w:val="0"/>
      <w:adjustRightInd w:val="0"/>
      <w:spacing w:before="0" w:line="240" w:lineRule="auto"/>
      <w:jc w:val="left"/>
      <w:textAlignment w:val="baseline"/>
    </w:pPr>
    <w:rPr>
      <w:rFonts w:ascii="OrigGarmnd BT" w:hAnsi="OrigGarmnd BT"/>
      <w:sz w:val="24"/>
      <w:lang w:eastAsia="en-US"/>
    </w:rPr>
  </w:style>
  <w:style w:type="paragraph" w:styleId="Punktlista">
    <w:name w:val="List Bullet"/>
    <w:basedOn w:val="Normal"/>
    <w:pPr>
      <w:numPr>
        <w:numId w:val="7"/>
      </w:numPr>
      <w:spacing w:before="0" w:line="240" w:lineRule="auto"/>
      <w:jc w:val="left"/>
    </w:pPr>
    <w:rPr>
      <w:sz w:val="24"/>
      <w:szCs w:val="24"/>
      <w:lang w:val="en-GB" w:eastAsia="en-US"/>
    </w:rPr>
  </w:style>
  <w:style w:type="character" w:customStyle="1" w:styleId="RKnormalChar">
    <w:name w:val="RKnormal Char"/>
    <w:basedOn w:val="Standardstycketeckensnitt"/>
    <w:link w:val="RKnormal"/>
    <w:rPr>
      <w:rFonts w:ascii="OrigGarmnd BT" w:hAnsi="OrigGarmnd BT"/>
      <w:sz w:val="24"/>
      <w:lang w:val="sv-SE" w:eastAsia="en-US" w:bidi="ar-SA"/>
    </w:rPr>
  </w:style>
  <w:style w:type="table" w:styleId="Tabellrutnt">
    <w:name w:val="Table Grid"/>
    <w:basedOn w:val="Normaltabell"/>
    <w:rPr>
      <w:rFonts w:eastAsia="SimSun"/>
      <w:snapToGrid w:val="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6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0203aa\AppData\Roaming\Microsoft\Templates\Centralkansliet\FaktaPM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FaktaPM.dot</Template>
  <TotalTime>0</TotalTime>
  <Pages>2</Pages>
  <Words>1870</Words>
  <Characters>12346</Characters>
  <Application>Microsoft Office Word</Application>
  <DocSecurity>4</DocSecurity>
  <Lines>257</Lines>
  <Paragraphs>76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FPM_201011__121</vt:lpstr>
    </vt:vector>
  </TitlesOfParts>
  <Company>RD-DTSL</Company>
  <LinksUpToDate>false</LinksUpToDate>
  <CharactersWithSpaces>14140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FPM_201011__121</dc:title>
  <dc:subject>FPM_201011__121</dc:subject>
  <dc:creator>Riksdagen</dc:creator>
  <cp:keywords>Riksdagen</cp:keywords>
  <dc:description>KP2004-version.  Ändringarna påverkar enbart användningen inom Riksdagen. 050429 nya departement DTSL.</dc:description>
  <cp:lastModifiedBy>Lars Brink</cp:lastModifiedBy>
  <cp:revision>2</cp:revision>
  <cp:lastPrinted>2011-06-16T04:43:00Z</cp:lastPrinted>
  <dcterms:created xsi:type="dcterms:W3CDTF">2025-12-17T18:13:00Z</dcterms:created>
  <dcterms:modified xsi:type="dcterms:W3CDTF">2025-12-17T18:13:00Z</dcterms:modified>
  <cp:category>Faktapromemoria (riksdagstryck)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">
    <vt:lpwstr>FPM</vt:lpwstr>
  </property>
  <property fmtid="{D5CDD505-2E9C-101B-9397-08002B2CF9AE}" pid="3" name="Nr">
    <vt:lpwstr>121</vt:lpwstr>
  </property>
  <property fmtid="{D5CDD505-2E9C-101B-9397-08002B2CF9AE}" pid="4" name="GDB1">
    <vt:lpwstr>KOM (2011) 241</vt:lpwstr>
  </property>
  <property fmtid="{D5CDD505-2E9C-101B-9397-08002B2CF9AE}" pid="5" name="GDT1">
    <vt:lpwstr> </vt:lpwstr>
  </property>
  <property fmtid="{D5CDD505-2E9C-101B-9397-08002B2CF9AE}" pid="6" name="Dep">
    <vt:lpwstr>Utrikesdepartementet</vt:lpwstr>
  </property>
  <property fmtid="{D5CDD505-2E9C-101B-9397-08002B2CF9AE}" pid="7" name="Rub">
    <vt:lpwstr>EU:s system för tullsänkningar för utvecklingsländer</vt:lpwstr>
  </property>
  <property fmtid="{D5CDD505-2E9C-101B-9397-08002B2CF9AE}" pid="8" name="UppDat">
    <vt:lpwstr>2011-06-15</vt:lpwstr>
  </property>
  <property fmtid="{D5CDD505-2E9C-101B-9397-08002B2CF9AE}" pid="9" name="AnkDat">
    <vt:lpwstr>2011-06-15</vt:lpwstr>
  </property>
  <property fmtid="{D5CDD505-2E9C-101B-9397-08002B2CF9AE}" pid="10" name="Utsk">
    <vt:lpwstr>Utrikesutskottet</vt:lpwstr>
  </property>
  <property fmtid="{D5CDD505-2E9C-101B-9397-08002B2CF9AE}" pid="11" name="Ar">
    <vt:lpwstr>2010/11</vt:lpwstr>
  </property>
  <property fmtid="{D5CDD505-2E9C-101B-9397-08002B2CF9AE}" pid="12" name="Dokumenttyp">
    <vt:lpwstr> FaktaPM</vt:lpwstr>
  </property>
  <property fmtid="{D5CDD505-2E9C-101B-9397-08002B2CF9AE}" pid="13" name="Epostadress">
    <vt:lpwstr>jb0203aa</vt:lpwstr>
  </property>
  <property fmtid="{D5CDD505-2E9C-101B-9397-08002B2CF9AE}" pid="14" name="GDB2">
    <vt:lpwstr> </vt:lpwstr>
  </property>
  <property fmtid="{D5CDD505-2E9C-101B-9397-08002B2CF9AE}" pid="15" name="GDB3">
    <vt:lpwstr> </vt:lpwstr>
  </property>
  <property fmtid="{D5CDD505-2E9C-101B-9397-08002B2CF9AE}" pid="16" name="GDB4">
    <vt:lpwstr> </vt:lpwstr>
  </property>
  <property fmtid="{D5CDD505-2E9C-101B-9397-08002B2CF9AE}" pid="17" name="GDB5">
    <vt:lpwstr> </vt:lpwstr>
  </property>
  <property fmtid="{D5CDD505-2E9C-101B-9397-08002B2CF9AE}" pid="18" name="GDB6">
    <vt:lpwstr> </vt:lpwstr>
  </property>
  <property fmtid="{D5CDD505-2E9C-101B-9397-08002B2CF9AE}" pid="19" name="GDB7">
    <vt:lpwstr> </vt:lpwstr>
  </property>
  <property fmtid="{D5CDD505-2E9C-101B-9397-08002B2CF9AE}" pid="20" name="GDB8">
    <vt:lpwstr> </vt:lpwstr>
  </property>
  <property fmtid="{D5CDD505-2E9C-101B-9397-08002B2CF9AE}" pid="21" name="GDB9">
    <vt:lpwstr> </vt:lpwstr>
  </property>
  <property fmtid="{D5CDD505-2E9C-101B-9397-08002B2CF9AE}" pid="22" name="GDB10">
    <vt:lpwstr> </vt:lpwstr>
  </property>
  <property fmtid="{D5CDD505-2E9C-101B-9397-08002B2CF9AE}" pid="23" name="GDB11">
    <vt:lpwstr> </vt:lpwstr>
  </property>
  <property fmtid="{D5CDD505-2E9C-101B-9397-08002B2CF9AE}" pid="24" name="GDB12">
    <vt:lpwstr> </vt:lpwstr>
  </property>
  <property fmtid="{D5CDD505-2E9C-101B-9397-08002B2CF9AE}" pid="25" name="GDB13">
    <vt:lpwstr> </vt:lpwstr>
  </property>
  <property fmtid="{D5CDD505-2E9C-101B-9397-08002B2CF9AE}" pid="26" name="Statsrådsberedningen">
    <vt:lpwstr>NEJ</vt:lpwstr>
  </property>
  <property fmtid="{D5CDD505-2E9C-101B-9397-08002B2CF9AE}" pid="27" name="Justitiedepartementet">
    <vt:lpwstr>NEJ</vt:lpwstr>
  </property>
  <property fmtid="{D5CDD505-2E9C-101B-9397-08002B2CF9AE}" pid="28" name="Utrikesdepartementet">
    <vt:lpwstr>JA</vt:lpwstr>
  </property>
  <property fmtid="{D5CDD505-2E9C-101B-9397-08002B2CF9AE}" pid="29" name="Försvarsdepartementet">
    <vt:lpwstr>NEJ</vt:lpwstr>
  </property>
  <property fmtid="{D5CDD505-2E9C-101B-9397-08002B2CF9AE}" pid="30" name="Socialdepartementet">
    <vt:lpwstr>NEJ</vt:lpwstr>
  </property>
  <property fmtid="{D5CDD505-2E9C-101B-9397-08002B2CF9AE}" pid="31" name="Finansdepartementet">
    <vt:lpwstr>NEJ</vt:lpwstr>
  </property>
  <property fmtid="{D5CDD505-2E9C-101B-9397-08002B2CF9AE}" pid="32" name="Utbildningsdepartementet">
    <vt:lpwstr>NEJ</vt:lpwstr>
  </property>
  <property fmtid="{D5CDD505-2E9C-101B-9397-08002B2CF9AE}" pid="33" name="Landsbygdsdepartementet">
    <vt:lpwstr>NEJ</vt:lpwstr>
  </property>
  <property fmtid="{D5CDD505-2E9C-101B-9397-08002B2CF9AE}" pid="34" name="Miljödepartementet">
    <vt:lpwstr>NEJ</vt:lpwstr>
  </property>
  <property fmtid="{D5CDD505-2E9C-101B-9397-08002B2CF9AE}" pid="35" name="Näringsdepartementet">
    <vt:lpwstr>NEJ</vt:lpwstr>
  </property>
  <property fmtid="{D5CDD505-2E9C-101B-9397-08002B2CF9AE}" pid="36" name="Integrations- och jämställdhetsdepartementet">
    <vt:lpwstr>NEJ</vt:lpwstr>
  </property>
  <property fmtid="{D5CDD505-2E9C-101B-9397-08002B2CF9AE}" pid="37" name="Kulturdepartementet">
    <vt:lpwstr>NEJ</vt:lpwstr>
  </property>
  <property fmtid="{D5CDD505-2E9C-101B-9397-08002B2CF9AE}" pid="38" name="Arbetsmarknadsdepartementet">
    <vt:lpwstr>NEJ</vt:lpwstr>
  </property>
  <property fmtid="{D5CDD505-2E9C-101B-9397-08002B2CF9AE}" pid="39" name="Förvaltningsavdelningen">
    <vt:lpwstr>NEJ</vt:lpwstr>
  </property>
  <property fmtid="{D5CDD505-2E9C-101B-9397-08002B2CF9AE}" pid="40" name="DepID">
    <vt:lpwstr>3;0;0;224</vt:lpwstr>
  </property>
  <property fmtid="{D5CDD505-2E9C-101B-9397-08002B2CF9AE}" pid="41" name="Sprak">
    <vt:lpwstr>Svenska</vt:lpwstr>
  </property>
  <property fmtid="{D5CDD505-2E9C-101B-9397-08002B2CF9AE}" pid="42" name="DokID">
    <vt:i4>80</vt:i4>
  </property>
  <property fmtid="{D5CDD505-2E9C-101B-9397-08002B2CF9AE}" pid="43" name="ContentType">
    <vt:lpwstr>Word</vt:lpwstr>
  </property>
  <property fmtid="{D5CDD505-2E9C-101B-9397-08002B2CF9AE}" pid="44" name="RKOrdnaDepartement">
    <vt:lpwstr>Utrikesdepartementet</vt:lpwstr>
  </property>
  <property fmtid="{D5CDD505-2E9C-101B-9397-08002B2CF9AE}" pid="45" name="RKOrdnaActivityCategory">
    <vt:lpwstr>4.1. Europeiska unionen</vt:lpwstr>
  </property>
  <property fmtid="{D5CDD505-2E9C-101B-9397-08002B2CF9AE}" pid="46" name="RKOrdnaDiarienummer">
    <vt:lpwstr/>
  </property>
  <property fmtid="{D5CDD505-2E9C-101B-9397-08002B2CF9AE}" pid="47" name="RKOrdnaSearchKeywords">
    <vt:lpwstr/>
  </property>
  <property fmtid="{D5CDD505-2E9C-101B-9397-08002B2CF9AE}" pid="48" name="RKOrdnaSarskildSkyddsvard">
    <vt:lpwstr>0</vt:lpwstr>
  </property>
  <property fmtid="{D5CDD505-2E9C-101B-9397-08002B2CF9AE}" pid="49" name="Jordbruksdepartementet">
    <vt:lpwstr>NEJ</vt:lpwstr>
  </property>
</Properties>
</file>