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0A3A07" w14:paraId="628677E3" w14:textId="77777777">
        <w:tblPrEx>
          <w:tblCellMar>
            <w:top w:w="0" w:type="dxa"/>
            <w:bottom w:w="0" w:type="dxa"/>
          </w:tblCellMar>
        </w:tblPrEx>
        <w:trPr>
          <w:cantSplit/>
          <w:trHeight w:val="635"/>
        </w:trPr>
        <w:tc>
          <w:tcPr>
            <w:tcW w:w="5457" w:type="dxa"/>
            <w:gridSpan w:val="2"/>
            <w:vMerge w:val="restart"/>
            <w:tcBorders>
              <w:bottom w:val="nil"/>
            </w:tcBorders>
          </w:tcPr>
          <w:p w14:paraId="5AC516CB" w14:textId="77777777" w:rsidR="007C11E9" w:rsidRPr="000A3A07" w:rsidRDefault="007C11E9">
            <w:pPr>
              <w:pStyle w:val="HuvudRubrik"/>
              <w:rPr>
                <w:sz w:val="36"/>
              </w:rPr>
            </w:pPr>
            <w:r w:rsidRPr="000A3A07">
              <w:rPr>
                <w:sz w:val="36"/>
              </w:rPr>
              <w:t>Förslag till riksdagen</w:t>
            </w:r>
          </w:p>
          <w:p w14:paraId="56084D53" w14:textId="77777777" w:rsidR="007C11E9" w:rsidRPr="000A3A07" w:rsidRDefault="007C11E9">
            <w:pPr>
              <w:pStyle w:val="HuvudRubrik"/>
            </w:pPr>
            <w:r w:rsidRPr="000A3A07">
              <w:rPr>
                <w:sz w:val="36"/>
              </w:rPr>
              <w:t>2000/01:RR11</w:t>
            </w:r>
          </w:p>
          <w:p w14:paraId="178B525B" w14:textId="77777777" w:rsidR="007C11E9" w:rsidRPr="000A3A07" w:rsidRDefault="007C11E9">
            <w:pPr>
              <w:pStyle w:val="HuvudRubrik"/>
              <w:spacing w:line="300" w:lineRule="exact"/>
            </w:pPr>
            <w:r w:rsidRPr="000A3A07">
              <w:t xml:space="preserve">Riksdagens revisorers förslag angående </w:t>
            </w:r>
            <w:bookmarkStart w:id="0" w:name="Mittenrubrik2"/>
            <w:bookmarkEnd w:id="0"/>
            <w:r w:rsidRPr="000A3A07">
              <w:br/>
              <w:t>Nya vägar till vägar och järnvägar?</w:t>
            </w:r>
          </w:p>
        </w:tc>
        <w:tc>
          <w:tcPr>
            <w:tcW w:w="2126" w:type="dxa"/>
          </w:tcPr>
          <w:p w14:paraId="56E3216F" w14:textId="16B76D85" w:rsidR="007C11E9" w:rsidRPr="000A3A07" w:rsidRDefault="000A3A07">
            <w:pPr>
              <w:pStyle w:val="rtal"/>
              <w:spacing w:before="120"/>
              <w:ind w:left="0"/>
            </w:pPr>
            <w:r w:rsidRPr="000A3A07">
              <w:rPr>
                <w:noProof/>
              </w:rPr>
              <w:drawing>
                <wp:inline distT="0" distB="0" distL="0" distR="0" wp14:anchorId="48A9D697" wp14:editId="4548D8F1">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0A3A07" w14:paraId="6F0315F9" w14:textId="77777777">
        <w:tblPrEx>
          <w:tblCellMar>
            <w:top w:w="0" w:type="dxa"/>
            <w:bottom w:w="0" w:type="dxa"/>
          </w:tblCellMar>
        </w:tblPrEx>
        <w:trPr>
          <w:cantSplit/>
          <w:trHeight w:val="313"/>
        </w:trPr>
        <w:tc>
          <w:tcPr>
            <w:tcW w:w="5457" w:type="dxa"/>
            <w:gridSpan w:val="2"/>
            <w:vMerge/>
            <w:tcBorders>
              <w:bottom w:val="nil"/>
            </w:tcBorders>
          </w:tcPr>
          <w:p w14:paraId="5BB23420" w14:textId="77777777" w:rsidR="007C11E9" w:rsidRPr="000A3A07" w:rsidRDefault="007C11E9">
            <w:pPr>
              <w:pStyle w:val="HuvudRubrik"/>
            </w:pPr>
          </w:p>
        </w:tc>
        <w:tc>
          <w:tcPr>
            <w:tcW w:w="2126" w:type="dxa"/>
          </w:tcPr>
          <w:p w14:paraId="5E86A8B5" w14:textId="77777777" w:rsidR="007C11E9" w:rsidRPr="000A3A07" w:rsidRDefault="007C11E9">
            <w:pPr>
              <w:pStyle w:val="rtal"/>
              <w:ind w:left="0"/>
            </w:pPr>
            <w:r w:rsidRPr="000A3A07">
              <w:t>2000/01</w:t>
            </w:r>
          </w:p>
        </w:tc>
      </w:tr>
      <w:tr w:rsidR="00000000" w:rsidRPr="000A3A07" w14:paraId="4BDDFA76" w14:textId="77777777">
        <w:tblPrEx>
          <w:tblCellMar>
            <w:top w:w="0" w:type="dxa"/>
            <w:bottom w:w="0" w:type="dxa"/>
          </w:tblCellMar>
        </w:tblPrEx>
        <w:trPr>
          <w:cantSplit/>
          <w:trHeight w:val="635"/>
        </w:trPr>
        <w:tc>
          <w:tcPr>
            <w:tcW w:w="5457" w:type="dxa"/>
            <w:gridSpan w:val="2"/>
            <w:vMerge/>
            <w:tcBorders>
              <w:bottom w:val="single" w:sz="4" w:space="0" w:color="auto"/>
            </w:tcBorders>
          </w:tcPr>
          <w:p w14:paraId="646ED2B6" w14:textId="77777777" w:rsidR="007C11E9" w:rsidRPr="000A3A07" w:rsidRDefault="007C11E9">
            <w:pPr>
              <w:pStyle w:val="HuvudRubrik"/>
            </w:pPr>
          </w:p>
        </w:tc>
        <w:tc>
          <w:tcPr>
            <w:tcW w:w="2126" w:type="dxa"/>
            <w:tcBorders>
              <w:bottom w:val="single" w:sz="6" w:space="0" w:color="auto"/>
            </w:tcBorders>
          </w:tcPr>
          <w:p w14:paraId="0A9687A2" w14:textId="77777777" w:rsidR="007C11E9" w:rsidRPr="000A3A07" w:rsidRDefault="007C11E9">
            <w:pPr>
              <w:pStyle w:val="rtal"/>
              <w:ind w:left="0"/>
            </w:pPr>
            <w:r w:rsidRPr="000A3A07">
              <w:t>RR11</w:t>
            </w:r>
          </w:p>
        </w:tc>
      </w:tr>
      <w:tr w:rsidR="00000000" w:rsidRPr="000A3A07" w14:paraId="582177D8" w14:textId="77777777">
        <w:tblPrEx>
          <w:tblCellMar>
            <w:top w:w="0" w:type="dxa"/>
            <w:bottom w:w="0" w:type="dxa"/>
          </w:tblCellMar>
        </w:tblPrEx>
        <w:trPr>
          <w:cantSplit/>
          <w:trHeight w:hRule="exact" w:val="660"/>
        </w:trPr>
        <w:tc>
          <w:tcPr>
            <w:tcW w:w="3012" w:type="dxa"/>
          </w:tcPr>
          <w:p w14:paraId="1DDE6BF1" w14:textId="77777777" w:rsidR="007C11E9" w:rsidRPr="000A3A07" w:rsidRDefault="007C11E9">
            <w:pPr>
              <w:pStyle w:val="StatusSida1"/>
            </w:pPr>
          </w:p>
        </w:tc>
        <w:tc>
          <w:tcPr>
            <w:tcW w:w="2445" w:type="dxa"/>
          </w:tcPr>
          <w:p w14:paraId="78DFC5AD" w14:textId="77777777" w:rsidR="007C11E9" w:rsidRPr="000A3A07" w:rsidRDefault="007C11E9">
            <w:pPr>
              <w:pStyle w:val="UtskriftsdatumSida1"/>
              <w:rPr>
                <w:b/>
                <w:sz w:val="28"/>
              </w:rPr>
            </w:pPr>
          </w:p>
        </w:tc>
        <w:tc>
          <w:tcPr>
            <w:tcW w:w="2126" w:type="dxa"/>
          </w:tcPr>
          <w:p w14:paraId="3BAF88D7" w14:textId="77777777" w:rsidR="007C11E9" w:rsidRPr="000A3A07" w:rsidRDefault="007C11E9"/>
        </w:tc>
      </w:tr>
    </w:tbl>
    <w:p w14:paraId="16FF8E36" w14:textId="77777777" w:rsidR="007C11E9" w:rsidRPr="000A3A07" w:rsidRDefault="007C11E9">
      <w:pPr>
        <w:pStyle w:val="Rubrik1"/>
        <w:spacing w:before="360"/>
      </w:pPr>
      <w:bookmarkStart w:id="1" w:name="Textstart"/>
      <w:bookmarkStart w:id="2" w:name="_Toc504801757"/>
      <w:bookmarkStart w:id="3" w:name="_Toc506340921"/>
      <w:bookmarkEnd w:id="1"/>
      <w:r w:rsidRPr="000A3A07">
        <w:t>Revisorernas granskning</w:t>
      </w:r>
      <w:bookmarkEnd w:id="2"/>
      <w:bookmarkEnd w:id="3"/>
    </w:p>
    <w:p w14:paraId="64FF60F1" w14:textId="77777777" w:rsidR="007C11E9" w:rsidRPr="000A3A07" w:rsidRDefault="007C11E9">
      <w:r w:rsidRPr="000A3A07">
        <w:t>Riksdagens revisorer har på eget initiativ granskat väg- och järnvägsinvest</w:t>
      </w:r>
      <w:r w:rsidRPr="000A3A07">
        <w:t>e</w:t>
      </w:r>
      <w:r w:rsidRPr="000A3A07">
        <w:t>ringar som helt eller delvis finansieras på annat sätt än med anslag över statsbudgeten. Granskningen har inriktats både på de olika finansieringsfo</w:t>
      </w:r>
      <w:r w:rsidRPr="000A3A07">
        <w:t>r</w:t>
      </w:r>
      <w:r w:rsidRPr="000A3A07">
        <w:t xml:space="preserve">mer som har använts och på det samhällsekonomiska underlag som har tagits fram för beslut om väg- och järnvägsinvesteringar. </w:t>
      </w:r>
    </w:p>
    <w:p w14:paraId="3436E7A6" w14:textId="77777777" w:rsidR="007C11E9" w:rsidRPr="000A3A07" w:rsidRDefault="007C11E9">
      <w:pPr>
        <w:pStyle w:val="Normaltindrag"/>
      </w:pPr>
      <w:r w:rsidRPr="000A3A07">
        <w:t>Resultatet av revisorernas granskning har redovisats i rapporten 2000/01:5 Nya vägar till vägar och järnvägar?. I rapporten granskas olika motiv till alternativ finansiering och finansieringsformernas ekonomiska konsekvenser. I rapporte</w:t>
      </w:r>
      <w:r w:rsidRPr="000A3A07">
        <w:t>n presenteras också en granskning av kvaliteten på de samhäll</w:t>
      </w:r>
      <w:r w:rsidRPr="000A3A07">
        <w:t>s</w:t>
      </w:r>
      <w:r w:rsidRPr="000A3A07">
        <w:t>ekonomiska kalkylerna för fyra stora infrastrukturinvesteringar med altern</w:t>
      </w:r>
      <w:r w:rsidRPr="000A3A07">
        <w:t>a</w:t>
      </w:r>
      <w:r w:rsidRPr="000A3A07">
        <w:t>tiv finansiering – Arlandabanan, Botniabanan, Citytunneln och Södra länken.</w:t>
      </w:r>
    </w:p>
    <w:p w14:paraId="3961ACF0" w14:textId="77777777" w:rsidR="007C11E9" w:rsidRPr="000A3A07" w:rsidRDefault="007C11E9">
      <w:pPr>
        <w:pStyle w:val="Normaltindrag"/>
      </w:pPr>
      <w:r w:rsidRPr="000A3A07">
        <w:t>Rapporten återfinns som bilaga 1 till denna skrivelse. Rapporten har r</w:t>
      </w:r>
      <w:r w:rsidRPr="000A3A07">
        <w:t>e</w:t>
      </w:r>
      <w:r w:rsidRPr="000A3A07">
        <w:t>missbehandlats. En sammanfattning av remissvaren finns i bilaga 2. I det följande redovisar revisorerna en sammanfattning av rapporten samt sina slutgiltiga överväganden med anledning av granskningen.</w:t>
      </w:r>
    </w:p>
    <w:p w14:paraId="733440A9" w14:textId="77777777" w:rsidR="007C11E9" w:rsidRPr="000A3A07" w:rsidRDefault="007C11E9">
      <w:pPr>
        <w:pStyle w:val="Rubrik2"/>
      </w:pPr>
      <w:bookmarkStart w:id="4" w:name="_Toc504801758"/>
      <w:bookmarkStart w:id="5" w:name="_Toc506340922"/>
      <w:r w:rsidRPr="000A3A07">
        <w:t>Sammanfattning av rapporten</w:t>
      </w:r>
      <w:bookmarkEnd w:id="4"/>
      <w:bookmarkEnd w:id="5"/>
    </w:p>
    <w:p w14:paraId="36A18C8E" w14:textId="77777777" w:rsidR="007C11E9" w:rsidRPr="000A3A07" w:rsidRDefault="007C11E9">
      <w:r w:rsidRPr="000A3A07">
        <w:t>Enligt budgetlagens huvudregel ska infrastrukturinvesteringar finansieras med anslag över statsbudgeten. Det innebär att investeringarna ska betalas på en gång med statens löpande inkomster. Riksdagen har dock möjlighet att besluta att en investering, i t.ex. väg- och järnvägsinvesteringar, ska finansi</w:t>
      </w:r>
      <w:r w:rsidRPr="000A3A07">
        <w:t>e</w:t>
      </w:r>
      <w:r w:rsidRPr="000A3A07">
        <w:t xml:space="preserve">ras på annat sätt än med anslag. </w:t>
      </w:r>
    </w:p>
    <w:p w14:paraId="6E99F27C" w14:textId="77777777" w:rsidR="007C11E9" w:rsidRPr="000A3A07" w:rsidRDefault="007C11E9">
      <w:pPr>
        <w:pStyle w:val="Normaltindrag"/>
      </w:pPr>
      <w:r w:rsidRPr="000A3A07">
        <w:t>Denna möjlighet har riksdagen utnyttjat flera gånger. Väg- och järnvägsi</w:t>
      </w:r>
      <w:r w:rsidRPr="000A3A07">
        <w:t>n</w:t>
      </w:r>
      <w:r w:rsidRPr="000A3A07">
        <w:t>vesteringar har finansierats med lån i Riksgäldskontoret (t.ex. E 18/E 20 Örebro–Arboga), statligt garanterade lån på marknaden (t.ex. Botniabanan) och lån från kommuner, s.k. förskottering (t.ex. Tranebergsbron). Invest</w:t>
      </w:r>
      <w:r w:rsidRPr="000A3A07">
        <w:t>e</w:t>
      </w:r>
      <w:r w:rsidRPr="000A3A07">
        <w:t xml:space="preserve">ringar kan också avgiftsfinansieras (t.ex. Rödöbron), samfinansieras av olika parter (t.ex. Citytunneln) eller privatfinansieras genom partnerskap (t.ex. Arlandabanan). Finansieringsformerna motiveras på olika sätt och har olika </w:t>
      </w:r>
      <w:r w:rsidRPr="000A3A07">
        <w:lastRenderedPageBreak/>
        <w:t>ekonomiska konsekvenser för staten. I en del fall har flera f</w:t>
      </w:r>
      <w:r w:rsidRPr="000A3A07">
        <w:t>inansieringsfo</w:t>
      </w:r>
      <w:r w:rsidRPr="000A3A07">
        <w:t>r</w:t>
      </w:r>
      <w:r w:rsidRPr="000A3A07">
        <w:t>mer använts för en och samma invest</w:t>
      </w:r>
      <w:r w:rsidRPr="000A3A07">
        <w:t>e</w:t>
      </w:r>
      <w:r w:rsidRPr="000A3A07">
        <w:t xml:space="preserve">ring. </w:t>
      </w:r>
    </w:p>
    <w:p w14:paraId="22F86327" w14:textId="77777777" w:rsidR="007C11E9" w:rsidRPr="000A3A07" w:rsidRDefault="007C11E9">
      <w:pPr>
        <w:pStyle w:val="Normaltindrag"/>
      </w:pPr>
      <w:r w:rsidRPr="000A3A07">
        <w:t>Gemensamt för många alternativa finansieringsformer är att hela invest</w:t>
      </w:r>
      <w:r w:rsidRPr="000A3A07">
        <w:t>e</w:t>
      </w:r>
      <w:r w:rsidRPr="000A3A07">
        <w:t>ringsbeloppet inte belastar statsbudgeten när investeringen äger rum. I stället sprids kostnaden ut över en längre tid. Detta innebär att framtida anslag intecknas för betalning av redan gjorda investeringar, vilket kan begränsa framtida riksdagars möjlighet att besluta om nya investeringar eller ändrad inriktning eller omfattning på investeringarna. Dessutom finns risk för att utgiftstaket förlorar sin roll, i den mån det är ett uttryck för en strävan att begränsa de statliga utgi</w:t>
      </w:r>
      <w:r w:rsidRPr="000A3A07">
        <w:t>f</w:t>
      </w:r>
      <w:r w:rsidRPr="000A3A07">
        <w:t xml:space="preserve">terna. </w:t>
      </w:r>
    </w:p>
    <w:p w14:paraId="2E009C6C" w14:textId="77777777" w:rsidR="007C11E9" w:rsidRPr="000A3A07" w:rsidRDefault="007C11E9">
      <w:pPr>
        <w:pStyle w:val="Normaltindrag"/>
      </w:pPr>
      <w:r w:rsidRPr="000A3A07">
        <w:t xml:space="preserve">Möjligheten att </w:t>
      </w:r>
      <w:r w:rsidRPr="000A3A07">
        <w:t>kringgå de finansiella restriktioner som begränsar omfat</w:t>
      </w:r>
      <w:r w:rsidRPr="000A3A07">
        <w:t>t</w:t>
      </w:r>
      <w:r w:rsidRPr="000A3A07">
        <w:t>ningen av anslagsfinansierade investeringar innebär dock att lönsamma i</w:t>
      </w:r>
      <w:r w:rsidRPr="000A3A07">
        <w:t>n</w:t>
      </w:r>
      <w:r w:rsidRPr="000A3A07">
        <w:t>vesteringar kan tidigareläggas, vilket kan skapa samhällsekonomiska vinster. En del finansieringsformer kan dessutom medföra effektivitetsvinster, bl.a. genom riskfördelning och utnyttjande av den privata sektorns kommersiella kompetens. Vissa finansieringsformer kan underlätta planeringen av ett enskilt projekt och ge en bättre bild av en investerings kostnad och kvarst</w:t>
      </w:r>
      <w:r w:rsidRPr="000A3A07">
        <w:t>å</w:t>
      </w:r>
      <w:r w:rsidRPr="000A3A07">
        <w:t>ende värd</w:t>
      </w:r>
      <w:r w:rsidRPr="000A3A07">
        <w:t>e.</w:t>
      </w:r>
    </w:p>
    <w:p w14:paraId="687D991F" w14:textId="77777777" w:rsidR="007C11E9" w:rsidRPr="000A3A07" w:rsidRDefault="007C11E9">
      <w:pPr>
        <w:pStyle w:val="Normaltindrag"/>
      </w:pPr>
      <w:r w:rsidRPr="000A3A07">
        <w:t>Revisorerna konstaterar att erfarenheten av effekterna av vissa finansi</w:t>
      </w:r>
      <w:r w:rsidRPr="000A3A07">
        <w:t>e</w:t>
      </w:r>
      <w:r w:rsidRPr="000A3A07">
        <w:t>ringsformer och det empiriska stödet för olika argument är begränsat. Rev</w:t>
      </w:r>
      <w:r w:rsidRPr="000A3A07">
        <w:t>i</w:t>
      </w:r>
      <w:r w:rsidRPr="000A3A07">
        <w:t>sorerna anser att det är angeläget att investeringar i vägar och järnvägar genomförs så kostnadseffektivt som möjligt. Revisorerna tar dock inte stäl</w:t>
      </w:r>
      <w:r w:rsidRPr="000A3A07">
        <w:t>l</w:t>
      </w:r>
      <w:r w:rsidRPr="000A3A07">
        <w:t>ning till i vilken omfattning alternativa finansieringsformer bör utnyttjas.</w:t>
      </w:r>
    </w:p>
    <w:p w14:paraId="35683BD0" w14:textId="77777777" w:rsidR="007C11E9" w:rsidRPr="000A3A07" w:rsidRDefault="007C11E9">
      <w:pPr>
        <w:pStyle w:val="Normaltindrag"/>
      </w:pPr>
      <w:r w:rsidRPr="000A3A07">
        <w:t>Revisorerna konstaterar att väg- och järnvägsinvesteringar hanteras olika i planerings- och beslutsprocessen beroende på hur de finansieras. Anslagsf</w:t>
      </w:r>
      <w:r w:rsidRPr="000A3A07">
        <w:t>i</w:t>
      </w:r>
      <w:r w:rsidRPr="000A3A07">
        <w:t>nansierade investeringar ingår i den ordinarie planeringsprocessen. Denna planering resulterar i tioåriga planer som Vägverket och Banverket reviderar vart fjärde år. Vägverket och Banverket upprättar planerna utifrån en av riksdagen beslutad ekonomisk ram. Enligt regeringens direktiv ska samhäll</w:t>
      </w:r>
      <w:r w:rsidRPr="000A3A07">
        <w:t>s</w:t>
      </w:r>
      <w:r w:rsidRPr="000A3A07">
        <w:t>ekonomisk lönsamhet vara en utgångspunkt vid urval och prioritering av proje</w:t>
      </w:r>
      <w:r w:rsidRPr="000A3A07">
        <w:t>k</w:t>
      </w:r>
      <w:r w:rsidRPr="000A3A07">
        <w:t>ten.</w:t>
      </w:r>
    </w:p>
    <w:p w14:paraId="7ACB7692" w14:textId="77777777" w:rsidR="007C11E9" w:rsidRPr="000A3A07" w:rsidRDefault="007C11E9">
      <w:pPr>
        <w:pStyle w:val="Normaltindrag"/>
      </w:pPr>
      <w:r w:rsidRPr="000A3A07">
        <w:t>Vid sidan om den ordinarie planeringsprocessen hanteras projekt som f</w:t>
      </w:r>
      <w:r w:rsidRPr="000A3A07">
        <w:t>i</w:t>
      </w:r>
      <w:r w:rsidRPr="000A3A07">
        <w:t>nansieras på annat sätt än med anslag. Planeringen görs inte utifrån någon samlad ekonomisk ram, utan varje projekt planeras för sig. Prioritering</w:t>
      </w:r>
      <w:r w:rsidRPr="000A3A07">
        <w:t>s</w:t>
      </w:r>
      <w:r w:rsidRPr="000A3A07">
        <w:t xml:space="preserve">grunderna blir därmed inte lika klara som för anslagsfinansierade projekt. </w:t>
      </w:r>
    </w:p>
    <w:p w14:paraId="6A90C156" w14:textId="77777777" w:rsidR="007C11E9" w:rsidRPr="000A3A07" w:rsidRDefault="007C11E9">
      <w:pPr>
        <w:pStyle w:val="Normaltindrag"/>
      </w:pPr>
      <w:r w:rsidRPr="000A3A07">
        <w:t>Av de fallstudier som har gjorts inom ramen för revisorernas granskning framgår att det finns betydande brister i det samhällsekonomiska underlaget för besluten om de studerade väg- och järnvägsinvesteringarna, som berä</w:t>
      </w:r>
      <w:r w:rsidRPr="000A3A07">
        <w:t>k</w:t>
      </w:r>
      <w:r w:rsidRPr="000A3A07">
        <w:t>nas kosta sammanlagt ca 30 miljarder kronor. Revisorerna anser att underl</w:t>
      </w:r>
      <w:r w:rsidRPr="000A3A07">
        <w:t>a</w:t>
      </w:r>
      <w:r w:rsidRPr="000A3A07">
        <w:t xml:space="preserve">get är av så bristfällig karaktär att det innebär risk för att beslut fattas som kan medföra samhällsekonomiska förluster på flera miljarder kronor. </w:t>
      </w:r>
    </w:p>
    <w:p w14:paraId="4E55FBA6" w14:textId="77777777" w:rsidR="007C11E9" w:rsidRPr="000A3A07" w:rsidRDefault="007C11E9">
      <w:pPr>
        <w:pStyle w:val="Normaltindrag"/>
      </w:pPr>
      <w:r w:rsidRPr="000A3A07">
        <w:t>Revisorerna anser att samhällsekonomiska kalkyler utgör en viktig del av det samlade beslutsunderlaget för alla väg- och järnvägsinvesteringar. Det faktum att en investerings samtliga effekter inte kan beaktas i en kalkyl p</w:t>
      </w:r>
      <w:r w:rsidRPr="000A3A07">
        <w:t>å</w:t>
      </w:r>
      <w:r w:rsidRPr="000A3A07">
        <w:t>verkar enligt revisorernas uppfattning inte kravet på att kalkylerna måste vara av hög kvalitet. Att kraven på ett fullgott underlag uppfylls är särskilt viktigt när det gäller alternativfinansierade projekt av den storlek som ingår i revisorernas granskning.</w:t>
      </w:r>
    </w:p>
    <w:p w14:paraId="53A3EF5D" w14:textId="77777777" w:rsidR="007C11E9" w:rsidRPr="000A3A07" w:rsidRDefault="007C11E9">
      <w:pPr>
        <w:pStyle w:val="Rubrik1"/>
      </w:pPr>
      <w:bookmarkStart w:id="6" w:name="_Toc504801759"/>
      <w:bookmarkStart w:id="7" w:name="_Toc506340923"/>
      <w:r w:rsidRPr="000A3A07">
        <w:t>Revisorernas överväganden och förslag</w:t>
      </w:r>
      <w:bookmarkEnd w:id="6"/>
      <w:bookmarkEnd w:id="7"/>
    </w:p>
    <w:p w14:paraId="53229761" w14:textId="77777777" w:rsidR="007C11E9" w:rsidRPr="000A3A07" w:rsidRDefault="007C11E9">
      <w:pPr>
        <w:pStyle w:val="Rubrik2"/>
      </w:pPr>
      <w:bookmarkStart w:id="8" w:name="_Toc504801760"/>
      <w:bookmarkStart w:id="9" w:name="_Toc506340924"/>
      <w:r w:rsidRPr="000A3A07">
        <w:t>Regeringens redovisning av investeringarnas finansiering måste förbättras</w:t>
      </w:r>
      <w:bookmarkEnd w:id="8"/>
      <w:bookmarkEnd w:id="9"/>
    </w:p>
    <w:p w14:paraId="711640D9" w14:textId="77777777" w:rsidR="007C11E9" w:rsidRPr="000A3A07" w:rsidRDefault="007C11E9">
      <w:pPr>
        <w:pStyle w:val="RubrikUtanNr3"/>
        <w:spacing w:before="120"/>
      </w:pPr>
      <w:bookmarkStart w:id="10" w:name="_Toc504801761"/>
      <w:r w:rsidRPr="000A3A07">
        <w:t>Rapporten</w:t>
      </w:r>
      <w:bookmarkEnd w:id="10"/>
    </w:p>
    <w:p w14:paraId="7DC2B226" w14:textId="77777777" w:rsidR="007C11E9" w:rsidRPr="000A3A07" w:rsidRDefault="007C11E9">
      <w:r w:rsidRPr="000A3A07">
        <w:t>Revisorerna konstaterar att många alternativa finansieringsformer är förkni</w:t>
      </w:r>
      <w:r w:rsidRPr="000A3A07">
        <w:t>p</w:t>
      </w:r>
      <w:r w:rsidRPr="000A3A07">
        <w:t>pade med risker. Därför bör regeringen vid varje förslag om en investering med alternativ finansiering för riksdagen klargöra motiven för och riskerna med den valda finansieringsformen. Även investeringens inverkan på statsf</w:t>
      </w:r>
      <w:r w:rsidRPr="000A3A07">
        <w:t>i</w:t>
      </w:r>
      <w:r w:rsidRPr="000A3A07">
        <w:t>nanserna bör klarläggas på ett tydligt sätt. Regeringen bör också följa upp genomförda investeringar och för riksdagen redovisa den valda finansi</w:t>
      </w:r>
      <w:r w:rsidRPr="000A3A07">
        <w:t>e</w:t>
      </w:r>
      <w:r w:rsidRPr="000A3A07">
        <w:t>ringsformens effekter.</w:t>
      </w:r>
    </w:p>
    <w:p w14:paraId="31395C9C" w14:textId="77777777" w:rsidR="007C11E9" w:rsidRPr="000A3A07" w:rsidRDefault="007C11E9">
      <w:pPr>
        <w:pStyle w:val="Normaltindrag"/>
      </w:pPr>
      <w:r w:rsidRPr="000A3A07">
        <w:t>Revisorerna anser också att det är angeläget att riksdagen kontinuerligt får en samlad redovisning av väg- och järnvä</w:t>
      </w:r>
      <w:r w:rsidRPr="000A3A07">
        <w:t>gsinvesteringarnas långsiktiga statsfinansiella effekter, eftersom de flesta alternativa finansieringsformer medför att statliga medel tas i anspråk i framtiden (t.ex. för återbetalning av lån, för betalning av hyra och för infriande av statliga garant</w:t>
      </w:r>
      <w:r w:rsidRPr="000A3A07">
        <w:t>i</w:t>
      </w:r>
      <w:r w:rsidRPr="000A3A07">
        <w:t xml:space="preserve">er). </w:t>
      </w:r>
    </w:p>
    <w:p w14:paraId="00A28971" w14:textId="77777777" w:rsidR="007C11E9" w:rsidRPr="000A3A07" w:rsidRDefault="007C11E9">
      <w:pPr>
        <w:pStyle w:val="RubrikUtanNr3"/>
      </w:pPr>
      <w:bookmarkStart w:id="11" w:name="_Toc504801762"/>
      <w:r w:rsidRPr="000A3A07">
        <w:t>Remissinstanserna</w:t>
      </w:r>
      <w:bookmarkEnd w:id="11"/>
    </w:p>
    <w:p w14:paraId="767F7370" w14:textId="77777777" w:rsidR="007C11E9" w:rsidRPr="000A3A07" w:rsidRDefault="007C11E9">
      <w:r w:rsidRPr="000A3A07">
        <w:rPr>
          <w:i/>
        </w:rPr>
        <w:t xml:space="preserve">Statskontoret </w:t>
      </w:r>
      <w:r w:rsidRPr="000A3A07">
        <w:t xml:space="preserve">tillstyrker revisorernas förslag om bättre analys och motivering vid finansieringsbeslut, bättre uppföljning och utvärdering av genomförda investeringar och att en samlad redovisning av statens samtliga finansiella åtaganden tas fram. </w:t>
      </w:r>
    </w:p>
    <w:p w14:paraId="127C8328" w14:textId="77777777" w:rsidR="007C11E9" w:rsidRPr="000A3A07" w:rsidRDefault="007C11E9">
      <w:pPr>
        <w:pStyle w:val="Normaltindrag"/>
      </w:pPr>
      <w:r w:rsidRPr="000A3A07">
        <w:rPr>
          <w:i/>
        </w:rPr>
        <w:t xml:space="preserve">Riksgäldskontoret </w:t>
      </w:r>
      <w:r w:rsidRPr="000A3A07">
        <w:t>uppger att alternativ finansiering kan leda till felbeslut och ge merkostnader om skälen för finansieringslösningen inte är tydliga.</w:t>
      </w:r>
    </w:p>
    <w:p w14:paraId="4DC05119" w14:textId="77777777" w:rsidR="007C11E9" w:rsidRPr="000A3A07" w:rsidRDefault="007C11E9">
      <w:pPr>
        <w:pStyle w:val="Normaltindrag"/>
      </w:pPr>
      <w:r w:rsidRPr="000A3A07">
        <w:rPr>
          <w:i/>
        </w:rPr>
        <w:t>Ekonomistyrningsverket</w:t>
      </w:r>
      <w:r w:rsidRPr="000A3A07">
        <w:t xml:space="preserve"> </w:t>
      </w:r>
      <w:r w:rsidRPr="000A3A07">
        <w:rPr>
          <w:i/>
        </w:rPr>
        <w:t xml:space="preserve">(ESV) </w:t>
      </w:r>
      <w:r w:rsidRPr="000A3A07">
        <w:t>anser att det är viktigt att motiven till valet av finansieringsform redovisas klart i varje enskilt fall och att de ekonomiska konsekvenserna beskrivs på ett sådant sätt att olika finansieringsalternativ kan jämföras med varandra vid investeringstillfället samt att kostnaderna för infrastrukturen kan följas upp i efterhand.</w:t>
      </w:r>
    </w:p>
    <w:p w14:paraId="65F4156E" w14:textId="77777777" w:rsidR="007C11E9" w:rsidRPr="000A3A07" w:rsidRDefault="007C11E9">
      <w:pPr>
        <w:pStyle w:val="Normaltindrag"/>
      </w:pPr>
      <w:r w:rsidRPr="000A3A07">
        <w:rPr>
          <w:i/>
        </w:rPr>
        <w:t xml:space="preserve">Banverket </w:t>
      </w:r>
      <w:r w:rsidRPr="000A3A07">
        <w:t>anser att man för investeringar med alternativ finansiering bör beskriva investeringa</w:t>
      </w:r>
      <w:r w:rsidRPr="000A3A07">
        <w:t>r</w:t>
      </w:r>
      <w:r w:rsidRPr="000A3A07">
        <w:t>nas inverkan på statsfinanserna.</w:t>
      </w:r>
    </w:p>
    <w:p w14:paraId="5FE705A2" w14:textId="77777777" w:rsidR="007C11E9" w:rsidRPr="000A3A07" w:rsidRDefault="007C11E9">
      <w:pPr>
        <w:pStyle w:val="Normaltindrag"/>
      </w:pPr>
      <w:r w:rsidRPr="000A3A07">
        <w:rPr>
          <w:i/>
        </w:rPr>
        <w:t xml:space="preserve">Landstingsförbundet </w:t>
      </w:r>
      <w:r w:rsidRPr="000A3A07">
        <w:t>delar revisorernas uppfattning att regeringens red</w:t>
      </w:r>
      <w:r w:rsidRPr="000A3A07">
        <w:t>o</w:t>
      </w:r>
      <w:r w:rsidRPr="000A3A07">
        <w:t>visning av väg- och järnvägsinvesteringars finansiering bör förbättras. Reg</w:t>
      </w:r>
      <w:r w:rsidRPr="000A3A07">
        <w:t>e</w:t>
      </w:r>
      <w:r w:rsidRPr="000A3A07">
        <w:t>ringen bör vid varje förslag till investering med alternativ finansiering kla</w:t>
      </w:r>
      <w:r w:rsidRPr="000A3A07">
        <w:t>r</w:t>
      </w:r>
      <w:r w:rsidRPr="000A3A07">
        <w:t>göra motiven för och riskerna med den valda finansieringsformen, menar förbundet.</w:t>
      </w:r>
    </w:p>
    <w:p w14:paraId="3CD00E8A" w14:textId="77777777" w:rsidR="007C11E9" w:rsidRPr="000A3A07" w:rsidRDefault="007C11E9">
      <w:pPr>
        <w:pStyle w:val="Normaltindrag"/>
      </w:pPr>
      <w:r w:rsidRPr="000A3A07">
        <w:rPr>
          <w:i/>
        </w:rPr>
        <w:t xml:space="preserve">Umeå kommun </w:t>
      </w:r>
      <w:r w:rsidRPr="000A3A07">
        <w:t>delar revisorernas uppfattning att motiven för valet av a</w:t>
      </w:r>
      <w:r w:rsidRPr="000A3A07">
        <w:t>l</w:t>
      </w:r>
      <w:r w:rsidRPr="000A3A07">
        <w:t xml:space="preserve">ternativ finansieringsform alltid ska redovisas och att konsekvenserna på kort och lång sikt ska klargöras. </w:t>
      </w:r>
    </w:p>
    <w:p w14:paraId="14CA932F" w14:textId="77777777" w:rsidR="007C11E9" w:rsidRPr="000A3A07" w:rsidRDefault="007C11E9">
      <w:pPr>
        <w:pStyle w:val="RubrikUtanNr3"/>
      </w:pPr>
      <w:bookmarkStart w:id="12" w:name="_Toc504801763"/>
      <w:r w:rsidRPr="000A3A07">
        <w:t>Revisorernas överväganden</w:t>
      </w:r>
      <w:bookmarkEnd w:id="12"/>
    </w:p>
    <w:p w14:paraId="3A7D3DC1" w14:textId="77777777" w:rsidR="007C11E9" w:rsidRPr="000A3A07" w:rsidRDefault="007C11E9">
      <w:r w:rsidRPr="000A3A07">
        <w:t>Remissinstanserna instämmer i revisorernas uppfattning att regeringen tydl</w:t>
      </w:r>
      <w:r w:rsidRPr="000A3A07">
        <w:t>i</w:t>
      </w:r>
      <w:r w:rsidRPr="000A3A07">
        <w:t>gare bör ange sina motiv till val av finansieringsform vid varje förslag om en investering som ska finansieras på annat sätt än med traditionell anslagsf</w:t>
      </w:r>
      <w:r w:rsidRPr="000A3A07">
        <w:t>i</w:t>
      </w:r>
      <w:r w:rsidRPr="000A3A07">
        <w:t>nansiering. Remissinstanserna håller också med om att de ekonomiska ko</w:t>
      </w:r>
      <w:r w:rsidRPr="000A3A07">
        <w:t>n</w:t>
      </w:r>
      <w:r w:rsidRPr="000A3A07">
        <w:t xml:space="preserve">sekvenserna av en investering bör beskrivas på ett tydligt sätt. </w:t>
      </w:r>
    </w:p>
    <w:p w14:paraId="71B6DA1F" w14:textId="77777777" w:rsidR="007C11E9" w:rsidRPr="000A3A07" w:rsidRDefault="007C11E9">
      <w:pPr>
        <w:pStyle w:val="Normaltindrag"/>
      </w:pPr>
      <w:r w:rsidRPr="000A3A07">
        <w:t>Revisorerna anser att riskerna och de ekonomiska konsekvenserna bör r</w:t>
      </w:r>
      <w:r w:rsidRPr="000A3A07">
        <w:t>e</w:t>
      </w:r>
      <w:r w:rsidRPr="000A3A07">
        <w:t>dovisas noggrant och på ett sådant sätt att olika finansieringsalternativ kan jämföras med varandra. En sådan redovisning kan också bidra till att motiven till valet av finansieringsform framkommer ty</w:t>
      </w:r>
      <w:r w:rsidRPr="000A3A07">
        <w:t>d</w:t>
      </w:r>
      <w:r w:rsidRPr="000A3A07">
        <w:t xml:space="preserve">ligare. </w:t>
      </w:r>
    </w:p>
    <w:p w14:paraId="0EDABC45" w14:textId="77777777" w:rsidR="007C11E9" w:rsidRPr="000A3A07" w:rsidRDefault="007C11E9">
      <w:pPr>
        <w:pStyle w:val="Normaltindrag"/>
      </w:pPr>
      <w:r w:rsidRPr="000A3A07">
        <w:t>Revisorerna betonar betydelsen av att investeringarna följs upp och utvä</w:t>
      </w:r>
      <w:r w:rsidRPr="000A3A07">
        <w:t>r</w:t>
      </w:r>
      <w:r w:rsidRPr="000A3A07">
        <w:t>deras och att resultatet av uppföljningarna redovisas för riksdagen. Resultatet av uppföljningarna kan utgöra värdefull information inför kommande inve</w:t>
      </w:r>
      <w:r w:rsidRPr="000A3A07">
        <w:t>s</w:t>
      </w:r>
      <w:r w:rsidRPr="000A3A07">
        <w:t>teringar, eftersom erfarenheten av effekterna av en del finansieringsformer fortfarande är begrä</w:t>
      </w:r>
      <w:r w:rsidRPr="000A3A07">
        <w:t>n</w:t>
      </w:r>
      <w:r w:rsidRPr="000A3A07">
        <w:t>sad.</w:t>
      </w:r>
    </w:p>
    <w:p w14:paraId="787550D8" w14:textId="77777777" w:rsidR="007C11E9" w:rsidRPr="000A3A07" w:rsidRDefault="007C11E9">
      <w:pPr>
        <w:pStyle w:val="Normaltindrag"/>
      </w:pPr>
      <w:r w:rsidRPr="000A3A07">
        <w:t>Regeringen bör också för riksdagen årligen presentera en utförlig och samlad redovisning av omfattningen på och de statsfinansiella effekterna av de väg- och järnvägsinvesteringar som finansieras på annat sätt än med a</w:t>
      </w:r>
      <w:r w:rsidRPr="000A3A07">
        <w:t>n</w:t>
      </w:r>
      <w:r w:rsidRPr="000A3A07">
        <w:t xml:space="preserve">slag över statsbudgeten. </w:t>
      </w:r>
    </w:p>
    <w:p w14:paraId="47AB6DFF" w14:textId="77777777" w:rsidR="007C11E9" w:rsidRPr="000A3A07" w:rsidRDefault="007C11E9">
      <w:r w:rsidRPr="000A3A07">
        <w:t>Revisorerna föreslår</w:t>
      </w:r>
    </w:p>
    <w:p w14:paraId="16A7AF79" w14:textId="77777777" w:rsidR="007C11E9" w:rsidRPr="000A3A07" w:rsidRDefault="007C11E9">
      <w:pPr>
        <w:numPr>
          <w:ilvl w:val="0"/>
          <w:numId w:val="13"/>
        </w:numPr>
      </w:pPr>
      <w:r w:rsidRPr="000A3A07">
        <w:t>att regeringen förbättrar sin redovisning av motiv till, risker med och ekonomiska konsekvenser av vald finansieringsform vid varje förslag om en väg- och järnvägsinvestering som föreslås finansieras på annat sätt än med anslag över stat</w:t>
      </w:r>
      <w:r w:rsidRPr="000A3A07">
        <w:t>s</w:t>
      </w:r>
      <w:r w:rsidRPr="000A3A07">
        <w:t>budgeten.</w:t>
      </w:r>
    </w:p>
    <w:p w14:paraId="3A0374A6" w14:textId="77777777" w:rsidR="007C11E9" w:rsidRPr="000A3A07" w:rsidRDefault="007C11E9">
      <w:pPr>
        <w:numPr>
          <w:ilvl w:val="0"/>
          <w:numId w:val="14"/>
        </w:numPr>
      </w:pPr>
      <w:r w:rsidRPr="000A3A07">
        <w:t>att regeringen förbättrar sin årliga samlade redovisning av omfattningen på och de statsfinansiella konsekvenserna av de väg- och järnvägsi</w:t>
      </w:r>
      <w:r w:rsidRPr="000A3A07">
        <w:t>n</w:t>
      </w:r>
      <w:r w:rsidRPr="000A3A07">
        <w:t>vesteringar som finansieras på annat sätt än med anslag över statsbu</w:t>
      </w:r>
      <w:r w:rsidRPr="000A3A07">
        <w:t>d</w:t>
      </w:r>
      <w:r w:rsidRPr="000A3A07">
        <w:t>geten.</w:t>
      </w:r>
    </w:p>
    <w:p w14:paraId="319EC6EB" w14:textId="77777777" w:rsidR="007C11E9" w:rsidRPr="000A3A07" w:rsidRDefault="007C11E9">
      <w:pPr>
        <w:pStyle w:val="Rubrik2"/>
      </w:pPr>
      <w:bookmarkStart w:id="13" w:name="_Toc504801764"/>
      <w:bookmarkStart w:id="14" w:name="_Toc506340925"/>
      <w:r w:rsidRPr="000A3A07">
        <w:t>Planeringsprocessen bör ses över</w:t>
      </w:r>
      <w:bookmarkEnd w:id="13"/>
      <w:bookmarkEnd w:id="14"/>
    </w:p>
    <w:p w14:paraId="3341EB35" w14:textId="77777777" w:rsidR="007C11E9" w:rsidRPr="000A3A07" w:rsidRDefault="007C11E9">
      <w:pPr>
        <w:pStyle w:val="RubrikUtanNr3"/>
        <w:spacing w:before="123"/>
      </w:pPr>
      <w:bookmarkStart w:id="15" w:name="_Toc504801765"/>
      <w:r w:rsidRPr="000A3A07">
        <w:t>Rapporten</w:t>
      </w:r>
      <w:bookmarkEnd w:id="15"/>
    </w:p>
    <w:p w14:paraId="02E90ED3" w14:textId="77777777" w:rsidR="007C11E9" w:rsidRPr="000A3A07" w:rsidRDefault="007C11E9">
      <w:r w:rsidRPr="000A3A07">
        <w:t>Revisorerna anser att det finns anledning att se över planeringsprocessen för investeringar i vägar och järnvägar. Översynen bör ta sikte på en plan</w:t>
      </w:r>
      <w:r w:rsidRPr="000A3A07">
        <w:t>e</w:t>
      </w:r>
      <w:r w:rsidRPr="000A3A07">
        <w:t>ringsmodell där samtliga nationella väg- och järnvägsinvesteringar som helt eller delvis finansieras med statliga medel prövas inbördes, oberoende av finansieringsform. Revisorerna anser att valet av investeringsprojekt bör baseras på samhällsekonomiska bedömningar med utgångspunkt från de transportpolitiska målen. Med dagens system finns risk för att samhällsek</w:t>
      </w:r>
      <w:r w:rsidRPr="000A3A07">
        <w:t>o</w:t>
      </w:r>
      <w:r w:rsidRPr="000A3A07">
        <w:t>nomiskt mindre angelägna investeringar ges företräde om de kan finansieras på annat sätt än med anslag över statsbudgeten. Därmed finns också risk</w:t>
      </w:r>
      <w:r w:rsidRPr="000A3A07">
        <w:t xml:space="preserve"> för att projekt med alternativ finansiering tränger undan resurser för samhäll</w:t>
      </w:r>
      <w:r w:rsidRPr="000A3A07">
        <w:t>s</w:t>
      </w:r>
      <w:r w:rsidRPr="000A3A07">
        <w:t>ekonomiskt mer lönsamma åtgä</w:t>
      </w:r>
      <w:r w:rsidRPr="000A3A07">
        <w:t>r</w:t>
      </w:r>
      <w:r w:rsidRPr="000A3A07">
        <w:t xml:space="preserve">der. </w:t>
      </w:r>
    </w:p>
    <w:p w14:paraId="41EA5B77" w14:textId="77777777" w:rsidR="007C11E9" w:rsidRPr="000A3A07" w:rsidRDefault="007C11E9">
      <w:pPr>
        <w:pStyle w:val="RubrikUtanNr3"/>
      </w:pPr>
      <w:bookmarkStart w:id="16" w:name="_Toc504801766"/>
      <w:r w:rsidRPr="000A3A07">
        <w:t>Remissinstanserna</w:t>
      </w:r>
      <w:bookmarkEnd w:id="16"/>
    </w:p>
    <w:p w14:paraId="56C3C184" w14:textId="77777777" w:rsidR="007C11E9" w:rsidRPr="000A3A07" w:rsidRDefault="007C11E9">
      <w:r w:rsidRPr="000A3A07">
        <w:rPr>
          <w:i/>
        </w:rPr>
        <w:t>Statskontoret, Riksgäldskontoret, Ekonomistyrningsverket (ESV), Banverket, Vägverket, Väg- och transportforskningsinstitutet (VTI), Kommunikation</w:t>
      </w:r>
      <w:r w:rsidRPr="000A3A07">
        <w:rPr>
          <w:i/>
        </w:rPr>
        <w:t>s</w:t>
      </w:r>
      <w:r w:rsidRPr="000A3A07">
        <w:rPr>
          <w:i/>
        </w:rPr>
        <w:t xml:space="preserve">forskningsberedningen (KFB), Statens institut för kommunikationsanalys (SIKA), Landstingsförbundet, Nacka kommun, Örnsköldsviks kommun, Umeå kommun, Botniabanegruppen </w:t>
      </w:r>
      <w:r w:rsidRPr="000A3A07">
        <w:t xml:space="preserve">och </w:t>
      </w:r>
      <w:r w:rsidRPr="000A3A07">
        <w:rPr>
          <w:i/>
        </w:rPr>
        <w:t xml:space="preserve">Svenska Naturskyddsföreningen </w:t>
      </w:r>
      <w:r w:rsidRPr="000A3A07">
        <w:t>instä</w:t>
      </w:r>
      <w:r w:rsidRPr="000A3A07">
        <w:t>m</w:t>
      </w:r>
      <w:r w:rsidRPr="000A3A07">
        <w:t>mer med revisorerna att samtliga väg- och järnvägsinvesteringar som helt eller delvis finansieras med statliga medel bör prioriteras efter samma krit</w:t>
      </w:r>
      <w:r w:rsidRPr="000A3A07">
        <w:t>e</w:t>
      </w:r>
      <w:r w:rsidRPr="000A3A07">
        <w:t>rier, oavsett finansieringsform.</w:t>
      </w:r>
    </w:p>
    <w:p w14:paraId="2EE3DB44" w14:textId="77777777" w:rsidR="007C11E9" w:rsidRPr="000A3A07" w:rsidRDefault="007C11E9">
      <w:pPr>
        <w:pStyle w:val="Normaltindrag"/>
      </w:pPr>
      <w:r w:rsidRPr="000A3A07">
        <w:rPr>
          <w:i/>
        </w:rPr>
        <w:t>ESV, Banverket</w:t>
      </w:r>
      <w:r w:rsidRPr="000A3A07">
        <w:t>,</w:t>
      </w:r>
      <w:r w:rsidRPr="000A3A07">
        <w:rPr>
          <w:i/>
        </w:rPr>
        <w:t xml:space="preserve"> Landstingsförbundet, Örnsköldsviks kommun, Botniab</w:t>
      </w:r>
      <w:r w:rsidRPr="000A3A07">
        <w:rPr>
          <w:i/>
        </w:rPr>
        <w:t>a</w:t>
      </w:r>
      <w:r w:rsidRPr="000A3A07">
        <w:rPr>
          <w:i/>
        </w:rPr>
        <w:t>negruppen</w:t>
      </w:r>
      <w:r w:rsidRPr="000A3A07">
        <w:t xml:space="preserve"> anser att valet av projekt bör baseras på samhällsekonomiska bedömningar utifrån de transportpolitiska målen. Även </w:t>
      </w:r>
      <w:r w:rsidRPr="000A3A07">
        <w:rPr>
          <w:i/>
        </w:rPr>
        <w:t>Statskontoret, Vä</w:t>
      </w:r>
      <w:r w:rsidRPr="000A3A07">
        <w:rPr>
          <w:i/>
        </w:rPr>
        <w:t>g</w:t>
      </w:r>
      <w:r w:rsidRPr="000A3A07">
        <w:rPr>
          <w:i/>
        </w:rPr>
        <w:t>verket, VTI, KFB och Svenska Naturskyddsföreningen</w:t>
      </w:r>
      <w:r w:rsidRPr="000A3A07">
        <w:t xml:space="preserve"> anser att samhällsek</w:t>
      </w:r>
      <w:r w:rsidRPr="000A3A07">
        <w:t>o</w:t>
      </w:r>
      <w:r w:rsidRPr="000A3A07">
        <w:t>nomiska bedömningar ska vara en utgångspunkt vid prioritering av invest</w:t>
      </w:r>
      <w:r w:rsidRPr="000A3A07">
        <w:t>e</w:t>
      </w:r>
      <w:r w:rsidRPr="000A3A07">
        <w:t>ringspr</w:t>
      </w:r>
      <w:r w:rsidRPr="000A3A07">
        <w:t>o</w:t>
      </w:r>
      <w:r w:rsidRPr="000A3A07">
        <w:t>jekt.</w:t>
      </w:r>
    </w:p>
    <w:p w14:paraId="765F9245" w14:textId="77777777" w:rsidR="007C11E9" w:rsidRPr="000A3A07" w:rsidRDefault="007C11E9">
      <w:pPr>
        <w:pStyle w:val="Normaltindrag"/>
      </w:pPr>
      <w:r w:rsidRPr="000A3A07">
        <w:rPr>
          <w:i/>
        </w:rPr>
        <w:t>Statskontoret, ESV, Banverket, KFB, Landstingsförbundet</w:t>
      </w:r>
      <w:r w:rsidRPr="000A3A07">
        <w:t xml:space="preserve"> uppger att de instämmer i revisorernas bedömning att det finns anledning att se över plan</w:t>
      </w:r>
      <w:r w:rsidRPr="000A3A07">
        <w:t>e</w:t>
      </w:r>
      <w:r w:rsidRPr="000A3A07">
        <w:t xml:space="preserve">ringsprocessen för investeringar i vägar och järnvägar. </w:t>
      </w:r>
      <w:r w:rsidRPr="000A3A07">
        <w:rPr>
          <w:i/>
        </w:rPr>
        <w:t xml:space="preserve">Vägverket </w:t>
      </w:r>
      <w:r w:rsidRPr="000A3A07">
        <w:t>har up</w:t>
      </w:r>
      <w:r w:rsidRPr="000A3A07">
        <w:t>p</w:t>
      </w:r>
      <w:r w:rsidRPr="000A3A07">
        <w:t>fattningen att man ska kunna behandla samtliga projekt inom ramen för gällande planeringsprocess.</w:t>
      </w:r>
    </w:p>
    <w:p w14:paraId="4B7B67B6" w14:textId="77777777" w:rsidR="007C11E9" w:rsidRPr="000A3A07" w:rsidRDefault="007C11E9">
      <w:pPr>
        <w:pStyle w:val="RubrikUtanNr3"/>
      </w:pPr>
      <w:bookmarkStart w:id="17" w:name="_Toc504801767"/>
      <w:r w:rsidRPr="000A3A07">
        <w:t>Revisorernas överväganden</w:t>
      </w:r>
      <w:bookmarkEnd w:id="17"/>
    </w:p>
    <w:p w14:paraId="58469AB1" w14:textId="77777777" w:rsidR="007C11E9" w:rsidRPr="000A3A07" w:rsidRDefault="007C11E9">
      <w:r w:rsidRPr="000A3A07">
        <w:t>Remissinstanserna instämmer i revisorernas uppfattning att alla väg- och järnvägsinvesteringar bör prioriteras på samma grunder. Samtidigt konstat</w:t>
      </w:r>
      <w:r w:rsidRPr="000A3A07">
        <w:t>e</w:t>
      </w:r>
      <w:r w:rsidRPr="000A3A07">
        <w:t>rar revisorerna att investeringarna hanteras olika beroende på hur de planeras att finansieras, vilket enligt revisorerna motiverar en översyn av planering</w:t>
      </w:r>
      <w:r w:rsidRPr="000A3A07">
        <w:t>s</w:t>
      </w:r>
      <w:r w:rsidRPr="000A3A07">
        <w:t>processen. Flera remissinstanser instämmer i denna bedö</w:t>
      </w:r>
      <w:r w:rsidRPr="000A3A07">
        <w:t>m</w:t>
      </w:r>
      <w:r w:rsidRPr="000A3A07">
        <w:t>ning.</w:t>
      </w:r>
    </w:p>
    <w:p w14:paraId="27A94F85" w14:textId="77777777" w:rsidR="007C11E9" w:rsidRPr="000A3A07" w:rsidRDefault="007C11E9">
      <w:pPr>
        <w:pStyle w:val="Normaltindrag"/>
      </w:pPr>
      <w:r w:rsidRPr="000A3A07">
        <w:t>Revisorerna anser att väg- och järnvägsprojekt bör prioriteras efter noga överväganden och tydliga kriterier. En sådan prioritering kan enligt revis</w:t>
      </w:r>
      <w:r w:rsidRPr="000A3A07">
        <w:t>o</w:t>
      </w:r>
      <w:r w:rsidRPr="000A3A07">
        <w:t>rerna underlättas om samtliga nationella väg- och järnvägsinvesteringar som helt eller delvis finansieras med statliga medel hanteras inom samma plan</w:t>
      </w:r>
      <w:r w:rsidRPr="000A3A07">
        <w:t>e</w:t>
      </w:r>
      <w:r w:rsidRPr="000A3A07">
        <w:t>ringsprocess. Revisorerna anser att det politiska inflytandet över planering</w:t>
      </w:r>
      <w:r w:rsidRPr="000A3A07">
        <w:t>s</w:t>
      </w:r>
      <w:r w:rsidRPr="000A3A07">
        <w:t>processen inte bör minska.</w:t>
      </w:r>
    </w:p>
    <w:p w14:paraId="255C6547" w14:textId="77777777" w:rsidR="007C11E9" w:rsidRPr="000A3A07" w:rsidRDefault="007C11E9">
      <w:r w:rsidRPr="000A3A07">
        <w:t>Revisorerna föreslår</w:t>
      </w:r>
    </w:p>
    <w:p w14:paraId="64A624F7" w14:textId="77777777" w:rsidR="007C11E9" w:rsidRPr="000A3A07" w:rsidRDefault="007C11E9">
      <w:pPr>
        <w:numPr>
          <w:ilvl w:val="0"/>
          <w:numId w:val="15"/>
        </w:numPr>
      </w:pPr>
      <w:r w:rsidRPr="000A3A07">
        <w:t>att regeringen tar initiativ till en översyn av planeringsprocessen för investeringar i vägar och järnvägar.</w:t>
      </w:r>
    </w:p>
    <w:p w14:paraId="54E4FF35" w14:textId="77777777" w:rsidR="007C11E9" w:rsidRPr="000A3A07" w:rsidRDefault="007C11E9">
      <w:pPr>
        <w:pStyle w:val="Rubrik2"/>
      </w:pPr>
      <w:bookmarkStart w:id="18" w:name="_Toc504801768"/>
      <w:bookmarkStart w:id="19" w:name="_Toc506340926"/>
      <w:r w:rsidRPr="000A3A07">
        <w:t>Det samhällsekonomiska beslutsunderlaget bör utvecklas</w:t>
      </w:r>
      <w:bookmarkEnd w:id="18"/>
      <w:bookmarkEnd w:id="19"/>
    </w:p>
    <w:p w14:paraId="701F682C" w14:textId="77777777" w:rsidR="007C11E9" w:rsidRPr="000A3A07" w:rsidRDefault="007C11E9">
      <w:pPr>
        <w:pStyle w:val="RubrikUtanNr3"/>
        <w:spacing w:before="123"/>
      </w:pPr>
      <w:bookmarkStart w:id="20" w:name="_Toc504801769"/>
      <w:r w:rsidRPr="000A3A07">
        <w:t>Rapporten</w:t>
      </w:r>
      <w:bookmarkEnd w:id="20"/>
    </w:p>
    <w:p w14:paraId="7FEC4A9B" w14:textId="77777777" w:rsidR="007C11E9" w:rsidRPr="000A3A07" w:rsidRDefault="007C11E9">
      <w:r w:rsidRPr="000A3A07">
        <w:t>Revisorerna anser att kraven på utformningen av det samhällsekonomiska beslutsunderlaget för väg- och järnvägsinvesteringar bör ses över. Revisore</w:t>
      </w:r>
      <w:r w:rsidRPr="000A3A07">
        <w:t>r</w:t>
      </w:r>
      <w:r w:rsidRPr="000A3A07">
        <w:t>na menar att beslutsunderlaget bör vara informativt, tydligt, lättillgängligt och aktuellt. Dessutom bör flera alternativa lösningar redovisas. Revisorerna anser också att det är viktigt att en investerings alla effekter, både de som ingår i kalkylen och de som hanteras utanför kalkylen, redovisas samlat. En samlad redovisning kan underlätta en bedömning av projektet. Revisorerna påpekar också att regeringen för riksdagen tydligt bör motivera och redovisa sina förslag till enskilda väg- och järnvägsinveste</w:t>
      </w:r>
      <w:r w:rsidRPr="000A3A07">
        <w:t>ringar utifrån det samlade beslutsunderlaget. Det är särskilt angeläget i de fall då motiven för projektet inte kan fångas av den samhällsekonomiska kalk</w:t>
      </w:r>
      <w:r w:rsidRPr="000A3A07">
        <w:t>y</w:t>
      </w:r>
      <w:r w:rsidRPr="000A3A07">
        <w:t>len.</w:t>
      </w:r>
    </w:p>
    <w:p w14:paraId="26F7086F" w14:textId="77777777" w:rsidR="007C11E9" w:rsidRPr="000A3A07" w:rsidRDefault="007C11E9">
      <w:pPr>
        <w:pStyle w:val="RubrikUtanNr3"/>
      </w:pPr>
      <w:bookmarkStart w:id="21" w:name="_Toc504801770"/>
      <w:r w:rsidRPr="000A3A07">
        <w:t>Remissinstanserna</w:t>
      </w:r>
      <w:bookmarkEnd w:id="21"/>
    </w:p>
    <w:p w14:paraId="6E0B41FE" w14:textId="77777777" w:rsidR="007C11E9" w:rsidRPr="000A3A07" w:rsidRDefault="007C11E9">
      <w:r w:rsidRPr="000A3A07">
        <w:rPr>
          <w:i/>
        </w:rPr>
        <w:t xml:space="preserve">Statskontoret, Ekonomistyrningsverket (ESV), Banverket, Vägverket, Statens institut för kommunikationsanalys (SIKA), Nacka kommun, Umeå kommun, Örnsköldsviks kommun och Botniabanegruppen </w:t>
      </w:r>
      <w:r w:rsidRPr="000A3A07">
        <w:t>anser att det är viktigt att det samhällsekonomiska beslutsunderlaget utvec</w:t>
      </w:r>
      <w:r w:rsidRPr="000A3A07">
        <w:t>k</w:t>
      </w:r>
      <w:r w:rsidRPr="000A3A07">
        <w:t xml:space="preserve">las. </w:t>
      </w:r>
    </w:p>
    <w:p w14:paraId="40EFABE7" w14:textId="77777777" w:rsidR="007C11E9" w:rsidRPr="000A3A07" w:rsidRDefault="007C11E9">
      <w:pPr>
        <w:pStyle w:val="Normaltindrag"/>
      </w:pPr>
      <w:r w:rsidRPr="000A3A07">
        <w:rPr>
          <w:i/>
        </w:rPr>
        <w:t xml:space="preserve">Kommunikationsforskningsberedningen (KFB) </w:t>
      </w:r>
      <w:r w:rsidRPr="000A3A07">
        <w:t>anser att den samhällsek</w:t>
      </w:r>
      <w:r w:rsidRPr="000A3A07">
        <w:t>o</w:t>
      </w:r>
      <w:r w:rsidRPr="000A3A07">
        <w:t xml:space="preserve">nomiska kalkylen är ett bra verktyg, som kan verka som ett instrument för en kostnadseffektiv transportpolitik. </w:t>
      </w:r>
    </w:p>
    <w:p w14:paraId="45A295DC" w14:textId="77777777" w:rsidR="007C11E9" w:rsidRPr="000A3A07" w:rsidRDefault="007C11E9">
      <w:pPr>
        <w:pStyle w:val="Normaltindrag"/>
      </w:pPr>
      <w:r w:rsidRPr="000A3A07">
        <w:rPr>
          <w:i/>
        </w:rPr>
        <w:t xml:space="preserve">Banverket, Vägverket, Landstingsförbundet, Malmö stad, Nacka kommun, Örnsköldsviks kommun </w:t>
      </w:r>
      <w:r w:rsidRPr="000A3A07">
        <w:t xml:space="preserve">och </w:t>
      </w:r>
      <w:r w:rsidRPr="000A3A07">
        <w:rPr>
          <w:i/>
        </w:rPr>
        <w:t xml:space="preserve">Botniabanegruppen </w:t>
      </w:r>
      <w:r w:rsidRPr="000A3A07">
        <w:t>anser att samhällsekonomi</w:t>
      </w:r>
      <w:r w:rsidRPr="000A3A07">
        <w:t>s</w:t>
      </w:r>
      <w:r w:rsidRPr="000A3A07">
        <w:t>ka kalkyler bör utgöra ett av flera underlag som åberopas vid prioriteringsb</w:t>
      </w:r>
      <w:r w:rsidRPr="000A3A07">
        <w:t>e</w:t>
      </w:r>
      <w:r w:rsidRPr="000A3A07">
        <w:t>slut och val av åtgärder.</w:t>
      </w:r>
    </w:p>
    <w:p w14:paraId="095BE3B4" w14:textId="77777777" w:rsidR="007C11E9" w:rsidRPr="000A3A07" w:rsidRDefault="007C11E9">
      <w:pPr>
        <w:pStyle w:val="Normaltindrag"/>
      </w:pPr>
      <w:r w:rsidRPr="000A3A07">
        <w:rPr>
          <w:i/>
        </w:rPr>
        <w:t>Statskontoret</w:t>
      </w:r>
      <w:r w:rsidRPr="000A3A07">
        <w:t xml:space="preserve"> anser att man kan diskutera frågan om samhällsekonomiska kalkyler är lämpliga som beslutsunderlag i en politiskt styrd process. Statskontoret pekar på att projekt som Botniabanan och Citytunneln har grundats på politiska och strategiska bedömningar som är oberoende av resultatet av den samhällsekonomiska kalkylen.</w:t>
      </w:r>
    </w:p>
    <w:p w14:paraId="253B2E82" w14:textId="77777777" w:rsidR="007C11E9" w:rsidRPr="000A3A07" w:rsidRDefault="007C11E9">
      <w:pPr>
        <w:pStyle w:val="Normaltindrag"/>
      </w:pPr>
      <w:r w:rsidRPr="000A3A07">
        <w:t>Statskontoret anser att förståelsen för kalkylerna kan öka om kalkylerna kompletteras med kvalitativa omdömen om effekter som inte är möjliga att kvantifiera och som därför inte ingår i själva ka</w:t>
      </w:r>
      <w:r w:rsidRPr="000A3A07">
        <w:t>lkylen. Statskontoret anser också att man särskilt bör satsa på att utveckla samhällsekonomiska kalkyler för informations-, reglerings- samt drift- och underhållsåtgärder som kan utgöra alternativ till investeringsåtgä</w:t>
      </w:r>
      <w:r w:rsidRPr="000A3A07">
        <w:t>r</w:t>
      </w:r>
      <w:r w:rsidRPr="000A3A07">
        <w:t>der.</w:t>
      </w:r>
    </w:p>
    <w:p w14:paraId="6A73FAF4" w14:textId="77777777" w:rsidR="007C11E9" w:rsidRPr="000A3A07" w:rsidRDefault="007C11E9">
      <w:pPr>
        <w:pStyle w:val="Normaltindrag"/>
      </w:pPr>
      <w:r w:rsidRPr="000A3A07">
        <w:rPr>
          <w:i/>
        </w:rPr>
        <w:t xml:space="preserve">Ekonomistyrningsverket (ESV) </w:t>
      </w:r>
      <w:r w:rsidRPr="000A3A07">
        <w:t>anser att osäkerhet och risk bör hanteras bättre i kalkylerna, att känslighetsanalyser bör göras och att olika handling</w:t>
      </w:r>
      <w:r w:rsidRPr="000A3A07">
        <w:t>s</w:t>
      </w:r>
      <w:r w:rsidRPr="000A3A07">
        <w:t>alternativ bör analyseras. Dessutom anser ESV att kalkylerna bör dokume</w:t>
      </w:r>
      <w:r w:rsidRPr="000A3A07">
        <w:t>n</w:t>
      </w:r>
      <w:r w:rsidRPr="000A3A07">
        <w:t>teras bättre. ESV betonar betydelsen av transparens.</w:t>
      </w:r>
    </w:p>
    <w:p w14:paraId="7E6F58A6" w14:textId="77777777" w:rsidR="007C11E9" w:rsidRPr="000A3A07" w:rsidRDefault="007C11E9">
      <w:pPr>
        <w:pStyle w:val="Normaltindrag"/>
      </w:pPr>
      <w:r w:rsidRPr="000A3A07">
        <w:rPr>
          <w:i/>
        </w:rPr>
        <w:t>Banverket</w:t>
      </w:r>
      <w:r w:rsidRPr="000A3A07">
        <w:t xml:space="preserve"> anser att det är viktigt att kraven på utformning och uppföljning av beslutsunderlaget utvecklas. Banverket</w:t>
      </w:r>
      <w:r w:rsidRPr="000A3A07">
        <w:rPr>
          <w:i/>
        </w:rPr>
        <w:t xml:space="preserve"> </w:t>
      </w:r>
      <w:r w:rsidRPr="000A3A07">
        <w:t>instämmer i revisorernas slutsatser att osäkerheter i antaganden, prognosresultat och beräkningar måste tydli</w:t>
      </w:r>
      <w:r w:rsidRPr="000A3A07">
        <w:t>g</w:t>
      </w:r>
      <w:r w:rsidRPr="000A3A07">
        <w:t>göras och beskrivas bättre. Banverket delar också de synpunkter som fra</w:t>
      </w:r>
      <w:r w:rsidRPr="000A3A07">
        <w:t>m</w:t>
      </w:r>
      <w:r w:rsidRPr="000A3A07">
        <w:t xml:space="preserve">kommit angående vikten av att miljöeffekter redovisas på ett tydligt sätt. </w:t>
      </w:r>
    </w:p>
    <w:p w14:paraId="10A8DBBB" w14:textId="77777777" w:rsidR="007C11E9" w:rsidRPr="000A3A07" w:rsidRDefault="007C11E9">
      <w:pPr>
        <w:pStyle w:val="Normaltindrag"/>
      </w:pPr>
      <w:r w:rsidRPr="000A3A07">
        <w:rPr>
          <w:i/>
        </w:rPr>
        <w:t xml:space="preserve">Vägverket </w:t>
      </w:r>
      <w:r w:rsidRPr="000A3A07">
        <w:t>uppger att det är viktigt att modellen för samhällsekonomisk kalkyl vidareutvecklas för att bättre kunna fånga de särskilda förutsättningar som gäller i tätortsmiljö. Vägverket anser att prognoser för framtida trafik bör bli föremål för särskild granskning eller känslighetsanalys, eftersom antaganden om framtida trafik ofta har visat sig vara alltför optimistiska. Vägverket anser i enlighet med revisorerna att det är nödvändigt att överväga alternativa lösningar och att ett projekt bör omprövas under planer</w:t>
      </w:r>
      <w:r w:rsidRPr="000A3A07">
        <w:t>ingspr</w:t>
      </w:r>
      <w:r w:rsidRPr="000A3A07">
        <w:t>o</w:t>
      </w:r>
      <w:r w:rsidRPr="000A3A07">
        <w:t>cessens gång. Vägverket uppger att verket har tagit initiativ till ett sådant förfaringssätt genom att utveckla en systematiserad metodik för val av alte</w:t>
      </w:r>
      <w:r w:rsidRPr="000A3A07">
        <w:t>r</w:t>
      </w:r>
      <w:r w:rsidRPr="000A3A07">
        <w:t>nativa åtgärder.</w:t>
      </w:r>
    </w:p>
    <w:p w14:paraId="39025F7D" w14:textId="77777777" w:rsidR="007C11E9" w:rsidRPr="000A3A07" w:rsidRDefault="007C11E9">
      <w:pPr>
        <w:pStyle w:val="Normaltindrag"/>
      </w:pPr>
      <w:r w:rsidRPr="000A3A07">
        <w:rPr>
          <w:i/>
        </w:rPr>
        <w:t>Nacka kommun</w:t>
      </w:r>
      <w:r w:rsidRPr="000A3A07">
        <w:t xml:space="preserve"> anser att man inför en investering i högre utsträckning bör utreda alternativa lösningar på trafikproblemen. Kommunen anser också att det är viktigt att man utgår från gemensamma förutsättningar i samhällsek</w:t>
      </w:r>
      <w:r w:rsidRPr="000A3A07">
        <w:t>o</w:t>
      </w:r>
      <w:r w:rsidRPr="000A3A07">
        <w:t>nomiska beräkningar som används som jämförande beslutsunderlag samt att man redov</w:t>
      </w:r>
      <w:r w:rsidRPr="000A3A07">
        <w:t>i</w:t>
      </w:r>
      <w:r w:rsidRPr="000A3A07">
        <w:t>sar beräkningarna på ett lättillgängligt sätt.</w:t>
      </w:r>
    </w:p>
    <w:p w14:paraId="2B160DFC" w14:textId="77777777" w:rsidR="007C11E9" w:rsidRPr="000A3A07" w:rsidRDefault="007C11E9">
      <w:pPr>
        <w:pStyle w:val="Normaltindrag"/>
      </w:pPr>
      <w:r w:rsidRPr="000A3A07">
        <w:rPr>
          <w:i/>
        </w:rPr>
        <w:t>Umeå kommun</w:t>
      </w:r>
      <w:r w:rsidRPr="000A3A07">
        <w:t xml:space="preserve"> anser att beräkningsantaganden och annat underlag för ka</w:t>
      </w:r>
      <w:r w:rsidRPr="000A3A07">
        <w:t>l</w:t>
      </w:r>
      <w:r w:rsidRPr="000A3A07">
        <w:t>kylerna ska redovisas, liksom känslighetsanalyser.</w:t>
      </w:r>
    </w:p>
    <w:p w14:paraId="082352A5" w14:textId="77777777" w:rsidR="007C11E9" w:rsidRPr="000A3A07" w:rsidRDefault="007C11E9">
      <w:pPr>
        <w:pStyle w:val="Normaltindrag"/>
      </w:pPr>
      <w:r w:rsidRPr="000A3A07">
        <w:rPr>
          <w:i/>
        </w:rPr>
        <w:t xml:space="preserve">Örnsköldsviks kommun </w:t>
      </w:r>
      <w:r w:rsidRPr="000A3A07">
        <w:t xml:space="preserve">och </w:t>
      </w:r>
      <w:r w:rsidRPr="000A3A07">
        <w:rPr>
          <w:i/>
        </w:rPr>
        <w:t xml:space="preserve">Botniabanegruppen </w:t>
      </w:r>
      <w:r w:rsidRPr="000A3A07">
        <w:t>anser att det är angeläget att beräkningsmodellen utvecklas så att tillfälliga och subjektiva bedömnin</w:t>
      </w:r>
      <w:r w:rsidRPr="000A3A07">
        <w:t>g</w:t>
      </w:r>
      <w:r w:rsidRPr="000A3A07">
        <w:t xml:space="preserve">ar i enskilda projekt kan undvikas. </w:t>
      </w:r>
    </w:p>
    <w:p w14:paraId="4E262C1A" w14:textId="77777777" w:rsidR="007C11E9" w:rsidRPr="000A3A07" w:rsidRDefault="007C11E9">
      <w:pPr>
        <w:pStyle w:val="Normaltindrag"/>
      </w:pPr>
      <w:r w:rsidRPr="000A3A07">
        <w:rPr>
          <w:i/>
        </w:rPr>
        <w:t xml:space="preserve">Statens institut för kommunikationsanalys (SIKA) </w:t>
      </w:r>
      <w:r w:rsidRPr="000A3A07">
        <w:t>konstaterar att man i de kalkyler som ingår i revisorernas granskning inte har analyserat olika föru</w:t>
      </w:r>
      <w:r w:rsidRPr="000A3A07">
        <w:t>t</w:t>
      </w:r>
      <w:r w:rsidRPr="000A3A07">
        <w:t>sättningar och realistiska alternativ. Anledningen är enligt SIKA att det är tidskrävande och kostsamt att producera beslutsunderlag. SIKA uppger att det inte är möjligt att göra en helt förutsättningslös analys på den korta tid som brukar anslås för stora väg- och järnvägsprojekt som beslutas av reg</w:t>
      </w:r>
      <w:r w:rsidRPr="000A3A07">
        <w:t>e</w:t>
      </w:r>
      <w:r w:rsidRPr="000A3A07">
        <w:t xml:space="preserve">ringen i särskild ordning. </w:t>
      </w:r>
    </w:p>
    <w:p w14:paraId="2976C913" w14:textId="77777777" w:rsidR="007C11E9" w:rsidRPr="000A3A07" w:rsidRDefault="007C11E9">
      <w:pPr>
        <w:pStyle w:val="Normaltindrag"/>
      </w:pPr>
      <w:r w:rsidRPr="000A3A07">
        <w:t>SIKA anser att de flesta av de brister i underlaget som revisorerna pekar på skul</w:t>
      </w:r>
      <w:r w:rsidRPr="000A3A07">
        <w:t>le kunna hanteras med befintliga kalkylmetoder. SIKA menar att det i stället krävs en förändring av de spelregler av institutionell karaktär som gäller för framtagandet av beslutsunderlag. SIKA anser att ansvaret för b</w:t>
      </w:r>
      <w:r w:rsidRPr="000A3A07">
        <w:t>e</w:t>
      </w:r>
      <w:r w:rsidRPr="000A3A07">
        <w:t>slutsprocessen bör tydliggöras och att beslutsunderlaget och utfallet av i</w:t>
      </w:r>
      <w:r w:rsidRPr="000A3A07">
        <w:t>n</w:t>
      </w:r>
      <w:r w:rsidRPr="000A3A07">
        <w:t xml:space="preserve">vesteringarna bör följas upp regelbundet. Det bör enligt SIKA också finnas tydligare krav på hur beslutsunderlaget ska se ut. </w:t>
      </w:r>
    </w:p>
    <w:p w14:paraId="4D0C9965" w14:textId="77777777" w:rsidR="007C11E9" w:rsidRPr="000A3A07" w:rsidRDefault="007C11E9">
      <w:pPr>
        <w:pStyle w:val="RubrikUtanNr3"/>
      </w:pPr>
      <w:bookmarkStart w:id="22" w:name="_Toc504801771"/>
      <w:r w:rsidRPr="000A3A07">
        <w:t>Revisorernas överväganden</w:t>
      </w:r>
      <w:bookmarkEnd w:id="22"/>
    </w:p>
    <w:p w14:paraId="77659A12" w14:textId="77777777" w:rsidR="007C11E9" w:rsidRPr="000A3A07" w:rsidRDefault="007C11E9">
      <w:r w:rsidRPr="000A3A07">
        <w:t>Remissinstanserna instämmer i revisorernas uppfattning att det samhällsek</w:t>
      </w:r>
      <w:r w:rsidRPr="000A3A07">
        <w:t>o</w:t>
      </w:r>
      <w:r w:rsidRPr="000A3A07">
        <w:t>nomiska beslutsunderlaget bör utvecklas. De utvecklingsbehov som remis</w:t>
      </w:r>
      <w:r w:rsidRPr="000A3A07">
        <w:t>s</w:t>
      </w:r>
      <w:r w:rsidRPr="000A3A07">
        <w:t>instanserna pekar på överensstämmer i många fall med revisorernas bedö</w:t>
      </w:r>
      <w:r w:rsidRPr="000A3A07">
        <w:t>m</w:t>
      </w:r>
      <w:r w:rsidRPr="000A3A07">
        <w:t>ning. Synpunkterna gäller både beslutsunderlagets utformning och innehåll. Beslutsunderlaget bör bl.a. vara informativt, lättillgängligt och aktuellt samt innehålla en analys av olika alternativ. Tiden för att ta fram beslutsunderlag får inte vara så kort att man endast hinner anal</w:t>
      </w:r>
      <w:r w:rsidRPr="000A3A07">
        <w:t>y</w:t>
      </w:r>
      <w:r w:rsidRPr="000A3A07">
        <w:t>sera en lösning ordentligt.</w:t>
      </w:r>
    </w:p>
    <w:p w14:paraId="0FD49157" w14:textId="77777777" w:rsidR="007C11E9" w:rsidRPr="000A3A07" w:rsidRDefault="007C11E9">
      <w:pPr>
        <w:pStyle w:val="Normaltindrag"/>
      </w:pPr>
      <w:r w:rsidRPr="000A3A07">
        <w:t xml:space="preserve">Dessa krav kan tyckas vara självklara, men det faktum att </w:t>
      </w:r>
      <w:r w:rsidRPr="000A3A07">
        <w:t>kraven inte har uppfyllts i de kalkyler som revisorerna har granskat motiverar enligt revis</w:t>
      </w:r>
      <w:r w:rsidRPr="000A3A07">
        <w:t>o</w:t>
      </w:r>
      <w:r w:rsidRPr="000A3A07">
        <w:t>rernas bedömning en översyn av kraven på det samhällsekonomiska b</w:t>
      </w:r>
      <w:r w:rsidRPr="000A3A07">
        <w:t>e</w:t>
      </w:r>
      <w:r w:rsidRPr="000A3A07">
        <w:t>slutsunderlaget. I översynen bör inte enbart kalkylerna utan även annat sa</w:t>
      </w:r>
      <w:r w:rsidRPr="000A3A07">
        <w:t>m</w:t>
      </w:r>
      <w:r w:rsidRPr="000A3A07">
        <w:t>hällsekon</w:t>
      </w:r>
      <w:r w:rsidRPr="000A3A07">
        <w:t>o</w:t>
      </w:r>
      <w:r w:rsidRPr="000A3A07">
        <w:t xml:space="preserve">miskt underlag diskuteras. </w:t>
      </w:r>
    </w:p>
    <w:p w14:paraId="68D86030" w14:textId="77777777" w:rsidR="007C11E9" w:rsidRPr="000A3A07" w:rsidRDefault="007C11E9">
      <w:pPr>
        <w:pStyle w:val="Normaltindrag"/>
      </w:pPr>
      <w:r w:rsidRPr="000A3A07">
        <w:t>I översynen bör hänsyn tas till beslutsfattarnas/användarnas synpunkter på beslutsunderlagets innehåll och utformning, i syfte att öka förståelsen för och användningen av det samhällsekonomiska beslutsunderlaget. Hänsyn bör också tas till me</w:t>
      </w:r>
      <w:r w:rsidRPr="000A3A07">
        <w:t>dborgarnas intressen och värdet av ett transparent beslutsu</w:t>
      </w:r>
      <w:r w:rsidRPr="000A3A07">
        <w:t>n</w:t>
      </w:r>
      <w:r w:rsidRPr="000A3A07">
        <w:t xml:space="preserve">derlag. </w:t>
      </w:r>
    </w:p>
    <w:p w14:paraId="4FEF0A5F" w14:textId="77777777" w:rsidR="007C11E9" w:rsidRPr="000A3A07" w:rsidRDefault="007C11E9">
      <w:pPr>
        <w:pStyle w:val="Normaltindrag"/>
      </w:pPr>
      <w:r w:rsidRPr="000A3A07">
        <w:t>Översynen av kraven på det samhällsekonomiska beslutsunderlaget bör göras i anknytning till den översyn av planeringsprocessen som revisorerna föreslår. Revisorerna anser att ett fullgott beslutsunderlag är en förutsättning för en väl fungerande planeringspr</w:t>
      </w:r>
      <w:r w:rsidRPr="000A3A07">
        <w:t>o</w:t>
      </w:r>
      <w:r w:rsidRPr="000A3A07">
        <w:t>cess.</w:t>
      </w:r>
    </w:p>
    <w:p w14:paraId="206DBECC" w14:textId="77777777" w:rsidR="007C11E9" w:rsidRPr="000A3A07" w:rsidRDefault="007C11E9">
      <w:pPr>
        <w:pStyle w:val="Normaltindrag"/>
      </w:pPr>
      <w:r w:rsidRPr="000A3A07">
        <w:br w:type="page"/>
        <w:t>Revisorerna föreslår</w:t>
      </w:r>
    </w:p>
    <w:p w14:paraId="2D3D5B3F" w14:textId="77777777" w:rsidR="007C11E9" w:rsidRPr="000A3A07" w:rsidRDefault="007C11E9">
      <w:pPr>
        <w:numPr>
          <w:ilvl w:val="0"/>
          <w:numId w:val="16"/>
        </w:numPr>
      </w:pPr>
      <w:r w:rsidRPr="000A3A07">
        <w:t>att regeringen tar initiativ till en översyn av kraven på samhällsekon</w:t>
      </w:r>
      <w:r w:rsidRPr="000A3A07">
        <w:t>o</w:t>
      </w:r>
      <w:r w:rsidRPr="000A3A07">
        <w:t>miskt underlag vid beslut om i</w:t>
      </w:r>
      <w:r w:rsidRPr="000A3A07">
        <w:t>n</w:t>
      </w:r>
      <w:r w:rsidRPr="000A3A07">
        <w:t xml:space="preserve">vesteringar i vägar och järnvägar. </w:t>
      </w:r>
    </w:p>
    <w:p w14:paraId="25E25023" w14:textId="77777777" w:rsidR="007C11E9" w:rsidRPr="000A3A07" w:rsidRDefault="007C11E9">
      <w:pPr>
        <w:pStyle w:val="Rubrik1"/>
      </w:pPr>
      <w:bookmarkStart w:id="23" w:name="_Toc504801772"/>
      <w:bookmarkStart w:id="24" w:name="_Toc506340927"/>
      <w:r w:rsidRPr="000A3A07">
        <w:t>Revisorernas förslag</w:t>
      </w:r>
      <w:bookmarkEnd w:id="23"/>
      <w:bookmarkEnd w:id="24"/>
    </w:p>
    <w:p w14:paraId="762916CB" w14:textId="77777777" w:rsidR="007C11E9" w:rsidRPr="000A3A07" w:rsidRDefault="007C11E9">
      <w:r w:rsidRPr="000A3A07">
        <w:t xml:space="preserve">Riksdagens revisorer föreslår </w:t>
      </w:r>
    </w:p>
    <w:p w14:paraId="215C5FE9" w14:textId="77777777" w:rsidR="007C11E9" w:rsidRPr="000A3A07" w:rsidRDefault="007C11E9">
      <w:pPr>
        <w:pStyle w:val="Normaltindrag"/>
      </w:pPr>
      <w:r w:rsidRPr="000A3A07">
        <w:t>1. att riksdagen som sin mening ger regeringen till känna vad revisorerna har anfört om regeringens redovisning av väg- och järnvägsinvesteringars fina</w:t>
      </w:r>
      <w:r w:rsidRPr="000A3A07">
        <w:t>n</w:t>
      </w:r>
      <w:r w:rsidRPr="000A3A07">
        <w:t>siering enligt avsnitt 2.1.</w:t>
      </w:r>
    </w:p>
    <w:p w14:paraId="6FD8325A" w14:textId="77777777" w:rsidR="007C11E9" w:rsidRPr="000A3A07" w:rsidRDefault="007C11E9">
      <w:pPr>
        <w:pStyle w:val="Normaltindrag"/>
      </w:pPr>
      <w:r w:rsidRPr="000A3A07">
        <w:t>2. att riksdagen som sin mening ger regeringen till känna vad revisorerna har anfört om en översyn av planeringsprocessen för investeringar i vägar och järnvägar enligt avsnitt 2.2.</w:t>
      </w:r>
    </w:p>
    <w:p w14:paraId="54109630" w14:textId="77777777" w:rsidR="007C11E9" w:rsidRPr="000A3A07" w:rsidRDefault="007C11E9">
      <w:pPr>
        <w:pStyle w:val="Normaltindrag"/>
      </w:pPr>
      <w:r w:rsidRPr="000A3A07">
        <w:t>3. att riksdagen som sin mening ger regeringen till känna vad revisorerna har anfört om en översyn av kraven på beslutsunderlaget för investeringar i vägar och järnvägar enligt avsnitt 2.3.</w:t>
      </w:r>
    </w:p>
    <w:p w14:paraId="1B5E9412" w14:textId="77777777" w:rsidR="007C11E9" w:rsidRPr="000A3A07" w:rsidRDefault="007C11E9">
      <w:r w:rsidRPr="000A3A07">
        <w:t xml:space="preserve">Detta ärende har avgjorts av revisorerna i plenum. I beslutet har deltagit revisorerna </w:t>
      </w:r>
      <w:r w:rsidRPr="000A3A07">
        <w:rPr>
          <w:snapToGrid w:val="0"/>
          <w:lang w:eastAsia="sv-SE"/>
        </w:rPr>
        <w:t>Ingemar Josefsson (s), Anders G Högmark (m), Per Rosengren (v), Bengt Silfverstrand (s), Anita Jönsson (s), Kenneth Lantz (kd), Hans Stenberg (s), Karl-Gösta Svenson (m), Ann-Marie Fagerström (s), Marie Engström (v), Nils-Göran Holmqvist (s) och Patrik Norinder (m).</w:t>
      </w:r>
    </w:p>
    <w:p w14:paraId="166327D8" w14:textId="77777777" w:rsidR="007C11E9" w:rsidRPr="000A3A07" w:rsidRDefault="007C11E9">
      <w:r w:rsidRPr="000A3A07">
        <w:t>Vid ärendets slutliga handläggning har vidare närvarit kanslichefen Åke Dahlberg och utredningschefen Patrick Joyce (föredragande). Avdelningsd</w:t>
      </w:r>
      <w:r w:rsidRPr="000A3A07">
        <w:t>i</w:t>
      </w:r>
      <w:r w:rsidRPr="000A3A07">
        <w:t>rektör Ann-Kristin Sjöström har varit ansvarig för ärendets beredning.</w:t>
      </w:r>
    </w:p>
    <w:p w14:paraId="74FC50DF" w14:textId="77777777" w:rsidR="007C11E9" w:rsidRPr="000A3A07" w:rsidRDefault="007C11E9">
      <w:r w:rsidRPr="000A3A07">
        <w:t>Stockholm den 8 februari 2001</w:t>
      </w:r>
    </w:p>
    <w:p w14:paraId="0EB77F30" w14:textId="77777777" w:rsidR="007C11E9" w:rsidRPr="000A3A07" w:rsidRDefault="007C11E9">
      <w:r w:rsidRPr="000A3A07">
        <w:t>På Riksdagens revisorers vägnar</w:t>
      </w:r>
    </w:p>
    <w:p w14:paraId="309717CD" w14:textId="77777777" w:rsidR="007C11E9" w:rsidRPr="000A3A07" w:rsidRDefault="007C11E9">
      <w:pPr>
        <w:pStyle w:val="Normaltindrag"/>
        <w:ind w:firstLine="0"/>
      </w:pPr>
    </w:p>
    <w:p w14:paraId="2F78D244" w14:textId="77777777" w:rsidR="007C11E9" w:rsidRPr="000A3A07" w:rsidRDefault="007C11E9">
      <w:pPr>
        <w:pStyle w:val="Normaltindrag"/>
        <w:ind w:firstLine="0"/>
      </w:pPr>
    </w:p>
    <w:p w14:paraId="4927366C" w14:textId="77777777" w:rsidR="007C11E9" w:rsidRPr="000A3A07" w:rsidRDefault="007C11E9">
      <w:pPr>
        <w:pStyle w:val="Normaltindrag"/>
        <w:ind w:firstLine="0"/>
      </w:pPr>
    </w:p>
    <w:p w14:paraId="005F9E29" w14:textId="77777777" w:rsidR="007C11E9" w:rsidRPr="000A3A07" w:rsidRDefault="007C11E9">
      <w:pPr>
        <w:pStyle w:val="Normaltindrag"/>
        <w:ind w:firstLine="0"/>
        <w:rPr>
          <w:i/>
          <w:sz w:val="21"/>
        </w:rPr>
      </w:pPr>
      <w:r w:rsidRPr="000A3A07">
        <w:rPr>
          <w:i/>
          <w:sz w:val="21"/>
        </w:rPr>
        <w:t>Ingemar Josefsson</w:t>
      </w:r>
    </w:p>
    <w:p w14:paraId="6F4344F6" w14:textId="77777777" w:rsidR="007C11E9" w:rsidRPr="000A3A07" w:rsidRDefault="007C11E9">
      <w:pPr>
        <w:pStyle w:val="Normaltindrag"/>
        <w:ind w:firstLine="0"/>
        <w:rPr>
          <w:i/>
          <w:sz w:val="21"/>
        </w:rPr>
      </w:pPr>
    </w:p>
    <w:p w14:paraId="02B988CF" w14:textId="77777777" w:rsidR="007C11E9" w:rsidRPr="000A3A07" w:rsidRDefault="007C11E9">
      <w:pPr>
        <w:pStyle w:val="Normaltindrag"/>
        <w:ind w:firstLine="0"/>
        <w:rPr>
          <w:i/>
          <w:sz w:val="21"/>
        </w:rPr>
      </w:pPr>
    </w:p>
    <w:p w14:paraId="22C21D3B" w14:textId="77777777" w:rsidR="007C11E9" w:rsidRPr="000A3A07" w:rsidRDefault="007C11E9">
      <w:pPr>
        <w:pStyle w:val="Normaltindrag"/>
        <w:ind w:firstLine="0"/>
        <w:rPr>
          <w:i/>
          <w:sz w:val="21"/>
        </w:rPr>
      </w:pPr>
      <w:r w:rsidRPr="000A3A07">
        <w:rPr>
          <w:i/>
          <w:sz w:val="21"/>
        </w:rPr>
        <w:tab/>
      </w:r>
      <w:r w:rsidRPr="000A3A07">
        <w:rPr>
          <w:i/>
          <w:sz w:val="21"/>
        </w:rPr>
        <w:tab/>
        <w:t xml:space="preserve">               Patrick Joyce</w:t>
      </w:r>
    </w:p>
    <w:p w14:paraId="0BE82479" w14:textId="77777777" w:rsidR="007C11E9" w:rsidRPr="000A3A07" w:rsidRDefault="007C11E9"/>
    <w:p w14:paraId="63CBFDBD" w14:textId="77777777" w:rsidR="007C11E9" w:rsidRPr="000A3A07" w:rsidRDefault="007C11E9">
      <w:pPr>
        <w:pStyle w:val="Normaltindrag"/>
      </w:pPr>
    </w:p>
    <w:p w14:paraId="23D215F3" w14:textId="77777777" w:rsidR="007C11E9" w:rsidRPr="000A3A07" w:rsidRDefault="007C11E9">
      <w:pPr>
        <w:pStyle w:val="Normaltindrag"/>
        <w:sectPr w:rsidR="00000000" w:rsidRPr="000A3A07">
          <w:headerReference w:type="default" r:id="rId8"/>
          <w:footerReference w:type="default" r:id="rId9"/>
          <w:footnotePr>
            <w:numRestart w:val="eachSect"/>
          </w:footnotePr>
          <w:endnotePr>
            <w:numRestart w:val="eachSect"/>
          </w:endnotePr>
          <w:pgSz w:w="11906" w:h="16838" w:code="9"/>
          <w:pgMar w:top="567" w:right="4876" w:bottom="4508" w:left="1134" w:header="227" w:footer="227" w:gutter="0"/>
          <w:cols w:space="720"/>
        </w:sectPr>
      </w:pPr>
    </w:p>
    <w:p w14:paraId="4DA0E065" w14:textId="77777777" w:rsidR="007C11E9" w:rsidRPr="000A3A07" w:rsidRDefault="007C11E9"/>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0A3A07" w14:paraId="7D436869" w14:textId="77777777">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14:paraId="2FCD69B8" w14:textId="77777777" w:rsidR="007C11E9" w:rsidRPr="000A3A07" w:rsidRDefault="007C11E9">
            <w:pPr>
              <w:pStyle w:val="HuvudRubrik"/>
              <w:spacing w:before="1440"/>
            </w:pPr>
            <w:r w:rsidRPr="000A3A07">
              <w:t xml:space="preserve">Rapport </w:t>
            </w:r>
            <w:bookmarkStart w:id="25" w:name="BetänkandeNr"/>
            <w:bookmarkEnd w:id="25"/>
            <w:r w:rsidRPr="000A3A07">
              <w:t>2000/01:5</w:t>
            </w:r>
          </w:p>
        </w:tc>
        <w:tc>
          <w:tcPr>
            <w:tcW w:w="2126" w:type="dxa"/>
            <w:gridSpan w:val="2"/>
            <w:tcBorders>
              <w:bottom w:val="single" w:sz="6" w:space="0" w:color="auto"/>
            </w:tcBorders>
          </w:tcPr>
          <w:p w14:paraId="765D8850" w14:textId="23BADB79" w:rsidR="007C11E9" w:rsidRPr="000A3A07" w:rsidRDefault="000A3A07">
            <w:pPr>
              <w:pStyle w:val="rtal"/>
              <w:spacing w:before="120"/>
              <w:ind w:left="0"/>
            </w:pPr>
            <w:r w:rsidRPr="000A3A07">
              <w:rPr>
                <w:noProof/>
              </w:rPr>
              <w:drawing>
                <wp:inline distT="0" distB="0" distL="0" distR="0" wp14:anchorId="369A35B3" wp14:editId="245D20AA">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0A3A07" w14:paraId="348E66CE" w14:textId="77777777">
        <w:tblPrEx>
          <w:tblCellMar>
            <w:top w:w="0" w:type="dxa"/>
            <w:bottom w:w="0" w:type="dxa"/>
          </w:tblCellMar>
        </w:tblPrEx>
        <w:trPr>
          <w:cantSplit/>
          <w:trHeight w:hRule="exact" w:val="660"/>
        </w:trPr>
        <w:tc>
          <w:tcPr>
            <w:tcW w:w="3012" w:type="dxa"/>
          </w:tcPr>
          <w:p w14:paraId="1E096E05" w14:textId="77777777" w:rsidR="007C11E9" w:rsidRPr="000A3A07" w:rsidRDefault="007C11E9">
            <w:pPr>
              <w:pStyle w:val="StatusSida1"/>
            </w:pPr>
          </w:p>
        </w:tc>
        <w:tc>
          <w:tcPr>
            <w:tcW w:w="2445" w:type="dxa"/>
            <w:gridSpan w:val="2"/>
          </w:tcPr>
          <w:p w14:paraId="6ACE829E" w14:textId="77777777" w:rsidR="007C11E9" w:rsidRPr="000A3A07" w:rsidRDefault="007C11E9">
            <w:pPr>
              <w:pStyle w:val="UtskriftsdatumSida1"/>
              <w:rPr>
                <w:b/>
                <w:sz w:val="28"/>
              </w:rPr>
            </w:pPr>
          </w:p>
        </w:tc>
        <w:tc>
          <w:tcPr>
            <w:tcW w:w="2126" w:type="dxa"/>
            <w:gridSpan w:val="2"/>
          </w:tcPr>
          <w:p w14:paraId="0F75C836" w14:textId="77777777" w:rsidR="007C11E9" w:rsidRPr="000A3A07" w:rsidRDefault="007C11E9"/>
        </w:tc>
      </w:tr>
    </w:tbl>
    <w:p w14:paraId="560AC699" w14:textId="77777777" w:rsidR="007C11E9" w:rsidRPr="000A3A07" w:rsidRDefault="007C11E9"/>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0A3A07" w14:paraId="06C4D9D2" w14:textId="77777777">
        <w:tblPrEx>
          <w:tblCellMar>
            <w:top w:w="0" w:type="dxa"/>
            <w:bottom w:w="0" w:type="dxa"/>
          </w:tblCellMar>
        </w:tblPrEx>
        <w:trPr>
          <w:cantSplit/>
        </w:trPr>
        <w:tc>
          <w:tcPr>
            <w:tcW w:w="6036" w:type="dxa"/>
          </w:tcPr>
          <w:p w14:paraId="7671CCA5" w14:textId="77777777" w:rsidR="007C11E9" w:rsidRPr="000A3A07" w:rsidRDefault="007C11E9">
            <w:pPr>
              <w:spacing w:before="240"/>
            </w:pPr>
          </w:p>
        </w:tc>
      </w:tr>
      <w:tr w:rsidR="00000000" w:rsidRPr="000A3A07" w14:paraId="6D193EFC" w14:textId="77777777">
        <w:tblPrEx>
          <w:tblCellMar>
            <w:top w:w="0" w:type="dxa"/>
            <w:bottom w:w="0" w:type="dxa"/>
          </w:tblCellMar>
        </w:tblPrEx>
        <w:trPr>
          <w:cantSplit/>
          <w:trHeight w:val="6000"/>
        </w:trPr>
        <w:tc>
          <w:tcPr>
            <w:tcW w:w="6036" w:type="dxa"/>
          </w:tcPr>
          <w:p w14:paraId="48E4F4C7" w14:textId="77777777" w:rsidR="007C11E9" w:rsidRPr="000A3A07" w:rsidRDefault="007C11E9">
            <w:pPr>
              <w:spacing w:line="500" w:lineRule="exact"/>
              <w:rPr>
                <w:sz w:val="56"/>
              </w:rPr>
            </w:pPr>
            <w:r w:rsidRPr="000A3A07">
              <w:rPr>
                <w:sz w:val="56"/>
              </w:rPr>
              <w:t xml:space="preserve"> </w:t>
            </w:r>
            <w:bookmarkStart w:id="26" w:name="Mittenrubrik"/>
            <w:bookmarkEnd w:id="26"/>
          </w:p>
          <w:p w14:paraId="128F4592" w14:textId="77777777" w:rsidR="007C11E9" w:rsidRPr="000A3A07" w:rsidRDefault="007C11E9">
            <w:pPr>
              <w:spacing w:line="500" w:lineRule="exact"/>
              <w:rPr>
                <w:sz w:val="56"/>
              </w:rPr>
            </w:pPr>
            <w:r w:rsidRPr="000A3A07">
              <w:rPr>
                <w:sz w:val="56"/>
              </w:rPr>
              <w:t xml:space="preserve">Nya vägar till </w:t>
            </w:r>
          </w:p>
          <w:p w14:paraId="1D6CAC43" w14:textId="77777777" w:rsidR="007C11E9" w:rsidRPr="000A3A07" w:rsidRDefault="007C11E9">
            <w:pPr>
              <w:spacing w:line="500" w:lineRule="exact"/>
            </w:pPr>
            <w:r w:rsidRPr="000A3A07">
              <w:rPr>
                <w:sz w:val="56"/>
              </w:rPr>
              <w:t>vägar och järnvägar?</w:t>
            </w:r>
          </w:p>
        </w:tc>
      </w:tr>
    </w:tbl>
    <w:p w14:paraId="7C922FAC" w14:textId="77777777" w:rsidR="007C11E9" w:rsidRPr="000A3A07" w:rsidRDefault="007C11E9"/>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0A3A07" w14:paraId="03AE229F" w14:textId="77777777">
        <w:tblPrEx>
          <w:tblCellMar>
            <w:top w:w="0" w:type="dxa"/>
            <w:bottom w:w="0" w:type="dxa"/>
          </w:tblCellMar>
        </w:tblPrEx>
        <w:trPr>
          <w:cantSplit/>
        </w:trPr>
        <w:tc>
          <w:tcPr>
            <w:tcW w:w="7583" w:type="dxa"/>
            <w:gridSpan w:val="3"/>
          </w:tcPr>
          <w:p w14:paraId="0F3BC981" w14:textId="77777777" w:rsidR="007C11E9" w:rsidRPr="000A3A07" w:rsidRDefault="007C11E9">
            <w:pPr>
              <w:pStyle w:val="Citat"/>
              <w:spacing w:before="0" w:line="245" w:lineRule="exact"/>
            </w:pPr>
          </w:p>
        </w:tc>
      </w:tr>
      <w:tr w:rsidR="00000000" w:rsidRPr="000A3A07" w14:paraId="019A2086" w14:textId="77777777">
        <w:tblPrEx>
          <w:tblCellMar>
            <w:top w:w="0" w:type="dxa"/>
            <w:bottom w:w="0" w:type="dxa"/>
          </w:tblCellMar>
        </w:tblPrEx>
        <w:tc>
          <w:tcPr>
            <w:tcW w:w="2905" w:type="dxa"/>
          </w:tcPr>
          <w:p w14:paraId="4A72EF8C" w14:textId="77777777" w:rsidR="007C11E9" w:rsidRPr="000A3A07" w:rsidRDefault="007C11E9">
            <w:r w:rsidRPr="000A3A07">
              <w:t>RIKSDAGENS REVIS</w:t>
            </w:r>
            <w:r w:rsidRPr="000A3A07">
              <w:t>O</w:t>
            </w:r>
            <w:r w:rsidRPr="000A3A07">
              <w:t>RER</w:t>
            </w:r>
          </w:p>
        </w:tc>
        <w:tc>
          <w:tcPr>
            <w:tcW w:w="2268" w:type="dxa"/>
          </w:tcPr>
          <w:p w14:paraId="365CBA22" w14:textId="77777777" w:rsidR="007C11E9" w:rsidRPr="000A3A07" w:rsidRDefault="007C11E9">
            <w:r w:rsidRPr="000A3A07">
              <w:t>TEL 08-786 40 00</w:t>
            </w:r>
          </w:p>
        </w:tc>
        <w:tc>
          <w:tcPr>
            <w:tcW w:w="2410" w:type="dxa"/>
          </w:tcPr>
          <w:p w14:paraId="1E5D6FE3" w14:textId="77777777" w:rsidR="007C11E9" w:rsidRPr="000A3A07" w:rsidRDefault="007C11E9">
            <w:r w:rsidRPr="000A3A07">
              <w:t>www.riksdagen.se/rr</w:t>
            </w:r>
          </w:p>
        </w:tc>
      </w:tr>
      <w:tr w:rsidR="00000000" w:rsidRPr="000A3A07" w14:paraId="4EC9BAD5" w14:textId="77777777">
        <w:tblPrEx>
          <w:tblCellMar>
            <w:top w:w="0" w:type="dxa"/>
            <w:bottom w:w="0" w:type="dxa"/>
          </w:tblCellMar>
        </w:tblPrEx>
        <w:tc>
          <w:tcPr>
            <w:tcW w:w="2905" w:type="dxa"/>
          </w:tcPr>
          <w:p w14:paraId="10DE6BFB" w14:textId="77777777" w:rsidR="007C11E9" w:rsidRPr="000A3A07" w:rsidRDefault="007C11E9">
            <w:r w:rsidRPr="000A3A07">
              <w:t>100 12 STOCKHOLM</w:t>
            </w:r>
          </w:p>
        </w:tc>
        <w:tc>
          <w:tcPr>
            <w:tcW w:w="2268" w:type="dxa"/>
          </w:tcPr>
          <w:p w14:paraId="3FE1319C" w14:textId="77777777" w:rsidR="007C11E9" w:rsidRPr="000A3A07" w:rsidRDefault="007C11E9">
            <w:r w:rsidRPr="000A3A07">
              <w:t>FAX 08-786 61 88</w:t>
            </w:r>
          </w:p>
        </w:tc>
        <w:tc>
          <w:tcPr>
            <w:tcW w:w="2410" w:type="dxa"/>
          </w:tcPr>
          <w:p w14:paraId="3D390035" w14:textId="77777777" w:rsidR="007C11E9" w:rsidRPr="000A3A07" w:rsidRDefault="007C11E9"/>
        </w:tc>
      </w:tr>
    </w:tbl>
    <w:p w14:paraId="2C116575" w14:textId="77777777" w:rsidR="007C11E9" w:rsidRPr="000A3A07" w:rsidRDefault="007C11E9">
      <w:pPr>
        <w:pStyle w:val="Normaltindrag"/>
        <w:sectPr w:rsidR="00000000" w:rsidRPr="000A3A07">
          <w:headerReference w:type="default" r:id="rId11"/>
          <w:footerReference w:type="default" r:id="rId12"/>
          <w:footnotePr>
            <w:numRestart w:val="eachSect"/>
          </w:footnotePr>
          <w:endnotePr>
            <w:numRestart w:val="eachSect"/>
          </w:endnotePr>
          <w:pgSz w:w="11906" w:h="16838" w:code="9"/>
          <w:pgMar w:top="567" w:right="4876" w:bottom="4508" w:left="1134" w:header="227" w:footer="227" w:gutter="0"/>
          <w:cols w:space="720"/>
        </w:sectPr>
      </w:pPr>
    </w:p>
    <w:p w14:paraId="326DF872" w14:textId="77777777" w:rsidR="007C11E9" w:rsidRPr="000A3A07" w:rsidRDefault="007C11E9">
      <w:pPr>
        <w:pStyle w:val="Normaltindrag"/>
        <w:sectPr w:rsidR="00000000" w:rsidRPr="000A3A07">
          <w:headerReference w:type="default" r:id="rId13"/>
          <w:footnotePr>
            <w:numRestart w:val="eachSect"/>
          </w:footnotePr>
          <w:endnotePr>
            <w:numRestart w:val="eachSect"/>
          </w:endnotePr>
          <w:pgSz w:w="11906" w:h="16838" w:code="9"/>
          <w:pgMar w:top="567" w:right="4876" w:bottom="4508" w:left="1134" w:header="227" w:footer="227" w:gutter="0"/>
          <w:cols w:space="720"/>
        </w:sectPr>
      </w:pPr>
    </w:p>
    <w:p w14:paraId="3FE0F712" w14:textId="77777777" w:rsidR="007C11E9" w:rsidRPr="000A3A07" w:rsidRDefault="007C11E9">
      <w:pPr>
        <w:pStyle w:val="RubrikUtanNr"/>
      </w:pPr>
      <w:bookmarkStart w:id="27" w:name="_Toc496580981"/>
      <w:bookmarkStart w:id="28" w:name="_Toc506340928"/>
      <w:r w:rsidRPr="000A3A07">
        <w:t>Förord</w:t>
      </w:r>
      <w:bookmarkEnd w:id="27"/>
      <w:bookmarkEnd w:id="28"/>
    </w:p>
    <w:p w14:paraId="34733638" w14:textId="77777777" w:rsidR="007C11E9" w:rsidRPr="000A3A07" w:rsidRDefault="007C11E9">
      <w:r w:rsidRPr="000A3A07">
        <w:t>Riksdagens revisorer har på eget initiativ genomfört en granskning av väg- och järnvägsinvesteringar med alternativ finansiering. Med alternativ fina</w:t>
      </w:r>
      <w:r w:rsidRPr="000A3A07">
        <w:t>n</w:t>
      </w:r>
      <w:r w:rsidRPr="000A3A07">
        <w:t>siering avses annan finansiering än anslagsfinansi</w:t>
      </w:r>
      <w:r w:rsidRPr="000A3A07">
        <w:t>e</w:t>
      </w:r>
      <w:r w:rsidRPr="000A3A07">
        <w:t xml:space="preserve">ring. </w:t>
      </w:r>
    </w:p>
    <w:p w14:paraId="42F3E387" w14:textId="77777777" w:rsidR="007C11E9" w:rsidRPr="000A3A07" w:rsidRDefault="007C11E9">
      <w:pPr>
        <w:pStyle w:val="Normaltindrag"/>
      </w:pPr>
      <w:r w:rsidRPr="000A3A07">
        <w:t>Granskningen har inriktats både på de olika finansieringsformer som har använts och på det samhällsekonomiska beslutsunderlag som har tagits fram för väg- och järnvägsinvesteringar. I rapporten granskas olika motiv till alternativ finansiering och finansieringsformernas ekonomiska konsekvenser. I rapporten presenteras också en granskning av kvaliteten på de samhäll</w:t>
      </w:r>
      <w:r w:rsidRPr="000A3A07">
        <w:t>s</w:t>
      </w:r>
      <w:r w:rsidRPr="000A3A07">
        <w:t>ekonomiska kalkylerna för fyra stora infrastrukturinvesteringar – Arlandab</w:t>
      </w:r>
      <w:r w:rsidRPr="000A3A07">
        <w:t>a</w:t>
      </w:r>
      <w:r w:rsidRPr="000A3A07">
        <w:t>nan, Botniabanan, Citytunneln och Södra länken.</w:t>
      </w:r>
    </w:p>
    <w:p w14:paraId="216C7C13" w14:textId="77777777" w:rsidR="007C11E9" w:rsidRPr="000A3A07" w:rsidRDefault="007C11E9">
      <w:pPr>
        <w:pStyle w:val="Normaltindrag"/>
      </w:pPr>
      <w:r w:rsidRPr="000A3A07">
        <w:t>Bedömningen av kalkylerna har på revisorernas uppdrag genomförts av fyra forskare i nationalekonomi. Professor Lars Hultkrantz vid Högskolan Dalarna har granskat kalkylerna för Arlandabanan, professor Per-Olov J</w:t>
      </w:r>
      <w:r w:rsidRPr="000A3A07">
        <w:t>o</w:t>
      </w:r>
      <w:r w:rsidRPr="000A3A07">
        <w:t>hansson vid Handelshögskolan i Stockholm har analyserat kalkylen för Bo</w:t>
      </w:r>
      <w:r w:rsidRPr="000A3A07">
        <w:t>t</w:t>
      </w:r>
      <w:r w:rsidRPr="000A3A07">
        <w:t>niabanan, universitetslektor Jan-Eric Nilsson vid Högskolan Dalarna har granskat underlaget för Citytunneln och professor Jan Owen Jansson vid Universitetet i Linköping har studerat ka</w:t>
      </w:r>
      <w:r w:rsidRPr="000A3A07">
        <w:t>l</w:t>
      </w:r>
      <w:r w:rsidRPr="000A3A07">
        <w:t xml:space="preserve">kylerna för Södra länken. </w:t>
      </w:r>
    </w:p>
    <w:p w14:paraId="59E0AA0F" w14:textId="77777777" w:rsidR="007C11E9" w:rsidRPr="000A3A07" w:rsidRDefault="007C11E9">
      <w:pPr>
        <w:pStyle w:val="Normaltindrag"/>
      </w:pPr>
      <w:r w:rsidRPr="000A3A07">
        <w:t>Granskningen har bedrivits inom revisorernas tredje avdelning. I avde</w:t>
      </w:r>
      <w:r w:rsidRPr="000A3A07">
        <w:t>l</w:t>
      </w:r>
      <w:r w:rsidRPr="000A3A07">
        <w:t>ningen ingår riksdagsledamöterna Anders G Högmark (m) ordförande, Anita Jönsson (s) vice ordförande, Kenneth Lantz (kd), Marie Engström (v), Björn Kaaling (s), Conny Öhman (s), Ulf Kristersson (m) (t.o.m. 2000-05-18), Patrik Norinder (m) (fr.o.m. 2000-05-19) och Ann-Kristine Johansson (s).</w:t>
      </w:r>
    </w:p>
    <w:p w14:paraId="1AE8F464" w14:textId="77777777" w:rsidR="007C11E9" w:rsidRPr="000A3A07" w:rsidRDefault="007C11E9">
      <w:pPr>
        <w:pStyle w:val="Normaltindrag"/>
      </w:pPr>
      <w:r w:rsidRPr="000A3A07">
        <w:t>Inom revisorernas kansli har avdelningsdirektören Ann-Kristin Sjöström haft ansvaret för utredningsarbetet. Även kanslichefen Åke Dahlberg och utredningsch</w:t>
      </w:r>
      <w:r w:rsidRPr="000A3A07">
        <w:t>e</w:t>
      </w:r>
      <w:r w:rsidRPr="000A3A07">
        <w:t>ferna Stefan Ackerby och Karin Brunsson har deltagit i arbetet.</w:t>
      </w:r>
    </w:p>
    <w:p w14:paraId="75F46C3A" w14:textId="77777777" w:rsidR="007C11E9" w:rsidRPr="000A3A07" w:rsidRDefault="007C11E9">
      <w:pPr>
        <w:pStyle w:val="Normaltindrag"/>
      </w:pPr>
      <w:r w:rsidRPr="000A3A07">
        <w:t>Beslut om rapporten har fattats av revisorerna i plenum den 16 november 2000. Rapporten sänds nu på remiss till berörda myndigheter och organis</w:t>
      </w:r>
      <w:r w:rsidRPr="000A3A07">
        <w:t>a</w:t>
      </w:r>
      <w:r w:rsidRPr="000A3A07">
        <w:t>tioner. Därefter utformar revisorerna sitt slutliga ställningstagande i en skr</w:t>
      </w:r>
      <w:r w:rsidRPr="000A3A07">
        <w:t>i</w:t>
      </w:r>
      <w:r w:rsidRPr="000A3A07">
        <w:t>velse till riksdagen.</w:t>
      </w:r>
    </w:p>
    <w:p w14:paraId="3CE8ED59" w14:textId="77777777" w:rsidR="007C11E9" w:rsidRPr="000A3A07" w:rsidRDefault="007C11E9">
      <w:pPr>
        <w:pStyle w:val="Normaltindrag"/>
      </w:pPr>
    </w:p>
    <w:p w14:paraId="4EE647F9" w14:textId="77777777" w:rsidR="007C11E9" w:rsidRPr="000A3A07" w:rsidRDefault="007C11E9">
      <w:pPr>
        <w:pStyle w:val="Normaltindrag"/>
        <w:sectPr w:rsidR="00000000" w:rsidRPr="000A3A07">
          <w:headerReference w:type="even" r:id="rId14"/>
          <w:footerReference w:type="even" r:id="rId15"/>
          <w:footerReference w:type="default" r:id="rId16"/>
          <w:headerReference w:type="first" r:id="rId17"/>
          <w:footerReference w:type="first" r:id="rId18"/>
          <w:footnotePr>
            <w:numRestart w:val="eachSect"/>
          </w:footnotePr>
          <w:endnotePr>
            <w:numRestart w:val="eachSect"/>
          </w:endnotePr>
          <w:type w:val="oddPage"/>
          <w:pgSz w:w="11906" w:h="16838" w:code="9"/>
          <w:pgMar w:top="567" w:right="4876" w:bottom="4508" w:left="1134" w:header="0" w:footer="0" w:gutter="0"/>
          <w:cols w:space="397"/>
          <w:titlePg/>
        </w:sectPr>
      </w:pPr>
    </w:p>
    <w:p w14:paraId="7363F0B9" w14:textId="77777777" w:rsidR="007C11E9" w:rsidRPr="000A3A07" w:rsidRDefault="007C11E9">
      <w:pPr>
        <w:pStyle w:val="RubrikUtanNr"/>
        <w:sectPr w:rsidR="00000000" w:rsidRPr="000A3A07">
          <w:headerReference w:type="first" r:id="rId19"/>
          <w:footnotePr>
            <w:numRestart w:val="eachSect"/>
          </w:footnotePr>
          <w:endnotePr>
            <w:numRestart w:val="eachSect"/>
          </w:endnotePr>
          <w:pgSz w:w="11906" w:h="16838" w:code="9"/>
          <w:pgMar w:top="567" w:right="4876" w:bottom="4508" w:left="1134" w:header="0" w:footer="0" w:gutter="0"/>
          <w:cols w:space="397"/>
          <w:titlePg/>
        </w:sectPr>
      </w:pPr>
      <w:bookmarkStart w:id="29" w:name="_Toc496580983"/>
    </w:p>
    <w:p w14:paraId="5C16DE2B" w14:textId="77777777" w:rsidR="007C11E9" w:rsidRPr="000A3A07" w:rsidRDefault="007C11E9">
      <w:pPr>
        <w:pStyle w:val="RubrikUtanNr"/>
      </w:pPr>
      <w:bookmarkStart w:id="30" w:name="_Toc506340929"/>
      <w:r w:rsidRPr="000A3A07">
        <w:t>Sammanfattning</w:t>
      </w:r>
      <w:bookmarkEnd w:id="29"/>
      <w:bookmarkEnd w:id="30"/>
    </w:p>
    <w:p w14:paraId="7456064A" w14:textId="77777777" w:rsidR="007C11E9" w:rsidRPr="000A3A07" w:rsidRDefault="007C11E9">
      <w:r w:rsidRPr="000A3A07">
        <w:t>Riksdagens revisorers granskning omfattar frågor om finansiering av väg- och järnvägsinvesteringar och frågor om det samhällsekonomiska underlaget för beslut om väg- och järnvägsinvesteringar. Utgångspunkten i gransknin</w:t>
      </w:r>
      <w:r w:rsidRPr="000A3A07">
        <w:t>g</w:t>
      </w:r>
      <w:r w:rsidRPr="000A3A07">
        <w:t>en är investeringar som helt eller delvis finansieras på annat sätt än med anslag över statsbudgeten.</w:t>
      </w:r>
    </w:p>
    <w:p w14:paraId="233C2997" w14:textId="77777777" w:rsidR="007C11E9" w:rsidRPr="000A3A07" w:rsidRDefault="007C11E9">
      <w:pPr>
        <w:rPr>
          <w:i/>
        </w:rPr>
      </w:pPr>
      <w:r w:rsidRPr="000A3A07">
        <w:rPr>
          <w:i/>
        </w:rPr>
        <w:t>Alternativa finansieringsformer</w:t>
      </w:r>
    </w:p>
    <w:p w14:paraId="56143E20" w14:textId="77777777" w:rsidR="007C11E9" w:rsidRPr="000A3A07" w:rsidRDefault="007C11E9">
      <w:r w:rsidRPr="000A3A07">
        <w:t>Enligt budgetlagens huvudregel ska infrastrukturinvesteringar finansieras med anslag över statsbudgeten. Det innebär att investeringarna ska betalas på en gång med statens löpande inkomster. Riksdagen har dock möjlighet att besluta att en investering, i t.ex. väg- och järnvägsinvesteringar, ska finansi</w:t>
      </w:r>
      <w:r w:rsidRPr="000A3A07">
        <w:t>e</w:t>
      </w:r>
      <w:r w:rsidRPr="000A3A07">
        <w:t xml:space="preserve">ras på annat sätt än med anslag. </w:t>
      </w:r>
    </w:p>
    <w:p w14:paraId="61A03B46" w14:textId="77777777" w:rsidR="007C11E9" w:rsidRPr="000A3A07" w:rsidRDefault="007C11E9">
      <w:pPr>
        <w:pStyle w:val="Normaltindrag"/>
      </w:pPr>
      <w:r w:rsidRPr="000A3A07">
        <w:t>Denna möjlighet har riksdagen utnyttjat flera gånger. Väg- och järnvägsi</w:t>
      </w:r>
      <w:r w:rsidRPr="000A3A07">
        <w:t>n</w:t>
      </w:r>
      <w:r w:rsidRPr="000A3A07">
        <w:t>vesteringar har finansierats med lån i Riksgäldskontoret (t.ex. E 18/E 20 Örebro–Arboga), statligt garanterade lån på marknaden (t.ex. Botniabanan) och lån från kommuner, s.k. förskottering (t.ex. Tranebergsbron). Invest</w:t>
      </w:r>
      <w:r w:rsidRPr="000A3A07">
        <w:t>e</w:t>
      </w:r>
      <w:r w:rsidRPr="000A3A07">
        <w:t>ringar kan också avgiftsfinansieras (t.ex. Rödöbron), samfinansieras av olika parter (t.ex. Citytunneln) eller privatfinansieras genom partnerskap (t.ex. Arlandabanan). Finansieringsformerna motiveras på olika sätt och har olika ekonomiska konsekvenser för staten. I en del fall har flera f</w:t>
      </w:r>
      <w:r w:rsidRPr="000A3A07">
        <w:t>inansieringsfo</w:t>
      </w:r>
      <w:r w:rsidRPr="000A3A07">
        <w:t>r</w:t>
      </w:r>
      <w:r w:rsidRPr="000A3A07">
        <w:t>mer använts för en och samma invest</w:t>
      </w:r>
      <w:r w:rsidRPr="000A3A07">
        <w:t>e</w:t>
      </w:r>
      <w:r w:rsidRPr="000A3A07">
        <w:t xml:space="preserve">ring. </w:t>
      </w:r>
    </w:p>
    <w:p w14:paraId="5B0ECA9D" w14:textId="77777777" w:rsidR="007C11E9" w:rsidRPr="000A3A07" w:rsidRDefault="007C11E9">
      <w:pPr>
        <w:pStyle w:val="Normaltindrag"/>
      </w:pPr>
      <w:r w:rsidRPr="000A3A07">
        <w:t>Gemensamt för många alternativa finansieringsformer är att hela invest</w:t>
      </w:r>
      <w:r w:rsidRPr="000A3A07">
        <w:t>e</w:t>
      </w:r>
      <w:r w:rsidRPr="000A3A07">
        <w:t>ringsbeloppet inte belastar statsbudgeten när investeringen äger rum. I stället sprids kostnaden ut över en längre tid. Detta innebär att framtida anslag intecknas för betalning av redan gjorda investeringar, vilket kan begränsa framtida riksdagars möjlighet att besluta om nya investeringar eller ändrad inriktning eller omfattning på investeringarna. Dessutom finns risk för att utgiftstaket förlorar sin roll, i den mån det är ett uttryck för en strävan att begränsa de statliga utgi</w:t>
      </w:r>
      <w:r w:rsidRPr="000A3A07">
        <w:t>f</w:t>
      </w:r>
      <w:r w:rsidRPr="000A3A07">
        <w:t xml:space="preserve">terna. </w:t>
      </w:r>
    </w:p>
    <w:p w14:paraId="617FCF3C" w14:textId="77777777" w:rsidR="007C11E9" w:rsidRPr="000A3A07" w:rsidRDefault="007C11E9">
      <w:pPr>
        <w:pStyle w:val="Normaltindrag"/>
      </w:pPr>
      <w:r w:rsidRPr="000A3A07">
        <w:t xml:space="preserve">Möjligheten att </w:t>
      </w:r>
      <w:r w:rsidRPr="000A3A07">
        <w:t>kringgå de finansiella restriktioner som begränsar omfat</w:t>
      </w:r>
      <w:r w:rsidRPr="000A3A07">
        <w:t>t</w:t>
      </w:r>
      <w:r w:rsidRPr="000A3A07">
        <w:t>ningen av anslagsfinansierade investeringar innebär dock att lönsamma i</w:t>
      </w:r>
      <w:r w:rsidRPr="000A3A07">
        <w:t>n</w:t>
      </w:r>
      <w:r w:rsidRPr="000A3A07">
        <w:t>vesteringar kan tidigareläggas, vilket kan skapa samhällsekonomiska vinster. En del finansieringsformer kan dessutom medföra effektivitetsvinster, bl.a. genom riskfördelning och utnyttjande av den privata sektorns kommersiella kompetens. Vissa finansieringsformer kan underlätta planeringen av ett enskilt projekt och ge en bättre bild av en investerings kostnad och kvarst</w:t>
      </w:r>
      <w:r w:rsidRPr="000A3A07">
        <w:t>å</w:t>
      </w:r>
      <w:r w:rsidRPr="000A3A07">
        <w:t>ende värd</w:t>
      </w:r>
      <w:r w:rsidRPr="000A3A07">
        <w:t>e.</w:t>
      </w:r>
    </w:p>
    <w:p w14:paraId="7F3E27B4" w14:textId="77777777" w:rsidR="007C11E9" w:rsidRPr="000A3A07" w:rsidRDefault="007C11E9">
      <w:pPr>
        <w:pStyle w:val="Normaltindrag"/>
      </w:pPr>
      <w:r w:rsidRPr="000A3A07">
        <w:t>Revisorerna konstaterar att erfarenheten av effekterna av vissa finansi</w:t>
      </w:r>
      <w:r w:rsidRPr="000A3A07">
        <w:t>e</w:t>
      </w:r>
      <w:r w:rsidRPr="000A3A07">
        <w:t>ringsformer och det empiriska stödet för olika argument är begränsat. Rev</w:t>
      </w:r>
      <w:r w:rsidRPr="000A3A07">
        <w:t>i</w:t>
      </w:r>
      <w:r w:rsidRPr="000A3A07">
        <w:t>sorerna anser att det är angeläget att investeringar i vägar och järnvägar genomförs så kostnadseffektivt som möjligt. Revisorerna tar dock inte stäl</w:t>
      </w:r>
      <w:r w:rsidRPr="000A3A07">
        <w:t>l</w:t>
      </w:r>
      <w:r w:rsidRPr="000A3A07">
        <w:t>ning till i vilken omfattning alternativa finansieringsformer bör utnyttjas.</w:t>
      </w:r>
    </w:p>
    <w:p w14:paraId="0E862EB6" w14:textId="77777777" w:rsidR="007C11E9" w:rsidRPr="000A3A07" w:rsidRDefault="007C11E9">
      <w:pPr>
        <w:pStyle w:val="Normaltindrag"/>
      </w:pPr>
      <w:r w:rsidRPr="000A3A07">
        <w:t>Revisorerna anser att regeringens redovisning av väg- och järnvägsinvest</w:t>
      </w:r>
      <w:r w:rsidRPr="000A3A07">
        <w:t>e</w:t>
      </w:r>
      <w:r w:rsidRPr="000A3A07">
        <w:t>ringars finansiering bör förbättras. Regeringen bör vid varje förslag om en investering med alternativ finansiering för riksdagen klargöra motiven för och riskerna med den valda finansieringsformen. Investeringens inverkan på statsfinanserna bör klarläggas på ett tydligt sätt. Regeringen bör också följa upp genomförda investeringar och för riksdagen redovisa den valda finansi</w:t>
      </w:r>
      <w:r w:rsidRPr="000A3A07">
        <w:t>e</w:t>
      </w:r>
      <w:r w:rsidRPr="000A3A07">
        <w:t>ringsformens effekter.</w:t>
      </w:r>
    </w:p>
    <w:p w14:paraId="4CBABB95" w14:textId="77777777" w:rsidR="007C11E9" w:rsidRPr="000A3A07" w:rsidRDefault="007C11E9">
      <w:pPr>
        <w:rPr>
          <w:i/>
        </w:rPr>
      </w:pPr>
      <w:r w:rsidRPr="000A3A07">
        <w:rPr>
          <w:i/>
        </w:rPr>
        <w:t>Planeringsprocessen är uppdelad i två delar</w:t>
      </w:r>
    </w:p>
    <w:p w14:paraId="32BB1733" w14:textId="77777777" w:rsidR="007C11E9" w:rsidRPr="000A3A07" w:rsidRDefault="007C11E9">
      <w:r w:rsidRPr="000A3A07">
        <w:t>Det finns två parallella planeringsprocesser för investeringar i vägar och järnvägar. I den ordinarie planeringsprocessen ingår anslagsfinansierade investeringar. Denna planering resulterar i tioåriga planer som revideras vart fjärde år. Planerna för 1998–2007 omfattar i enlighet med riksdagens beslut investeringar för totalt 190 miljarder kronor. Investeringar för ytterligare 50 miljarder kronor beräknas genomföras under samma period. Dessa invest</w:t>
      </w:r>
      <w:r w:rsidRPr="000A3A07">
        <w:t>e</w:t>
      </w:r>
      <w:r w:rsidRPr="000A3A07">
        <w:t>ringar avses inte finansieras med anslag och ingår därför inte i den av riksd</w:t>
      </w:r>
      <w:r w:rsidRPr="000A3A07">
        <w:t>a</w:t>
      </w:r>
      <w:r w:rsidRPr="000A3A07">
        <w:t>gen beslutade pl</w:t>
      </w:r>
      <w:r w:rsidRPr="000A3A07">
        <w:t>a</w:t>
      </w:r>
      <w:r w:rsidRPr="000A3A07">
        <w:t xml:space="preserve">neringsramen om 190 miljarder kronor. </w:t>
      </w:r>
    </w:p>
    <w:p w14:paraId="4E75D1B9" w14:textId="77777777" w:rsidR="007C11E9" w:rsidRPr="000A3A07" w:rsidRDefault="007C11E9">
      <w:pPr>
        <w:pStyle w:val="Normaltindrag"/>
      </w:pPr>
      <w:r w:rsidRPr="000A3A07">
        <w:t>Vid urval och prioritering av de projekt som ingår i Vägverkets och Ba</w:t>
      </w:r>
      <w:r w:rsidRPr="000A3A07">
        <w:t>n</w:t>
      </w:r>
      <w:r w:rsidRPr="000A3A07">
        <w:t>verkets tioåriga planer ska en utgångspunkt vara den samhällsekonomiska lönsamheten. Vägverket och Banverket upprättar sina planer utifrån den av riksdagen beslutade ekonomiska ramen.</w:t>
      </w:r>
    </w:p>
    <w:p w14:paraId="18FB8A04" w14:textId="77777777" w:rsidR="007C11E9" w:rsidRPr="000A3A07" w:rsidRDefault="007C11E9">
      <w:pPr>
        <w:pStyle w:val="Normaltindrag"/>
      </w:pPr>
      <w:r w:rsidRPr="000A3A07">
        <w:t>Planeringen av projekt som ligger utanför den ordinarie planeringsproce</w:t>
      </w:r>
      <w:r w:rsidRPr="000A3A07">
        <w:t>s</w:t>
      </w:r>
      <w:r w:rsidRPr="000A3A07">
        <w:t>sen görs inte utifrån någon samlad ekonomisk ram, utan varje projekt plan</w:t>
      </w:r>
      <w:r w:rsidRPr="000A3A07">
        <w:t>e</w:t>
      </w:r>
      <w:r w:rsidRPr="000A3A07">
        <w:t>ras för sig. Prioriteringsgrunderna blir därmed inte lika klara som för a</w:t>
      </w:r>
      <w:r w:rsidRPr="000A3A07">
        <w:t>n</w:t>
      </w:r>
      <w:r w:rsidRPr="000A3A07">
        <w:t>slagsf</w:t>
      </w:r>
      <w:r w:rsidRPr="000A3A07">
        <w:t>i</w:t>
      </w:r>
      <w:r w:rsidRPr="000A3A07">
        <w:t xml:space="preserve">nansierade projekt. </w:t>
      </w:r>
    </w:p>
    <w:p w14:paraId="04EA6CD6" w14:textId="77777777" w:rsidR="007C11E9" w:rsidRPr="000A3A07" w:rsidRDefault="007C11E9">
      <w:pPr>
        <w:pStyle w:val="Normaltindrag"/>
      </w:pPr>
      <w:r w:rsidRPr="000A3A07">
        <w:t>Revisorerna anser att det finns anledning att se över planeringsprocessen för investeringar i vägar och järnvägar. Översynen bör ta sikte på en plan</w:t>
      </w:r>
      <w:r w:rsidRPr="000A3A07">
        <w:t>e</w:t>
      </w:r>
      <w:r w:rsidRPr="000A3A07">
        <w:t>ringsmodell där samtliga nationella väg- och järnvägsinvesteringar som helt eller delvis finansieras med statliga medel prövas inbördes, oberoende av finansieringsform. Revisorerna anser att valet av investeringsprojekt bör baseras på samhällsekonomiska bedömningar med utgångspunkt från de transportpolitiska målen. Med dagens system finns risk för att samhällsek</w:t>
      </w:r>
      <w:r w:rsidRPr="000A3A07">
        <w:t>o</w:t>
      </w:r>
      <w:r w:rsidRPr="000A3A07">
        <w:t>nomiskt mindre angelägna investeringar ges företräde om de kan finansieras på annat sätt än med anslag över statsbudgeten. Därmed finns också risk</w:t>
      </w:r>
      <w:r w:rsidRPr="000A3A07">
        <w:t xml:space="preserve"> för att projekt med alternativ finansiering tränger undan resurser för samhäll</w:t>
      </w:r>
      <w:r w:rsidRPr="000A3A07">
        <w:t>s</w:t>
      </w:r>
      <w:r w:rsidRPr="000A3A07">
        <w:t>ekonomiskt mer lönsamma åtgä</w:t>
      </w:r>
      <w:r w:rsidRPr="000A3A07">
        <w:t>r</w:t>
      </w:r>
      <w:r w:rsidRPr="000A3A07">
        <w:t xml:space="preserve">der. </w:t>
      </w:r>
    </w:p>
    <w:p w14:paraId="305DF5C1" w14:textId="77777777" w:rsidR="007C11E9" w:rsidRPr="000A3A07" w:rsidRDefault="007C11E9">
      <w:pPr>
        <w:rPr>
          <w:i/>
        </w:rPr>
      </w:pPr>
      <w:r w:rsidRPr="000A3A07">
        <w:rPr>
          <w:i/>
        </w:rPr>
        <w:t xml:space="preserve">Det samhällsekonomiska beslutsunderlaget är bristfälligt </w:t>
      </w:r>
    </w:p>
    <w:p w14:paraId="1FA9C6CE" w14:textId="77777777" w:rsidR="007C11E9" w:rsidRPr="000A3A07" w:rsidRDefault="007C11E9">
      <w:r w:rsidRPr="000A3A07">
        <w:t>Av de fallstudier som har gjorts inom ramen för revisorernas granskning framgår att det finns betydande brister i det samhällsekonomiska underlaget för besluten om de studerade väg- och järnvägsinvesteringarna, som berä</w:t>
      </w:r>
      <w:r w:rsidRPr="000A3A07">
        <w:t>k</w:t>
      </w:r>
      <w:r w:rsidRPr="000A3A07">
        <w:t>nas kosta sammanlagt ca 30 miljarder kronor. Revisorerna anser att underl</w:t>
      </w:r>
      <w:r w:rsidRPr="000A3A07">
        <w:t>a</w:t>
      </w:r>
      <w:r w:rsidRPr="000A3A07">
        <w:t xml:space="preserve">get är av så bristfällig karaktär att det innebär risk för att beslut fattas som kan medföra samhällsekonomiska förluster på flera miljarder kronor. </w:t>
      </w:r>
    </w:p>
    <w:p w14:paraId="4F3C9092" w14:textId="77777777" w:rsidR="007C11E9" w:rsidRPr="000A3A07" w:rsidRDefault="007C11E9">
      <w:pPr>
        <w:pStyle w:val="Normaltindrag"/>
      </w:pPr>
      <w:r w:rsidRPr="000A3A07">
        <w:t>Revisorerna anser att samhällsekonomiska kalkyler utgör en viktig del av det samlade beslutsunderlaget för alla väg- och järnvägsinvesteringar. Det faktum att en investerings samtliga effekter inte kan beaktas i en kalkyl p</w:t>
      </w:r>
      <w:r w:rsidRPr="000A3A07">
        <w:t>å</w:t>
      </w:r>
      <w:r w:rsidRPr="000A3A07">
        <w:t>verkar enligt revisorernas uppfattning inte kravet på att kalkylerna måste vara av hög kvalitet. Att kraven på ett fullgott underlag uppfylls är särskilt viktigt när det gäller alternativfinansierade projekt av den storlek som ingår i revisorernas granskning. Regeringens beslutsunderlag bör i princip uppfylla  samma krav som regeringen ställer på Vägverkets och Banverkets underlag för pr</w:t>
      </w:r>
      <w:r w:rsidRPr="000A3A07">
        <w:t>o</w:t>
      </w:r>
      <w:r w:rsidRPr="000A3A07">
        <w:t>jekt i den ordinarie planeringsprocessen.</w:t>
      </w:r>
    </w:p>
    <w:p w14:paraId="618312AB" w14:textId="77777777" w:rsidR="007C11E9" w:rsidRPr="000A3A07" w:rsidRDefault="007C11E9">
      <w:pPr>
        <w:pStyle w:val="Normaltindrag"/>
      </w:pPr>
      <w:r w:rsidRPr="000A3A07">
        <w:t>Revisorerna anser att kraven på utformningen av det samhällsekonomiska besluts</w:t>
      </w:r>
      <w:r w:rsidRPr="000A3A07">
        <w:t>underlaget för väg- och järnvägsinvesteringar bör övervägas i sa</w:t>
      </w:r>
      <w:r w:rsidRPr="000A3A07">
        <w:t>m</w:t>
      </w:r>
      <w:r w:rsidRPr="000A3A07">
        <w:t xml:space="preserve">band med den översyn av planeringsprocessen som revisorerna föreslår. </w:t>
      </w:r>
    </w:p>
    <w:p w14:paraId="7C701DF5" w14:textId="77777777" w:rsidR="007C11E9" w:rsidRPr="000A3A07" w:rsidRDefault="007C11E9">
      <w:pPr>
        <w:pStyle w:val="Rubrik1"/>
        <w:sectPr w:rsidR="00000000" w:rsidRPr="000A3A07">
          <w:headerReference w:type="default" r:id="rId20"/>
          <w:footerReference w:type="default" r:id="rId21"/>
          <w:headerReference w:type="first" r:id="rId22"/>
          <w:footnotePr>
            <w:numRestart w:val="eachSect"/>
          </w:footnotePr>
          <w:endnotePr>
            <w:numRestart w:val="eachSect"/>
          </w:endnotePr>
          <w:pgSz w:w="11906" w:h="16838" w:code="9"/>
          <w:pgMar w:top="567" w:right="4876" w:bottom="4508" w:left="1134" w:header="0" w:footer="0" w:gutter="0"/>
          <w:cols w:space="397"/>
          <w:titlePg/>
        </w:sectPr>
      </w:pPr>
    </w:p>
    <w:p w14:paraId="743A3929" w14:textId="77777777" w:rsidR="007C11E9" w:rsidRPr="000A3A07" w:rsidRDefault="007C11E9">
      <w:pPr>
        <w:pStyle w:val="Rubrik1"/>
        <w:numPr>
          <w:ilvl w:val="0"/>
          <w:numId w:val="171"/>
        </w:numPr>
      </w:pPr>
      <w:bookmarkStart w:id="31" w:name="_Toc496580984"/>
      <w:bookmarkStart w:id="32" w:name="_Toc506340930"/>
      <w:r w:rsidRPr="000A3A07">
        <w:t>Granskningens bakgrund och inriktning</w:t>
      </w:r>
      <w:bookmarkEnd w:id="31"/>
      <w:bookmarkEnd w:id="32"/>
    </w:p>
    <w:p w14:paraId="78AFCF27" w14:textId="77777777" w:rsidR="007C11E9" w:rsidRPr="000A3A07" w:rsidRDefault="007C11E9">
      <w:r w:rsidRPr="000A3A07">
        <w:t xml:space="preserve">I november 1999 fattade Riksdagens revisorer på eget initiativ beslut om att genomföra en granskning utifrån ett antal infrastrukturinvesteringar som har finansierats på annat sätt än med anslag över statsbudgeten. </w:t>
      </w:r>
    </w:p>
    <w:p w14:paraId="0BAB15B7" w14:textId="77777777" w:rsidR="007C11E9" w:rsidRPr="000A3A07" w:rsidRDefault="007C11E9">
      <w:pPr>
        <w:pStyle w:val="Normaltindrag"/>
      </w:pPr>
      <w:r w:rsidRPr="000A3A07">
        <w:t>Enligt budgetlagens huvudregel ska infrastrukturella investeringar finans</w:t>
      </w:r>
      <w:r w:rsidRPr="000A3A07">
        <w:t>i</w:t>
      </w:r>
      <w:r w:rsidRPr="000A3A07">
        <w:t>eras med anslag på statsbudgeten. Anslagsfinansiering innebär att en invest</w:t>
      </w:r>
      <w:r w:rsidRPr="000A3A07">
        <w:t>e</w:t>
      </w:r>
      <w:r w:rsidRPr="000A3A07">
        <w:t>ring betalas på en gång med statens löpande inkomster. Riksdagen har flera gånger uttalat att anslagsfinansiering ger riksdagen bäst möjlighet till infl</w:t>
      </w:r>
      <w:r w:rsidRPr="000A3A07">
        <w:t>y</w:t>
      </w:r>
      <w:r w:rsidRPr="000A3A07">
        <w:t>tande och överblick. Anslagsfinansiering har setts som särskilt viktig i fråga om stora infrastrukturella investeringar som inte ger monetär avkas</w:t>
      </w:r>
      <w:r w:rsidRPr="000A3A07">
        <w:t>t</w:t>
      </w:r>
      <w:r w:rsidRPr="000A3A07">
        <w:t xml:space="preserve">ning. </w:t>
      </w:r>
    </w:p>
    <w:p w14:paraId="3D6CBB69" w14:textId="77777777" w:rsidR="007C11E9" w:rsidRPr="000A3A07" w:rsidRDefault="007C11E9">
      <w:pPr>
        <w:pStyle w:val="Normaltindrag"/>
      </w:pPr>
      <w:r w:rsidRPr="000A3A07">
        <w:t>Med alternativ finansiering avses annan finansiering än anslagsfinansi</w:t>
      </w:r>
      <w:r w:rsidRPr="000A3A07">
        <w:t>e</w:t>
      </w:r>
      <w:r w:rsidRPr="000A3A07">
        <w:t>ring. Riksdagen har enligt budgetlagen möjlighet att besluta att en i</w:t>
      </w:r>
      <w:r w:rsidRPr="000A3A07">
        <w:t>n</w:t>
      </w:r>
      <w:r w:rsidRPr="000A3A07">
        <w:t>frastrukturinvestering ska finansieras på annat sätt än med anslag. Riksdag och regering har vid olika tillfällen förespråkat större inslag av alternativ finansiering. Regeringen betonade senast i budgetpropositionen för 2000 vikten av att närmare utreda möjligheterna att i större utsträckning finansiera väg- och järnvägsinvesteringar på annat sätt än med anslag.</w:t>
      </w:r>
    </w:p>
    <w:p w14:paraId="0F5E9240" w14:textId="77777777" w:rsidR="007C11E9" w:rsidRPr="000A3A07" w:rsidRDefault="007C11E9">
      <w:pPr>
        <w:pStyle w:val="Normaltindrag"/>
      </w:pPr>
      <w:r w:rsidRPr="000A3A07">
        <w:t>Revisorerna beslutade att granskningen skulle inriktas på de finansiering</w:t>
      </w:r>
      <w:r w:rsidRPr="000A3A07">
        <w:t>s</w:t>
      </w:r>
      <w:r w:rsidRPr="000A3A07">
        <w:t>former som har använts vid investeringar i vägar och järnvägar. I rapporten kartlägger revisorerna olika finansieringsformer och ger exempel på väg- och järnvägsinvesteringar som har finansierats på annat sätt än med anslag. I rapporten granskar revisorerna också de motiv som angetts för att utnyttja möjligheten till alternativ finansiering. Revisorerna belyser även finansi</w:t>
      </w:r>
      <w:r w:rsidRPr="000A3A07">
        <w:t>e</w:t>
      </w:r>
      <w:r w:rsidRPr="000A3A07">
        <w:t>ringsformernas ekonomiska konsekvenser. Underlaget till granskningen bygger på propositioner, utskottsbetänkanden, diverse utredningar</w:t>
      </w:r>
      <w:r w:rsidRPr="000A3A07">
        <w:t xml:space="preserve"> och mat</w:t>
      </w:r>
      <w:r w:rsidRPr="000A3A07">
        <w:t>e</w:t>
      </w:r>
      <w:r w:rsidRPr="000A3A07">
        <w:t>rial från Vägverket och Banverket. Intervjuer har också genomförts med representanter för Näringsdepartementet, Finansdepartementet och olika myndigh</w:t>
      </w:r>
      <w:r w:rsidRPr="000A3A07">
        <w:t>e</w:t>
      </w:r>
      <w:r w:rsidRPr="000A3A07">
        <w:t>ter.</w:t>
      </w:r>
    </w:p>
    <w:p w14:paraId="3A1D5254" w14:textId="77777777" w:rsidR="007C11E9" w:rsidRPr="000A3A07" w:rsidRDefault="007C11E9">
      <w:pPr>
        <w:pStyle w:val="Normaltindrag"/>
      </w:pPr>
      <w:r w:rsidRPr="000A3A07">
        <w:t>Det har i flera sammanhang riktats kritik mot kvaliteten på och använ</w:t>
      </w:r>
      <w:r w:rsidRPr="000A3A07">
        <w:t>d</w:t>
      </w:r>
      <w:r w:rsidRPr="000A3A07">
        <w:t>ningen av samhällsekonomiska kalkyler i samband med väg- och järnvägsi</w:t>
      </w:r>
      <w:r w:rsidRPr="000A3A07">
        <w:t>n</w:t>
      </w:r>
      <w:r w:rsidRPr="000A3A07">
        <w:t>vesteringar. Revisorerna beslutade därför att granskningen också skulle inriktas på kvaliteten på det samhällsekonomiska beslutsunderlaget för i</w:t>
      </w:r>
      <w:r w:rsidRPr="000A3A07">
        <w:t>n</w:t>
      </w:r>
      <w:r w:rsidRPr="000A3A07">
        <w:t>frastrukturinvesteringar med annan finansiering än anslagsfinansiering. De investeringar som ingår i granskningen är Arlandabanan, Botniabanan, C</w:t>
      </w:r>
      <w:r w:rsidRPr="000A3A07">
        <w:t>i</w:t>
      </w:r>
      <w:r w:rsidRPr="000A3A07">
        <w:t>tytunneln i Malmö och Södra länken i Stockholm. Revisorerna har anlitat fyra forskare som fått i uppdrag att granska kalkylernas kvalitet. Forskarnas</w:t>
      </w:r>
      <w:r w:rsidRPr="000A3A07">
        <w:t xml:space="preserve"> bedömning skulle bl.a. göras utifrån en analys av vilka alternativ som utretts, vilka effekter som räknats med, vilka antaganden man utgått från, vilka undersökningar olika antaganden baseras på och hur beräkningarna påverkas av olika antaganden. Uppdraget var således inte att bedöma projektens sa</w:t>
      </w:r>
      <w:r w:rsidRPr="000A3A07">
        <w:t>m</w:t>
      </w:r>
      <w:r w:rsidRPr="000A3A07">
        <w:t xml:space="preserve">hällsekonomiska lönsamhet. I rapporten presenteras forskarnas slutsatser och berörda intressenters synpunkter. </w:t>
      </w:r>
    </w:p>
    <w:p w14:paraId="11EC3962" w14:textId="77777777" w:rsidR="007C11E9" w:rsidRPr="000A3A07" w:rsidRDefault="007C11E9">
      <w:pPr>
        <w:pStyle w:val="Normaltindrag"/>
      </w:pPr>
    </w:p>
    <w:p w14:paraId="2E62286A" w14:textId="77777777" w:rsidR="007C11E9" w:rsidRPr="000A3A07" w:rsidRDefault="007C11E9">
      <w:pPr>
        <w:pStyle w:val="Rubrik1"/>
      </w:pPr>
      <w:bookmarkStart w:id="33" w:name="_Toc464458102"/>
      <w:bookmarkStart w:id="34" w:name="_Toc496580985"/>
      <w:bookmarkStart w:id="35" w:name="_Toc506340931"/>
      <w:r w:rsidRPr="000A3A07">
        <w:t>Vägverket och Banverket</w:t>
      </w:r>
      <w:bookmarkEnd w:id="34"/>
      <w:bookmarkEnd w:id="35"/>
    </w:p>
    <w:p w14:paraId="06B52CC0" w14:textId="77777777" w:rsidR="007C11E9" w:rsidRPr="000A3A07" w:rsidRDefault="007C11E9">
      <w:r w:rsidRPr="000A3A07">
        <w:t>Vägverket har sektorsansvar för vägtransportsystemet och Banverket har sektorsansvar för järnvägstransportsystemet. Det betyder att verken som statens företrädare på central nivå har ett samlat ansvar för respektive tran</w:t>
      </w:r>
      <w:r w:rsidRPr="000A3A07">
        <w:t>s</w:t>
      </w:r>
      <w:r w:rsidRPr="000A3A07">
        <w:t>portsystems effektivitet, tillgänglighet, framkomlighet, trafiksäkerhet, mi</w:t>
      </w:r>
      <w:r w:rsidRPr="000A3A07">
        <w:t>l</w:t>
      </w:r>
      <w:r w:rsidRPr="000A3A07">
        <w:t>jöpåverkan samt för frågor som rör fordon, kollektivtrafik, handikappanpas</w:t>
      </w:r>
      <w:r w:rsidRPr="000A3A07">
        <w:t>s</w:t>
      </w:r>
      <w:r w:rsidRPr="000A3A07">
        <w:t>ning m.m.</w:t>
      </w:r>
    </w:p>
    <w:p w14:paraId="6F8264BD" w14:textId="77777777" w:rsidR="007C11E9" w:rsidRPr="000A3A07" w:rsidRDefault="007C11E9">
      <w:pPr>
        <w:pStyle w:val="Normaltindrag"/>
      </w:pPr>
      <w:r w:rsidRPr="000A3A07">
        <w:t>Riksdagen slog i det senaste transportpolitiska beslutet fast att trans</w:t>
      </w:r>
      <w:r w:rsidRPr="000A3A07">
        <w:softHyphen/>
        <w:t>portpolitiken ska bidra till att nå överordnade välfärdsmål och att transpor</w:t>
      </w:r>
      <w:r w:rsidRPr="000A3A07">
        <w:t>t</w:t>
      </w:r>
      <w:r w:rsidRPr="000A3A07">
        <w:t>systemet måste ses som en helhet (prop. 1997/98:56, bet. 1997/98:TU10, rskr. 1997/98:266). De transport</w:t>
      </w:r>
      <w:r w:rsidRPr="000A3A07">
        <w:softHyphen/>
        <w:t xml:space="preserve">politiska målen består av ett övergripande mål och fem delmål. </w:t>
      </w:r>
    </w:p>
    <w:p w14:paraId="785FA031" w14:textId="77777777" w:rsidR="007C11E9" w:rsidRPr="000A3A07" w:rsidRDefault="007C11E9">
      <w:pPr>
        <w:pStyle w:val="Normaltindrag"/>
      </w:pPr>
      <w:r w:rsidRPr="000A3A07">
        <w:t>Det övergri</w:t>
      </w:r>
      <w:r w:rsidRPr="000A3A07">
        <w:softHyphen/>
        <w:t>pande målet är att ”säkerställa en sam</w:t>
      </w:r>
      <w:r w:rsidRPr="000A3A07">
        <w:softHyphen/>
        <w:t>hällseko</w:t>
      </w:r>
      <w:r w:rsidRPr="000A3A07">
        <w:softHyphen/>
        <w:t>nomiskt effektiv och långsik</w:t>
      </w:r>
      <w:r w:rsidRPr="000A3A07">
        <w:softHyphen/>
        <w:t>tigt hållbar transportförsörjning för medborgarna och näringslivet i hela landet”. Delmålen rör tillgänglighet, transportkvalitet, trafik</w:t>
      </w:r>
      <w:r w:rsidRPr="000A3A07">
        <w:softHyphen/>
        <w:t>säkerhet, miljö och regional utveckling.</w:t>
      </w:r>
    </w:p>
    <w:p w14:paraId="0791699F" w14:textId="77777777" w:rsidR="007C11E9" w:rsidRPr="000A3A07" w:rsidRDefault="007C11E9">
      <w:pPr>
        <w:pStyle w:val="Normaltindrag"/>
      </w:pPr>
      <w:r w:rsidRPr="000A3A07">
        <w:t>Utifrån de övergripande transportpolitiska målen anger regeringen varje år i Vägverkets och Banverkets regleringsbrev mot vilka mål verken ska arbeta. Vägverkets och Banverkets ansvar och uppgifter anges i verkens instrukti</w:t>
      </w:r>
      <w:r w:rsidRPr="000A3A07">
        <w:t>o</w:t>
      </w:r>
      <w:r w:rsidRPr="000A3A07">
        <w:t xml:space="preserve">ner (förordning [1997:652] med instruktion för Vägverket och förordning [1998:1392] med instruktion för Banverket). Vägverkets och Banverkets verksamhet kan delas in i följande fyra delar: </w:t>
      </w:r>
    </w:p>
    <w:p w14:paraId="708DA8F0" w14:textId="77777777" w:rsidR="007C11E9" w:rsidRPr="000A3A07" w:rsidRDefault="007C11E9">
      <w:pPr>
        <w:numPr>
          <w:ilvl w:val="0"/>
          <w:numId w:val="52"/>
        </w:numPr>
        <w:spacing w:before="0"/>
      </w:pPr>
      <w:r w:rsidRPr="000A3A07">
        <w:rPr>
          <w:i/>
        </w:rPr>
        <w:t>sektorsuppgiften</w:t>
      </w:r>
      <w:r w:rsidRPr="000A3A07">
        <w:t>, som innebär ett samlat ansvar för respektive transpor</w:t>
      </w:r>
      <w:r w:rsidRPr="000A3A07">
        <w:t>t</w:t>
      </w:r>
      <w:r w:rsidRPr="000A3A07">
        <w:t xml:space="preserve">systems funktion, utveckling och roll i vid mening, </w:t>
      </w:r>
    </w:p>
    <w:p w14:paraId="0596F787" w14:textId="77777777" w:rsidR="007C11E9" w:rsidRPr="000A3A07" w:rsidRDefault="007C11E9">
      <w:pPr>
        <w:numPr>
          <w:ilvl w:val="0"/>
          <w:numId w:val="52"/>
        </w:numPr>
        <w:spacing w:before="0"/>
      </w:pPr>
      <w:r w:rsidRPr="000A3A07">
        <w:rPr>
          <w:i/>
        </w:rPr>
        <w:t>myndighetsutövning</w:t>
      </w:r>
      <w:r w:rsidRPr="000A3A07">
        <w:t>, som omfattar framtagande och tillämpning av regler för exempelvis fordon, körkort och yrke</w:t>
      </w:r>
      <w:r w:rsidRPr="000A3A07">
        <w:t>s</w:t>
      </w:r>
      <w:r w:rsidRPr="000A3A07">
        <w:t>trafik,</w:t>
      </w:r>
    </w:p>
    <w:p w14:paraId="0BA29EBC" w14:textId="77777777" w:rsidR="007C11E9" w:rsidRPr="000A3A07" w:rsidRDefault="007C11E9">
      <w:pPr>
        <w:numPr>
          <w:ilvl w:val="0"/>
          <w:numId w:val="52"/>
        </w:numPr>
        <w:spacing w:before="0"/>
      </w:pPr>
      <w:r w:rsidRPr="000A3A07">
        <w:rPr>
          <w:i/>
        </w:rPr>
        <w:t>produktion</w:t>
      </w:r>
      <w:r w:rsidRPr="000A3A07">
        <w:t>, som omfattar projektering, byggande, drift och underhåll som utförs på uppdrag av verken eller andra,</w:t>
      </w:r>
    </w:p>
    <w:p w14:paraId="78B0379C" w14:textId="77777777" w:rsidR="007C11E9" w:rsidRPr="000A3A07" w:rsidRDefault="007C11E9">
      <w:pPr>
        <w:numPr>
          <w:ilvl w:val="0"/>
          <w:numId w:val="52"/>
        </w:numPr>
        <w:spacing w:before="0"/>
      </w:pPr>
      <w:r w:rsidRPr="000A3A07">
        <w:rPr>
          <w:i/>
        </w:rPr>
        <w:t>statlig väghållning/banhållning</w:t>
      </w:r>
      <w:r w:rsidRPr="000A3A07">
        <w:t>, som innebär förvaltning av det statliga vägnätet/statens spåranläggningar samt nyinvesteringar.</w:t>
      </w:r>
    </w:p>
    <w:p w14:paraId="1B52470C" w14:textId="77777777" w:rsidR="007C11E9" w:rsidRPr="000A3A07" w:rsidRDefault="007C11E9">
      <w:r w:rsidRPr="000A3A07">
        <w:t>Vägverkets och Banverkets verksamhet är i huvudsak finansierad via anslag från statsbudgeten. Största delen av deras verksamhet utgörs av väghållning respektive ban</w:t>
      </w:r>
      <w:r w:rsidRPr="000A3A07">
        <w:softHyphen/>
        <w:t>hållning, dvs. drift och underhåll samt nybyggnad och o</w:t>
      </w:r>
      <w:r w:rsidRPr="000A3A07">
        <w:t>m</w:t>
      </w:r>
      <w:r w:rsidRPr="000A3A07">
        <w:t>byggnad av statliga vägar och järnv</w:t>
      </w:r>
      <w:r w:rsidRPr="000A3A07">
        <w:t>ä</w:t>
      </w:r>
      <w:r w:rsidRPr="000A3A07">
        <w:t xml:space="preserve">gar.  </w:t>
      </w:r>
    </w:p>
    <w:p w14:paraId="3E7C5613" w14:textId="77777777" w:rsidR="007C11E9" w:rsidRPr="000A3A07" w:rsidRDefault="007C11E9">
      <w:pPr>
        <w:pStyle w:val="Rubrik1"/>
      </w:pPr>
      <w:r w:rsidRPr="000A3A07">
        <w:br w:type="page"/>
      </w:r>
      <w:bookmarkStart w:id="36" w:name="_Toc496580986"/>
      <w:bookmarkStart w:id="37" w:name="_Toc506340932"/>
      <w:bookmarkEnd w:id="33"/>
      <w:r w:rsidRPr="000A3A07">
        <w:t>Planering av investeringar i vägar och järnvägar</w:t>
      </w:r>
      <w:bookmarkEnd w:id="36"/>
      <w:bookmarkEnd w:id="37"/>
    </w:p>
    <w:p w14:paraId="42FEF204" w14:textId="77777777" w:rsidR="007C11E9" w:rsidRPr="000A3A07" w:rsidRDefault="007C11E9">
      <w:r w:rsidRPr="000A3A07">
        <w:t>De transportpolitiska målen utgör utgångspunkten för planeringen av inve</w:t>
      </w:r>
      <w:r w:rsidRPr="000A3A07">
        <w:t>s</w:t>
      </w:r>
      <w:r w:rsidRPr="000A3A07">
        <w:t>teringar i vägar och järnvägar. I planeringen ska de åtgärder som bäst bi</w:t>
      </w:r>
      <w:r w:rsidRPr="000A3A07">
        <w:softHyphen/>
        <w:t xml:space="preserve">drar till att uppfylla målen identifieras. </w:t>
      </w:r>
    </w:p>
    <w:p w14:paraId="4997587F" w14:textId="0E219AE3" w:rsidR="007C11E9" w:rsidRPr="000A3A07" w:rsidRDefault="000A3A07">
      <w:pPr>
        <w:pStyle w:val="Normaltindrag"/>
      </w:pPr>
      <w:r w:rsidRPr="000A3A07">
        <w:rPr>
          <w:noProof/>
        </w:rPr>
        <mc:AlternateContent>
          <mc:Choice Requires="wps">
            <w:drawing>
              <wp:anchor distT="0" distB="0" distL="114300" distR="114300" simplePos="0" relativeHeight="251653632" behindDoc="0" locked="0" layoutInCell="0" allowOverlap="1" wp14:anchorId="550ADB82" wp14:editId="40C62FB9">
                <wp:simplePos x="0" y="0"/>
                <wp:positionH relativeFrom="column">
                  <wp:posOffset>11430</wp:posOffset>
                </wp:positionH>
                <wp:positionV relativeFrom="paragraph">
                  <wp:posOffset>1374140</wp:posOffset>
                </wp:positionV>
                <wp:extent cx="3749040" cy="2426335"/>
                <wp:effectExtent l="0" t="0" r="0" b="0"/>
                <wp:wrapSquare wrapText="bothSides"/>
                <wp:docPr id="1407825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2426335"/>
                        </a:xfrm>
                        <a:prstGeom prst="rect">
                          <a:avLst/>
                        </a:prstGeom>
                        <a:solidFill>
                          <a:srgbClr val="FFFFFF"/>
                        </a:solidFill>
                        <a:ln w="9525">
                          <a:solidFill>
                            <a:srgbClr val="000000"/>
                          </a:solidFill>
                          <a:miter lim="800000"/>
                          <a:headEnd/>
                          <a:tailEnd/>
                        </a:ln>
                      </wps:spPr>
                      <wps:txbx>
                        <w:txbxContent>
                          <w:p w14:paraId="132031AE" w14:textId="77777777" w:rsidR="007C11E9" w:rsidRPr="000A3A07" w:rsidRDefault="007C11E9">
                            <w:pPr>
                              <w:pStyle w:val="Rubrik6"/>
                              <w:spacing w:before="0"/>
                              <w:rPr>
                                <w:b/>
                              </w:rPr>
                            </w:pPr>
                            <w:r w:rsidRPr="000A3A07">
                              <w:rPr>
                                <w:b/>
                              </w:rPr>
                              <w:t>De tioåriga planerna</w:t>
                            </w:r>
                          </w:p>
                          <w:p w14:paraId="551EABAA" w14:textId="77777777" w:rsidR="007C11E9" w:rsidRPr="000A3A07" w:rsidRDefault="007C11E9">
                            <w:pPr>
                              <w:rPr>
                                <w:sz w:val="16"/>
                              </w:rPr>
                            </w:pPr>
                            <w:r w:rsidRPr="000A3A07">
                              <w:rPr>
                                <w:sz w:val="16"/>
                              </w:rPr>
                              <w:t>Vägverkets nationella väghållningsplan omfattar investeringsåtgärder på det natio</w:t>
                            </w:r>
                            <w:r w:rsidRPr="000A3A07">
                              <w:rPr>
                                <w:sz w:val="16"/>
                              </w:rPr>
                              <w:softHyphen/>
                              <w:t>nella stamvägnätet samt drift- och underhållsåtgärder på hela det statliga vägnätet. Stamvä</w:t>
                            </w:r>
                            <w:r w:rsidRPr="000A3A07">
                              <w:rPr>
                                <w:sz w:val="16"/>
                              </w:rPr>
                              <w:t>g</w:t>
                            </w:r>
                            <w:r w:rsidRPr="000A3A07">
                              <w:rPr>
                                <w:sz w:val="16"/>
                              </w:rPr>
                              <w:t>nätet är ett rikstäckande nät av riksvägar av särskild betydelse. Nätet lades fast av riksd</w:t>
                            </w:r>
                            <w:r w:rsidRPr="000A3A07">
                              <w:rPr>
                                <w:sz w:val="16"/>
                              </w:rPr>
                              <w:t>a</w:t>
                            </w:r>
                            <w:r w:rsidRPr="000A3A07">
                              <w:rPr>
                                <w:sz w:val="16"/>
                              </w:rPr>
                              <w:t xml:space="preserve">gen 1993. </w:t>
                            </w:r>
                          </w:p>
                          <w:p w14:paraId="14AC6F3A" w14:textId="77777777" w:rsidR="007C11E9" w:rsidRPr="000A3A07" w:rsidRDefault="007C11E9">
                            <w:pPr>
                              <w:rPr>
                                <w:sz w:val="16"/>
                              </w:rPr>
                            </w:pPr>
                            <w:r w:rsidRPr="000A3A07">
                              <w:rPr>
                                <w:sz w:val="16"/>
                              </w:rPr>
                              <w:t>Banverkets stomnätsplan omfattar åtgärder på järnvägar som enligt regeringens beslut är stomjärnvägar samt järnvägar som Banverket föreslår klassif</w:t>
                            </w:r>
                            <w:r w:rsidRPr="000A3A07">
                              <w:rPr>
                                <w:sz w:val="16"/>
                              </w:rPr>
                              <w:t>i</w:t>
                            </w:r>
                            <w:r w:rsidRPr="000A3A07">
                              <w:rPr>
                                <w:sz w:val="16"/>
                              </w:rPr>
                              <w:t>ceras som stomjärn</w:t>
                            </w:r>
                            <w:r w:rsidRPr="000A3A07">
                              <w:rPr>
                                <w:sz w:val="16"/>
                              </w:rPr>
                              <w:softHyphen/>
                              <w:t xml:space="preserve">vägar. </w:t>
                            </w:r>
                          </w:p>
                          <w:p w14:paraId="3633CF13" w14:textId="77777777" w:rsidR="007C11E9" w:rsidRPr="000A3A07" w:rsidRDefault="007C11E9">
                            <w:r w:rsidRPr="000A3A07">
                              <w:rPr>
                                <w:sz w:val="16"/>
                              </w:rPr>
                              <w:t>I länsplanerna ingår nyinvesteringar och förbättringsåtgärder för statliga vägar som inte ingår i det nationella stamvägnätet samt länsjärnvägar och andra anläggningar för den regionala spårtrafiken. Länsplanerna omfattar även statsbidrag till investeringar i regionala kollektivtrafikanläggningar, till förbättrad miljö och trafiksäkerhet och till förbättrad tillgänglighet till ko</w:t>
                            </w:r>
                            <w:r w:rsidRPr="000A3A07">
                              <w:rPr>
                                <w:sz w:val="16"/>
                              </w:rPr>
                              <w:t>l</w:t>
                            </w:r>
                            <w:r w:rsidRPr="000A3A07">
                              <w:rPr>
                                <w:sz w:val="16"/>
                              </w:rPr>
                              <w:t>lektivtrafiken för funktionshindrade resenärer.</w:t>
                            </w:r>
                          </w:p>
                          <w:p w14:paraId="7C9BDEEB" w14:textId="77777777" w:rsidR="007C11E9" w:rsidRPr="000A3A07" w:rsidRDefault="007C11E9">
                            <w:pPr>
                              <w:pStyle w:val="Citat"/>
                              <w:rPr>
                                <w:i/>
                                <w:sz w:val="20"/>
                              </w:rPr>
                            </w:pPr>
                          </w:p>
                          <w:p w14:paraId="02C3E778" w14:textId="77777777" w:rsidR="007C11E9" w:rsidRPr="000A3A07" w:rsidRDefault="007C11E9">
                            <w:pPr>
                              <w:rPr>
                                <w:i/>
                                <w:sz w:val="20"/>
                              </w:rPr>
                            </w:pPr>
                            <w:r w:rsidRPr="000A3A07">
                              <w:rPr>
                                <w:i/>
                                <w:sz w:val="20"/>
                              </w:rPr>
                              <w:t>Källa: Vägverket Nationell plan för vägtransportsystemet 1998–2007, Banverket Stomnätsplan 1998–2007 och förordning (1997:263) om län</w:t>
                            </w:r>
                            <w:r w:rsidRPr="000A3A07">
                              <w:rPr>
                                <w:i/>
                                <w:sz w:val="20"/>
                              </w:rPr>
                              <w:t>s</w:t>
                            </w:r>
                            <w:r w:rsidRPr="000A3A07">
                              <w:rPr>
                                <w:i/>
                                <w:sz w:val="20"/>
                              </w:rPr>
                              <w:t>planer för regional transportinfrastruktur.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ADB82" id="_x0000_t202" coordsize="21600,21600" o:spt="202" path="m,l,21600r21600,l21600,xe">
                <v:stroke joinstyle="miter"/>
                <v:path gradientshapeok="t" o:connecttype="rect"/>
              </v:shapetype>
              <v:shape id="Text Box 2" o:spid="_x0000_s1026" type="#_x0000_t202" style="position:absolute;left:0;text-align:left;margin-left:.9pt;margin-top:108.2pt;width:295.2pt;height:19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NlGQIAADM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4uF6u0yWaONqyZXa1WKxiDJY/fTfW+bcCOhKEglrsaoRnxwfnQzosf3IJ0RwoWe2lUlGx&#10;TblTlhwZTsA+ngn9JzelSV/Q9SpbjQz8FSKN508QnfQ4ykp2Bb05O7E88PZGV3HQPJNqlDFlpSci&#10;A3cji34oByKrieXAawnVCZm1ME4ubhoKLdjvlPQ4tQV13w7MCkrUO43dWc+XgUofleXqOkPFXlrK&#10;SwvTHKEK6ikZxZ0fV+NgrGxajDTOg4Y77GgtI9fPWU3p42TGFkxbFEb/Uo9ez7u+/QEAAP//AwBQ&#10;SwMEFAAGAAgAAAAhAFcAC2jfAAAACQEAAA8AAABkcnMvZG93bnJldi54bWxMj8FOwzAQRO9I/IO1&#10;SFwQdRrakIY4FUIC0RsUBFc33iYR8TrYbhr+nu0JbjOa1czbcj3ZXozoQ+dIwXyWgECqnemoUfD+&#10;9nidgwhRk9G9I1TwgwHW1flZqQvjjvSK4zY2gksoFFpBG+NQSBnqFq0OMzcgcbZ33urI1jfSeH3k&#10;ctvLNEkyaXVHvNDqAR9arL+2B6sgXzyPn2Fz8/JRZ/t+Fa9ux6dvr9TlxXR/ByLiFP+O4YTP6FAx&#10;084dyATRs2fwqCCdZwsQnC9XaQpidxL5EmRVyv8fVL8AAAD//wMAUEsBAi0AFAAGAAgAAAAhALaD&#10;OJL+AAAA4QEAABMAAAAAAAAAAAAAAAAAAAAAAFtDb250ZW50X1R5cGVzXS54bWxQSwECLQAUAAYA&#10;CAAAACEAOP0h/9YAAACUAQAACwAAAAAAAAAAAAAAAAAvAQAAX3JlbHMvLnJlbHNQSwECLQAUAAYA&#10;CAAAACEAXF6jZRkCAAAzBAAADgAAAAAAAAAAAAAAAAAuAgAAZHJzL2Uyb0RvYy54bWxQSwECLQAU&#10;AAYACAAAACEAVwALaN8AAAAJAQAADwAAAAAAAAAAAAAAAABzBAAAZHJzL2Rvd25yZXYueG1sUEsF&#10;BgAAAAAEAAQA8wAAAH8FAAAAAA==&#10;" o:allowincell="f">
                <v:textbox>
                  <w:txbxContent>
                    <w:p w14:paraId="132031AE" w14:textId="77777777" w:rsidR="007C11E9" w:rsidRPr="000A3A07" w:rsidRDefault="007C11E9">
                      <w:pPr>
                        <w:pStyle w:val="Rubrik6"/>
                        <w:spacing w:before="0"/>
                        <w:rPr>
                          <w:b/>
                        </w:rPr>
                      </w:pPr>
                      <w:r w:rsidRPr="000A3A07">
                        <w:rPr>
                          <w:b/>
                        </w:rPr>
                        <w:t>De tioåriga planerna</w:t>
                      </w:r>
                    </w:p>
                    <w:p w14:paraId="551EABAA" w14:textId="77777777" w:rsidR="007C11E9" w:rsidRPr="000A3A07" w:rsidRDefault="007C11E9">
                      <w:pPr>
                        <w:rPr>
                          <w:sz w:val="16"/>
                        </w:rPr>
                      </w:pPr>
                      <w:r w:rsidRPr="000A3A07">
                        <w:rPr>
                          <w:sz w:val="16"/>
                        </w:rPr>
                        <w:t>Vägverkets nationella väghållningsplan omfattar investeringsåtgärder på det natio</w:t>
                      </w:r>
                      <w:r w:rsidRPr="000A3A07">
                        <w:rPr>
                          <w:sz w:val="16"/>
                        </w:rPr>
                        <w:softHyphen/>
                        <w:t>nella stamvägnätet samt drift- och underhållsåtgärder på hela det statliga vägnätet. Stamvä</w:t>
                      </w:r>
                      <w:r w:rsidRPr="000A3A07">
                        <w:rPr>
                          <w:sz w:val="16"/>
                        </w:rPr>
                        <w:t>g</w:t>
                      </w:r>
                      <w:r w:rsidRPr="000A3A07">
                        <w:rPr>
                          <w:sz w:val="16"/>
                        </w:rPr>
                        <w:t>nätet är ett rikstäckande nät av riksvägar av särskild betydelse. Nätet lades fast av riksd</w:t>
                      </w:r>
                      <w:r w:rsidRPr="000A3A07">
                        <w:rPr>
                          <w:sz w:val="16"/>
                        </w:rPr>
                        <w:t>a</w:t>
                      </w:r>
                      <w:r w:rsidRPr="000A3A07">
                        <w:rPr>
                          <w:sz w:val="16"/>
                        </w:rPr>
                        <w:t xml:space="preserve">gen 1993. </w:t>
                      </w:r>
                    </w:p>
                    <w:p w14:paraId="14AC6F3A" w14:textId="77777777" w:rsidR="007C11E9" w:rsidRPr="000A3A07" w:rsidRDefault="007C11E9">
                      <w:pPr>
                        <w:rPr>
                          <w:sz w:val="16"/>
                        </w:rPr>
                      </w:pPr>
                      <w:r w:rsidRPr="000A3A07">
                        <w:rPr>
                          <w:sz w:val="16"/>
                        </w:rPr>
                        <w:t>Banverkets stomnätsplan omfattar åtgärder på järnvägar som enligt regeringens beslut är stomjärnvägar samt järnvägar som Banverket föreslår klassif</w:t>
                      </w:r>
                      <w:r w:rsidRPr="000A3A07">
                        <w:rPr>
                          <w:sz w:val="16"/>
                        </w:rPr>
                        <w:t>i</w:t>
                      </w:r>
                      <w:r w:rsidRPr="000A3A07">
                        <w:rPr>
                          <w:sz w:val="16"/>
                        </w:rPr>
                        <w:t>ceras som stomjärn</w:t>
                      </w:r>
                      <w:r w:rsidRPr="000A3A07">
                        <w:rPr>
                          <w:sz w:val="16"/>
                        </w:rPr>
                        <w:softHyphen/>
                        <w:t xml:space="preserve">vägar. </w:t>
                      </w:r>
                    </w:p>
                    <w:p w14:paraId="3633CF13" w14:textId="77777777" w:rsidR="007C11E9" w:rsidRPr="000A3A07" w:rsidRDefault="007C11E9">
                      <w:r w:rsidRPr="000A3A07">
                        <w:rPr>
                          <w:sz w:val="16"/>
                        </w:rPr>
                        <w:t>I länsplanerna ingår nyinvesteringar och förbättringsåtgärder för statliga vägar som inte ingår i det nationella stamvägnätet samt länsjärnvägar och andra anläggningar för den regionala spårtrafiken. Länsplanerna omfattar även statsbidrag till investeringar i regionala kollektivtrafikanläggningar, till förbättrad miljö och trafiksäkerhet och till förbättrad tillgänglighet till ko</w:t>
                      </w:r>
                      <w:r w:rsidRPr="000A3A07">
                        <w:rPr>
                          <w:sz w:val="16"/>
                        </w:rPr>
                        <w:t>l</w:t>
                      </w:r>
                      <w:r w:rsidRPr="000A3A07">
                        <w:rPr>
                          <w:sz w:val="16"/>
                        </w:rPr>
                        <w:t>lektivtrafiken för funktionshindrade resenärer.</w:t>
                      </w:r>
                    </w:p>
                    <w:p w14:paraId="7C9BDEEB" w14:textId="77777777" w:rsidR="007C11E9" w:rsidRPr="000A3A07" w:rsidRDefault="007C11E9">
                      <w:pPr>
                        <w:pStyle w:val="Citat"/>
                        <w:rPr>
                          <w:i/>
                          <w:sz w:val="20"/>
                        </w:rPr>
                      </w:pPr>
                    </w:p>
                    <w:p w14:paraId="02C3E778" w14:textId="77777777" w:rsidR="007C11E9" w:rsidRPr="000A3A07" w:rsidRDefault="007C11E9">
                      <w:pPr>
                        <w:rPr>
                          <w:i/>
                          <w:sz w:val="20"/>
                        </w:rPr>
                      </w:pPr>
                      <w:r w:rsidRPr="000A3A07">
                        <w:rPr>
                          <w:i/>
                          <w:sz w:val="20"/>
                        </w:rPr>
                        <w:t>Källa: Vägverket Nationell plan för vägtransportsystemet 1998–2007, Banverket Stomnätsplan 1998–2007 och förordning (1997:263) om län</w:t>
                      </w:r>
                      <w:r w:rsidRPr="000A3A07">
                        <w:rPr>
                          <w:i/>
                          <w:sz w:val="20"/>
                        </w:rPr>
                        <w:t>s</w:t>
                      </w:r>
                      <w:r w:rsidRPr="000A3A07">
                        <w:rPr>
                          <w:i/>
                          <w:sz w:val="20"/>
                        </w:rPr>
                        <w:t>planer för regional transportinfrastruktur.</w:t>
                      </w:r>
                    </w:p>
                  </w:txbxContent>
                </v:textbox>
                <w10:wrap type="square"/>
              </v:shape>
            </w:pict>
          </mc:Fallback>
        </mc:AlternateContent>
      </w:r>
      <w:r w:rsidR="007C11E9" w:rsidRPr="000A3A07">
        <w:t>Det finns två parallella planeringsprocesser för investeringar i vägar och järnvägar. I den ordinarie planeringsprocessen ingår anslagsfinansierade investeringar. Denna planering resulterar i tioåriga planer, som revideras vart fjärde år. Under 1990-talet har planer tagits fram för perio</w:t>
      </w:r>
      <w:r w:rsidR="007C11E9" w:rsidRPr="000A3A07">
        <w:softHyphen/>
        <w:t>derna 1991–2000, 1994–2003 och 1998–2007. Nästa planeringsperiod omfattar åren 2002–2011. Vid sidan av den ordinarie planeringsprocessen beslutar riksdag och reg</w:t>
      </w:r>
      <w:r w:rsidR="007C11E9" w:rsidRPr="000A3A07">
        <w:t>e</w:t>
      </w:r>
      <w:r w:rsidR="007C11E9" w:rsidRPr="000A3A07">
        <w:t>ring om enskilda i</w:t>
      </w:r>
      <w:r w:rsidR="007C11E9" w:rsidRPr="000A3A07">
        <w:t>n</w:t>
      </w:r>
      <w:r w:rsidR="007C11E9" w:rsidRPr="000A3A07">
        <w:t>frastrukturinvesteringar som inte finansie</w:t>
      </w:r>
      <w:r w:rsidR="007C11E9" w:rsidRPr="000A3A07">
        <w:t>ras med anslag.</w:t>
      </w:r>
    </w:p>
    <w:p w14:paraId="4E2AE032" w14:textId="77777777" w:rsidR="007C11E9" w:rsidRPr="000A3A07" w:rsidRDefault="007C11E9"/>
    <w:p w14:paraId="5DE7B2C2" w14:textId="77777777" w:rsidR="007C11E9" w:rsidRPr="000A3A07" w:rsidRDefault="007C11E9">
      <w:r w:rsidRPr="000A3A07">
        <w:t xml:space="preserve">Regeringen räknar med att Vägverket under 2000 och 2001 kommer att genomföra investeringar för ca 10 miljarder kronor (se tabell 1). </w:t>
      </w:r>
    </w:p>
    <w:p w14:paraId="1CC19917" w14:textId="77777777" w:rsidR="007C11E9" w:rsidRPr="000A3A07" w:rsidRDefault="007C11E9">
      <w:pPr>
        <w:pStyle w:val="Tabellrubrik1"/>
      </w:pPr>
    </w:p>
    <w:p w14:paraId="4A1ACE50" w14:textId="77777777" w:rsidR="007C11E9" w:rsidRPr="000A3A07" w:rsidRDefault="007C11E9">
      <w:pPr>
        <w:pStyle w:val="Tabellrubrik1"/>
      </w:pPr>
      <w:r w:rsidRPr="000A3A07">
        <w:t>Tabell 1. Vägverkets beräknade investeringar i statliga vägar år 2000 och 2001, miljoner kronor</w:t>
      </w: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134"/>
        <w:gridCol w:w="426"/>
        <w:gridCol w:w="850"/>
        <w:gridCol w:w="709"/>
        <w:gridCol w:w="1417"/>
        <w:gridCol w:w="709"/>
        <w:gridCol w:w="709"/>
      </w:tblGrid>
      <w:tr w:rsidR="00000000" w:rsidRPr="000A3A07" w14:paraId="560DC87A" w14:textId="77777777">
        <w:tblPrEx>
          <w:tblCellMar>
            <w:top w:w="0" w:type="dxa"/>
            <w:bottom w:w="0" w:type="dxa"/>
          </w:tblCellMar>
        </w:tblPrEx>
        <w:trPr>
          <w:cantSplit/>
          <w:tblHeader/>
        </w:trPr>
        <w:tc>
          <w:tcPr>
            <w:tcW w:w="1560" w:type="dxa"/>
            <w:gridSpan w:val="2"/>
            <w:tcBorders>
              <w:bottom w:val="single" w:sz="6" w:space="0" w:color="000000"/>
            </w:tcBorders>
            <w:shd w:val="pct30" w:color="FFFF00" w:fill="FFFFFF"/>
          </w:tcPr>
          <w:p w14:paraId="0169AD6E" w14:textId="77777777" w:rsidR="007C11E9" w:rsidRPr="000A3A07" w:rsidRDefault="007C11E9">
            <w:pPr>
              <w:pStyle w:val="R3"/>
              <w:keepNext w:val="0"/>
              <w:keepLines w:val="0"/>
              <w:numPr>
                <w:ilvl w:val="0"/>
                <w:numId w:val="0"/>
              </w:numPr>
              <w:suppressAutoHyphens w:val="0"/>
              <w:spacing w:before="0" w:line="245" w:lineRule="exact"/>
            </w:pPr>
            <w:r w:rsidRPr="000A3A07">
              <w:t>Investeringar i statliga v</w:t>
            </w:r>
            <w:r w:rsidRPr="000A3A07">
              <w:t>ä</w:t>
            </w:r>
            <w:r w:rsidRPr="000A3A07">
              <w:t>gar</w:t>
            </w:r>
          </w:p>
        </w:tc>
        <w:tc>
          <w:tcPr>
            <w:tcW w:w="850" w:type="dxa"/>
            <w:tcBorders>
              <w:bottom w:val="single" w:sz="6" w:space="0" w:color="000000"/>
            </w:tcBorders>
            <w:shd w:val="pct30" w:color="FFFF00" w:fill="FFFFFF"/>
          </w:tcPr>
          <w:p w14:paraId="4E2F0AAF" w14:textId="77777777" w:rsidR="007C11E9" w:rsidRPr="000A3A07" w:rsidRDefault="007C11E9">
            <w:pPr>
              <w:spacing w:before="0"/>
              <w:jc w:val="left"/>
              <w:rPr>
                <w:b/>
              </w:rPr>
            </w:pPr>
            <w:r w:rsidRPr="000A3A07">
              <w:rPr>
                <w:b/>
              </w:rPr>
              <w:t>A</w:t>
            </w:r>
            <w:r w:rsidRPr="000A3A07">
              <w:rPr>
                <w:b/>
              </w:rPr>
              <w:t>n</w:t>
            </w:r>
            <w:r w:rsidRPr="000A3A07">
              <w:rPr>
                <w:b/>
              </w:rPr>
              <w:t>slag</w:t>
            </w:r>
          </w:p>
        </w:tc>
        <w:tc>
          <w:tcPr>
            <w:tcW w:w="709" w:type="dxa"/>
            <w:tcBorders>
              <w:bottom w:val="single" w:sz="6" w:space="0" w:color="000000"/>
            </w:tcBorders>
            <w:shd w:val="pct30" w:color="FFFF00" w:fill="FFFFFF"/>
          </w:tcPr>
          <w:p w14:paraId="7DB9BE7A" w14:textId="77777777" w:rsidR="007C11E9" w:rsidRPr="000A3A07" w:rsidRDefault="007C11E9">
            <w:pPr>
              <w:spacing w:before="0"/>
              <w:jc w:val="left"/>
              <w:rPr>
                <w:b/>
              </w:rPr>
            </w:pPr>
            <w:r w:rsidRPr="000A3A07">
              <w:rPr>
                <w:b/>
              </w:rPr>
              <w:t xml:space="preserve">Lån </w:t>
            </w:r>
          </w:p>
        </w:tc>
        <w:tc>
          <w:tcPr>
            <w:tcW w:w="2126" w:type="dxa"/>
            <w:gridSpan w:val="2"/>
            <w:tcBorders>
              <w:bottom w:val="single" w:sz="6" w:space="0" w:color="000000"/>
            </w:tcBorders>
            <w:shd w:val="pct30" w:color="FFFF00" w:fill="FFFFFF"/>
          </w:tcPr>
          <w:p w14:paraId="59CD50FE" w14:textId="77777777" w:rsidR="007C11E9" w:rsidRPr="000A3A07" w:rsidRDefault="007C11E9">
            <w:pPr>
              <w:spacing w:before="0"/>
              <w:jc w:val="left"/>
              <w:rPr>
                <w:b/>
              </w:rPr>
            </w:pPr>
            <w:r w:rsidRPr="000A3A07">
              <w:rPr>
                <w:b/>
              </w:rPr>
              <w:t>Externa bidrag och förskott</w:t>
            </w:r>
            <w:r w:rsidRPr="000A3A07">
              <w:rPr>
                <w:b/>
              </w:rPr>
              <w:t>e</w:t>
            </w:r>
            <w:r w:rsidRPr="000A3A07">
              <w:rPr>
                <w:b/>
              </w:rPr>
              <w:t>ringar</w:t>
            </w:r>
          </w:p>
        </w:tc>
        <w:tc>
          <w:tcPr>
            <w:tcW w:w="709" w:type="dxa"/>
            <w:tcBorders>
              <w:bottom w:val="single" w:sz="6" w:space="0" w:color="000000"/>
            </w:tcBorders>
            <w:shd w:val="pct30" w:color="FFFF00" w:fill="FFFFFF"/>
          </w:tcPr>
          <w:p w14:paraId="34A91816" w14:textId="77777777" w:rsidR="007C11E9" w:rsidRPr="000A3A07" w:rsidRDefault="007C11E9">
            <w:pPr>
              <w:spacing w:before="0"/>
              <w:jc w:val="left"/>
              <w:rPr>
                <w:b/>
              </w:rPr>
            </w:pPr>
            <w:r w:rsidRPr="000A3A07">
              <w:rPr>
                <w:b/>
              </w:rPr>
              <w:t>Totalt</w:t>
            </w:r>
          </w:p>
        </w:tc>
      </w:tr>
      <w:tr w:rsidR="00000000" w:rsidRPr="000A3A07" w14:paraId="3F5F9602" w14:textId="77777777">
        <w:tblPrEx>
          <w:tblCellMar>
            <w:top w:w="0" w:type="dxa"/>
            <w:bottom w:w="0" w:type="dxa"/>
          </w:tblCellMar>
        </w:tblPrEx>
        <w:trPr>
          <w:cantSplit/>
        </w:trPr>
        <w:tc>
          <w:tcPr>
            <w:tcW w:w="1134" w:type="dxa"/>
            <w:tcBorders>
              <w:bottom w:val="nil"/>
              <w:right w:val="nil"/>
            </w:tcBorders>
          </w:tcPr>
          <w:p w14:paraId="69D0CAE8" w14:textId="77777777" w:rsidR="007C11E9" w:rsidRPr="000A3A07" w:rsidRDefault="007C11E9">
            <w:pPr>
              <w:spacing w:before="0"/>
              <w:jc w:val="right"/>
              <w:rPr>
                <w:b/>
              </w:rPr>
            </w:pPr>
            <w:r w:rsidRPr="000A3A07">
              <w:rPr>
                <w:b/>
              </w:rPr>
              <w:t>2000</w:t>
            </w:r>
          </w:p>
        </w:tc>
        <w:tc>
          <w:tcPr>
            <w:tcW w:w="426" w:type="dxa"/>
            <w:tcBorders>
              <w:left w:val="nil"/>
            </w:tcBorders>
          </w:tcPr>
          <w:p w14:paraId="0A051747" w14:textId="77777777" w:rsidR="007C11E9" w:rsidRPr="000A3A07" w:rsidRDefault="007C11E9">
            <w:pPr>
              <w:spacing w:before="0"/>
              <w:rPr>
                <w:b/>
              </w:rPr>
            </w:pPr>
          </w:p>
        </w:tc>
        <w:tc>
          <w:tcPr>
            <w:tcW w:w="850" w:type="dxa"/>
          </w:tcPr>
          <w:p w14:paraId="005AAEFA" w14:textId="77777777" w:rsidR="007C11E9" w:rsidRPr="000A3A07" w:rsidRDefault="007C11E9">
            <w:pPr>
              <w:spacing w:before="0"/>
              <w:jc w:val="right"/>
            </w:pPr>
            <w:r w:rsidRPr="000A3A07">
              <w:t>3 828</w:t>
            </w:r>
          </w:p>
        </w:tc>
        <w:tc>
          <w:tcPr>
            <w:tcW w:w="709" w:type="dxa"/>
          </w:tcPr>
          <w:p w14:paraId="31F7586E" w14:textId="77777777" w:rsidR="007C11E9" w:rsidRPr="000A3A07" w:rsidRDefault="007C11E9">
            <w:pPr>
              <w:spacing w:before="0"/>
              <w:jc w:val="right"/>
            </w:pPr>
            <w:r w:rsidRPr="000A3A07">
              <w:t>600</w:t>
            </w:r>
          </w:p>
        </w:tc>
        <w:tc>
          <w:tcPr>
            <w:tcW w:w="1417" w:type="dxa"/>
            <w:tcBorders>
              <w:right w:val="nil"/>
            </w:tcBorders>
          </w:tcPr>
          <w:p w14:paraId="790842DC" w14:textId="77777777" w:rsidR="007C11E9" w:rsidRPr="000A3A07" w:rsidRDefault="007C11E9">
            <w:pPr>
              <w:spacing w:before="0"/>
              <w:jc w:val="right"/>
            </w:pPr>
            <w:r w:rsidRPr="000A3A07">
              <w:t>340</w:t>
            </w:r>
          </w:p>
        </w:tc>
        <w:tc>
          <w:tcPr>
            <w:tcW w:w="709" w:type="dxa"/>
            <w:tcBorders>
              <w:left w:val="nil"/>
            </w:tcBorders>
          </w:tcPr>
          <w:p w14:paraId="4CF9E469" w14:textId="77777777" w:rsidR="007C11E9" w:rsidRPr="000A3A07" w:rsidRDefault="007C11E9">
            <w:pPr>
              <w:spacing w:before="0"/>
              <w:jc w:val="right"/>
            </w:pPr>
          </w:p>
        </w:tc>
        <w:tc>
          <w:tcPr>
            <w:tcW w:w="709" w:type="dxa"/>
          </w:tcPr>
          <w:p w14:paraId="29BC7EF7" w14:textId="77777777" w:rsidR="007C11E9" w:rsidRPr="000A3A07" w:rsidRDefault="007C11E9">
            <w:pPr>
              <w:spacing w:before="0"/>
              <w:jc w:val="right"/>
              <w:rPr>
                <w:b/>
              </w:rPr>
            </w:pPr>
            <w:r w:rsidRPr="000A3A07">
              <w:rPr>
                <w:b/>
              </w:rPr>
              <w:t>4 768</w:t>
            </w:r>
          </w:p>
        </w:tc>
      </w:tr>
      <w:tr w:rsidR="00000000" w:rsidRPr="000A3A07" w14:paraId="4D4759D6" w14:textId="77777777">
        <w:tblPrEx>
          <w:tblCellMar>
            <w:top w:w="0" w:type="dxa"/>
            <w:bottom w:w="0" w:type="dxa"/>
          </w:tblCellMar>
        </w:tblPrEx>
        <w:trPr>
          <w:cantSplit/>
        </w:trPr>
        <w:tc>
          <w:tcPr>
            <w:tcW w:w="1134" w:type="dxa"/>
            <w:tcBorders>
              <w:bottom w:val="single" w:sz="6" w:space="0" w:color="000000"/>
              <w:right w:val="nil"/>
            </w:tcBorders>
          </w:tcPr>
          <w:p w14:paraId="510AA11E" w14:textId="77777777" w:rsidR="007C11E9" w:rsidRPr="000A3A07" w:rsidRDefault="007C11E9">
            <w:pPr>
              <w:spacing w:before="0"/>
              <w:jc w:val="right"/>
              <w:rPr>
                <w:b/>
              </w:rPr>
            </w:pPr>
            <w:r w:rsidRPr="000A3A07">
              <w:rPr>
                <w:b/>
              </w:rPr>
              <w:t>2001</w:t>
            </w:r>
          </w:p>
        </w:tc>
        <w:tc>
          <w:tcPr>
            <w:tcW w:w="426" w:type="dxa"/>
            <w:tcBorders>
              <w:left w:val="nil"/>
            </w:tcBorders>
          </w:tcPr>
          <w:p w14:paraId="1FD3E64D" w14:textId="77777777" w:rsidR="007C11E9" w:rsidRPr="000A3A07" w:rsidRDefault="007C11E9">
            <w:pPr>
              <w:spacing w:before="0"/>
              <w:rPr>
                <w:b/>
              </w:rPr>
            </w:pPr>
          </w:p>
        </w:tc>
        <w:tc>
          <w:tcPr>
            <w:tcW w:w="850" w:type="dxa"/>
          </w:tcPr>
          <w:p w14:paraId="1F36C8C1" w14:textId="77777777" w:rsidR="007C11E9" w:rsidRPr="000A3A07" w:rsidRDefault="007C11E9">
            <w:pPr>
              <w:spacing w:before="0"/>
              <w:jc w:val="right"/>
            </w:pPr>
            <w:r w:rsidRPr="000A3A07">
              <w:t>4 607</w:t>
            </w:r>
          </w:p>
        </w:tc>
        <w:tc>
          <w:tcPr>
            <w:tcW w:w="709" w:type="dxa"/>
          </w:tcPr>
          <w:p w14:paraId="13C0511C" w14:textId="77777777" w:rsidR="007C11E9" w:rsidRPr="000A3A07" w:rsidRDefault="007C11E9">
            <w:pPr>
              <w:spacing w:before="0"/>
              <w:jc w:val="right"/>
            </w:pPr>
            <w:r w:rsidRPr="000A3A07">
              <w:t>370</w:t>
            </w:r>
          </w:p>
        </w:tc>
        <w:tc>
          <w:tcPr>
            <w:tcW w:w="1417" w:type="dxa"/>
            <w:tcBorders>
              <w:bottom w:val="single" w:sz="6" w:space="0" w:color="000000"/>
              <w:right w:val="nil"/>
            </w:tcBorders>
          </w:tcPr>
          <w:p w14:paraId="53F44D1A" w14:textId="77777777" w:rsidR="007C11E9" w:rsidRPr="000A3A07" w:rsidRDefault="007C11E9">
            <w:pPr>
              <w:spacing w:before="0"/>
              <w:jc w:val="right"/>
            </w:pPr>
            <w:r w:rsidRPr="000A3A07">
              <w:t>210</w:t>
            </w:r>
          </w:p>
        </w:tc>
        <w:tc>
          <w:tcPr>
            <w:tcW w:w="709" w:type="dxa"/>
            <w:tcBorders>
              <w:left w:val="nil"/>
            </w:tcBorders>
          </w:tcPr>
          <w:p w14:paraId="5E3EC58C" w14:textId="77777777" w:rsidR="007C11E9" w:rsidRPr="000A3A07" w:rsidRDefault="007C11E9">
            <w:pPr>
              <w:spacing w:before="0"/>
              <w:jc w:val="right"/>
            </w:pPr>
          </w:p>
        </w:tc>
        <w:tc>
          <w:tcPr>
            <w:tcW w:w="709" w:type="dxa"/>
          </w:tcPr>
          <w:p w14:paraId="292D634D" w14:textId="77777777" w:rsidR="007C11E9" w:rsidRPr="000A3A07" w:rsidRDefault="007C11E9">
            <w:pPr>
              <w:spacing w:before="0"/>
              <w:jc w:val="right"/>
              <w:rPr>
                <w:b/>
              </w:rPr>
            </w:pPr>
            <w:r w:rsidRPr="000A3A07">
              <w:rPr>
                <w:b/>
              </w:rPr>
              <w:t>5 187</w:t>
            </w:r>
          </w:p>
        </w:tc>
      </w:tr>
    </w:tbl>
    <w:p w14:paraId="454E50EA" w14:textId="77777777" w:rsidR="007C11E9" w:rsidRPr="000A3A07" w:rsidRDefault="007C11E9">
      <w:pPr>
        <w:pStyle w:val="Tabell"/>
      </w:pPr>
      <w:r w:rsidRPr="000A3A07">
        <w:t>Källa: Proposition 2000/2001:1</w:t>
      </w:r>
    </w:p>
    <w:p w14:paraId="6883099B" w14:textId="77777777" w:rsidR="007C11E9" w:rsidRPr="000A3A07" w:rsidRDefault="007C11E9">
      <w:r w:rsidRPr="000A3A07">
        <w:t>Regeringen räknar med att Banverket under 2000 och 2001 kommer att genomföra investeringar för nästan 8 miljarder kronor (se tabell 2), exklusive investeringar på Botniabanan.</w:t>
      </w:r>
    </w:p>
    <w:p w14:paraId="06146F08" w14:textId="77777777" w:rsidR="007C11E9" w:rsidRPr="000A3A07" w:rsidRDefault="007C11E9">
      <w:pPr>
        <w:pStyle w:val="Normaltindrag"/>
      </w:pPr>
    </w:p>
    <w:p w14:paraId="58F432B6" w14:textId="77777777" w:rsidR="007C11E9" w:rsidRPr="000A3A07" w:rsidRDefault="007C11E9">
      <w:pPr>
        <w:pStyle w:val="Normaltindrag"/>
      </w:pPr>
    </w:p>
    <w:p w14:paraId="2B4A61C9" w14:textId="77777777" w:rsidR="007C11E9" w:rsidRPr="000A3A07" w:rsidRDefault="007C11E9">
      <w:pPr>
        <w:pStyle w:val="Normaltindrag"/>
      </w:pPr>
    </w:p>
    <w:p w14:paraId="5F96248C" w14:textId="77777777" w:rsidR="007C11E9" w:rsidRPr="000A3A07" w:rsidRDefault="007C11E9">
      <w:pPr>
        <w:pStyle w:val="Normaltindrag"/>
      </w:pPr>
    </w:p>
    <w:p w14:paraId="1E050878" w14:textId="77777777" w:rsidR="007C11E9" w:rsidRPr="000A3A07" w:rsidRDefault="007C11E9">
      <w:pPr>
        <w:pStyle w:val="Tabellrubrik1"/>
      </w:pPr>
      <w:r w:rsidRPr="000A3A07">
        <w:t>Tabell 2. Banverkets beräknade investeringar i statliga jär</w:t>
      </w:r>
      <w:r w:rsidRPr="000A3A07">
        <w:t>n</w:t>
      </w:r>
      <w:r w:rsidRPr="000A3A07">
        <w:t>vägar år 2000 och 2001, miljoner kronor</w:t>
      </w: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418"/>
        <w:gridCol w:w="283"/>
        <w:gridCol w:w="709"/>
        <w:gridCol w:w="709"/>
        <w:gridCol w:w="850"/>
        <w:gridCol w:w="1347"/>
        <w:gridCol w:w="638"/>
      </w:tblGrid>
      <w:tr w:rsidR="00000000" w:rsidRPr="000A3A07" w14:paraId="2A9CE87D" w14:textId="77777777">
        <w:tblPrEx>
          <w:tblCellMar>
            <w:top w:w="0" w:type="dxa"/>
            <w:bottom w:w="0" w:type="dxa"/>
          </w:tblCellMar>
        </w:tblPrEx>
        <w:tc>
          <w:tcPr>
            <w:tcW w:w="1701" w:type="dxa"/>
            <w:gridSpan w:val="2"/>
            <w:tcBorders>
              <w:bottom w:val="single" w:sz="6" w:space="0" w:color="000000"/>
            </w:tcBorders>
            <w:shd w:val="pct30" w:color="FFFF00" w:fill="FFFFFF"/>
          </w:tcPr>
          <w:p w14:paraId="4222B5DD" w14:textId="77777777" w:rsidR="007C11E9" w:rsidRPr="000A3A07" w:rsidRDefault="007C11E9">
            <w:pPr>
              <w:spacing w:before="0"/>
              <w:jc w:val="left"/>
              <w:rPr>
                <w:b/>
              </w:rPr>
            </w:pPr>
            <w:r w:rsidRPr="000A3A07">
              <w:rPr>
                <w:b/>
              </w:rPr>
              <w:t>Investeringar i statliga järnväga</w:t>
            </w:r>
            <w:r w:rsidRPr="000A3A07">
              <w:rPr>
                <w:b/>
              </w:rPr>
              <w:t>r</w:t>
            </w:r>
          </w:p>
        </w:tc>
        <w:tc>
          <w:tcPr>
            <w:tcW w:w="709" w:type="dxa"/>
            <w:tcBorders>
              <w:bottom w:val="single" w:sz="6" w:space="0" w:color="000000"/>
            </w:tcBorders>
            <w:shd w:val="pct30" w:color="FFFF00" w:fill="FFFFFF"/>
          </w:tcPr>
          <w:p w14:paraId="48A7CA0F" w14:textId="77777777" w:rsidR="007C11E9" w:rsidRPr="000A3A07" w:rsidRDefault="007C11E9">
            <w:pPr>
              <w:spacing w:before="0"/>
              <w:jc w:val="left"/>
              <w:rPr>
                <w:b/>
              </w:rPr>
            </w:pPr>
            <w:r w:rsidRPr="000A3A07">
              <w:rPr>
                <w:b/>
              </w:rPr>
              <w:t>Anslag</w:t>
            </w:r>
          </w:p>
        </w:tc>
        <w:tc>
          <w:tcPr>
            <w:tcW w:w="709" w:type="dxa"/>
            <w:tcBorders>
              <w:bottom w:val="single" w:sz="6" w:space="0" w:color="000000"/>
            </w:tcBorders>
            <w:shd w:val="pct30" w:color="FFFF00" w:fill="FFFFFF"/>
          </w:tcPr>
          <w:p w14:paraId="67FF7511" w14:textId="77777777" w:rsidR="007C11E9" w:rsidRPr="000A3A07" w:rsidRDefault="007C11E9">
            <w:pPr>
              <w:spacing w:before="0"/>
              <w:jc w:val="left"/>
              <w:rPr>
                <w:b/>
              </w:rPr>
            </w:pPr>
            <w:r w:rsidRPr="000A3A07">
              <w:rPr>
                <w:b/>
              </w:rPr>
              <w:t>Lån</w:t>
            </w:r>
          </w:p>
        </w:tc>
        <w:tc>
          <w:tcPr>
            <w:tcW w:w="850" w:type="dxa"/>
            <w:tcBorders>
              <w:bottom w:val="single" w:sz="6" w:space="0" w:color="000000"/>
            </w:tcBorders>
            <w:shd w:val="pct30" w:color="FFFF00" w:fill="FFFFFF"/>
          </w:tcPr>
          <w:p w14:paraId="4E3B024A" w14:textId="77777777" w:rsidR="007C11E9" w:rsidRPr="000A3A07" w:rsidRDefault="007C11E9">
            <w:pPr>
              <w:spacing w:before="0"/>
              <w:jc w:val="left"/>
              <w:rPr>
                <w:b/>
              </w:rPr>
            </w:pPr>
            <w:r w:rsidRPr="000A3A07">
              <w:rPr>
                <w:b/>
              </w:rPr>
              <w:t>Externa bidrag</w:t>
            </w:r>
          </w:p>
        </w:tc>
        <w:tc>
          <w:tcPr>
            <w:tcW w:w="1347" w:type="dxa"/>
            <w:tcBorders>
              <w:bottom w:val="single" w:sz="6" w:space="0" w:color="000000"/>
            </w:tcBorders>
            <w:shd w:val="pct30" w:color="FFFF00" w:fill="FFFFFF"/>
          </w:tcPr>
          <w:p w14:paraId="48D3A70D" w14:textId="77777777" w:rsidR="007C11E9" w:rsidRPr="000A3A07" w:rsidRDefault="007C11E9">
            <w:pPr>
              <w:spacing w:before="0"/>
              <w:jc w:val="left"/>
              <w:rPr>
                <w:b/>
              </w:rPr>
            </w:pPr>
            <w:r w:rsidRPr="000A3A07">
              <w:rPr>
                <w:b/>
              </w:rPr>
              <w:t>Försko</w:t>
            </w:r>
            <w:r w:rsidRPr="000A3A07">
              <w:rPr>
                <w:b/>
              </w:rPr>
              <w:t>t</w:t>
            </w:r>
            <w:r w:rsidRPr="000A3A07">
              <w:rPr>
                <w:b/>
              </w:rPr>
              <w:t>tering</w:t>
            </w:r>
          </w:p>
        </w:tc>
        <w:tc>
          <w:tcPr>
            <w:tcW w:w="638" w:type="dxa"/>
            <w:tcBorders>
              <w:bottom w:val="single" w:sz="6" w:space="0" w:color="000000"/>
            </w:tcBorders>
            <w:shd w:val="pct30" w:color="FFFF00" w:fill="FFFFFF"/>
          </w:tcPr>
          <w:p w14:paraId="7ABC7336" w14:textId="77777777" w:rsidR="007C11E9" w:rsidRPr="000A3A07" w:rsidRDefault="007C11E9">
            <w:pPr>
              <w:spacing w:before="0"/>
              <w:jc w:val="left"/>
              <w:rPr>
                <w:b/>
              </w:rPr>
            </w:pPr>
            <w:r w:rsidRPr="000A3A07">
              <w:rPr>
                <w:b/>
              </w:rPr>
              <w:t>Totalt</w:t>
            </w:r>
          </w:p>
        </w:tc>
      </w:tr>
      <w:tr w:rsidR="00000000" w:rsidRPr="000A3A07" w14:paraId="4285E26A" w14:textId="77777777">
        <w:tblPrEx>
          <w:tblCellMar>
            <w:top w:w="0" w:type="dxa"/>
            <w:bottom w:w="0" w:type="dxa"/>
          </w:tblCellMar>
        </w:tblPrEx>
        <w:trPr>
          <w:cantSplit/>
        </w:trPr>
        <w:tc>
          <w:tcPr>
            <w:tcW w:w="1418" w:type="dxa"/>
            <w:tcBorders>
              <w:bottom w:val="nil"/>
              <w:right w:val="nil"/>
            </w:tcBorders>
          </w:tcPr>
          <w:p w14:paraId="608FBF47" w14:textId="77777777" w:rsidR="007C11E9" w:rsidRPr="000A3A07" w:rsidRDefault="007C11E9">
            <w:pPr>
              <w:ind w:right="214"/>
              <w:jc w:val="right"/>
              <w:rPr>
                <w:b/>
              </w:rPr>
            </w:pPr>
            <w:r w:rsidRPr="000A3A07">
              <w:rPr>
                <w:b/>
              </w:rPr>
              <w:t>2000</w:t>
            </w:r>
          </w:p>
        </w:tc>
        <w:tc>
          <w:tcPr>
            <w:tcW w:w="283" w:type="dxa"/>
            <w:tcBorders>
              <w:left w:val="nil"/>
            </w:tcBorders>
          </w:tcPr>
          <w:p w14:paraId="05A9E5A8" w14:textId="77777777" w:rsidR="007C11E9" w:rsidRPr="000A3A07" w:rsidRDefault="007C11E9"/>
        </w:tc>
        <w:tc>
          <w:tcPr>
            <w:tcW w:w="709" w:type="dxa"/>
          </w:tcPr>
          <w:p w14:paraId="61DC0FDB" w14:textId="77777777" w:rsidR="007C11E9" w:rsidRPr="000A3A07" w:rsidRDefault="007C11E9">
            <w:pPr>
              <w:spacing w:before="0"/>
              <w:jc w:val="right"/>
            </w:pPr>
            <w:r w:rsidRPr="000A3A07">
              <w:t>2 937</w:t>
            </w:r>
          </w:p>
        </w:tc>
        <w:tc>
          <w:tcPr>
            <w:tcW w:w="709" w:type="dxa"/>
          </w:tcPr>
          <w:p w14:paraId="52593CBE" w14:textId="77777777" w:rsidR="007C11E9" w:rsidRPr="000A3A07" w:rsidRDefault="007C11E9">
            <w:pPr>
              <w:spacing w:before="0"/>
              <w:jc w:val="right"/>
            </w:pPr>
            <w:r w:rsidRPr="000A3A07">
              <w:t>858</w:t>
            </w:r>
          </w:p>
        </w:tc>
        <w:tc>
          <w:tcPr>
            <w:tcW w:w="850" w:type="dxa"/>
          </w:tcPr>
          <w:p w14:paraId="447C2C59" w14:textId="77777777" w:rsidR="007C11E9" w:rsidRPr="000A3A07" w:rsidRDefault="007C11E9">
            <w:pPr>
              <w:spacing w:before="0"/>
              <w:jc w:val="right"/>
            </w:pPr>
            <w:r w:rsidRPr="000A3A07">
              <w:t>204</w:t>
            </w:r>
          </w:p>
        </w:tc>
        <w:tc>
          <w:tcPr>
            <w:tcW w:w="1347" w:type="dxa"/>
          </w:tcPr>
          <w:p w14:paraId="6ABE3EAD" w14:textId="77777777" w:rsidR="007C11E9" w:rsidRPr="000A3A07" w:rsidRDefault="007C11E9">
            <w:pPr>
              <w:spacing w:before="0"/>
              <w:jc w:val="right"/>
            </w:pPr>
            <w:r w:rsidRPr="000A3A07">
              <w:t>144</w:t>
            </w:r>
          </w:p>
        </w:tc>
        <w:tc>
          <w:tcPr>
            <w:tcW w:w="638" w:type="dxa"/>
          </w:tcPr>
          <w:p w14:paraId="1F7765B7" w14:textId="77777777" w:rsidR="007C11E9" w:rsidRPr="000A3A07" w:rsidRDefault="007C11E9">
            <w:pPr>
              <w:spacing w:before="0"/>
              <w:jc w:val="right"/>
              <w:rPr>
                <w:b/>
              </w:rPr>
            </w:pPr>
            <w:r w:rsidRPr="000A3A07">
              <w:rPr>
                <w:b/>
              </w:rPr>
              <w:t>4 143</w:t>
            </w:r>
          </w:p>
        </w:tc>
      </w:tr>
      <w:tr w:rsidR="00000000" w:rsidRPr="000A3A07" w14:paraId="293C0D67" w14:textId="77777777">
        <w:tblPrEx>
          <w:tblCellMar>
            <w:top w:w="0" w:type="dxa"/>
            <w:bottom w:w="0" w:type="dxa"/>
          </w:tblCellMar>
        </w:tblPrEx>
        <w:trPr>
          <w:cantSplit/>
        </w:trPr>
        <w:tc>
          <w:tcPr>
            <w:tcW w:w="1418" w:type="dxa"/>
            <w:tcBorders>
              <w:top w:val="nil"/>
              <w:bottom w:val="single" w:sz="6" w:space="0" w:color="000000"/>
              <w:right w:val="nil"/>
            </w:tcBorders>
          </w:tcPr>
          <w:p w14:paraId="254BDA8B" w14:textId="77777777" w:rsidR="007C11E9" w:rsidRPr="000A3A07" w:rsidRDefault="007C11E9">
            <w:pPr>
              <w:ind w:right="214"/>
              <w:jc w:val="right"/>
              <w:rPr>
                <w:b/>
              </w:rPr>
            </w:pPr>
            <w:r w:rsidRPr="000A3A07">
              <w:rPr>
                <w:b/>
              </w:rPr>
              <w:t>2001</w:t>
            </w:r>
          </w:p>
        </w:tc>
        <w:tc>
          <w:tcPr>
            <w:tcW w:w="283" w:type="dxa"/>
            <w:tcBorders>
              <w:left w:val="nil"/>
            </w:tcBorders>
          </w:tcPr>
          <w:p w14:paraId="6A0BDEC2" w14:textId="77777777" w:rsidR="007C11E9" w:rsidRPr="000A3A07" w:rsidRDefault="007C11E9"/>
        </w:tc>
        <w:tc>
          <w:tcPr>
            <w:tcW w:w="709" w:type="dxa"/>
          </w:tcPr>
          <w:p w14:paraId="646DB7A1" w14:textId="77777777" w:rsidR="007C11E9" w:rsidRPr="000A3A07" w:rsidRDefault="007C11E9">
            <w:pPr>
              <w:spacing w:before="0"/>
              <w:jc w:val="right"/>
            </w:pPr>
            <w:r w:rsidRPr="000A3A07">
              <w:t>2 575</w:t>
            </w:r>
          </w:p>
        </w:tc>
        <w:tc>
          <w:tcPr>
            <w:tcW w:w="709" w:type="dxa"/>
          </w:tcPr>
          <w:p w14:paraId="602A7EB1" w14:textId="77777777" w:rsidR="007C11E9" w:rsidRPr="000A3A07" w:rsidRDefault="007C11E9">
            <w:pPr>
              <w:spacing w:before="0"/>
              <w:jc w:val="right"/>
            </w:pPr>
            <w:r w:rsidRPr="000A3A07">
              <w:t>755</w:t>
            </w:r>
          </w:p>
        </w:tc>
        <w:tc>
          <w:tcPr>
            <w:tcW w:w="850" w:type="dxa"/>
          </w:tcPr>
          <w:p w14:paraId="594B3905" w14:textId="77777777" w:rsidR="007C11E9" w:rsidRPr="000A3A07" w:rsidRDefault="007C11E9">
            <w:pPr>
              <w:spacing w:before="0"/>
              <w:jc w:val="right"/>
            </w:pPr>
            <w:r w:rsidRPr="000A3A07">
              <w:t>280</w:t>
            </w:r>
          </w:p>
        </w:tc>
        <w:tc>
          <w:tcPr>
            <w:tcW w:w="1347" w:type="dxa"/>
          </w:tcPr>
          <w:p w14:paraId="35D76429" w14:textId="77777777" w:rsidR="007C11E9" w:rsidRPr="000A3A07" w:rsidRDefault="007C11E9">
            <w:pPr>
              <w:spacing w:before="0"/>
              <w:jc w:val="right"/>
              <w:rPr>
                <w:b/>
              </w:rPr>
            </w:pPr>
            <w:r w:rsidRPr="000A3A07">
              <w:rPr>
                <w:b/>
              </w:rPr>
              <w:t>-</w:t>
            </w:r>
          </w:p>
        </w:tc>
        <w:tc>
          <w:tcPr>
            <w:tcW w:w="638" w:type="dxa"/>
          </w:tcPr>
          <w:p w14:paraId="232A4F97" w14:textId="77777777" w:rsidR="007C11E9" w:rsidRPr="000A3A07" w:rsidRDefault="007C11E9">
            <w:pPr>
              <w:spacing w:before="0"/>
              <w:jc w:val="right"/>
              <w:rPr>
                <w:b/>
              </w:rPr>
            </w:pPr>
            <w:r w:rsidRPr="000A3A07">
              <w:rPr>
                <w:b/>
              </w:rPr>
              <w:t>3 610</w:t>
            </w:r>
          </w:p>
        </w:tc>
      </w:tr>
    </w:tbl>
    <w:p w14:paraId="7FDAEF12" w14:textId="77777777" w:rsidR="007C11E9" w:rsidRPr="000A3A07" w:rsidRDefault="007C11E9">
      <w:pPr>
        <w:pStyle w:val="Tabell"/>
        <w:rPr>
          <w:b/>
        </w:rPr>
      </w:pPr>
      <w:r w:rsidRPr="000A3A07">
        <w:t>Källa: propos</w:t>
      </w:r>
      <w:r w:rsidRPr="000A3A07">
        <w:t>i</w:t>
      </w:r>
      <w:r w:rsidRPr="000A3A07">
        <w:t>tion 2000/2001:1</w:t>
      </w:r>
    </w:p>
    <w:p w14:paraId="0D1290C2" w14:textId="77777777" w:rsidR="007C11E9" w:rsidRPr="000A3A07" w:rsidRDefault="007C11E9">
      <w:pPr>
        <w:rPr>
          <w:b/>
        </w:rPr>
      </w:pPr>
      <w:r w:rsidRPr="000A3A07">
        <w:rPr>
          <w:b/>
        </w:rPr>
        <w:t>Inriktningsplanering och åtgärdsplanering</w:t>
      </w:r>
    </w:p>
    <w:p w14:paraId="1C4828D6" w14:textId="77777777" w:rsidR="007C11E9" w:rsidRPr="000A3A07" w:rsidRDefault="007C11E9">
      <w:r w:rsidRPr="000A3A07">
        <w:t xml:space="preserve">Den ordinarie infrastrukturplaneringen som resulterar i de tioåriga planerna är uppdelad i två etapper. Först görs en </w:t>
      </w:r>
      <w:r w:rsidRPr="000A3A07">
        <w:rPr>
          <w:i/>
        </w:rPr>
        <w:t>inrikt</w:t>
      </w:r>
      <w:r w:rsidRPr="000A3A07">
        <w:rPr>
          <w:i/>
        </w:rPr>
        <w:softHyphen/>
        <w:t>ningsplanering.</w:t>
      </w:r>
      <w:r w:rsidRPr="000A3A07">
        <w:t xml:space="preserve"> Inriktningspl</w:t>
      </w:r>
      <w:r w:rsidRPr="000A3A07">
        <w:t>a</w:t>
      </w:r>
      <w:r w:rsidRPr="000A3A07">
        <w:t>neringen avslutas med att regeringen läg</w:t>
      </w:r>
      <w:r w:rsidRPr="000A3A07">
        <w:softHyphen/>
        <w:t>ger fram en proposition. På grundval av propositionen fattar riksdagen beslut om investering</w:t>
      </w:r>
      <w:r w:rsidRPr="000A3A07">
        <w:softHyphen/>
        <w:t>arnas omfattning och inrik</w:t>
      </w:r>
      <w:r w:rsidRPr="000A3A07">
        <w:t>t</w:t>
      </w:r>
      <w:r w:rsidRPr="000A3A07">
        <w:t xml:space="preserve">ning. </w:t>
      </w:r>
    </w:p>
    <w:p w14:paraId="175362BA" w14:textId="77777777" w:rsidR="007C11E9" w:rsidRPr="000A3A07" w:rsidRDefault="007C11E9">
      <w:pPr>
        <w:pStyle w:val="Normaltindrag"/>
      </w:pPr>
      <w:r w:rsidRPr="000A3A07">
        <w:t xml:space="preserve">Nästa steg är </w:t>
      </w:r>
      <w:r w:rsidRPr="000A3A07">
        <w:rPr>
          <w:i/>
        </w:rPr>
        <w:t>åt</w:t>
      </w:r>
      <w:r w:rsidRPr="000A3A07">
        <w:rPr>
          <w:i/>
        </w:rPr>
        <w:softHyphen/>
        <w:t>gärdsplanering</w:t>
      </w:r>
      <w:r w:rsidRPr="000A3A07">
        <w:t>. Då utar</w:t>
      </w:r>
      <w:r w:rsidRPr="000A3A07">
        <w:softHyphen/>
        <w:t>betar Vägverket en nationell vä</w:t>
      </w:r>
      <w:r w:rsidRPr="000A3A07">
        <w:t>g</w:t>
      </w:r>
      <w:r w:rsidRPr="000A3A07">
        <w:t>hållningsplan för vägnätet och Banver</w:t>
      </w:r>
      <w:r w:rsidRPr="000A3A07">
        <w:softHyphen/>
        <w:t>ket en stomnätsplan för järnvägsnätet. Länsstyrel</w:t>
      </w:r>
      <w:r w:rsidRPr="000A3A07">
        <w:softHyphen/>
        <w:t xml:space="preserve">ser och i förekommande fall regionala självstyrelseorgan utarbetar länsplaner för den regionala transportinfrastrukturen. </w:t>
      </w:r>
    </w:p>
    <w:p w14:paraId="74FF29E5" w14:textId="77777777" w:rsidR="007C11E9" w:rsidRPr="000A3A07" w:rsidRDefault="007C11E9">
      <w:pPr>
        <w:pStyle w:val="Normaltindrag"/>
      </w:pPr>
      <w:r w:rsidRPr="000A3A07">
        <w:t>Regeringen fastställer de nationella planerna, medan länsplanerna fastställs på regional nivå. Investeringspla</w:t>
      </w:r>
      <w:r w:rsidRPr="000A3A07">
        <w:softHyphen/>
        <w:t>nerna ge</w:t>
      </w:r>
      <w:r w:rsidRPr="000A3A07">
        <w:softHyphen/>
        <w:t>nomförs i den takt som de årliga budgetbesluten tillåter. Medelstilldel</w:t>
      </w:r>
      <w:r w:rsidRPr="000A3A07">
        <w:softHyphen/>
        <w:t>ningen till infrastrukturinvesteringar för enskilda år kan hamna både över och under den nivå som fastställts i tioår</w:t>
      </w:r>
      <w:r w:rsidRPr="000A3A07">
        <w:t>s</w:t>
      </w:r>
      <w:r w:rsidRPr="000A3A07">
        <w:t>planerna. Normalt genomförs ändå de investeringar som har prioriterats under tioårsperioden, men med vissa förskjutningar i tiden (Kommunik</w:t>
      </w:r>
      <w:r w:rsidRPr="000A3A07">
        <w:t>a</w:t>
      </w:r>
      <w:r w:rsidRPr="000A3A07">
        <w:t>tionsdepartementet 1998).</w:t>
      </w:r>
    </w:p>
    <w:p w14:paraId="7BF73C76" w14:textId="77777777" w:rsidR="007C11E9" w:rsidRPr="000A3A07" w:rsidRDefault="007C11E9">
      <w:pPr>
        <w:rPr>
          <w:i/>
        </w:rPr>
      </w:pPr>
      <w:r w:rsidRPr="000A3A07">
        <w:rPr>
          <w:i/>
        </w:rPr>
        <w:t>Den pågående planeringsperioden (1998–2007)</w:t>
      </w:r>
    </w:p>
    <w:p w14:paraId="56D767E3" w14:textId="77777777" w:rsidR="007C11E9" w:rsidRPr="000A3A07" w:rsidRDefault="007C11E9">
      <w:r w:rsidRPr="000A3A07">
        <w:t>Planeringsprocessen för perioden 1998–2007 har sin grund i riksdagens beslut våren 1994 (prop. 1993/94:100, bet. 1993/94:TU16, rskr. 1993/94: 154). Riksda</w:t>
      </w:r>
      <w:r w:rsidRPr="000A3A07">
        <w:softHyphen/>
        <w:t>gen begärde att en kommission skulle tillsättas för att utarbeta en nationell plan för kommunikationerna i Sverige. Syftet var bl.a. att stärka det politiska inflytandet över infrastrukturplaneringen. Riksdagen menade att alla trafikslag, inte bara vägar och järnvägar, måste integreras i planering</w:t>
      </w:r>
      <w:r w:rsidRPr="000A3A07">
        <w:t>s</w:t>
      </w:r>
      <w:r w:rsidRPr="000A3A07">
        <w:t>processen samt att avvägningar mellan olika trafikslag måste göras utifrån politiska överväganden</w:t>
      </w:r>
      <w:r w:rsidRPr="000A3A07">
        <w:rPr>
          <w:rStyle w:val="Fotnotsreferens"/>
        </w:rPr>
        <w:footnoteReference w:id="1"/>
      </w:r>
      <w:r w:rsidRPr="000A3A07">
        <w:t>. Regeringen till</w:t>
      </w:r>
      <w:r w:rsidRPr="000A3A07">
        <w:softHyphen/>
        <w:t>kallade i decem</w:t>
      </w:r>
      <w:r w:rsidRPr="000A3A07">
        <w:softHyphen/>
        <w:t>ber 1994 en parl</w:t>
      </w:r>
      <w:r w:rsidRPr="000A3A07">
        <w:t>a</w:t>
      </w:r>
      <w:r w:rsidRPr="000A3A07">
        <w:t>mentarisk kommitté. Kommittén, som tog nam</w:t>
      </w:r>
      <w:r w:rsidRPr="000A3A07">
        <w:softHyphen/>
        <w:t>net Kommunika</w:t>
      </w:r>
      <w:r w:rsidRPr="000A3A07">
        <w:softHyphen/>
        <w:t>tionskommittén, hade två huvuduppgifter. Den skulle dels lägga fram ett förslag till in</w:t>
      </w:r>
      <w:r w:rsidRPr="000A3A07">
        <w:softHyphen/>
        <w:t>riktning av infrastruk</w:t>
      </w:r>
      <w:r w:rsidRPr="000A3A07">
        <w:softHyphen/>
        <w:t>turinveste</w:t>
      </w:r>
      <w:r w:rsidRPr="000A3A07">
        <w:softHyphen/>
        <w:t>ringarna för åren 1998–2007, dels utar</w:t>
      </w:r>
      <w:r w:rsidRPr="000A3A07">
        <w:softHyphen/>
        <w:t>beta underlag för ett nytt trans</w:t>
      </w:r>
      <w:r w:rsidRPr="000A3A07">
        <w:softHyphen/>
        <w:t>portpo</w:t>
      </w:r>
      <w:r w:rsidRPr="000A3A07">
        <w:softHyphen/>
        <w:t xml:space="preserve">litiskt beslut. </w:t>
      </w:r>
    </w:p>
    <w:p w14:paraId="20B95465" w14:textId="77777777" w:rsidR="007C11E9" w:rsidRPr="000A3A07" w:rsidRDefault="007C11E9">
      <w:pPr>
        <w:pStyle w:val="Normaltindrag"/>
      </w:pPr>
      <w:r w:rsidRPr="000A3A07">
        <w:t>Kommitténs arbete låg bl.a. till grund för regeringens proposi</w:t>
      </w:r>
      <w:r w:rsidRPr="000A3A07">
        <w:softHyphen/>
        <w:t xml:space="preserve">tion </w:t>
      </w:r>
      <w:r w:rsidRPr="000A3A07">
        <w:rPr>
          <w:i/>
        </w:rPr>
        <w:t>In</w:t>
      </w:r>
      <w:r w:rsidRPr="000A3A07">
        <w:rPr>
          <w:i/>
        </w:rPr>
        <w:softHyphen/>
        <w:t>frastruktur för framtida transporter</w:t>
      </w:r>
      <w:r w:rsidRPr="000A3A07">
        <w:t xml:space="preserve"> (prop. 1996/97:53). På grundval av propositionen fattade riksdagen i mars 1997 beslut om infrastrukturinriktning och eko</w:t>
      </w:r>
      <w:r w:rsidRPr="000A3A07">
        <w:softHyphen/>
        <w:t xml:space="preserve">nomiska planeringsramar (bet. 1996/97:TU7, rskr. 1996/97:174). </w:t>
      </w:r>
    </w:p>
    <w:p w14:paraId="00E773DF" w14:textId="77777777" w:rsidR="007C11E9" w:rsidRPr="000A3A07" w:rsidRDefault="007C11E9">
      <w:r w:rsidRPr="000A3A07">
        <w:t>Inriktningen innebär att åtgärderna i infrastrukturen under åren 1998–2007 ska</w:t>
      </w:r>
    </w:p>
    <w:p w14:paraId="4A54E8EF" w14:textId="77777777" w:rsidR="007C11E9" w:rsidRPr="000A3A07" w:rsidRDefault="007C11E9">
      <w:pPr>
        <w:numPr>
          <w:ilvl w:val="0"/>
          <w:numId w:val="29"/>
        </w:numPr>
        <w:spacing w:before="0"/>
      </w:pPr>
      <w:r w:rsidRPr="000A3A07">
        <w:t xml:space="preserve">bidra till tillväxt och sysselsättning i alla delar av landet </w:t>
      </w:r>
    </w:p>
    <w:p w14:paraId="3678F823" w14:textId="77777777" w:rsidR="007C11E9" w:rsidRPr="000A3A07" w:rsidRDefault="007C11E9">
      <w:pPr>
        <w:numPr>
          <w:ilvl w:val="0"/>
          <w:numId w:val="29"/>
        </w:numPr>
        <w:spacing w:before="0"/>
        <w:jc w:val="left"/>
      </w:pPr>
      <w:r w:rsidRPr="000A3A07">
        <w:t>leda till förbättrad transportkvalitet genom förbättrad befintlig             in</w:t>
      </w:r>
      <w:r w:rsidRPr="000A3A07">
        <w:softHyphen/>
        <w:t xml:space="preserve">frastruktur </w:t>
      </w:r>
    </w:p>
    <w:p w14:paraId="59D41774" w14:textId="77777777" w:rsidR="007C11E9" w:rsidRPr="000A3A07" w:rsidRDefault="007C11E9">
      <w:pPr>
        <w:numPr>
          <w:ilvl w:val="0"/>
          <w:numId w:val="29"/>
        </w:numPr>
        <w:spacing w:before="0"/>
      </w:pPr>
      <w:r w:rsidRPr="000A3A07">
        <w:t xml:space="preserve">öka infrastrukturens miljöanpassning </w:t>
      </w:r>
    </w:p>
    <w:p w14:paraId="38949495" w14:textId="77777777" w:rsidR="007C11E9" w:rsidRPr="000A3A07" w:rsidRDefault="007C11E9">
      <w:pPr>
        <w:numPr>
          <w:ilvl w:val="0"/>
          <w:numId w:val="29"/>
        </w:numPr>
        <w:spacing w:before="0"/>
      </w:pPr>
      <w:r w:rsidRPr="000A3A07">
        <w:t>minska störningar från trafikbuller</w:t>
      </w:r>
    </w:p>
    <w:p w14:paraId="3714F0FF" w14:textId="77777777" w:rsidR="007C11E9" w:rsidRPr="000A3A07" w:rsidRDefault="007C11E9">
      <w:pPr>
        <w:numPr>
          <w:ilvl w:val="0"/>
          <w:numId w:val="29"/>
        </w:numPr>
        <w:spacing w:before="0"/>
      </w:pPr>
      <w:r w:rsidRPr="000A3A07">
        <w:t>utformas med utgångspunkt i högsta ambition för trafiksäkerhe</w:t>
      </w:r>
      <w:r w:rsidRPr="000A3A07">
        <w:softHyphen/>
        <w:t xml:space="preserve">ten. </w:t>
      </w:r>
    </w:p>
    <w:p w14:paraId="396E2A73" w14:textId="77777777" w:rsidR="007C11E9" w:rsidRPr="000A3A07" w:rsidRDefault="007C11E9">
      <w:r w:rsidRPr="000A3A07">
        <w:t>Riksdagen beslutade om en planeringsram på 190 miljarder kronor för att förverkliga inrikt</w:t>
      </w:r>
      <w:r w:rsidRPr="000A3A07">
        <w:softHyphen/>
        <w:t>ningen under planeringsperioden. Ramen ska i första hand använ</w:t>
      </w:r>
      <w:r w:rsidRPr="000A3A07">
        <w:softHyphen/>
        <w:t>das till investeringar i nationell och regional transportin</w:t>
      </w:r>
      <w:r w:rsidRPr="000A3A07">
        <w:softHyphen/>
        <w:t>frastruktur, samt drift och underhåll av statliga vägar och järnvägar (se tabell 3).</w:t>
      </w:r>
    </w:p>
    <w:p w14:paraId="525F4003" w14:textId="77777777" w:rsidR="007C11E9" w:rsidRPr="000A3A07" w:rsidRDefault="007C11E9">
      <w:pPr>
        <w:pStyle w:val="Tabellrubrik1"/>
      </w:pPr>
    </w:p>
    <w:p w14:paraId="2B27A2CF" w14:textId="77777777" w:rsidR="007C11E9" w:rsidRPr="000A3A07" w:rsidRDefault="007C11E9">
      <w:pPr>
        <w:pStyle w:val="Tabellrubrik1"/>
      </w:pPr>
      <w:r w:rsidRPr="000A3A07">
        <w:t>Tabell 3. Planeringsramar för perioden 1998–2007</w:t>
      </w: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4536"/>
        <w:gridCol w:w="993"/>
        <w:gridCol w:w="283"/>
      </w:tblGrid>
      <w:tr w:rsidR="00000000" w:rsidRPr="000A3A07" w14:paraId="27426775" w14:textId="77777777">
        <w:tblPrEx>
          <w:tblCellMar>
            <w:top w:w="0" w:type="dxa"/>
            <w:bottom w:w="0" w:type="dxa"/>
          </w:tblCellMar>
        </w:tblPrEx>
        <w:tc>
          <w:tcPr>
            <w:tcW w:w="4536" w:type="dxa"/>
            <w:tcBorders>
              <w:bottom w:val="single" w:sz="6" w:space="0" w:color="000000"/>
            </w:tcBorders>
            <w:shd w:val="pct30" w:color="FFFF00" w:fill="FFFFFF"/>
          </w:tcPr>
          <w:p w14:paraId="2A9DB25F" w14:textId="77777777" w:rsidR="007C11E9" w:rsidRPr="000A3A07" w:rsidRDefault="007C11E9">
            <w:pPr>
              <w:spacing w:before="0"/>
              <w:jc w:val="left"/>
              <w:rPr>
                <w:b/>
              </w:rPr>
            </w:pPr>
            <w:r w:rsidRPr="000A3A07">
              <w:rPr>
                <w:b/>
              </w:rPr>
              <w:t>Ändamål</w:t>
            </w:r>
          </w:p>
        </w:tc>
        <w:tc>
          <w:tcPr>
            <w:tcW w:w="1276" w:type="dxa"/>
            <w:gridSpan w:val="2"/>
            <w:tcBorders>
              <w:top w:val="single" w:sz="6" w:space="0" w:color="000000"/>
              <w:bottom w:val="single" w:sz="4" w:space="0" w:color="auto"/>
            </w:tcBorders>
            <w:shd w:val="pct30" w:color="FFFF00" w:fill="FFFFFF"/>
          </w:tcPr>
          <w:p w14:paraId="7ED0B1D0" w14:textId="77777777" w:rsidR="007C11E9" w:rsidRPr="000A3A07" w:rsidRDefault="007C11E9">
            <w:pPr>
              <w:spacing w:before="0"/>
              <w:jc w:val="left"/>
              <w:rPr>
                <w:b/>
              </w:rPr>
            </w:pPr>
            <w:r w:rsidRPr="000A3A07">
              <w:rPr>
                <w:b/>
              </w:rPr>
              <w:t>Miljarder kronor</w:t>
            </w:r>
          </w:p>
        </w:tc>
      </w:tr>
      <w:tr w:rsidR="00000000" w:rsidRPr="000A3A07" w14:paraId="4B8D6C7A" w14:textId="77777777">
        <w:tblPrEx>
          <w:tblCellMar>
            <w:top w:w="0" w:type="dxa"/>
            <w:bottom w:w="0" w:type="dxa"/>
          </w:tblCellMar>
        </w:tblPrEx>
        <w:trPr>
          <w:cantSplit/>
        </w:trPr>
        <w:tc>
          <w:tcPr>
            <w:tcW w:w="4536" w:type="dxa"/>
            <w:tcBorders>
              <w:top w:val="nil"/>
            </w:tcBorders>
          </w:tcPr>
          <w:p w14:paraId="3987C6C0" w14:textId="77777777" w:rsidR="007C11E9" w:rsidRPr="000A3A07" w:rsidRDefault="007C11E9">
            <w:pPr>
              <w:spacing w:before="0"/>
              <w:jc w:val="left"/>
            </w:pPr>
            <w:r w:rsidRPr="000A3A07">
              <w:t>Investeringar i nationella stamvägar</w:t>
            </w:r>
          </w:p>
        </w:tc>
        <w:tc>
          <w:tcPr>
            <w:tcW w:w="993" w:type="dxa"/>
            <w:tcBorders>
              <w:top w:val="nil"/>
              <w:left w:val="nil"/>
              <w:bottom w:val="nil"/>
              <w:right w:val="nil"/>
            </w:tcBorders>
          </w:tcPr>
          <w:p w14:paraId="28E08606" w14:textId="77777777" w:rsidR="007C11E9" w:rsidRPr="000A3A07" w:rsidRDefault="007C11E9">
            <w:pPr>
              <w:spacing w:before="0"/>
              <w:jc w:val="right"/>
            </w:pPr>
            <w:r w:rsidRPr="000A3A07">
              <w:t>30,5</w:t>
            </w:r>
          </w:p>
        </w:tc>
        <w:tc>
          <w:tcPr>
            <w:tcW w:w="283" w:type="dxa"/>
            <w:tcBorders>
              <w:top w:val="nil"/>
              <w:left w:val="nil"/>
              <w:bottom w:val="nil"/>
            </w:tcBorders>
          </w:tcPr>
          <w:p w14:paraId="48825897" w14:textId="77777777" w:rsidR="007C11E9" w:rsidRPr="000A3A07" w:rsidRDefault="007C11E9">
            <w:pPr>
              <w:spacing w:before="0"/>
            </w:pPr>
          </w:p>
        </w:tc>
      </w:tr>
      <w:tr w:rsidR="00000000" w:rsidRPr="000A3A07" w14:paraId="710EBC64" w14:textId="77777777">
        <w:tblPrEx>
          <w:tblCellMar>
            <w:top w:w="0" w:type="dxa"/>
            <w:bottom w:w="0" w:type="dxa"/>
          </w:tblCellMar>
        </w:tblPrEx>
        <w:trPr>
          <w:cantSplit/>
        </w:trPr>
        <w:tc>
          <w:tcPr>
            <w:tcW w:w="4536" w:type="dxa"/>
          </w:tcPr>
          <w:p w14:paraId="0B875313" w14:textId="77777777" w:rsidR="007C11E9" w:rsidRPr="000A3A07" w:rsidRDefault="007C11E9">
            <w:pPr>
              <w:spacing w:before="0"/>
              <w:jc w:val="left"/>
            </w:pPr>
            <w:r w:rsidRPr="000A3A07">
              <w:t>Investeringar i stomjärnvägar</w:t>
            </w:r>
          </w:p>
        </w:tc>
        <w:tc>
          <w:tcPr>
            <w:tcW w:w="993" w:type="dxa"/>
            <w:tcBorders>
              <w:top w:val="nil"/>
              <w:left w:val="nil"/>
              <w:bottom w:val="nil"/>
              <w:right w:val="nil"/>
            </w:tcBorders>
          </w:tcPr>
          <w:p w14:paraId="618AAFB4" w14:textId="77777777" w:rsidR="007C11E9" w:rsidRPr="000A3A07" w:rsidRDefault="007C11E9">
            <w:pPr>
              <w:spacing w:before="0"/>
              <w:jc w:val="right"/>
            </w:pPr>
            <w:r w:rsidRPr="000A3A07">
              <w:t>36,0</w:t>
            </w:r>
          </w:p>
        </w:tc>
        <w:tc>
          <w:tcPr>
            <w:tcW w:w="283" w:type="dxa"/>
            <w:tcBorders>
              <w:top w:val="nil"/>
              <w:left w:val="nil"/>
              <w:bottom w:val="nil"/>
            </w:tcBorders>
          </w:tcPr>
          <w:p w14:paraId="20838840" w14:textId="77777777" w:rsidR="007C11E9" w:rsidRPr="000A3A07" w:rsidRDefault="007C11E9">
            <w:pPr>
              <w:spacing w:before="0"/>
            </w:pPr>
          </w:p>
        </w:tc>
      </w:tr>
      <w:tr w:rsidR="00000000" w:rsidRPr="000A3A07" w14:paraId="40CFFF0B" w14:textId="77777777">
        <w:tblPrEx>
          <w:tblCellMar>
            <w:top w:w="0" w:type="dxa"/>
            <w:bottom w:w="0" w:type="dxa"/>
          </w:tblCellMar>
        </w:tblPrEx>
        <w:trPr>
          <w:cantSplit/>
        </w:trPr>
        <w:tc>
          <w:tcPr>
            <w:tcW w:w="4536" w:type="dxa"/>
          </w:tcPr>
          <w:p w14:paraId="5D5E2A8F" w14:textId="77777777" w:rsidR="007C11E9" w:rsidRPr="000A3A07" w:rsidRDefault="007C11E9">
            <w:pPr>
              <w:spacing w:before="0"/>
              <w:jc w:val="left"/>
            </w:pPr>
            <w:r w:rsidRPr="000A3A07">
              <w:t>Investeringar i regional transportinfrastruktur</w:t>
            </w:r>
          </w:p>
        </w:tc>
        <w:tc>
          <w:tcPr>
            <w:tcW w:w="993" w:type="dxa"/>
            <w:tcBorders>
              <w:top w:val="nil"/>
              <w:left w:val="nil"/>
              <w:bottom w:val="nil"/>
              <w:right w:val="nil"/>
            </w:tcBorders>
          </w:tcPr>
          <w:p w14:paraId="00938EE3" w14:textId="77777777" w:rsidR="007C11E9" w:rsidRPr="000A3A07" w:rsidRDefault="007C11E9">
            <w:pPr>
              <w:spacing w:before="0"/>
              <w:jc w:val="right"/>
            </w:pPr>
            <w:r w:rsidRPr="000A3A07">
              <w:t>32,0</w:t>
            </w:r>
          </w:p>
        </w:tc>
        <w:tc>
          <w:tcPr>
            <w:tcW w:w="283" w:type="dxa"/>
            <w:tcBorders>
              <w:top w:val="nil"/>
              <w:left w:val="nil"/>
              <w:bottom w:val="nil"/>
            </w:tcBorders>
          </w:tcPr>
          <w:p w14:paraId="37DD5343" w14:textId="77777777" w:rsidR="007C11E9" w:rsidRPr="000A3A07" w:rsidRDefault="007C11E9">
            <w:pPr>
              <w:spacing w:before="0"/>
            </w:pPr>
          </w:p>
        </w:tc>
      </w:tr>
      <w:tr w:rsidR="00000000" w:rsidRPr="000A3A07" w14:paraId="5240967F" w14:textId="77777777">
        <w:tblPrEx>
          <w:tblCellMar>
            <w:top w:w="0" w:type="dxa"/>
            <w:bottom w:w="0" w:type="dxa"/>
          </w:tblCellMar>
        </w:tblPrEx>
        <w:trPr>
          <w:cantSplit/>
        </w:trPr>
        <w:tc>
          <w:tcPr>
            <w:tcW w:w="4536" w:type="dxa"/>
          </w:tcPr>
          <w:p w14:paraId="067815CD" w14:textId="77777777" w:rsidR="007C11E9" w:rsidRPr="000A3A07" w:rsidRDefault="007C11E9">
            <w:pPr>
              <w:spacing w:before="0"/>
              <w:jc w:val="left"/>
            </w:pPr>
            <w:r w:rsidRPr="000A3A07">
              <w:t>Drift och underhåll av statliga vägar</w:t>
            </w:r>
          </w:p>
        </w:tc>
        <w:tc>
          <w:tcPr>
            <w:tcW w:w="993" w:type="dxa"/>
            <w:tcBorders>
              <w:top w:val="nil"/>
              <w:left w:val="nil"/>
              <w:bottom w:val="nil"/>
              <w:right w:val="nil"/>
            </w:tcBorders>
          </w:tcPr>
          <w:p w14:paraId="47E913EB" w14:textId="77777777" w:rsidR="007C11E9" w:rsidRPr="000A3A07" w:rsidRDefault="007C11E9">
            <w:pPr>
              <w:spacing w:before="0"/>
              <w:jc w:val="right"/>
            </w:pPr>
            <w:r w:rsidRPr="000A3A07">
              <w:t>56,0</w:t>
            </w:r>
          </w:p>
        </w:tc>
        <w:tc>
          <w:tcPr>
            <w:tcW w:w="283" w:type="dxa"/>
            <w:tcBorders>
              <w:top w:val="nil"/>
              <w:left w:val="nil"/>
              <w:bottom w:val="nil"/>
            </w:tcBorders>
          </w:tcPr>
          <w:p w14:paraId="53ADEBEC" w14:textId="77777777" w:rsidR="007C11E9" w:rsidRPr="000A3A07" w:rsidRDefault="007C11E9">
            <w:pPr>
              <w:spacing w:before="0"/>
            </w:pPr>
          </w:p>
        </w:tc>
      </w:tr>
      <w:tr w:rsidR="00000000" w:rsidRPr="000A3A07" w14:paraId="20E38A58" w14:textId="77777777">
        <w:tblPrEx>
          <w:tblCellMar>
            <w:top w:w="0" w:type="dxa"/>
            <w:bottom w:w="0" w:type="dxa"/>
          </w:tblCellMar>
        </w:tblPrEx>
        <w:trPr>
          <w:cantSplit/>
        </w:trPr>
        <w:tc>
          <w:tcPr>
            <w:tcW w:w="4536" w:type="dxa"/>
          </w:tcPr>
          <w:p w14:paraId="12DA7735" w14:textId="77777777" w:rsidR="007C11E9" w:rsidRPr="000A3A07" w:rsidRDefault="007C11E9">
            <w:pPr>
              <w:spacing w:before="0"/>
              <w:jc w:val="left"/>
            </w:pPr>
            <w:r w:rsidRPr="000A3A07">
              <w:t>Drift och underhåll av statliga järnvägar</w:t>
            </w:r>
          </w:p>
        </w:tc>
        <w:tc>
          <w:tcPr>
            <w:tcW w:w="993" w:type="dxa"/>
            <w:tcBorders>
              <w:top w:val="nil"/>
              <w:left w:val="nil"/>
              <w:bottom w:val="nil"/>
              <w:right w:val="nil"/>
            </w:tcBorders>
          </w:tcPr>
          <w:p w14:paraId="621BE366" w14:textId="77777777" w:rsidR="007C11E9" w:rsidRPr="000A3A07" w:rsidRDefault="007C11E9">
            <w:pPr>
              <w:spacing w:before="0"/>
              <w:jc w:val="right"/>
            </w:pPr>
            <w:r w:rsidRPr="000A3A07">
              <w:t>27,0</w:t>
            </w:r>
          </w:p>
        </w:tc>
        <w:tc>
          <w:tcPr>
            <w:tcW w:w="283" w:type="dxa"/>
            <w:tcBorders>
              <w:top w:val="nil"/>
              <w:left w:val="nil"/>
              <w:bottom w:val="nil"/>
            </w:tcBorders>
          </w:tcPr>
          <w:p w14:paraId="62EFB444" w14:textId="77777777" w:rsidR="007C11E9" w:rsidRPr="000A3A07" w:rsidRDefault="007C11E9">
            <w:pPr>
              <w:spacing w:before="0"/>
            </w:pPr>
          </w:p>
        </w:tc>
      </w:tr>
      <w:tr w:rsidR="00000000" w:rsidRPr="000A3A07" w14:paraId="35739914" w14:textId="77777777">
        <w:tblPrEx>
          <w:tblCellMar>
            <w:top w:w="0" w:type="dxa"/>
            <w:bottom w:w="0" w:type="dxa"/>
          </w:tblCellMar>
        </w:tblPrEx>
        <w:trPr>
          <w:cantSplit/>
        </w:trPr>
        <w:tc>
          <w:tcPr>
            <w:tcW w:w="4536" w:type="dxa"/>
            <w:tcBorders>
              <w:bottom w:val="single" w:sz="4" w:space="0" w:color="auto"/>
            </w:tcBorders>
          </w:tcPr>
          <w:p w14:paraId="543F0C30" w14:textId="77777777" w:rsidR="007C11E9" w:rsidRPr="000A3A07" w:rsidRDefault="007C11E9">
            <w:pPr>
              <w:spacing w:before="0"/>
              <w:jc w:val="left"/>
            </w:pPr>
            <w:r w:rsidRPr="000A3A07">
              <w:t>Kompletterande åtgärder inom miljö- och trafiksäke</w:t>
            </w:r>
            <w:r w:rsidRPr="000A3A07">
              <w:t>r</w:t>
            </w:r>
            <w:r w:rsidRPr="000A3A07">
              <w:t>het</w:t>
            </w:r>
          </w:p>
        </w:tc>
        <w:tc>
          <w:tcPr>
            <w:tcW w:w="993" w:type="dxa"/>
            <w:tcBorders>
              <w:top w:val="nil"/>
              <w:left w:val="nil"/>
              <w:bottom w:val="single" w:sz="4" w:space="0" w:color="auto"/>
              <w:right w:val="nil"/>
            </w:tcBorders>
          </w:tcPr>
          <w:p w14:paraId="11C36C73" w14:textId="77777777" w:rsidR="007C11E9" w:rsidRPr="000A3A07" w:rsidRDefault="007C11E9">
            <w:pPr>
              <w:spacing w:before="0"/>
              <w:jc w:val="right"/>
            </w:pPr>
            <w:r w:rsidRPr="000A3A07">
              <w:t>8,5</w:t>
            </w:r>
          </w:p>
        </w:tc>
        <w:tc>
          <w:tcPr>
            <w:tcW w:w="283" w:type="dxa"/>
            <w:tcBorders>
              <w:top w:val="nil"/>
              <w:left w:val="nil"/>
              <w:bottom w:val="single" w:sz="4" w:space="0" w:color="auto"/>
            </w:tcBorders>
          </w:tcPr>
          <w:p w14:paraId="1124378B" w14:textId="77777777" w:rsidR="007C11E9" w:rsidRPr="000A3A07" w:rsidRDefault="007C11E9">
            <w:pPr>
              <w:spacing w:before="0"/>
            </w:pPr>
          </w:p>
        </w:tc>
      </w:tr>
      <w:tr w:rsidR="00000000" w:rsidRPr="000A3A07" w14:paraId="144C98D7" w14:textId="77777777">
        <w:tblPrEx>
          <w:tblCellMar>
            <w:top w:w="0" w:type="dxa"/>
            <w:bottom w:w="0" w:type="dxa"/>
          </w:tblCellMar>
        </w:tblPrEx>
        <w:trPr>
          <w:cantSplit/>
        </w:trPr>
        <w:tc>
          <w:tcPr>
            <w:tcW w:w="4536" w:type="dxa"/>
            <w:tcBorders>
              <w:top w:val="nil"/>
            </w:tcBorders>
          </w:tcPr>
          <w:p w14:paraId="2EC455FB" w14:textId="77777777" w:rsidR="007C11E9" w:rsidRPr="000A3A07" w:rsidRDefault="007C11E9">
            <w:pPr>
              <w:spacing w:before="0"/>
              <w:jc w:val="left"/>
              <w:rPr>
                <w:b/>
              </w:rPr>
            </w:pPr>
            <w:r w:rsidRPr="000A3A07">
              <w:rPr>
                <w:b/>
              </w:rPr>
              <w:t>Totalt</w:t>
            </w:r>
          </w:p>
        </w:tc>
        <w:tc>
          <w:tcPr>
            <w:tcW w:w="993" w:type="dxa"/>
            <w:tcBorders>
              <w:top w:val="nil"/>
              <w:left w:val="nil"/>
              <w:bottom w:val="single" w:sz="6" w:space="0" w:color="000000"/>
              <w:right w:val="nil"/>
            </w:tcBorders>
          </w:tcPr>
          <w:p w14:paraId="3D233D20" w14:textId="77777777" w:rsidR="007C11E9" w:rsidRPr="000A3A07" w:rsidRDefault="007C11E9">
            <w:pPr>
              <w:spacing w:before="0"/>
              <w:jc w:val="right"/>
              <w:rPr>
                <w:b/>
              </w:rPr>
            </w:pPr>
            <w:r w:rsidRPr="000A3A07">
              <w:rPr>
                <w:b/>
              </w:rPr>
              <w:t>190,0</w:t>
            </w:r>
          </w:p>
        </w:tc>
        <w:tc>
          <w:tcPr>
            <w:tcW w:w="283" w:type="dxa"/>
            <w:tcBorders>
              <w:top w:val="nil"/>
              <w:left w:val="nil"/>
              <w:bottom w:val="single" w:sz="6" w:space="0" w:color="000000"/>
            </w:tcBorders>
          </w:tcPr>
          <w:p w14:paraId="0BECBE48" w14:textId="77777777" w:rsidR="007C11E9" w:rsidRPr="000A3A07" w:rsidRDefault="007C11E9">
            <w:pPr>
              <w:spacing w:before="0"/>
            </w:pPr>
          </w:p>
        </w:tc>
      </w:tr>
    </w:tbl>
    <w:p w14:paraId="59902AEC" w14:textId="77777777" w:rsidR="007C11E9" w:rsidRPr="000A3A07" w:rsidRDefault="007C11E9">
      <w:pPr>
        <w:pStyle w:val="Tabell"/>
      </w:pPr>
      <w:r w:rsidRPr="000A3A07">
        <w:t>Källa: Prop. 1996/97:53, bet. 1996/97:TU7, rskr. 1996/97:174</w:t>
      </w:r>
    </w:p>
    <w:p w14:paraId="0ACB9021" w14:textId="77777777" w:rsidR="007C11E9" w:rsidRPr="000A3A07" w:rsidRDefault="007C11E9">
      <w:r w:rsidRPr="000A3A07">
        <w:t>I april 1997 gav regeringen Vägverket och Banverket direktiv för upprätta</w:t>
      </w:r>
      <w:r w:rsidRPr="000A3A07">
        <w:t>n</w:t>
      </w:r>
      <w:r w:rsidRPr="000A3A07">
        <w:t xml:space="preserve">de av planerna för perioden 1998–2007. Verken redovisade sina planförslag i mars 1998. Regeringen fastställde planerna i juni 1998. Regeringen beslutade bl.a. att Vägverket skulle tidigarelägga de åtgärder under planperioden som ger säkrare vägar. </w:t>
      </w:r>
    </w:p>
    <w:p w14:paraId="3E650726" w14:textId="77777777" w:rsidR="007C11E9" w:rsidRPr="000A3A07" w:rsidRDefault="007C11E9">
      <w:pPr>
        <w:pStyle w:val="Normaltindrag"/>
      </w:pPr>
      <w:r w:rsidRPr="000A3A07">
        <w:t>Parallellt med investeringarna som ingår i de tioåriga planerna planerades investeringar för ytterligare ca 50 miljar</w:t>
      </w:r>
      <w:r w:rsidRPr="000A3A07">
        <w:softHyphen/>
        <w:t>der kro</w:t>
      </w:r>
      <w:r w:rsidRPr="000A3A07">
        <w:softHyphen/>
        <w:t>nor under samma period. Dessa investeringar avsågs inte finansieras med anslag och ingår därför inte i den av riksdagen beslutade planeringsramen. Till projekten med alternativ finansiering hör bl.a. Öresundsförbindelsen med anslut</w:t>
      </w:r>
      <w:r w:rsidRPr="000A3A07">
        <w:softHyphen/>
        <w:t>ningar, Arlandabanan samt projekt inom ramen för Dennispaketet och Gö</w:t>
      </w:r>
      <w:r w:rsidRPr="000A3A07">
        <w:softHyphen/>
        <w:t>teborgsöverens-kommelsen (prop. 1996/97:53).</w:t>
      </w:r>
    </w:p>
    <w:p w14:paraId="44D00962" w14:textId="77777777" w:rsidR="007C11E9" w:rsidRPr="000A3A07" w:rsidRDefault="007C11E9">
      <w:pPr>
        <w:rPr>
          <w:i/>
        </w:rPr>
      </w:pPr>
      <w:r w:rsidRPr="000A3A07">
        <w:rPr>
          <w:i/>
        </w:rPr>
        <w:t>Kommande planeringsperiod (2002–2011)</w:t>
      </w:r>
    </w:p>
    <w:p w14:paraId="7C04C080" w14:textId="77777777" w:rsidR="007C11E9" w:rsidRPr="000A3A07" w:rsidRDefault="007C11E9">
      <w:r w:rsidRPr="000A3A07">
        <w:t>Arbetet med inriktningsplaneringen för perioden 2002–2011 inleddes 1998. Regeringen uppdrog åt Statens institut för kommunikationsanalys (SIKA) att i samråd med bl.a. trafikverk och länsstyrelser upprätta en lägesanalys (SIKA 1998). Därefter gav regeringen länsstyrelser och regionala självstyrelseorgan samt SIKA, Banverket, Vägverket, Luftfartsverket och Sjöfartsverket i up</w:t>
      </w:r>
      <w:r w:rsidRPr="000A3A07">
        <w:t>p</w:t>
      </w:r>
      <w:r w:rsidRPr="000A3A07">
        <w:t>drag att gemensamt utarbeta en strategisk analys. Planeringen skulle utgå från ett transportslagsövergripande synsätt. Myndigheterna satte samman och konsekvensbelyste olika inriktningsalternativ. Alternativen studerades med utgångspunkt i modeller som beskriver hela transportmarknaden och alla transportslag. I analysen utgick myndigheterna från bedömningar av hur efterfrågan på och utbudet av transporter kommer att förändras fram till år 2010. Följande tre inriktningsalternativ sattes sa</w:t>
      </w:r>
      <w:r w:rsidRPr="000A3A07">
        <w:t>m</w:t>
      </w:r>
      <w:r w:rsidRPr="000A3A07">
        <w:t>man:</w:t>
      </w:r>
    </w:p>
    <w:p w14:paraId="5D59EEC7" w14:textId="77777777" w:rsidR="007C11E9" w:rsidRPr="000A3A07" w:rsidRDefault="007C11E9">
      <w:pPr>
        <w:numPr>
          <w:ilvl w:val="0"/>
          <w:numId w:val="26"/>
        </w:numPr>
        <w:spacing w:before="0"/>
      </w:pPr>
      <w:r w:rsidRPr="000A3A07">
        <w:t>samhällsekon</w:t>
      </w:r>
      <w:r w:rsidRPr="000A3A07">
        <w:t>omi</w:t>
      </w:r>
    </w:p>
    <w:p w14:paraId="5E2A20EE" w14:textId="77777777" w:rsidR="007C11E9" w:rsidRPr="000A3A07" w:rsidRDefault="007C11E9">
      <w:pPr>
        <w:numPr>
          <w:ilvl w:val="0"/>
          <w:numId w:val="27"/>
        </w:numPr>
        <w:spacing w:before="0"/>
      </w:pPr>
      <w:r w:rsidRPr="000A3A07">
        <w:t>regional utveckling</w:t>
      </w:r>
    </w:p>
    <w:p w14:paraId="113E4619" w14:textId="77777777" w:rsidR="007C11E9" w:rsidRPr="000A3A07" w:rsidRDefault="007C11E9">
      <w:pPr>
        <w:numPr>
          <w:ilvl w:val="0"/>
          <w:numId w:val="26"/>
        </w:numPr>
        <w:spacing w:before="0"/>
      </w:pPr>
      <w:r w:rsidRPr="000A3A07">
        <w:t>trafiksäkerhet och miljö.</w:t>
      </w:r>
    </w:p>
    <w:p w14:paraId="1D13D552" w14:textId="77777777" w:rsidR="007C11E9" w:rsidRPr="000A3A07" w:rsidRDefault="007C11E9">
      <w:r w:rsidRPr="000A3A07">
        <w:t>Det samhällsekonomiska alternativet innehåller de mest lönsamma väg- och järnvägsåtgärderna. Alternativet ”regional utveckling” innehåller de väg- och järnvägsåtgärder som länen bedömer ger störst tillväxt för näringslivet. Tr</w:t>
      </w:r>
      <w:r w:rsidRPr="000A3A07">
        <w:t>a</w:t>
      </w:r>
      <w:r w:rsidRPr="000A3A07">
        <w:t>fiksäkerhets- och miljöalternativet innehåller de väg- och järnvägsåtgärder som gör att etappmålen för trafiksäkerhet och en god miljö nås mest kost-nadseffektivt. Inriktningarna visar hur planeringsramen kan fördelas på olika kombinationer av åtgärder vid skilda förutsät</w:t>
      </w:r>
      <w:r w:rsidRPr="000A3A07">
        <w:t>t</w:t>
      </w:r>
      <w:r w:rsidRPr="000A3A07">
        <w:t>ningar.</w:t>
      </w:r>
    </w:p>
    <w:p w14:paraId="1CEB7306" w14:textId="77777777" w:rsidR="007C11E9" w:rsidRPr="000A3A07" w:rsidRDefault="007C11E9">
      <w:pPr>
        <w:pStyle w:val="Normaltindrag"/>
      </w:pPr>
      <w:r w:rsidRPr="000A3A07">
        <w:t>I enlighet med regeringens direktiv har inriktningsalternativen anpassats till en finansiell analysram på 210 miljarder kronor. Inom ramen har 12 % avsatts till påbörjade projekt samt räntor och amorteringar för lånefinansier</w:t>
      </w:r>
      <w:r w:rsidRPr="000A3A07">
        <w:t>a</w:t>
      </w:r>
      <w:r w:rsidRPr="000A3A07">
        <w:t xml:space="preserve">de investeringar. </w:t>
      </w:r>
    </w:p>
    <w:p w14:paraId="0FA8648E" w14:textId="77777777" w:rsidR="007C11E9" w:rsidRPr="000A3A07" w:rsidRDefault="007C11E9">
      <w:pPr>
        <w:pStyle w:val="Normaltindrag"/>
      </w:pPr>
      <w:r w:rsidRPr="000A3A07">
        <w:t>Resultatet av den nationella strategiska analysen presenterades i november 1999 (SAMPLAN 1999). Analysen ska utgöra underlag till regeringens proposition om in</w:t>
      </w:r>
      <w:r w:rsidRPr="000A3A07">
        <w:softHyphen/>
        <w:t>riktningen på infrastrukturplan</w:t>
      </w:r>
      <w:r w:rsidRPr="000A3A07">
        <w:t>e</w:t>
      </w:r>
      <w:r w:rsidRPr="000A3A07">
        <w:t>ringen.</w:t>
      </w:r>
    </w:p>
    <w:p w14:paraId="4A2657FA" w14:textId="77777777" w:rsidR="007C11E9" w:rsidRPr="000A3A07" w:rsidRDefault="007C11E9">
      <w:pPr>
        <w:pStyle w:val="Normaltindrag"/>
      </w:pPr>
      <w:r w:rsidRPr="000A3A07">
        <w:t xml:space="preserve">Regeringen planerade att lämna infrastrukturpropositionen i mars 2000. Arbetet har dock försenats. När riksdagen har beslutat om planeringsramarna uppdrar regeringen åt Vägverket och Banverket att upprätta nya planer för perioden 2002–2011. I planerna anges vilka investeringar som beräknas genomföras under perioden. </w:t>
      </w:r>
    </w:p>
    <w:p w14:paraId="3C09FB18" w14:textId="77777777" w:rsidR="007C11E9" w:rsidRPr="000A3A07" w:rsidRDefault="007C11E9">
      <w:pPr>
        <w:rPr>
          <w:i/>
        </w:rPr>
      </w:pPr>
      <w:r w:rsidRPr="000A3A07">
        <w:rPr>
          <w:i/>
        </w:rPr>
        <w:t>Riksdagens roll i planeringen</w:t>
      </w:r>
    </w:p>
    <w:p w14:paraId="65F2A96C" w14:textId="77777777" w:rsidR="007C11E9" w:rsidRPr="000A3A07" w:rsidRDefault="007C11E9">
      <w:r w:rsidRPr="000A3A07">
        <w:t>Riksdagens roll i infrastrukturplaneringen klargjordes av trafikutskottet våren 1999, i samband med att utskottet behandlade regeringens skrivelse om de långsiktiga investeringsplanerna för trafikens infrastruk</w:t>
      </w:r>
      <w:r w:rsidRPr="000A3A07">
        <w:softHyphen/>
        <w:t>tur (skr. 1998/99:8, bet. 1998/99:TU5, rskr. 1998/99:150). Efter införandet av mål- och resulta</w:t>
      </w:r>
      <w:r w:rsidRPr="000A3A07">
        <w:t>t</w:t>
      </w:r>
      <w:r w:rsidRPr="000A3A07">
        <w:t>styrning i statsförvaltningen är det enligt utskottet inte riksda</w:t>
      </w:r>
      <w:r w:rsidRPr="000A3A07">
        <w:softHyphen/>
        <w:t>gens främsta uppgift att ta ställning till enskilda infrastruk</w:t>
      </w:r>
      <w:r w:rsidRPr="000A3A07">
        <w:softHyphen/>
        <w:t>turprojekt eller andra enskilda åtgärder. Investeringar i trafikens infrastruktur bör behandlas inom ramen för den normala infrastrukturplaneringen.</w:t>
      </w:r>
    </w:p>
    <w:p w14:paraId="295A8F0B" w14:textId="77777777" w:rsidR="007C11E9" w:rsidRPr="000A3A07" w:rsidRDefault="007C11E9">
      <w:pPr>
        <w:pStyle w:val="Normaltindrag"/>
      </w:pPr>
      <w:r w:rsidRPr="000A3A07">
        <w:t>Riksdagen ska ange övergripande mål och riktlinjer för pla</w:t>
      </w:r>
      <w:r w:rsidRPr="000A3A07">
        <w:softHyphen/>
        <w:t>nering, fas</w:t>
      </w:r>
      <w:r w:rsidRPr="000A3A07">
        <w:t>t</w:t>
      </w:r>
      <w:r w:rsidRPr="000A3A07">
        <w:t>ställa finansiella ramar och skapa förutsättningar för en effek</w:t>
      </w:r>
      <w:r w:rsidRPr="000A3A07">
        <w:softHyphen/>
        <w:t>tiv organisation för att förvalta avsatta resurser. Riksdagen ska också tillse att rege</w:t>
      </w:r>
      <w:r w:rsidRPr="000A3A07">
        <w:softHyphen/>
        <w:t>ringen återrapporterar i vilken grad insatta resurser har bidragit till uppfyllelsen av fast</w:t>
      </w:r>
      <w:r w:rsidRPr="000A3A07">
        <w:softHyphen/>
        <w:t xml:space="preserve">lagda mål. </w:t>
      </w:r>
    </w:p>
    <w:p w14:paraId="122E67AD" w14:textId="77777777" w:rsidR="007C11E9" w:rsidRPr="000A3A07" w:rsidRDefault="007C11E9">
      <w:pPr>
        <w:pStyle w:val="Normaltindrag"/>
      </w:pPr>
      <w:r w:rsidRPr="000A3A07">
        <w:t>Förutsätts särskild finansiering genom exempelvis garantiåtaganden krävs dock att frågan underställs riksdagens prövning. Inget hindrar heller att riks</w:t>
      </w:r>
      <w:r w:rsidRPr="000A3A07">
        <w:softHyphen/>
        <w:t>dagen gör mer precise</w:t>
      </w:r>
      <w:r w:rsidRPr="000A3A07">
        <w:softHyphen/>
        <w:t>rade ställningstaganden i enskilda frågor. Det kan gälla delar av infrastrukturen, som t.ex. det enskilda vägnätet. Det kan också gälla särskilda investeringar som är av vä</w:t>
      </w:r>
      <w:r w:rsidRPr="000A3A07">
        <w:softHyphen/>
        <w:t>sentlig betydelse för tra</w:t>
      </w:r>
      <w:r w:rsidRPr="000A3A07">
        <w:softHyphen/>
        <w:t>fiksystemets effektivitet eller som kräver särskilda finansie</w:t>
      </w:r>
      <w:r w:rsidRPr="000A3A07">
        <w:softHyphen/>
        <w:t>ringslös</w:t>
      </w:r>
      <w:r w:rsidRPr="000A3A07">
        <w:softHyphen/>
        <w:t>ningar. Citytunneln i Malmö, Botniabanan och E 6 norr om Uddevalla är några exempel på sådana projekt som riksdagen b</w:t>
      </w:r>
      <w:r w:rsidRPr="000A3A07">
        <w:t>e</w:t>
      </w:r>
      <w:r w:rsidRPr="000A3A07">
        <w:t xml:space="preserve">handlat. </w:t>
      </w:r>
    </w:p>
    <w:p w14:paraId="194C00B0" w14:textId="77777777" w:rsidR="007C11E9" w:rsidRPr="000A3A07" w:rsidRDefault="007C11E9">
      <w:pPr>
        <w:pStyle w:val="Rubrik1"/>
      </w:pPr>
      <w:bookmarkStart w:id="38" w:name="_Toc496580987"/>
      <w:r w:rsidRPr="000A3A07">
        <w:br w:type="page"/>
      </w:r>
      <w:bookmarkStart w:id="39" w:name="_Toc506340933"/>
      <w:r w:rsidRPr="000A3A07">
        <w:t>Anslagsfinansiering</w:t>
      </w:r>
      <w:bookmarkEnd w:id="38"/>
      <w:bookmarkEnd w:id="39"/>
    </w:p>
    <w:p w14:paraId="13C31331" w14:textId="77777777" w:rsidR="007C11E9" w:rsidRPr="000A3A07" w:rsidRDefault="007C11E9">
      <w:r w:rsidRPr="000A3A07">
        <w:t>Enligt 22 § lagen (1996:1059) om statsbudgeten ska andra tillgångar än sådana som används i statens verksamhet finansieras med anslag på stat</w:t>
      </w:r>
      <w:r w:rsidRPr="000A3A07">
        <w:t>s</w:t>
      </w:r>
      <w:r w:rsidRPr="000A3A07">
        <w:t xml:space="preserve">budgeten. Till dessa tillgångar räknas bl.a. infrastruktur i form av vägar, broar och järnvägar. Anslagsfinansiering innebär att en investering betalas på en gång med statens löpande inkomster. </w:t>
      </w:r>
    </w:p>
    <w:p w14:paraId="3DC3FB91" w14:textId="77777777" w:rsidR="007C11E9" w:rsidRPr="000A3A07" w:rsidRDefault="007C11E9">
      <w:pPr>
        <w:pStyle w:val="Normaltindrag"/>
      </w:pPr>
      <w:r w:rsidRPr="000A3A07">
        <w:t>Anslagsfinansierade investeringar ingår i Vägverkets och Banverkets ti</w:t>
      </w:r>
      <w:r w:rsidRPr="000A3A07">
        <w:t>o</w:t>
      </w:r>
      <w:r w:rsidRPr="000A3A07">
        <w:t>åriga planer och länsplanerna. Riksdagen har vid flera tillfällen uttalat att anslagsfinansiering ger riksdagen bäst möjlighet till inflytande och överblick. Med anslagsfinansiering uppkommer inte något behov av öronmärkta lån eller statlig garanti. Finansutskottet menar att anslagsfinansiering är särskilt viktig i fråga om stora infrastrukturella investeringar som inte ger monetär avkas</w:t>
      </w:r>
      <w:r w:rsidRPr="000A3A07">
        <w:t>t</w:t>
      </w:r>
      <w:r w:rsidRPr="000A3A07">
        <w:t>ning.</w:t>
      </w:r>
    </w:p>
    <w:p w14:paraId="2296CF6E" w14:textId="77777777" w:rsidR="007C11E9" w:rsidRPr="000A3A07" w:rsidRDefault="007C11E9">
      <w:pPr>
        <w:pStyle w:val="Normaltindrag"/>
      </w:pPr>
      <w:r w:rsidRPr="000A3A07">
        <w:t>Med alternativ finansiering avses annan finansiering än anslagsfinansi</w:t>
      </w:r>
      <w:r w:rsidRPr="000A3A07">
        <w:t>e</w:t>
      </w:r>
      <w:r w:rsidRPr="000A3A07">
        <w:t>ring. I budgetlagen finns en undantagsparagraf (23 §) enligt vilken riksdagen har möjlighet att besluta att en investering i t.ex. infrastruktur ska finansieras på annat sätt än med anslag. Denna paragraf var tänkt att utnyttjas exempe</w:t>
      </w:r>
      <w:r w:rsidRPr="000A3A07">
        <w:t>l</w:t>
      </w:r>
      <w:r w:rsidRPr="000A3A07">
        <w:t>vis om avgifter skulle tas ut för nyttjandet av en trafikanläggning. Då ansågs investeringen helt eller delvis kunna finansieras med lån (prop. 1996/97:220). Paragrafen har vid flera olika tillfällen utnyttjats för i</w:t>
      </w:r>
      <w:r w:rsidRPr="000A3A07">
        <w:t>n</w:t>
      </w:r>
      <w:r w:rsidRPr="000A3A07">
        <w:t>frastrukturella investeringar. I de fall riksdagen har bes</w:t>
      </w:r>
      <w:r w:rsidRPr="000A3A07">
        <w:t>lutat om alternativ finansiering av en investering har särskilda omständigheter fått motivera undantag från principen om a</w:t>
      </w:r>
      <w:r w:rsidRPr="000A3A07">
        <w:t>n</w:t>
      </w:r>
      <w:r w:rsidRPr="000A3A07">
        <w:t xml:space="preserve">slagsfinansiering. </w:t>
      </w:r>
    </w:p>
    <w:p w14:paraId="0EA07C11" w14:textId="77777777" w:rsidR="007C11E9" w:rsidRPr="000A3A07" w:rsidRDefault="007C11E9">
      <w:pPr>
        <w:pStyle w:val="Normaltindrag"/>
      </w:pPr>
      <w:r w:rsidRPr="000A3A07">
        <w:t>I detta kapitel presenteras anslagsfinansieringens restriktioner och omfat</w:t>
      </w:r>
      <w:r w:rsidRPr="000A3A07">
        <w:t>t</w:t>
      </w:r>
      <w:r w:rsidRPr="000A3A07">
        <w:t>ning. I nästa kapitel diskuteras olika typer av alternativa finansieringsfo</w:t>
      </w:r>
      <w:r w:rsidRPr="000A3A07">
        <w:t>r</w:t>
      </w:r>
      <w:r w:rsidRPr="000A3A07">
        <w:t>mer.</w:t>
      </w:r>
    </w:p>
    <w:p w14:paraId="3DC44821" w14:textId="77777777" w:rsidR="007C11E9" w:rsidRPr="000A3A07" w:rsidRDefault="007C11E9">
      <w:pPr>
        <w:rPr>
          <w:i/>
        </w:rPr>
      </w:pPr>
      <w:r w:rsidRPr="000A3A07">
        <w:rPr>
          <w:i/>
        </w:rPr>
        <w:t>Restriktioner</w:t>
      </w:r>
    </w:p>
    <w:p w14:paraId="2E0FFD6B" w14:textId="77777777" w:rsidR="007C11E9" w:rsidRPr="000A3A07" w:rsidRDefault="007C11E9">
      <w:commentRangeStart w:id="40"/>
      <w:r w:rsidRPr="000A3A07">
        <w:t xml:space="preserve">Riksdagen </w:t>
      </w:r>
      <w:commentRangeEnd w:id="40"/>
      <w:r w:rsidRPr="000A3A07">
        <w:rPr>
          <w:rStyle w:val="Kommentarsreferens"/>
          <w:sz w:val="19"/>
        </w:rPr>
        <w:commentReference w:id="40"/>
      </w:r>
      <w:r w:rsidRPr="000A3A07">
        <w:t>fastställer varje år ett utgiftstak för samtliga utgifter på statsbu</w:t>
      </w:r>
      <w:r w:rsidRPr="000A3A07">
        <w:t>d</w:t>
      </w:r>
      <w:r w:rsidRPr="000A3A07">
        <w:t xml:space="preserve">geten (utom </w:t>
      </w:r>
      <w:commentRangeStart w:id="41"/>
      <w:r w:rsidRPr="000A3A07">
        <w:t>statsskuldsräntor</w:t>
      </w:r>
      <w:commentRangeEnd w:id="41"/>
      <w:r w:rsidRPr="000A3A07">
        <w:rPr>
          <w:rStyle w:val="Kommentarsreferens"/>
          <w:sz w:val="19"/>
        </w:rPr>
        <w:commentReference w:id="41"/>
      </w:r>
      <w:r w:rsidRPr="000A3A07">
        <w:t xml:space="preserve">) för tre år framåt. Om det finns risk för att ett utgiftstak kommer att överskridas ska regeringen vidta åtgärder eller föreslå riksdagen nödvändiga åtgärder. </w:t>
      </w:r>
    </w:p>
    <w:p w14:paraId="3679CD22" w14:textId="77777777" w:rsidR="007C11E9" w:rsidRPr="000A3A07" w:rsidRDefault="007C11E9">
      <w:pPr>
        <w:pStyle w:val="Normaltindrag"/>
      </w:pPr>
      <w:r w:rsidRPr="000A3A07">
        <w:t>Riksdagen godkänner också årligen en preliminär utgiftsram för varje u</w:t>
      </w:r>
      <w:r w:rsidRPr="000A3A07">
        <w:t>t</w:t>
      </w:r>
      <w:r w:rsidRPr="000A3A07">
        <w:t>giftsområde för tre år framåt. Statsbudgetens utgiftssida är uppdelad i 27 utgiftsområden. Inom utgiftsramarna beslutar riksdagen om anslagen för olika verksamheter. Anslagen på statsbudgeten finansieras av årets inkomster på statsbudgeten samt, i den mån inkomsterna inte räcker, upplåning via Riksgäldskontoret. Till skillnad från utgiftstaket kan ett anslag och en utgift</w:t>
      </w:r>
      <w:r w:rsidRPr="000A3A07">
        <w:t>s</w:t>
      </w:r>
      <w:r w:rsidRPr="000A3A07">
        <w:t>ram överskridas i viss omfattning utan att åtgärder måste vidtas.</w:t>
      </w:r>
    </w:p>
    <w:p w14:paraId="79BF7454" w14:textId="77777777" w:rsidR="007C11E9" w:rsidRPr="000A3A07" w:rsidRDefault="007C11E9">
      <w:pPr>
        <w:pStyle w:val="Normaltindrag"/>
      </w:pPr>
      <w:r w:rsidRPr="000A3A07">
        <w:t>Utgiftstaket avser statens faktiska utgifter. Anslagsmedel som inte ha</w:t>
      </w:r>
      <w:r w:rsidRPr="000A3A07">
        <w:t>r u</w:t>
      </w:r>
      <w:r w:rsidRPr="000A3A07">
        <w:t>t</w:t>
      </w:r>
      <w:r w:rsidRPr="000A3A07">
        <w:t xml:space="preserve">nyttjats (anslagssparande) ger därför inte något ökat utrymme för de totala statliga utgifterna kommande år. </w:t>
      </w:r>
    </w:p>
    <w:p w14:paraId="40DEB8B2" w14:textId="77777777" w:rsidR="007C11E9" w:rsidRPr="000A3A07" w:rsidRDefault="007C11E9">
      <w:pPr>
        <w:pStyle w:val="Normaltindrag"/>
      </w:pPr>
      <w:r w:rsidRPr="000A3A07">
        <w:t>Utgiftstaket är ett av två finanspolitiska mål som begränsar anslagstillde</w:t>
      </w:r>
      <w:r w:rsidRPr="000A3A07">
        <w:t>l</w:t>
      </w:r>
      <w:r w:rsidRPr="000A3A07">
        <w:t xml:space="preserve">ningen. Det andra målet är att den offentliga sektorns finansiella sparande (inkomster minus utgifter) ska uppvisa överskott på i genomsnitt 2 % av BNP över en konjunkturcykel. </w:t>
      </w:r>
    </w:p>
    <w:p w14:paraId="3B605A02" w14:textId="77777777" w:rsidR="007C11E9" w:rsidRPr="000A3A07" w:rsidRDefault="007C11E9">
      <w:pPr>
        <w:pStyle w:val="Normaltindrag"/>
      </w:pPr>
    </w:p>
    <w:p w14:paraId="7A69D44B" w14:textId="77777777" w:rsidR="007C11E9" w:rsidRPr="000A3A07" w:rsidRDefault="007C11E9">
      <w:pPr>
        <w:rPr>
          <w:i/>
        </w:rPr>
      </w:pPr>
      <w:r w:rsidRPr="000A3A07">
        <w:rPr>
          <w:i/>
        </w:rPr>
        <w:t>Vägverkets och Banverkets anslag för investeringar</w:t>
      </w:r>
    </w:p>
    <w:p w14:paraId="49022BB8" w14:textId="77777777" w:rsidR="007C11E9" w:rsidRPr="000A3A07" w:rsidRDefault="007C11E9">
      <w:r w:rsidRPr="000A3A07">
        <w:t>Vägverket och Banverket tilldelas varje år anslag för statlig väghållning respektive banhållning. Vägverkets anslagspost för statlig väghållning är indelad i investeringar i nationell plan, investeringar i regional plan, invest</w:t>
      </w:r>
      <w:r w:rsidRPr="000A3A07">
        <w:t>e</w:t>
      </w:r>
      <w:r w:rsidRPr="000A3A07">
        <w:t>ringar i Södra länken, investeringar i fysiska trafiksäkerhetsåtgärder på det statliga vägnätet samt drift och underhåll. Banverkets anslagspost för statlig banhållning är indelad i investeringar i stomjärnvägar, regionala järnvägsi</w:t>
      </w:r>
      <w:r w:rsidRPr="000A3A07">
        <w:t>n</w:t>
      </w:r>
      <w:r w:rsidRPr="000A3A07">
        <w:t>vesteringar, kostnader för lån avseende järnvägsinvesteringar samt drift och underhåll av statliga jär</w:t>
      </w:r>
      <w:r w:rsidRPr="000A3A07">
        <w:t>n</w:t>
      </w:r>
      <w:r w:rsidRPr="000A3A07">
        <w:t xml:space="preserve">vägar. </w:t>
      </w:r>
    </w:p>
    <w:p w14:paraId="73541007" w14:textId="77777777" w:rsidR="007C11E9" w:rsidRPr="000A3A07" w:rsidRDefault="007C11E9">
      <w:pPr>
        <w:pStyle w:val="Normaltindrag"/>
      </w:pPr>
      <w:r w:rsidRPr="000A3A07">
        <w:t>I figurerna 1 och 2 presenteras Vägverkets och Banverkets anslagstillde</w:t>
      </w:r>
      <w:r w:rsidRPr="000A3A07">
        <w:t>l</w:t>
      </w:r>
      <w:r w:rsidRPr="000A3A07">
        <w:t>ning för investeringar respektive drift och underhåll under budgetåren 1989/90–2000. Investeringarna nådde sin topp under 1994 och 1995 i sa</w:t>
      </w:r>
      <w:r w:rsidRPr="000A3A07">
        <w:t>m</w:t>
      </w:r>
      <w:r w:rsidRPr="000A3A07">
        <w:t>band med extra sat</w:t>
      </w:r>
      <w:r w:rsidRPr="000A3A07">
        <w:t>s</w:t>
      </w:r>
      <w:r w:rsidRPr="000A3A07">
        <w:t>ningar på sysselsättningsskapande åtgärder.</w:t>
      </w:r>
    </w:p>
    <w:p w14:paraId="7AF7C2BE" w14:textId="77777777" w:rsidR="007C11E9" w:rsidRPr="000A3A07" w:rsidRDefault="007C11E9">
      <w:pPr>
        <w:pStyle w:val="Normaltindrag"/>
      </w:pPr>
    </w:p>
    <w:p w14:paraId="0DF6E9F0" w14:textId="2B3512F9" w:rsidR="007C11E9" w:rsidRPr="000A3A07" w:rsidRDefault="000A3A07">
      <w:pPr>
        <w:pStyle w:val="Tabellrubrik1"/>
      </w:pPr>
      <w:r w:rsidRPr="000A3A07">
        <w:rPr>
          <w:noProof/>
        </w:rPr>
        <w:drawing>
          <wp:anchor distT="0" distB="0" distL="114300" distR="114300" simplePos="0" relativeHeight="251655680" behindDoc="0" locked="0" layoutInCell="0" allowOverlap="1" wp14:anchorId="1C93EF02" wp14:editId="724DBC13">
            <wp:simplePos x="0" y="0"/>
            <wp:positionH relativeFrom="column">
              <wp:posOffset>0</wp:posOffset>
            </wp:positionH>
            <wp:positionV relativeFrom="paragraph">
              <wp:posOffset>481965</wp:posOffset>
            </wp:positionV>
            <wp:extent cx="3577590" cy="2282825"/>
            <wp:effectExtent l="0" t="0" r="0" b="0"/>
            <wp:wrapTopAndBottom/>
            <wp:docPr id="191843250"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77590" cy="228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1E9" w:rsidRPr="000A3A07">
        <w:t xml:space="preserve">Figur 1. Vägverkets anslag för investeringar (heldragen linje) respektive drift och underhåll (streckad linje) under perioden 1989/90–2000, uttryckt i löpande priser </w:t>
      </w:r>
    </w:p>
    <w:p w14:paraId="547959DA" w14:textId="77777777" w:rsidR="007C11E9" w:rsidRPr="000A3A07" w:rsidRDefault="007C11E9">
      <w:pPr>
        <w:pStyle w:val="Tabell"/>
      </w:pPr>
      <w:r w:rsidRPr="000A3A07">
        <w:t>* Budgetåret 1995/96 är beräknat på 12 månader.</w:t>
      </w:r>
    </w:p>
    <w:p w14:paraId="4E78ECD7" w14:textId="77777777" w:rsidR="007C11E9" w:rsidRPr="000A3A07" w:rsidRDefault="007C11E9">
      <w:pPr>
        <w:pStyle w:val="Tabell"/>
      </w:pPr>
      <w:r w:rsidRPr="000A3A07">
        <w:t>Källa: Egen bearbetning av Vägverkets regleringsbrev 1989/90–2000</w:t>
      </w:r>
    </w:p>
    <w:p w14:paraId="1022DC7C" w14:textId="1CDFC207" w:rsidR="007C11E9" w:rsidRPr="000A3A07" w:rsidRDefault="007C11E9">
      <w:pPr>
        <w:pStyle w:val="Tabellrubrik1"/>
      </w:pPr>
      <w:r w:rsidRPr="000A3A07">
        <w:br w:type="page"/>
        <w:t xml:space="preserve">Figur 2. Banverkets anslag för investeringar (heldragen linje) respektive drift och underhåll (streckad linje) under perioden </w:t>
      </w:r>
      <w:r w:rsidR="000A3A07" w:rsidRPr="000A3A07">
        <w:rPr>
          <w:noProof/>
        </w:rPr>
        <w:drawing>
          <wp:anchor distT="0" distB="0" distL="114300" distR="114300" simplePos="0" relativeHeight="251654656" behindDoc="0" locked="0" layoutInCell="0" allowOverlap="1" wp14:anchorId="7244DEF7" wp14:editId="79145A79">
            <wp:simplePos x="0" y="0"/>
            <wp:positionH relativeFrom="column">
              <wp:posOffset>0</wp:posOffset>
            </wp:positionH>
            <wp:positionV relativeFrom="paragraph">
              <wp:posOffset>481965</wp:posOffset>
            </wp:positionV>
            <wp:extent cx="3486150" cy="2282825"/>
            <wp:effectExtent l="0" t="0" r="0" b="0"/>
            <wp:wrapTopAndBottom/>
            <wp:docPr id="106163798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86150" cy="2282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3A07">
        <w:t>1989/90–2000, uttryckt i löpande priser</w:t>
      </w:r>
    </w:p>
    <w:p w14:paraId="24713580" w14:textId="77777777" w:rsidR="007C11E9" w:rsidRPr="000A3A07" w:rsidRDefault="007C11E9">
      <w:pPr>
        <w:pStyle w:val="Tabell"/>
      </w:pPr>
      <w:r w:rsidRPr="000A3A07">
        <w:t>* Budgetåret 1995/96 är beräknat på 12 månader.</w:t>
      </w:r>
    </w:p>
    <w:p w14:paraId="261E28AC" w14:textId="77777777" w:rsidR="007C11E9" w:rsidRPr="000A3A07" w:rsidRDefault="007C11E9">
      <w:pPr>
        <w:pStyle w:val="Tabell"/>
      </w:pPr>
      <w:r w:rsidRPr="000A3A07">
        <w:t xml:space="preserve">Källa: Egen bearbetning av Banverkets regleringsbrev 1989/90–2000 </w:t>
      </w:r>
    </w:p>
    <w:p w14:paraId="6E0B18A9" w14:textId="77777777" w:rsidR="007C11E9" w:rsidRPr="000A3A07" w:rsidRDefault="007C11E9">
      <w:r w:rsidRPr="000A3A07">
        <w:t>Vägverkets och Banverkets anslag för investeringar uppgår år 2000 till totalt ca 8 000 miljoner kronor, vilket motsvarar drygt 1 % av statsbudgetens ta</w:t>
      </w:r>
      <w:r w:rsidRPr="000A3A07">
        <w:t>k</w:t>
      </w:r>
      <w:r w:rsidRPr="000A3A07">
        <w:t>begränsade utgifter. Även verkens anslag för drift och underhåll uppgår till totalt ca 8 000 miljoner kronor. Anslaget för drift och underhåll av vägar är dubbelt så stort som det för järnvägar.</w:t>
      </w:r>
    </w:p>
    <w:p w14:paraId="3ABE04DB" w14:textId="77777777" w:rsidR="007C11E9" w:rsidRPr="000A3A07" w:rsidRDefault="007C11E9">
      <w:pPr>
        <w:pStyle w:val="Rubrik1"/>
      </w:pPr>
      <w:r w:rsidRPr="000A3A07">
        <w:br w:type="page"/>
      </w:r>
      <w:bookmarkStart w:id="42" w:name="_Toc496580988"/>
      <w:bookmarkStart w:id="43" w:name="_Toc506340934"/>
      <w:r w:rsidRPr="000A3A07">
        <w:t>Alternativa finansieringsformer</w:t>
      </w:r>
      <w:bookmarkEnd w:id="42"/>
      <w:bookmarkEnd w:id="43"/>
    </w:p>
    <w:p w14:paraId="26CD09F8" w14:textId="77777777" w:rsidR="007C11E9" w:rsidRPr="000A3A07" w:rsidRDefault="007C11E9">
      <w:pPr>
        <w:pStyle w:val="Rubrik2"/>
      </w:pPr>
      <w:bookmarkStart w:id="44" w:name="_Toc496580989"/>
      <w:bookmarkStart w:id="45" w:name="_Toc506340935"/>
      <w:r w:rsidRPr="000A3A07">
        <w:t>Riksdagens ställningstaganden</w:t>
      </w:r>
      <w:bookmarkEnd w:id="44"/>
      <w:bookmarkEnd w:id="45"/>
    </w:p>
    <w:p w14:paraId="230442B7" w14:textId="77777777" w:rsidR="007C11E9" w:rsidRPr="000A3A07" w:rsidRDefault="007C11E9">
      <w:r w:rsidRPr="000A3A07">
        <w:t>Riksdagen har som tidigare nämnts flera gånger uttalat att infrastrukturi</w:t>
      </w:r>
      <w:r w:rsidRPr="000A3A07">
        <w:t>n</w:t>
      </w:r>
      <w:r w:rsidRPr="000A3A07">
        <w:t>vesteringar bör finansieras med anslag. Samtidigt har riksdagen och reg</w:t>
      </w:r>
      <w:r w:rsidRPr="000A3A07">
        <w:t>e</w:t>
      </w:r>
      <w:r w:rsidRPr="000A3A07">
        <w:t>ringen i olika sammanhang förespråkat större inslag av alternativ finansi</w:t>
      </w:r>
      <w:r w:rsidRPr="000A3A07">
        <w:t>e</w:t>
      </w:r>
      <w:r w:rsidRPr="000A3A07">
        <w:t>ring.</w:t>
      </w:r>
    </w:p>
    <w:p w14:paraId="7580353A" w14:textId="77777777" w:rsidR="007C11E9" w:rsidRPr="000A3A07" w:rsidRDefault="007C11E9">
      <w:pPr>
        <w:pStyle w:val="Normaltindrag"/>
      </w:pPr>
      <w:r w:rsidRPr="000A3A07">
        <w:t>I det trafikpolitiska beslutet år 1988 (prop. 1987/88:50, bet. 1987/88:TU19, rskr. 1987/88:260) konstaterades att det är viktigt att nya finansieringsformer prövas för byggande av angelägna vägar som inte inom rimlig tid kan fina</w:t>
      </w:r>
      <w:r w:rsidRPr="000A3A07">
        <w:t>n</w:t>
      </w:r>
      <w:r w:rsidRPr="000A3A07">
        <w:t>sieras över statsbudgeten. Riksdagen beslutade bl.a. om möjligheter till fö</w:t>
      </w:r>
      <w:r w:rsidRPr="000A3A07">
        <w:t>r</w:t>
      </w:r>
      <w:r w:rsidRPr="000A3A07">
        <w:t>skottering av medel för väginvesteringar från kommuner och företag. Rik</w:t>
      </w:r>
      <w:r w:rsidRPr="000A3A07">
        <w:t>s</w:t>
      </w:r>
      <w:r w:rsidRPr="000A3A07">
        <w:t>dagens beslut gjorde det också möjligt att helt eller delvis finansiera vägi</w:t>
      </w:r>
      <w:r w:rsidRPr="000A3A07">
        <w:t>n</w:t>
      </w:r>
      <w:r w:rsidRPr="000A3A07">
        <w:t xml:space="preserve">vesteringar med avgifter från trafikanterna. </w:t>
      </w:r>
    </w:p>
    <w:p w14:paraId="5286EE9A" w14:textId="77777777" w:rsidR="007C11E9" w:rsidRPr="000A3A07" w:rsidRDefault="007C11E9">
      <w:pPr>
        <w:pStyle w:val="Normaltindrag"/>
      </w:pPr>
      <w:r w:rsidRPr="000A3A07">
        <w:t xml:space="preserve">Även i beslutet om vissa näringspolitiska frågor (prop. 1989/90:88, bet. 1989/90:TU27, rskr. 1989/90:325) påpekades att nya finansieringsformer är en nödvändighet. Regeringen ansåg att resursbehoven för vägar, järnvägar och kollektivtrafik </w:t>
      </w:r>
      <w:r w:rsidRPr="000A3A07">
        <w:t>under 1990-talet vida översteg de resurser som kunde tilldelas sektorerna över statsbudgeten. I syfte att stimulera privat medfina</w:t>
      </w:r>
      <w:r w:rsidRPr="000A3A07">
        <w:t>n</w:t>
      </w:r>
      <w:r w:rsidRPr="000A3A07">
        <w:t xml:space="preserve">siering gavs Vägverket bl.a. rätt att ta upp lån i Riksgäldskontoret och ställa borgen för delägda bolag. </w:t>
      </w:r>
    </w:p>
    <w:p w14:paraId="1D7C5F97" w14:textId="77777777" w:rsidR="007C11E9" w:rsidRPr="000A3A07" w:rsidRDefault="007C11E9">
      <w:pPr>
        <w:pStyle w:val="Normaltindrag"/>
      </w:pPr>
      <w:r w:rsidRPr="000A3A07">
        <w:t>Riksdagen beslutade 1991 om medel utöver ordinarie anslag för framför allt samfinansierade infrastrukturprojekt (prop. 1990/91:87, bet. 1990/91:TU24, rskr. 286). Riksdagen beslutade också att Vägverket får ta upp lån i Riksgäldskontoret för investeringar i broar som ersätte</w:t>
      </w:r>
      <w:r w:rsidRPr="000A3A07">
        <w:t>r färjor (prop. 1990/91:100, bet. 1990/91:TU26, rskr. 1990/91:326). Regeringen föreslog 1992, med anledning av att flera angelägna investeringar inte gick att finansiera inom anslagsramarna, att alla infrastrukturinvesteringar skulle lånefinansieras. Finansutskottet menade dock att en övergång till lånefinans</w:t>
      </w:r>
      <w:r w:rsidRPr="000A3A07">
        <w:t>i</w:t>
      </w:r>
      <w:r w:rsidRPr="000A3A07">
        <w:t>ering varken skulle innebära ökat finansiellt eller realt utrymme för invest</w:t>
      </w:r>
      <w:r w:rsidRPr="000A3A07">
        <w:t>e</w:t>
      </w:r>
      <w:r w:rsidRPr="000A3A07">
        <w:t>ringar. Dessutom såg utskottet en risk för att riksdagens inflytande skulle minska. Både finansutskottet och trafikutskottet</w:t>
      </w:r>
      <w:r w:rsidRPr="000A3A07">
        <w:t xml:space="preserve"> ansåg att medel för i</w:t>
      </w:r>
      <w:r w:rsidRPr="000A3A07">
        <w:t>n</w:t>
      </w:r>
      <w:r w:rsidRPr="000A3A07">
        <w:t>frastrukturinvesteringar skulle fortsätta att anvisas över anslag på statsbu</w:t>
      </w:r>
      <w:r w:rsidRPr="000A3A07">
        <w:t>d</w:t>
      </w:r>
      <w:r w:rsidRPr="000A3A07">
        <w:t xml:space="preserve">geten (bet. 1992/93:FiU10 och 20, prop. 1992/93:100, bet. 1992/93:TU35, 1992/93:FiU4y). </w:t>
      </w:r>
    </w:p>
    <w:p w14:paraId="476BEEEF" w14:textId="77777777" w:rsidR="007C11E9" w:rsidRPr="000A3A07" w:rsidRDefault="007C11E9">
      <w:pPr>
        <w:pStyle w:val="Normaltindrag"/>
      </w:pPr>
      <w:r w:rsidRPr="000A3A07">
        <w:t>I den senaste transportpolitiska propositionen 1998 ansåg regeringen att infrastrukturinvesteringar även fortsättningsvis i huvudsak ska finansieras med anslag. Enligt regeringen bör det dock inte hindra att alternativa finans</w:t>
      </w:r>
      <w:r w:rsidRPr="000A3A07">
        <w:t>i</w:t>
      </w:r>
      <w:r w:rsidRPr="000A3A07">
        <w:t xml:space="preserve">eringsformer prövas (prop. 1997/98:56, bet. 1997/98:TU10, rskr. 1997/98:266). I budgetpropositionen för 2000 betonade regeringen vikten av att närmare utreda möjligheterna att i större utsträckning utnyttja alternativ finansiering </w:t>
      </w:r>
      <w:commentRangeStart w:id="46"/>
      <w:commentRangeEnd w:id="46"/>
      <w:r w:rsidRPr="000A3A07">
        <w:rPr>
          <w:rStyle w:val="Kommentarsreferens"/>
          <w:sz w:val="19"/>
        </w:rPr>
        <w:commentReference w:id="46"/>
      </w:r>
      <w:r w:rsidRPr="000A3A07">
        <w:t xml:space="preserve"> (prop. 1999/2000:1, bet. 1999/2000:TU1, rskr. 1999/2000:85 och 86). </w:t>
      </w:r>
    </w:p>
    <w:p w14:paraId="12BA20D1" w14:textId="77777777" w:rsidR="007C11E9" w:rsidRPr="000A3A07" w:rsidRDefault="007C11E9">
      <w:pPr>
        <w:pStyle w:val="Normaltindrag"/>
      </w:pPr>
      <w:r w:rsidRPr="000A3A07">
        <w:t>Riksdagen har också vid olika tillfällen beslutat om andra alternativa fo</w:t>
      </w:r>
      <w:r w:rsidRPr="000A3A07">
        <w:t>r</w:t>
      </w:r>
      <w:r w:rsidRPr="000A3A07">
        <w:t>mer för finansiering av specifika väg- och järnvägsprojekt. I följande avsnitt presenteras några av de finansieringsmöjligheter som finns. Ibland kan flera olika finansiering</w:t>
      </w:r>
      <w:r w:rsidRPr="000A3A07">
        <w:t>s</w:t>
      </w:r>
      <w:r w:rsidRPr="000A3A07">
        <w:t>former utnyttjas för ett och samma projekt.</w:t>
      </w:r>
    </w:p>
    <w:p w14:paraId="0989AB2D" w14:textId="77777777" w:rsidR="007C11E9" w:rsidRPr="000A3A07" w:rsidRDefault="007C11E9">
      <w:pPr>
        <w:pStyle w:val="Rubrik2"/>
      </w:pPr>
      <w:bookmarkStart w:id="47" w:name="_Toc496580990"/>
      <w:bookmarkStart w:id="48" w:name="_Toc506340936"/>
      <w:r w:rsidRPr="000A3A07">
        <w:t>Lånefinansiering</w:t>
      </w:r>
      <w:bookmarkEnd w:id="47"/>
      <w:bookmarkEnd w:id="48"/>
    </w:p>
    <w:p w14:paraId="01788823" w14:textId="77777777" w:rsidR="007C11E9" w:rsidRPr="000A3A07" w:rsidRDefault="007C11E9">
      <w:r w:rsidRPr="000A3A07">
        <w:t>Regeringen räknar med att låneskulden för vägar år 2000 kommer att uppgå till 7 945 miljoner kronor. Skulden beräknas öka med 74 % till 13 864 milj</w:t>
      </w:r>
      <w:r w:rsidRPr="000A3A07">
        <w:t>o</w:t>
      </w:r>
      <w:r w:rsidRPr="000A3A07">
        <w:t>ner kronor år 2005. Banverkets lån hos Riksgäldskontoret beräknas uppgå till 8 410 miljoner kronor år 2000 (prop. 2000/2001:1). Även lånen för jär</w:t>
      </w:r>
      <w:r w:rsidRPr="000A3A07">
        <w:t>n</w:t>
      </w:r>
      <w:r w:rsidRPr="000A3A07">
        <w:t xml:space="preserve">vägsinvesteringar beräknas öka kraftigt. Det gäller framför allt de lån som är tagna utanför Riksgäldskontoret, för projekten Citytunneln och Botniabanan (prop. 1999/2000:1). </w:t>
      </w:r>
    </w:p>
    <w:p w14:paraId="080B4F54" w14:textId="77777777" w:rsidR="007C11E9" w:rsidRPr="000A3A07" w:rsidRDefault="007C11E9">
      <w:pPr>
        <w:pStyle w:val="Normaltindrag"/>
      </w:pPr>
      <w:r w:rsidRPr="000A3A07">
        <w:t xml:space="preserve">I tabellerna nedan redovisas verkens skuld för vissa större lånefinansierade projekt den 31 december </w:t>
      </w:r>
      <w:commentRangeStart w:id="49"/>
      <w:r w:rsidRPr="000A3A07">
        <w:t>199</w:t>
      </w:r>
      <w:commentRangeEnd w:id="49"/>
      <w:r w:rsidRPr="000A3A07">
        <w:rPr>
          <w:rStyle w:val="Kommentarsreferens"/>
          <w:sz w:val="19"/>
        </w:rPr>
        <w:commentReference w:id="49"/>
      </w:r>
      <w:r w:rsidRPr="000A3A07">
        <w:t>9</w:t>
      </w:r>
      <w:r w:rsidRPr="000A3A07">
        <w:t xml:space="preserve">. </w:t>
      </w:r>
    </w:p>
    <w:p w14:paraId="34EF0E3A" w14:textId="77777777" w:rsidR="007C11E9" w:rsidRPr="000A3A07" w:rsidRDefault="007C11E9">
      <w:pPr>
        <w:pStyle w:val="Normaltindrag"/>
      </w:pPr>
    </w:p>
    <w:p w14:paraId="52019BB3" w14:textId="77777777" w:rsidR="007C11E9" w:rsidRPr="000A3A07" w:rsidRDefault="007C11E9">
      <w:pPr>
        <w:pStyle w:val="Tabellrubrik1"/>
      </w:pPr>
      <w:r w:rsidRPr="000A3A07">
        <w:t>Tabell 4. Beräknad låneskuld för vissa väginvesteringar</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3047"/>
        <w:gridCol w:w="1565"/>
        <w:gridCol w:w="1424"/>
      </w:tblGrid>
      <w:tr w:rsidR="00000000" w:rsidRPr="000A3A07" w14:paraId="1CC011FF" w14:textId="77777777">
        <w:tblPrEx>
          <w:tblCellMar>
            <w:top w:w="0" w:type="dxa"/>
            <w:bottom w:w="0" w:type="dxa"/>
          </w:tblCellMar>
        </w:tblPrEx>
        <w:tc>
          <w:tcPr>
            <w:tcW w:w="3047" w:type="dxa"/>
            <w:tcBorders>
              <w:bottom w:val="single" w:sz="6" w:space="0" w:color="000000"/>
            </w:tcBorders>
            <w:shd w:val="pct30" w:color="FFFF00" w:fill="FFFFFF"/>
          </w:tcPr>
          <w:p w14:paraId="22BF154E" w14:textId="77777777" w:rsidR="007C11E9" w:rsidRPr="000A3A07" w:rsidRDefault="007C11E9">
            <w:pPr>
              <w:pStyle w:val="Normaltindrag"/>
              <w:ind w:firstLine="0"/>
              <w:rPr>
                <w:b/>
              </w:rPr>
            </w:pPr>
            <w:r w:rsidRPr="000A3A07">
              <w:rPr>
                <w:b/>
              </w:rPr>
              <w:t>Projekt</w:t>
            </w:r>
          </w:p>
        </w:tc>
        <w:tc>
          <w:tcPr>
            <w:tcW w:w="2989" w:type="dxa"/>
            <w:gridSpan w:val="2"/>
            <w:tcBorders>
              <w:bottom w:val="nil"/>
            </w:tcBorders>
            <w:shd w:val="pct30" w:color="FFFF00" w:fill="FFFFFF"/>
          </w:tcPr>
          <w:p w14:paraId="17A12974" w14:textId="77777777" w:rsidR="007C11E9" w:rsidRPr="000A3A07" w:rsidRDefault="007C11E9">
            <w:pPr>
              <w:pStyle w:val="Normaltindrag"/>
              <w:ind w:firstLine="0"/>
              <w:rPr>
                <w:b/>
              </w:rPr>
            </w:pPr>
            <w:r w:rsidRPr="000A3A07">
              <w:rPr>
                <w:b/>
              </w:rPr>
              <w:t>Skuld 1999-12-31, miljoner kr</w:t>
            </w:r>
            <w:r w:rsidRPr="000A3A07">
              <w:rPr>
                <w:b/>
              </w:rPr>
              <w:t>o</w:t>
            </w:r>
            <w:r w:rsidRPr="000A3A07">
              <w:rPr>
                <w:b/>
              </w:rPr>
              <w:t>nor</w:t>
            </w:r>
          </w:p>
        </w:tc>
      </w:tr>
      <w:tr w:rsidR="00000000" w:rsidRPr="000A3A07" w14:paraId="5DABF6D1" w14:textId="77777777">
        <w:tblPrEx>
          <w:tblCellMar>
            <w:top w:w="0" w:type="dxa"/>
            <w:bottom w:w="0" w:type="dxa"/>
          </w:tblCellMar>
        </w:tblPrEx>
        <w:tc>
          <w:tcPr>
            <w:tcW w:w="3047" w:type="dxa"/>
            <w:tcBorders>
              <w:top w:val="nil"/>
            </w:tcBorders>
          </w:tcPr>
          <w:p w14:paraId="0F7F28B9" w14:textId="77777777" w:rsidR="007C11E9" w:rsidRPr="000A3A07" w:rsidRDefault="007C11E9">
            <w:pPr>
              <w:pStyle w:val="Normaltindrag"/>
              <w:spacing w:line="240" w:lineRule="exact"/>
              <w:ind w:firstLine="0"/>
            </w:pPr>
            <w:r w:rsidRPr="000A3A07">
              <w:t>Väg E 6, Stenungsund–Ljungskile</w:t>
            </w:r>
          </w:p>
        </w:tc>
        <w:tc>
          <w:tcPr>
            <w:tcW w:w="1565" w:type="dxa"/>
            <w:tcBorders>
              <w:top w:val="single" w:sz="4" w:space="0" w:color="auto"/>
              <w:right w:val="nil"/>
            </w:tcBorders>
          </w:tcPr>
          <w:p w14:paraId="1C4A06D1" w14:textId="77777777" w:rsidR="007C11E9" w:rsidRPr="000A3A07" w:rsidRDefault="007C11E9">
            <w:pPr>
              <w:pStyle w:val="Normaltindrag"/>
              <w:ind w:firstLine="0"/>
              <w:jc w:val="right"/>
            </w:pPr>
            <w:r w:rsidRPr="000A3A07">
              <w:t>928</w:t>
            </w:r>
          </w:p>
        </w:tc>
        <w:tc>
          <w:tcPr>
            <w:tcW w:w="1424" w:type="dxa"/>
            <w:tcBorders>
              <w:top w:val="single" w:sz="4" w:space="0" w:color="auto"/>
              <w:left w:val="nil"/>
            </w:tcBorders>
          </w:tcPr>
          <w:p w14:paraId="5EF44FF3" w14:textId="77777777" w:rsidR="007C11E9" w:rsidRPr="000A3A07" w:rsidRDefault="007C11E9">
            <w:pPr>
              <w:pStyle w:val="Normaltindrag"/>
              <w:ind w:firstLine="0"/>
            </w:pPr>
          </w:p>
        </w:tc>
      </w:tr>
      <w:tr w:rsidR="00000000" w:rsidRPr="000A3A07" w14:paraId="7262C2B6" w14:textId="77777777">
        <w:tblPrEx>
          <w:tblCellMar>
            <w:top w:w="0" w:type="dxa"/>
            <w:bottom w:w="0" w:type="dxa"/>
          </w:tblCellMar>
        </w:tblPrEx>
        <w:tc>
          <w:tcPr>
            <w:tcW w:w="3047" w:type="dxa"/>
          </w:tcPr>
          <w:p w14:paraId="29288C17" w14:textId="77777777" w:rsidR="007C11E9" w:rsidRPr="000A3A07" w:rsidRDefault="007C11E9">
            <w:pPr>
              <w:pStyle w:val="Normaltindrag"/>
              <w:spacing w:line="240" w:lineRule="exact"/>
              <w:ind w:firstLine="0"/>
            </w:pPr>
            <w:r w:rsidRPr="000A3A07">
              <w:t>Fyra vägobjekt (E 4, E 18/E 20, E 22)</w:t>
            </w:r>
          </w:p>
        </w:tc>
        <w:tc>
          <w:tcPr>
            <w:tcW w:w="1565" w:type="dxa"/>
            <w:tcBorders>
              <w:right w:val="nil"/>
            </w:tcBorders>
          </w:tcPr>
          <w:p w14:paraId="139311DE" w14:textId="77777777" w:rsidR="007C11E9" w:rsidRPr="000A3A07" w:rsidRDefault="007C11E9">
            <w:pPr>
              <w:pStyle w:val="Normaltindrag"/>
              <w:tabs>
                <w:tab w:val="right" w:pos="1489"/>
              </w:tabs>
              <w:ind w:firstLine="0"/>
              <w:jc w:val="right"/>
            </w:pPr>
            <w:r w:rsidRPr="000A3A07">
              <w:t>1 543</w:t>
            </w:r>
          </w:p>
        </w:tc>
        <w:tc>
          <w:tcPr>
            <w:tcW w:w="1424" w:type="dxa"/>
            <w:tcBorders>
              <w:left w:val="nil"/>
            </w:tcBorders>
          </w:tcPr>
          <w:p w14:paraId="0C213E61" w14:textId="77777777" w:rsidR="007C11E9" w:rsidRPr="000A3A07" w:rsidRDefault="007C11E9">
            <w:pPr>
              <w:pStyle w:val="Normaltindrag"/>
              <w:tabs>
                <w:tab w:val="right" w:pos="1489"/>
              </w:tabs>
              <w:ind w:firstLine="0"/>
            </w:pPr>
          </w:p>
        </w:tc>
      </w:tr>
      <w:tr w:rsidR="00000000" w:rsidRPr="000A3A07" w14:paraId="7639BAE1" w14:textId="77777777">
        <w:tblPrEx>
          <w:tblCellMar>
            <w:top w:w="0" w:type="dxa"/>
            <w:bottom w:w="0" w:type="dxa"/>
          </w:tblCellMar>
        </w:tblPrEx>
        <w:trPr>
          <w:trHeight w:val="176"/>
        </w:trPr>
        <w:tc>
          <w:tcPr>
            <w:tcW w:w="3047" w:type="dxa"/>
          </w:tcPr>
          <w:p w14:paraId="51D4B827" w14:textId="77777777" w:rsidR="007C11E9" w:rsidRPr="000A3A07" w:rsidRDefault="007C11E9">
            <w:pPr>
              <w:pStyle w:val="Normaltindrag"/>
              <w:spacing w:line="240" w:lineRule="exact"/>
              <w:ind w:firstLine="0"/>
            </w:pPr>
            <w:r w:rsidRPr="000A3A07">
              <w:t>Lån för broar</w:t>
            </w:r>
          </w:p>
        </w:tc>
        <w:tc>
          <w:tcPr>
            <w:tcW w:w="1565" w:type="dxa"/>
            <w:tcBorders>
              <w:right w:val="nil"/>
            </w:tcBorders>
          </w:tcPr>
          <w:p w14:paraId="68A989B5" w14:textId="77777777" w:rsidR="007C11E9" w:rsidRPr="000A3A07" w:rsidRDefault="007C11E9">
            <w:pPr>
              <w:pStyle w:val="Normaltindrag"/>
              <w:tabs>
                <w:tab w:val="right" w:pos="1489"/>
              </w:tabs>
              <w:ind w:firstLine="0"/>
              <w:jc w:val="right"/>
            </w:pPr>
            <w:r w:rsidRPr="000A3A07">
              <w:t>172</w:t>
            </w:r>
          </w:p>
        </w:tc>
        <w:tc>
          <w:tcPr>
            <w:tcW w:w="1424" w:type="dxa"/>
            <w:tcBorders>
              <w:left w:val="nil"/>
            </w:tcBorders>
          </w:tcPr>
          <w:p w14:paraId="4B14C0EA" w14:textId="77777777" w:rsidR="007C11E9" w:rsidRPr="000A3A07" w:rsidRDefault="007C11E9">
            <w:pPr>
              <w:pStyle w:val="Normaltindrag"/>
              <w:tabs>
                <w:tab w:val="right" w:pos="1489"/>
              </w:tabs>
              <w:ind w:firstLine="0"/>
            </w:pPr>
          </w:p>
        </w:tc>
      </w:tr>
      <w:tr w:rsidR="00000000" w:rsidRPr="000A3A07" w14:paraId="033A21D4" w14:textId="77777777">
        <w:tblPrEx>
          <w:tblCellMar>
            <w:top w:w="0" w:type="dxa"/>
            <w:bottom w:w="0" w:type="dxa"/>
          </w:tblCellMar>
        </w:tblPrEx>
        <w:tc>
          <w:tcPr>
            <w:tcW w:w="3047" w:type="dxa"/>
            <w:tcBorders>
              <w:bottom w:val="single" w:sz="4" w:space="0" w:color="auto"/>
            </w:tcBorders>
          </w:tcPr>
          <w:p w14:paraId="1FC33CD5" w14:textId="77777777" w:rsidR="007C11E9" w:rsidRPr="000A3A07" w:rsidRDefault="007C11E9">
            <w:pPr>
              <w:pStyle w:val="Normaltindrag"/>
              <w:spacing w:line="240" w:lineRule="exact"/>
              <w:ind w:firstLine="0"/>
            </w:pPr>
            <w:r w:rsidRPr="000A3A07">
              <w:t>Stockholms-  och Göteborgsprojekten</w:t>
            </w:r>
          </w:p>
        </w:tc>
        <w:tc>
          <w:tcPr>
            <w:tcW w:w="1565" w:type="dxa"/>
            <w:tcBorders>
              <w:bottom w:val="single" w:sz="4" w:space="0" w:color="auto"/>
              <w:right w:val="nil"/>
            </w:tcBorders>
          </w:tcPr>
          <w:p w14:paraId="20016ADB" w14:textId="77777777" w:rsidR="007C11E9" w:rsidRPr="000A3A07" w:rsidRDefault="007C11E9">
            <w:pPr>
              <w:pStyle w:val="Normaltindrag"/>
              <w:tabs>
                <w:tab w:val="right" w:pos="1489"/>
              </w:tabs>
              <w:ind w:firstLine="0"/>
              <w:jc w:val="right"/>
            </w:pPr>
            <w:r w:rsidRPr="000A3A07">
              <w:t>3 402</w:t>
            </w:r>
          </w:p>
        </w:tc>
        <w:tc>
          <w:tcPr>
            <w:tcW w:w="1424" w:type="dxa"/>
            <w:tcBorders>
              <w:left w:val="nil"/>
              <w:bottom w:val="single" w:sz="4" w:space="0" w:color="auto"/>
              <w:right w:val="single" w:sz="12" w:space="0" w:color="auto"/>
            </w:tcBorders>
          </w:tcPr>
          <w:p w14:paraId="716D253A" w14:textId="77777777" w:rsidR="007C11E9" w:rsidRPr="000A3A07" w:rsidRDefault="007C11E9">
            <w:pPr>
              <w:pStyle w:val="Normaltindrag"/>
              <w:tabs>
                <w:tab w:val="right" w:pos="1489"/>
              </w:tabs>
              <w:ind w:firstLine="0"/>
            </w:pPr>
          </w:p>
        </w:tc>
      </w:tr>
      <w:tr w:rsidR="00000000" w:rsidRPr="000A3A07" w14:paraId="014E3023" w14:textId="77777777">
        <w:tblPrEx>
          <w:tblCellMar>
            <w:top w:w="0" w:type="dxa"/>
            <w:bottom w:w="0" w:type="dxa"/>
          </w:tblCellMar>
        </w:tblPrEx>
        <w:tc>
          <w:tcPr>
            <w:tcW w:w="3047" w:type="dxa"/>
            <w:tcBorders>
              <w:top w:val="nil"/>
            </w:tcBorders>
          </w:tcPr>
          <w:p w14:paraId="683069F3" w14:textId="77777777" w:rsidR="007C11E9" w:rsidRPr="000A3A07" w:rsidRDefault="007C11E9">
            <w:pPr>
              <w:pStyle w:val="Normaltindrag"/>
              <w:spacing w:line="240" w:lineRule="exact"/>
              <w:ind w:firstLine="0"/>
              <w:rPr>
                <w:b/>
              </w:rPr>
            </w:pPr>
            <w:r w:rsidRPr="000A3A07">
              <w:rPr>
                <w:b/>
              </w:rPr>
              <w:t>Summa</w:t>
            </w:r>
          </w:p>
        </w:tc>
        <w:tc>
          <w:tcPr>
            <w:tcW w:w="1565" w:type="dxa"/>
            <w:tcBorders>
              <w:top w:val="nil"/>
              <w:bottom w:val="single" w:sz="4" w:space="0" w:color="auto"/>
              <w:right w:val="nil"/>
            </w:tcBorders>
          </w:tcPr>
          <w:p w14:paraId="245D885E" w14:textId="77777777" w:rsidR="007C11E9" w:rsidRPr="000A3A07" w:rsidRDefault="007C11E9">
            <w:pPr>
              <w:pStyle w:val="Normaltindrag"/>
              <w:tabs>
                <w:tab w:val="right" w:pos="1489"/>
              </w:tabs>
              <w:ind w:firstLine="0"/>
              <w:jc w:val="right"/>
              <w:rPr>
                <w:b/>
              </w:rPr>
            </w:pPr>
            <w:r w:rsidRPr="000A3A07">
              <w:rPr>
                <w:b/>
              </w:rPr>
              <w:t>6 045</w:t>
            </w:r>
          </w:p>
        </w:tc>
        <w:tc>
          <w:tcPr>
            <w:tcW w:w="1424" w:type="dxa"/>
            <w:tcBorders>
              <w:top w:val="nil"/>
              <w:left w:val="nil"/>
              <w:bottom w:val="single" w:sz="4" w:space="0" w:color="auto"/>
            </w:tcBorders>
          </w:tcPr>
          <w:p w14:paraId="334536A5" w14:textId="77777777" w:rsidR="007C11E9" w:rsidRPr="000A3A07" w:rsidRDefault="007C11E9">
            <w:pPr>
              <w:pStyle w:val="Normaltindrag"/>
              <w:tabs>
                <w:tab w:val="right" w:pos="1489"/>
              </w:tabs>
              <w:ind w:firstLine="0"/>
              <w:rPr>
                <w:b/>
              </w:rPr>
            </w:pPr>
          </w:p>
        </w:tc>
      </w:tr>
    </w:tbl>
    <w:p w14:paraId="2F995A2D" w14:textId="77777777" w:rsidR="007C11E9" w:rsidRPr="000A3A07" w:rsidRDefault="007C11E9">
      <w:pPr>
        <w:pStyle w:val="Tabell"/>
      </w:pPr>
      <w:r w:rsidRPr="000A3A07">
        <w:t>Källa: Proposition 2000/2001:1</w:t>
      </w:r>
    </w:p>
    <w:p w14:paraId="29253150" w14:textId="77777777" w:rsidR="007C11E9" w:rsidRPr="000A3A07" w:rsidRDefault="007C11E9">
      <w:pPr>
        <w:pStyle w:val="Normaltindrag"/>
      </w:pPr>
    </w:p>
    <w:p w14:paraId="12E19B8D" w14:textId="77777777" w:rsidR="007C11E9" w:rsidRPr="000A3A07" w:rsidRDefault="007C11E9">
      <w:pPr>
        <w:pStyle w:val="Tabellrubrik1"/>
      </w:pPr>
      <w:r w:rsidRPr="000A3A07">
        <w:t>Tabell 5. Beräknad låneskuld för vissa järnvägsinvesteringar</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3018"/>
        <w:gridCol w:w="1509"/>
        <w:gridCol w:w="1509"/>
      </w:tblGrid>
      <w:tr w:rsidR="00000000" w:rsidRPr="000A3A07" w14:paraId="3849F88B" w14:textId="77777777">
        <w:tblPrEx>
          <w:tblCellMar>
            <w:top w:w="0" w:type="dxa"/>
            <w:bottom w:w="0" w:type="dxa"/>
          </w:tblCellMar>
        </w:tblPrEx>
        <w:tc>
          <w:tcPr>
            <w:tcW w:w="3018" w:type="dxa"/>
            <w:tcBorders>
              <w:bottom w:val="single" w:sz="6" w:space="0" w:color="000000"/>
            </w:tcBorders>
            <w:shd w:val="pct30" w:color="FFFF00" w:fill="FFFFFF"/>
          </w:tcPr>
          <w:p w14:paraId="74192502" w14:textId="77777777" w:rsidR="007C11E9" w:rsidRPr="000A3A07" w:rsidRDefault="007C11E9">
            <w:pPr>
              <w:pStyle w:val="Normaltindrag"/>
              <w:ind w:firstLine="0"/>
              <w:rPr>
                <w:b/>
              </w:rPr>
            </w:pPr>
            <w:r w:rsidRPr="000A3A07">
              <w:rPr>
                <w:b/>
              </w:rPr>
              <w:t>Projekt</w:t>
            </w:r>
          </w:p>
        </w:tc>
        <w:tc>
          <w:tcPr>
            <w:tcW w:w="3018" w:type="dxa"/>
            <w:gridSpan w:val="2"/>
            <w:tcBorders>
              <w:bottom w:val="single" w:sz="6" w:space="0" w:color="000000"/>
            </w:tcBorders>
            <w:shd w:val="pct30" w:color="FFFF00" w:fill="FFFFFF"/>
          </w:tcPr>
          <w:p w14:paraId="03ADA971" w14:textId="77777777" w:rsidR="007C11E9" w:rsidRPr="000A3A07" w:rsidRDefault="007C11E9">
            <w:pPr>
              <w:pStyle w:val="Normaltindrag"/>
              <w:ind w:firstLine="0"/>
              <w:rPr>
                <w:b/>
              </w:rPr>
            </w:pPr>
            <w:r w:rsidRPr="000A3A07">
              <w:rPr>
                <w:b/>
              </w:rPr>
              <w:t>Skuld 1999-12-31, miljoner kronor</w:t>
            </w:r>
          </w:p>
        </w:tc>
      </w:tr>
      <w:tr w:rsidR="00000000" w:rsidRPr="000A3A07" w14:paraId="0C83831E" w14:textId="77777777">
        <w:tblPrEx>
          <w:tblCellMar>
            <w:top w:w="0" w:type="dxa"/>
            <w:bottom w:w="0" w:type="dxa"/>
          </w:tblCellMar>
        </w:tblPrEx>
        <w:tc>
          <w:tcPr>
            <w:tcW w:w="3018" w:type="dxa"/>
            <w:tcBorders>
              <w:top w:val="nil"/>
            </w:tcBorders>
          </w:tcPr>
          <w:p w14:paraId="08D0B195" w14:textId="77777777" w:rsidR="007C11E9" w:rsidRPr="000A3A07" w:rsidRDefault="007C11E9">
            <w:pPr>
              <w:pStyle w:val="Normaltindrag"/>
              <w:ind w:firstLine="0"/>
            </w:pPr>
            <w:r w:rsidRPr="000A3A07">
              <w:t>SL-paketet och Grödingebanan</w:t>
            </w:r>
          </w:p>
        </w:tc>
        <w:tc>
          <w:tcPr>
            <w:tcW w:w="1509" w:type="dxa"/>
            <w:tcBorders>
              <w:top w:val="nil"/>
              <w:right w:val="nil"/>
            </w:tcBorders>
          </w:tcPr>
          <w:p w14:paraId="493966BD" w14:textId="77777777" w:rsidR="007C11E9" w:rsidRPr="000A3A07" w:rsidRDefault="007C11E9">
            <w:pPr>
              <w:pStyle w:val="Normaltindrag"/>
              <w:ind w:firstLine="0"/>
              <w:jc w:val="right"/>
            </w:pPr>
            <w:r w:rsidRPr="000A3A07">
              <w:t>2 892</w:t>
            </w:r>
          </w:p>
        </w:tc>
        <w:tc>
          <w:tcPr>
            <w:tcW w:w="1509" w:type="dxa"/>
            <w:tcBorders>
              <w:top w:val="nil"/>
              <w:left w:val="nil"/>
            </w:tcBorders>
          </w:tcPr>
          <w:p w14:paraId="3A2730AF" w14:textId="77777777" w:rsidR="007C11E9" w:rsidRPr="000A3A07" w:rsidRDefault="007C11E9">
            <w:pPr>
              <w:pStyle w:val="Normaltindrag"/>
              <w:ind w:firstLine="0"/>
            </w:pPr>
          </w:p>
        </w:tc>
      </w:tr>
      <w:tr w:rsidR="00000000" w:rsidRPr="000A3A07" w14:paraId="394EE0C3" w14:textId="77777777">
        <w:tblPrEx>
          <w:tblCellMar>
            <w:top w:w="0" w:type="dxa"/>
            <w:bottom w:w="0" w:type="dxa"/>
          </w:tblCellMar>
        </w:tblPrEx>
        <w:tc>
          <w:tcPr>
            <w:tcW w:w="3018" w:type="dxa"/>
          </w:tcPr>
          <w:p w14:paraId="2C49CBB3" w14:textId="77777777" w:rsidR="007C11E9" w:rsidRPr="000A3A07" w:rsidRDefault="007C11E9">
            <w:pPr>
              <w:pStyle w:val="Normaltindrag"/>
              <w:ind w:firstLine="0"/>
            </w:pPr>
            <w:r w:rsidRPr="000A3A07">
              <w:t>Eldriftanläggningar</w:t>
            </w:r>
          </w:p>
        </w:tc>
        <w:tc>
          <w:tcPr>
            <w:tcW w:w="1509" w:type="dxa"/>
            <w:tcBorders>
              <w:right w:val="nil"/>
            </w:tcBorders>
          </w:tcPr>
          <w:p w14:paraId="2618558A" w14:textId="77777777" w:rsidR="007C11E9" w:rsidRPr="000A3A07" w:rsidRDefault="007C11E9">
            <w:pPr>
              <w:pStyle w:val="Normaltindrag"/>
              <w:ind w:firstLine="0"/>
              <w:jc w:val="right"/>
            </w:pPr>
            <w:r w:rsidRPr="000A3A07">
              <w:t>3 563</w:t>
            </w:r>
          </w:p>
        </w:tc>
        <w:tc>
          <w:tcPr>
            <w:tcW w:w="1509" w:type="dxa"/>
            <w:tcBorders>
              <w:left w:val="nil"/>
            </w:tcBorders>
          </w:tcPr>
          <w:p w14:paraId="0E965BDD" w14:textId="77777777" w:rsidR="007C11E9" w:rsidRPr="000A3A07" w:rsidRDefault="007C11E9">
            <w:pPr>
              <w:pStyle w:val="Normaltindrag"/>
              <w:ind w:firstLine="0"/>
            </w:pPr>
          </w:p>
        </w:tc>
      </w:tr>
      <w:tr w:rsidR="00000000" w:rsidRPr="000A3A07" w14:paraId="680842E5" w14:textId="77777777">
        <w:tblPrEx>
          <w:tblCellMar>
            <w:top w:w="0" w:type="dxa"/>
            <w:bottom w:w="0" w:type="dxa"/>
          </w:tblCellMar>
        </w:tblPrEx>
        <w:tc>
          <w:tcPr>
            <w:tcW w:w="3018" w:type="dxa"/>
            <w:tcBorders>
              <w:bottom w:val="single" w:sz="4" w:space="0" w:color="auto"/>
            </w:tcBorders>
          </w:tcPr>
          <w:p w14:paraId="22116A84" w14:textId="77777777" w:rsidR="007C11E9" w:rsidRPr="000A3A07" w:rsidRDefault="007C11E9">
            <w:pPr>
              <w:pStyle w:val="Normaltindrag"/>
              <w:ind w:firstLine="0"/>
            </w:pPr>
            <w:r w:rsidRPr="000A3A07">
              <w:t>Teleanläggningar</w:t>
            </w:r>
          </w:p>
        </w:tc>
        <w:tc>
          <w:tcPr>
            <w:tcW w:w="1509" w:type="dxa"/>
            <w:tcBorders>
              <w:bottom w:val="single" w:sz="4" w:space="0" w:color="auto"/>
              <w:right w:val="nil"/>
            </w:tcBorders>
          </w:tcPr>
          <w:p w14:paraId="112FFCFC" w14:textId="77777777" w:rsidR="007C11E9" w:rsidRPr="000A3A07" w:rsidRDefault="007C11E9">
            <w:pPr>
              <w:pStyle w:val="Normaltindrag"/>
              <w:ind w:firstLine="0"/>
              <w:jc w:val="right"/>
            </w:pPr>
            <w:r w:rsidRPr="000A3A07">
              <w:t>1 321</w:t>
            </w:r>
          </w:p>
        </w:tc>
        <w:tc>
          <w:tcPr>
            <w:tcW w:w="1509" w:type="dxa"/>
            <w:tcBorders>
              <w:left w:val="nil"/>
              <w:bottom w:val="single" w:sz="4" w:space="0" w:color="auto"/>
            </w:tcBorders>
          </w:tcPr>
          <w:p w14:paraId="7908F768" w14:textId="77777777" w:rsidR="007C11E9" w:rsidRPr="000A3A07" w:rsidRDefault="007C11E9">
            <w:pPr>
              <w:pStyle w:val="Normaltindrag"/>
              <w:ind w:firstLine="0"/>
            </w:pPr>
          </w:p>
        </w:tc>
      </w:tr>
      <w:tr w:rsidR="00000000" w:rsidRPr="000A3A07" w14:paraId="4A61F743" w14:textId="77777777">
        <w:tblPrEx>
          <w:tblCellMar>
            <w:top w:w="0" w:type="dxa"/>
            <w:bottom w:w="0" w:type="dxa"/>
          </w:tblCellMar>
        </w:tblPrEx>
        <w:tc>
          <w:tcPr>
            <w:tcW w:w="3018" w:type="dxa"/>
            <w:tcBorders>
              <w:top w:val="nil"/>
            </w:tcBorders>
          </w:tcPr>
          <w:p w14:paraId="1FFB3D9C" w14:textId="77777777" w:rsidR="007C11E9" w:rsidRPr="000A3A07" w:rsidRDefault="007C11E9">
            <w:pPr>
              <w:pStyle w:val="Normaltindrag"/>
              <w:ind w:firstLine="0"/>
              <w:rPr>
                <w:b/>
              </w:rPr>
            </w:pPr>
            <w:r w:rsidRPr="000A3A07">
              <w:rPr>
                <w:b/>
              </w:rPr>
              <w:t>Summa</w:t>
            </w:r>
          </w:p>
        </w:tc>
        <w:tc>
          <w:tcPr>
            <w:tcW w:w="1509" w:type="dxa"/>
            <w:tcBorders>
              <w:top w:val="nil"/>
              <w:right w:val="nil"/>
            </w:tcBorders>
          </w:tcPr>
          <w:p w14:paraId="04774B2A" w14:textId="77777777" w:rsidR="007C11E9" w:rsidRPr="000A3A07" w:rsidRDefault="007C11E9">
            <w:pPr>
              <w:pStyle w:val="Normaltindrag"/>
              <w:ind w:firstLine="0"/>
              <w:jc w:val="right"/>
              <w:rPr>
                <w:b/>
              </w:rPr>
            </w:pPr>
            <w:r w:rsidRPr="000A3A07">
              <w:rPr>
                <w:b/>
              </w:rPr>
              <w:t>7 627</w:t>
            </w:r>
          </w:p>
        </w:tc>
        <w:tc>
          <w:tcPr>
            <w:tcW w:w="1509" w:type="dxa"/>
            <w:tcBorders>
              <w:top w:val="nil"/>
              <w:left w:val="nil"/>
              <w:bottom w:val="single" w:sz="6" w:space="0" w:color="000000"/>
            </w:tcBorders>
          </w:tcPr>
          <w:p w14:paraId="6F8B344A" w14:textId="77777777" w:rsidR="007C11E9" w:rsidRPr="000A3A07" w:rsidRDefault="007C11E9">
            <w:pPr>
              <w:pStyle w:val="Normaltindrag"/>
              <w:ind w:firstLine="0"/>
              <w:rPr>
                <w:b/>
              </w:rPr>
            </w:pPr>
          </w:p>
        </w:tc>
      </w:tr>
    </w:tbl>
    <w:p w14:paraId="2B57B343" w14:textId="77777777" w:rsidR="007C11E9" w:rsidRPr="000A3A07" w:rsidRDefault="007C11E9">
      <w:pPr>
        <w:pStyle w:val="Tabell"/>
      </w:pPr>
      <w:r w:rsidRPr="000A3A07">
        <w:t>Källa: Banverket 2000</w:t>
      </w:r>
    </w:p>
    <w:p w14:paraId="5E84D6B9" w14:textId="77777777" w:rsidR="007C11E9" w:rsidRPr="000A3A07" w:rsidRDefault="007C11E9">
      <w:r w:rsidRPr="000A3A07">
        <w:t>Beslut om lånefinansiering innebär att framtida anslagsutrymme in</w:t>
      </w:r>
      <w:r w:rsidRPr="000A3A07">
        <w:softHyphen/>
        <w:t>tecknas. Finansutskottet har angett att det därför är angeläget att riksdagen får en redovis</w:t>
      </w:r>
      <w:r w:rsidRPr="000A3A07">
        <w:softHyphen/>
        <w:t>ning av i vilken utsträckning anslagsra</w:t>
      </w:r>
      <w:r w:rsidRPr="000A3A07">
        <w:softHyphen/>
        <w:t>marna är intecknade för att betala framtida räntor och amorteringar på lån, arrenden och hyror, bi</w:t>
      </w:r>
      <w:r w:rsidRPr="000A3A07">
        <w:softHyphen/>
        <w:t>drag samt underhåll för investeringar. Även de ga</w:t>
      </w:r>
      <w:r w:rsidRPr="000A3A07">
        <w:softHyphen/>
        <w:t>rantier som staten ställt ut bör enligt utskottet redovi</w:t>
      </w:r>
      <w:r w:rsidRPr="000A3A07">
        <w:softHyphen/>
        <w:t>sas och bedömas. Trafikutskottet delade finansutsko</w:t>
      </w:r>
      <w:r w:rsidRPr="000A3A07">
        <w:t>t</w:t>
      </w:r>
      <w:r w:rsidRPr="000A3A07">
        <w:t>tets upp</w:t>
      </w:r>
      <w:r w:rsidRPr="000A3A07">
        <w:softHyphen/>
        <w:t xml:space="preserve">fattning (bet. 1997/98:TU10, 1997/98:FiU4y, rskr. 1997/98:266). </w:t>
      </w:r>
    </w:p>
    <w:p w14:paraId="292E58B1" w14:textId="77777777" w:rsidR="007C11E9" w:rsidRPr="000A3A07" w:rsidRDefault="007C11E9">
      <w:pPr>
        <w:pStyle w:val="Normaltindrag"/>
      </w:pPr>
      <w:r w:rsidRPr="000A3A07">
        <w:t>Regeringens bedömning av Vägverkets och Banver</w:t>
      </w:r>
      <w:r w:rsidRPr="000A3A07">
        <w:t>kets anslagsbehov för räntor och återbetalning av lån redo</w:t>
      </w:r>
      <w:r w:rsidRPr="000A3A07">
        <w:softHyphen/>
        <w:t xml:space="preserve">visas i figur 3 respektive 4. </w:t>
      </w:r>
    </w:p>
    <w:p w14:paraId="720D3DD6" w14:textId="77777777" w:rsidR="007C11E9" w:rsidRPr="000A3A07" w:rsidRDefault="007C11E9">
      <w:pPr>
        <w:pStyle w:val="Normaltindrag"/>
      </w:pPr>
    </w:p>
    <w:p w14:paraId="010A3C26" w14:textId="77777777" w:rsidR="007C11E9" w:rsidRPr="000A3A07" w:rsidRDefault="007C11E9">
      <w:pPr>
        <w:pStyle w:val="Normaltindrag"/>
      </w:pPr>
    </w:p>
    <w:p w14:paraId="00B22599" w14:textId="77777777" w:rsidR="007C11E9" w:rsidRPr="000A3A07" w:rsidRDefault="007C11E9">
      <w:pPr>
        <w:pStyle w:val="Normaltindrag"/>
      </w:pPr>
    </w:p>
    <w:p w14:paraId="4D58FD01" w14:textId="77777777" w:rsidR="007C11E9" w:rsidRPr="000A3A07" w:rsidRDefault="007C11E9">
      <w:pPr>
        <w:pStyle w:val="Normaltindrag"/>
      </w:pPr>
    </w:p>
    <w:p w14:paraId="69EEEAF5" w14:textId="77777777" w:rsidR="007C11E9" w:rsidRPr="000A3A07" w:rsidRDefault="007C11E9">
      <w:pPr>
        <w:pStyle w:val="Normaltindrag"/>
      </w:pPr>
    </w:p>
    <w:p w14:paraId="0DB8B790" w14:textId="77777777" w:rsidR="007C11E9" w:rsidRPr="000A3A07" w:rsidRDefault="007C11E9">
      <w:pPr>
        <w:pStyle w:val="Normaltindrag"/>
      </w:pPr>
    </w:p>
    <w:p w14:paraId="0266BAC6" w14:textId="77777777" w:rsidR="007C11E9" w:rsidRPr="000A3A07" w:rsidRDefault="007C11E9">
      <w:pPr>
        <w:pStyle w:val="Normaltindrag"/>
      </w:pPr>
    </w:p>
    <w:p w14:paraId="3A17FEE5" w14:textId="77777777" w:rsidR="007C11E9" w:rsidRPr="000A3A07" w:rsidRDefault="007C11E9">
      <w:pPr>
        <w:pStyle w:val="Normaltindrag"/>
      </w:pPr>
    </w:p>
    <w:p w14:paraId="459A5D2D" w14:textId="15B3D7E5" w:rsidR="007C11E9" w:rsidRPr="000A3A07" w:rsidRDefault="000A3A07">
      <w:pPr>
        <w:pStyle w:val="Tabellrubrik1"/>
      </w:pPr>
      <w:r w:rsidRPr="000A3A07">
        <w:rPr>
          <w:noProof/>
        </w:rPr>
        <w:drawing>
          <wp:anchor distT="0" distB="0" distL="114300" distR="114300" simplePos="0" relativeHeight="251656704" behindDoc="0" locked="1" layoutInCell="0" allowOverlap="1" wp14:anchorId="572A8F42" wp14:editId="233DD227">
            <wp:simplePos x="0" y="0"/>
            <wp:positionH relativeFrom="column">
              <wp:posOffset>11430</wp:posOffset>
            </wp:positionH>
            <wp:positionV relativeFrom="paragraph">
              <wp:posOffset>767080</wp:posOffset>
            </wp:positionV>
            <wp:extent cx="3669030" cy="2339340"/>
            <wp:effectExtent l="0" t="0" r="0" b="0"/>
            <wp:wrapTopAndBottom/>
            <wp:docPr id="209134934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69030" cy="2339340"/>
                    </a:xfrm>
                    <a:prstGeom prst="rect">
                      <a:avLst/>
                    </a:prstGeom>
                    <a:noFill/>
                    <a:ln>
                      <a:noFill/>
                    </a:ln>
                  </pic:spPr>
                </pic:pic>
              </a:graphicData>
            </a:graphic>
            <wp14:sizeRelH relativeFrom="page">
              <wp14:pctWidth>0</wp14:pctWidth>
            </wp14:sizeRelH>
            <wp14:sizeRelV relativeFrom="page">
              <wp14:pctHeight>0</wp14:pctHeight>
            </wp14:sizeRelV>
          </wp:anchor>
        </w:drawing>
      </w:r>
      <w:r w:rsidR="007C11E9" w:rsidRPr="000A3A07">
        <w:t>Figur 3. Vägverkets beräknade anslagsbehov för räntor och återbetalning av lån, enligt budgetpropositionen för 2001 (he</w:t>
      </w:r>
      <w:r w:rsidR="007C11E9" w:rsidRPr="000A3A07">
        <w:t>l</w:t>
      </w:r>
      <w:r w:rsidR="007C11E9" w:rsidRPr="000A3A07">
        <w:t>dragen linje) och budgetpropositionen för 2000 (streckad li</w:t>
      </w:r>
      <w:r w:rsidR="007C11E9" w:rsidRPr="000A3A07">
        <w:t>n</w:t>
      </w:r>
      <w:r w:rsidR="007C11E9" w:rsidRPr="000A3A07">
        <w:t>je)</w:t>
      </w:r>
    </w:p>
    <w:p w14:paraId="4DF56ADA" w14:textId="77777777" w:rsidR="007C11E9" w:rsidRPr="000A3A07" w:rsidRDefault="007C11E9">
      <w:pPr>
        <w:pStyle w:val="Tabell"/>
      </w:pPr>
    </w:p>
    <w:p w14:paraId="5B110F6D" w14:textId="77777777" w:rsidR="007C11E9" w:rsidRPr="000A3A07" w:rsidRDefault="007C11E9">
      <w:pPr>
        <w:pStyle w:val="Tabell"/>
      </w:pPr>
      <w:r w:rsidRPr="000A3A07">
        <w:t>Källa: Proposition 1999/2000:1 och 2000/2001:1</w:t>
      </w:r>
    </w:p>
    <w:p w14:paraId="3889A775" w14:textId="77777777" w:rsidR="007C11E9" w:rsidRPr="000A3A07" w:rsidRDefault="007C11E9">
      <w:r w:rsidRPr="000A3A07">
        <w:t>Regeringen räknade med en ränta på 4,5 % i budgetpropositionen för 2000 och en ränta på 6 % i budgetpropositionen för 2001. De lån som Vägverket har i Riksgäldskontoret fi</w:t>
      </w:r>
      <w:r w:rsidRPr="000A3A07">
        <w:softHyphen/>
        <w:t>nansieras genom att Väg</w:t>
      </w:r>
      <w:r w:rsidRPr="000A3A07">
        <w:softHyphen/>
        <w:t>verkets anslag belastas med kostnader för räntor och återbetalning av skuld. Lånen utanför Rik</w:t>
      </w:r>
      <w:r w:rsidRPr="000A3A07">
        <w:t>s</w:t>
      </w:r>
      <w:r w:rsidRPr="000A3A07">
        <w:t>gäldskontoret har framför allt tagits upp för storstadsöverenskommelserna via Stockholmsleder AB och Göteborgs trafikleder AB, dotterbolag till St</w:t>
      </w:r>
      <w:r w:rsidRPr="000A3A07">
        <w:t>a</w:t>
      </w:r>
      <w:r w:rsidRPr="000A3A07">
        <w:t>tens väg- och baninvest AB</w:t>
      </w:r>
      <w:r w:rsidRPr="000A3A07">
        <w:rPr>
          <w:rStyle w:val="Fotnotsreferens"/>
        </w:rPr>
        <w:footnoteReference w:id="2"/>
      </w:r>
      <w:r w:rsidRPr="000A3A07">
        <w:t>. För dessa projekt räknar regeringen med den anslagsbelastning som krävs för att ränta och amortering i form av annuitet för projekten ska vara återbetalda 25 år efter det att de har tagits i bruk. I budgetpropositionen för 2000 räknar regeringen dock med att lån som tagits upp för andra Stockholmsprojekt än Södra länken ska</w:t>
      </w:r>
      <w:commentRangeStart w:id="50"/>
      <w:commentRangeEnd w:id="50"/>
      <w:r w:rsidRPr="000A3A07">
        <w:rPr>
          <w:rStyle w:val="Kommentarsreferens"/>
          <w:sz w:val="19"/>
        </w:rPr>
        <w:commentReference w:id="50"/>
      </w:r>
      <w:r w:rsidRPr="000A3A07">
        <w:t xml:space="preserve"> vara återbetalda 2009. </w:t>
      </w:r>
    </w:p>
    <w:p w14:paraId="13EA0BB3" w14:textId="77777777" w:rsidR="007C11E9" w:rsidRPr="000A3A07" w:rsidRDefault="007C11E9">
      <w:pPr>
        <w:pStyle w:val="Tabellrubrik1"/>
      </w:pPr>
    </w:p>
    <w:p w14:paraId="14CF7D7D" w14:textId="77777777" w:rsidR="007C11E9" w:rsidRPr="000A3A07" w:rsidRDefault="007C11E9">
      <w:pPr>
        <w:pStyle w:val="Tabellrubrik1"/>
      </w:pPr>
    </w:p>
    <w:p w14:paraId="770DE55F" w14:textId="77777777" w:rsidR="007C11E9" w:rsidRPr="000A3A07" w:rsidRDefault="007C11E9">
      <w:pPr>
        <w:pStyle w:val="Tabellrubrik1"/>
      </w:pPr>
      <w:r w:rsidRPr="000A3A07">
        <w:br w:type="page"/>
        <w:t>Figur 4. Banverkets beräknade anslagsbehov för räntor, amorteringar m.m. för låne</w:t>
      </w:r>
      <w:r w:rsidRPr="000A3A07">
        <w:softHyphen/>
        <w:t>finan</w:t>
      </w:r>
      <w:r w:rsidRPr="000A3A07">
        <w:softHyphen/>
        <w:t>sierade projekt</w:t>
      </w:r>
    </w:p>
    <w:p w14:paraId="6B2559DB" w14:textId="220EEEF3" w:rsidR="007C11E9" w:rsidRPr="000A3A07" w:rsidRDefault="000A3A07">
      <w:pPr>
        <w:pStyle w:val="Tabell"/>
      </w:pPr>
      <w:r w:rsidRPr="000A3A07">
        <w:rPr>
          <w:noProof/>
        </w:rPr>
        <w:drawing>
          <wp:anchor distT="0" distB="0" distL="114300" distR="114300" simplePos="0" relativeHeight="251657728" behindDoc="0" locked="0" layoutInCell="0" allowOverlap="1" wp14:anchorId="16C6B59D" wp14:editId="193F077C">
            <wp:simplePos x="0" y="0"/>
            <wp:positionH relativeFrom="column">
              <wp:posOffset>-80010</wp:posOffset>
            </wp:positionH>
            <wp:positionV relativeFrom="paragraph">
              <wp:posOffset>25400</wp:posOffset>
            </wp:positionV>
            <wp:extent cx="3749040" cy="2332355"/>
            <wp:effectExtent l="0" t="0" r="0" b="0"/>
            <wp:wrapTopAndBottom/>
            <wp:docPr id="37175316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49040" cy="233235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1E9" w:rsidRPr="000A3A07">
        <w:t>Anmärkning: Regeringen redovisar inte någon bedömning av Banverkets beräknade anslagsbehov för räntor och amorteringar i budgetpropositionen för 2001.</w:t>
      </w:r>
    </w:p>
    <w:p w14:paraId="12F51994" w14:textId="77777777" w:rsidR="007C11E9" w:rsidRPr="000A3A07" w:rsidRDefault="007C11E9">
      <w:pPr>
        <w:pStyle w:val="Tabell"/>
      </w:pPr>
      <w:r w:rsidRPr="000A3A07">
        <w:t>Källa: Proposition 1999/2000:1</w:t>
      </w:r>
    </w:p>
    <w:p w14:paraId="5FE2EF59" w14:textId="77777777" w:rsidR="007C11E9" w:rsidRPr="000A3A07" w:rsidRDefault="007C11E9">
      <w:r w:rsidRPr="000A3A07">
        <w:t xml:space="preserve">Det framgår inte av budgetpropositionen för 2000 vilken ränta regeringen har utgått från i sin bedömning av Banverkets anslagsbehov för räntor och amorteringar m.m. för lånefinansierade projekt. I budgetpropositionen för 2001 gör regeringen inte någon bedömning av anslagsbehovet. </w:t>
      </w:r>
    </w:p>
    <w:p w14:paraId="20050618" w14:textId="77777777" w:rsidR="007C11E9" w:rsidRPr="000A3A07" w:rsidRDefault="007C11E9">
      <w:pPr>
        <w:pStyle w:val="Normaltindrag"/>
      </w:pPr>
      <w:r w:rsidRPr="000A3A07">
        <w:t>Anslagsbehovet för räntor och amorteringar m.m. för redan beslutade lån</w:t>
      </w:r>
      <w:r w:rsidRPr="000A3A07">
        <w:t>e</w:t>
      </w:r>
      <w:r w:rsidRPr="000A3A07">
        <w:t>finansierade investeringar kan under de närmaste åren uppgå till ca 20 % av anslaget för investeringar i vägar och järnvägar (se tabell 6). Beräkningarna har gjorts med utgångspunkt i regeringens bedömning av Vägverkets och Banverkets framtida anslag och anslagsbehov för redan beslutade lånefina</w:t>
      </w:r>
      <w:r w:rsidRPr="000A3A07">
        <w:t>n</w:t>
      </w:r>
      <w:r w:rsidRPr="000A3A07">
        <w:t xml:space="preserve">sierade investeringar (prop. 1999/2000:1). </w:t>
      </w:r>
    </w:p>
    <w:p w14:paraId="7BC79B9C" w14:textId="77777777" w:rsidR="007C11E9" w:rsidRPr="000A3A07" w:rsidRDefault="007C11E9">
      <w:pPr>
        <w:pStyle w:val="Normaltindrag"/>
      </w:pPr>
    </w:p>
    <w:p w14:paraId="33A9A828" w14:textId="77777777" w:rsidR="007C11E9" w:rsidRPr="000A3A07" w:rsidRDefault="007C11E9">
      <w:pPr>
        <w:pStyle w:val="Tabellrubrik1"/>
      </w:pPr>
      <w:r w:rsidRPr="000A3A07">
        <w:t>Tabell 6. Vägverkets och Banverkets anslagsbehov för räntor och återbetalning av lån i förhållande till den beräknade u</w:t>
      </w:r>
      <w:r w:rsidRPr="000A3A07">
        <w:t>t</w:t>
      </w:r>
      <w:r w:rsidRPr="000A3A07">
        <w:t>vecklingen av anslaget för investeringar i vägar och järnv</w:t>
      </w:r>
      <w:r w:rsidRPr="000A3A07">
        <w:t>ä</w:t>
      </w:r>
      <w:r w:rsidRPr="000A3A07">
        <w:t>gar</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012"/>
        <w:gridCol w:w="2012"/>
        <w:gridCol w:w="2012"/>
      </w:tblGrid>
      <w:tr w:rsidR="00000000" w:rsidRPr="000A3A07" w14:paraId="54E95D91" w14:textId="77777777">
        <w:tblPrEx>
          <w:tblCellMar>
            <w:top w:w="0" w:type="dxa"/>
            <w:bottom w:w="0" w:type="dxa"/>
          </w:tblCellMar>
        </w:tblPrEx>
        <w:tc>
          <w:tcPr>
            <w:tcW w:w="2012" w:type="dxa"/>
            <w:tcBorders>
              <w:bottom w:val="single" w:sz="6" w:space="0" w:color="000000"/>
            </w:tcBorders>
            <w:shd w:val="pct30" w:color="FFFF00" w:fill="FFFFFF"/>
          </w:tcPr>
          <w:p w14:paraId="0EA4E35F" w14:textId="77777777" w:rsidR="007C11E9" w:rsidRPr="000A3A07" w:rsidRDefault="007C11E9">
            <w:pPr>
              <w:pStyle w:val="Normaltindrag"/>
              <w:ind w:firstLine="0"/>
              <w:jc w:val="center"/>
              <w:rPr>
                <w:b/>
              </w:rPr>
            </w:pPr>
            <w:r w:rsidRPr="000A3A07">
              <w:rPr>
                <w:b/>
              </w:rPr>
              <w:t>År</w:t>
            </w:r>
          </w:p>
        </w:tc>
        <w:tc>
          <w:tcPr>
            <w:tcW w:w="2012" w:type="dxa"/>
            <w:tcBorders>
              <w:bottom w:val="single" w:sz="6" w:space="0" w:color="000000"/>
            </w:tcBorders>
            <w:shd w:val="pct30" w:color="FFFF00" w:fill="FFFFFF"/>
          </w:tcPr>
          <w:p w14:paraId="66B36902" w14:textId="77777777" w:rsidR="007C11E9" w:rsidRPr="000A3A07" w:rsidRDefault="007C11E9">
            <w:pPr>
              <w:pStyle w:val="Normaltindrag"/>
              <w:ind w:firstLine="0"/>
              <w:jc w:val="center"/>
              <w:rPr>
                <w:b/>
              </w:rPr>
            </w:pPr>
            <w:r w:rsidRPr="000A3A07">
              <w:rPr>
                <w:b/>
              </w:rPr>
              <w:t>Vägverket</w:t>
            </w:r>
          </w:p>
        </w:tc>
        <w:tc>
          <w:tcPr>
            <w:tcW w:w="2012" w:type="dxa"/>
            <w:tcBorders>
              <w:bottom w:val="single" w:sz="6" w:space="0" w:color="000000"/>
            </w:tcBorders>
            <w:shd w:val="pct30" w:color="FFFF00" w:fill="FFFFFF"/>
          </w:tcPr>
          <w:p w14:paraId="0BD06618" w14:textId="77777777" w:rsidR="007C11E9" w:rsidRPr="000A3A07" w:rsidRDefault="007C11E9">
            <w:pPr>
              <w:pStyle w:val="Normaltindrag"/>
              <w:ind w:firstLine="0"/>
              <w:jc w:val="center"/>
              <w:rPr>
                <w:b/>
              </w:rPr>
            </w:pPr>
            <w:r w:rsidRPr="000A3A07">
              <w:rPr>
                <w:b/>
              </w:rPr>
              <w:t>Banverket</w:t>
            </w:r>
          </w:p>
        </w:tc>
      </w:tr>
      <w:tr w:rsidR="00000000" w:rsidRPr="000A3A07" w14:paraId="0FA6EB33" w14:textId="77777777">
        <w:tblPrEx>
          <w:tblCellMar>
            <w:top w:w="0" w:type="dxa"/>
            <w:bottom w:w="0" w:type="dxa"/>
          </w:tblCellMar>
        </w:tblPrEx>
        <w:tc>
          <w:tcPr>
            <w:tcW w:w="2012" w:type="dxa"/>
            <w:tcBorders>
              <w:top w:val="nil"/>
            </w:tcBorders>
          </w:tcPr>
          <w:p w14:paraId="17B75C05" w14:textId="77777777" w:rsidR="007C11E9" w:rsidRPr="000A3A07" w:rsidRDefault="007C11E9">
            <w:pPr>
              <w:pStyle w:val="Normaltindrag"/>
              <w:ind w:firstLine="0"/>
              <w:jc w:val="center"/>
              <w:rPr>
                <w:b/>
              </w:rPr>
            </w:pPr>
            <w:r w:rsidRPr="000A3A07">
              <w:rPr>
                <w:b/>
              </w:rPr>
              <w:t>1999</w:t>
            </w:r>
          </w:p>
        </w:tc>
        <w:tc>
          <w:tcPr>
            <w:tcW w:w="2012" w:type="dxa"/>
            <w:tcBorders>
              <w:top w:val="nil"/>
            </w:tcBorders>
          </w:tcPr>
          <w:p w14:paraId="7051E535" w14:textId="77777777" w:rsidR="007C11E9" w:rsidRPr="000A3A07" w:rsidRDefault="007C11E9">
            <w:pPr>
              <w:pStyle w:val="Normaltindrag"/>
              <w:ind w:firstLine="0"/>
              <w:jc w:val="center"/>
            </w:pPr>
            <w:r w:rsidRPr="000A3A07">
              <w:t>4 %</w:t>
            </w:r>
          </w:p>
        </w:tc>
        <w:tc>
          <w:tcPr>
            <w:tcW w:w="2012" w:type="dxa"/>
            <w:tcBorders>
              <w:top w:val="nil"/>
            </w:tcBorders>
          </w:tcPr>
          <w:p w14:paraId="10D327B4" w14:textId="77777777" w:rsidR="007C11E9" w:rsidRPr="000A3A07" w:rsidRDefault="007C11E9">
            <w:pPr>
              <w:pStyle w:val="Normaltindrag"/>
              <w:ind w:firstLine="0"/>
              <w:jc w:val="center"/>
            </w:pPr>
            <w:r w:rsidRPr="000A3A07">
              <w:t>18 %</w:t>
            </w:r>
          </w:p>
        </w:tc>
      </w:tr>
      <w:tr w:rsidR="00000000" w:rsidRPr="000A3A07" w14:paraId="713DEA23" w14:textId="77777777">
        <w:tblPrEx>
          <w:tblCellMar>
            <w:top w:w="0" w:type="dxa"/>
            <w:bottom w:w="0" w:type="dxa"/>
          </w:tblCellMar>
        </w:tblPrEx>
        <w:tc>
          <w:tcPr>
            <w:tcW w:w="2012" w:type="dxa"/>
          </w:tcPr>
          <w:p w14:paraId="1199CFF5" w14:textId="77777777" w:rsidR="007C11E9" w:rsidRPr="000A3A07" w:rsidRDefault="007C11E9">
            <w:pPr>
              <w:pStyle w:val="Normaltindrag"/>
              <w:ind w:firstLine="0"/>
              <w:jc w:val="center"/>
              <w:rPr>
                <w:b/>
              </w:rPr>
            </w:pPr>
            <w:r w:rsidRPr="000A3A07">
              <w:rPr>
                <w:b/>
              </w:rPr>
              <w:t>2000</w:t>
            </w:r>
          </w:p>
        </w:tc>
        <w:tc>
          <w:tcPr>
            <w:tcW w:w="2012" w:type="dxa"/>
          </w:tcPr>
          <w:p w14:paraId="54CBA7F8" w14:textId="77777777" w:rsidR="007C11E9" w:rsidRPr="000A3A07" w:rsidRDefault="007C11E9">
            <w:pPr>
              <w:pStyle w:val="Normaltindrag"/>
              <w:ind w:firstLine="0"/>
              <w:jc w:val="center"/>
            </w:pPr>
            <w:r w:rsidRPr="000A3A07">
              <w:t>12 %</w:t>
            </w:r>
          </w:p>
        </w:tc>
        <w:tc>
          <w:tcPr>
            <w:tcW w:w="2012" w:type="dxa"/>
          </w:tcPr>
          <w:p w14:paraId="23F7B740" w14:textId="77777777" w:rsidR="007C11E9" w:rsidRPr="000A3A07" w:rsidRDefault="007C11E9">
            <w:pPr>
              <w:pStyle w:val="Normaltindrag"/>
              <w:ind w:firstLine="0"/>
              <w:jc w:val="center"/>
            </w:pPr>
            <w:r w:rsidRPr="000A3A07">
              <w:t>20 %</w:t>
            </w:r>
          </w:p>
        </w:tc>
      </w:tr>
      <w:tr w:rsidR="00000000" w:rsidRPr="000A3A07" w14:paraId="07EC4EC1" w14:textId="77777777">
        <w:tblPrEx>
          <w:tblCellMar>
            <w:top w:w="0" w:type="dxa"/>
            <w:bottom w:w="0" w:type="dxa"/>
          </w:tblCellMar>
        </w:tblPrEx>
        <w:tc>
          <w:tcPr>
            <w:tcW w:w="2012" w:type="dxa"/>
          </w:tcPr>
          <w:p w14:paraId="6F4C4363" w14:textId="77777777" w:rsidR="007C11E9" w:rsidRPr="000A3A07" w:rsidRDefault="007C11E9">
            <w:pPr>
              <w:pStyle w:val="Normaltindrag"/>
              <w:ind w:firstLine="0"/>
              <w:jc w:val="center"/>
              <w:rPr>
                <w:b/>
              </w:rPr>
            </w:pPr>
            <w:r w:rsidRPr="000A3A07">
              <w:rPr>
                <w:b/>
              </w:rPr>
              <w:t>2001</w:t>
            </w:r>
          </w:p>
        </w:tc>
        <w:tc>
          <w:tcPr>
            <w:tcW w:w="2012" w:type="dxa"/>
          </w:tcPr>
          <w:p w14:paraId="5BC224C6" w14:textId="77777777" w:rsidR="007C11E9" w:rsidRPr="000A3A07" w:rsidRDefault="007C11E9">
            <w:pPr>
              <w:pStyle w:val="Normaltindrag"/>
              <w:ind w:firstLine="0"/>
              <w:jc w:val="center"/>
            </w:pPr>
            <w:r w:rsidRPr="000A3A07">
              <w:t>18 %</w:t>
            </w:r>
          </w:p>
        </w:tc>
        <w:tc>
          <w:tcPr>
            <w:tcW w:w="2012" w:type="dxa"/>
          </w:tcPr>
          <w:p w14:paraId="4209AADA" w14:textId="77777777" w:rsidR="007C11E9" w:rsidRPr="000A3A07" w:rsidRDefault="007C11E9">
            <w:pPr>
              <w:pStyle w:val="Normaltindrag"/>
              <w:ind w:firstLine="0"/>
              <w:jc w:val="center"/>
            </w:pPr>
            <w:r w:rsidRPr="000A3A07">
              <w:t>20 %</w:t>
            </w:r>
          </w:p>
        </w:tc>
      </w:tr>
      <w:tr w:rsidR="00000000" w:rsidRPr="000A3A07" w14:paraId="1125930E" w14:textId="77777777">
        <w:tblPrEx>
          <w:tblCellMar>
            <w:top w:w="0" w:type="dxa"/>
            <w:bottom w:w="0" w:type="dxa"/>
          </w:tblCellMar>
        </w:tblPrEx>
        <w:tc>
          <w:tcPr>
            <w:tcW w:w="2012" w:type="dxa"/>
          </w:tcPr>
          <w:p w14:paraId="0F9608A0" w14:textId="77777777" w:rsidR="007C11E9" w:rsidRPr="000A3A07" w:rsidRDefault="007C11E9">
            <w:pPr>
              <w:pStyle w:val="Normaltindrag"/>
              <w:ind w:firstLine="0"/>
              <w:jc w:val="center"/>
              <w:rPr>
                <w:b/>
              </w:rPr>
            </w:pPr>
            <w:r w:rsidRPr="000A3A07">
              <w:rPr>
                <w:b/>
              </w:rPr>
              <w:t>2002</w:t>
            </w:r>
          </w:p>
        </w:tc>
        <w:tc>
          <w:tcPr>
            <w:tcW w:w="2012" w:type="dxa"/>
          </w:tcPr>
          <w:p w14:paraId="09D592AF" w14:textId="77777777" w:rsidR="007C11E9" w:rsidRPr="000A3A07" w:rsidRDefault="007C11E9">
            <w:pPr>
              <w:pStyle w:val="Normaltindrag"/>
              <w:ind w:firstLine="0"/>
              <w:jc w:val="center"/>
            </w:pPr>
            <w:r w:rsidRPr="000A3A07">
              <w:t>19 %</w:t>
            </w:r>
          </w:p>
        </w:tc>
        <w:tc>
          <w:tcPr>
            <w:tcW w:w="2012" w:type="dxa"/>
          </w:tcPr>
          <w:p w14:paraId="6168EBA9" w14:textId="77777777" w:rsidR="007C11E9" w:rsidRPr="000A3A07" w:rsidRDefault="007C11E9">
            <w:pPr>
              <w:pStyle w:val="Normaltindrag"/>
              <w:ind w:firstLine="0"/>
              <w:jc w:val="center"/>
            </w:pPr>
            <w:r w:rsidRPr="000A3A07">
              <w:t>22 %</w:t>
            </w:r>
          </w:p>
        </w:tc>
      </w:tr>
    </w:tbl>
    <w:p w14:paraId="69873FB3" w14:textId="77777777" w:rsidR="007C11E9" w:rsidRPr="000A3A07" w:rsidRDefault="007C11E9">
      <w:pPr>
        <w:pStyle w:val="Tabell"/>
      </w:pPr>
      <w:r w:rsidRPr="000A3A07">
        <w:t>Anmärkning: Anslaget för investeringar i vägar respektive järnvägar har räknats fram utifrån 1999 års anslagsindelning (Vägverkets och Banverkets regleringsbrev för 1999). Väginvesteringarna beräknas omfatta 35 % av anslaget Väghållning och stat</w:t>
      </w:r>
      <w:r w:rsidRPr="000A3A07">
        <w:t>s</w:t>
      </w:r>
      <w:r w:rsidRPr="000A3A07">
        <w:t>bidrag (Vägverkets anslag</w:t>
      </w:r>
      <w:r w:rsidRPr="000A3A07">
        <w:rPr>
          <w:i/>
        </w:rPr>
        <w:t xml:space="preserve"> A2</w:t>
      </w:r>
      <w:r w:rsidRPr="000A3A07">
        <w:t>)</w:t>
      </w:r>
      <w:r w:rsidRPr="000A3A07">
        <w:rPr>
          <w:rStyle w:val="Fotnotsreferens"/>
        </w:rPr>
        <w:footnoteReference w:id="3"/>
      </w:r>
      <w:r w:rsidRPr="000A3A07">
        <w:t xml:space="preserve">. Järnvägsinvesteringarna beräknas omfatta 64 % av anslaget Banhållning (Banverkets anslag </w:t>
      </w:r>
      <w:r w:rsidRPr="000A3A07">
        <w:rPr>
          <w:i/>
        </w:rPr>
        <w:t>A4)</w:t>
      </w:r>
      <w:r w:rsidRPr="000A3A07">
        <w:rPr>
          <w:rStyle w:val="Fotnotsreferens"/>
          <w:i/>
        </w:rPr>
        <w:footnoteReference w:id="4"/>
      </w:r>
      <w:r w:rsidRPr="000A3A07">
        <w:t xml:space="preserve">. </w:t>
      </w:r>
    </w:p>
    <w:p w14:paraId="04A3980A" w14:textId="77777777" w:rsidR="007C11E9" w:rsidRPr="000A3A07" w:rsidRDefault="007C11E9">
      <w:pPr>
        <w:pStyle w:val="Tabell"/>
      </w:pPr>
      <w:r w:rsidRPr="000A3A07">
        <w:t>Källa: Egen bearbetning av proposition 1999/2000:1 samt Vägverkets och Banverkets regl</w:t>
      </w:r>
      <w:r w:rsidRPr="000A3A07">
        <w:t>e</w:t>
      </w:r>
      <w:r w:rsidRPr="000A3A07">
        <w:t>ringsbrev för 1999</w:t>
      </w:r>
    </w:p>
    <w:p w14:paraId="130C5B3A" w14:textId="77777777" w:rsidR="007C11E9" w:rsidRPr="000A3A07" w:rsidRDefault="007C11E9">
      <w:pPr>
        <w:pStyle w:val="Rubrik2"/>
      </w:pPr>
      <w:bookmarkStart w:id="51" w:name="_Toc496580991"/>
      <w:bookmarkStart w:id="52" w:name="_Toc506340937"/>
      <w:r w:rsidRPr="000A3A07">
        <w:t>Statliga garantier</w:t>
      </w:r>
      <w:bookmarkEnd w:id="51"/>
      <w:bookmarkEnd w:id="52"/>
    </w:p>
    <w:p w14:paraId="5C147E42" w14:textId="77777777" w:rsidR="007C11E9" w:rsidRPr="000A3A07" w:rsidRDefault="007C11E9">
      <w:r w:rsidRPr="000A3A07">
        <w:t xml:space="preserve">En garanti är i princip en borgensförbindelse, där borgensmannen åtar sig låntagarens förpliktelser om låntagaren inte har möjlighet att betala sina skulder. </w:t>
      </w:r>
    </w:p>
    <w:p w14:paraId="193CA10A" w14:textId="77777777" w:rsidR="007C11E9" w:rsidRPr="000A3A07" w:rsidRDefault="007C11E9">
      <w:pPr>
        <w:pStyle w:val="Normaltindrag"/>
      </w:pPr>
      <w:r w:rsidRPr="000A3A07">
        <w:t>Med riksdagens bemyndigande kan regeringen låta Riksgäldskontoret ställa ut garantier för större infrastrukturinvesteringar</w:t>
      </w:r>
      <w:r w:rsidRPr="000A3A07">
        <w:rPr>
          <w:rStyle w:val="Fotnotsreferens"/>
        </w:rPr>
        <w:footnoteReference w:id="5"/>
      </w:r>
      <w:r w:rsidRPr="000A3A07">
        <w:t>. Ett garantiåtagande innebär att Riksgäldskontoret träder in i låntagarens ställe vid en beta</w:t>
      </w:r>
      <w:r w:rsidRPr="000A3A07">
        <w:t>l</w:t>
      </w:r>
      <w:r w:rsidRPr="000A3A07">
        <w:t xml:space="preserve">ningsinställelse. Staten betalar låntagarens skulder till långivaren och övertar därmed långivarens fordran. </w:t>
      </w:r>
    </w:p>
    <w:p w14:paraId="45FAC829" w14:textId="77777777" w:rsidR="007C11E9" w:rsidRPr="000A3A07" w:rsidRDefault="007C11E9">
      <w:pPr>
        <w:pStyle w:val="Normaltindrag"/>
      </w:pPr>
      <w:r w:rsidRPr="000A3A07">
        <w:t>Riksgäldskontoret kan ställa ut två olika typer av garantier för infrastru</w:t>
      </w:r>
      <w:r w:rsidRPr="000A3A07">
        <w:t>k</w:t>
      </w:r>
      <w:r w:rsidRPr="000A3A07">
        <w:t>turinvesteringar: statliga kreditgarantier eller statliga kapitaltäckningsgara</w:t>
      </w:r>
      <w:r w:rsidRPr="000A3A07">
        <w:t>n</w:t>
      </w:r>
      <w:r w:rsidRPr="000A3A07">
        <w:t>tier.</w:t>
      </w:r>
    </w:p>
    <w:p w14:paraId="40DDAA55" w14:textId="77777777" w:rsidR="007C11E9" w:rsidRPr="000A3A07" w:rsidRDefault="007C11E9">
      <w:pPr>
        <w:pStyle w:val="Normaltindrag"/>
      </w:pPr>
      <w:r w:rsidRPr="000A3A07">
        <w:t xml:space="preserve">En </w:t>
      </w:r>
      <w:r w:rsidRPr="000A3A07">
        <w:rPr>
          <w:i/>
        </w:rPr>
        <w:t>statlig</w:t>
      </w:r>
      <w:r w:rsidRPr="000A3A07">
        <w:t xml:space="preserve"> </w:t>
      </w:r>
      <w:r w:rsidRPr="000A3A07">
        <w:rPr>
          <w:i/>
        </w:rPr>
        <w:t>kreditgaranti</w:t>
      </w:r>
      <w:r w:rsidRPr="000A3A07">
        <w:t xml:space="preserve"> innebär att staten tar på sig kreditrisken vid en i</w:t>
      </w:r>
      <w:r w:rsidRPr="000A3A07">
        <w:t>n</w:t>
      </w:r>
      <w:r w:rsidRPr="000A3A07">
        <w:t xml:space="preserve">vestering, men överlåter själva kreditgivningen till andra långivare. Med en </w:t>
      </w:r>
      <w:r w:rsidRPr="000A3A07">
        <w:rPr>
          <w:i/>
        </w:rPr>
        <w:t>statlig kapitaltäckningsgaranti</w:t>
      </w:r>
      <w:r w:rsidRPr="000A3A07">
        <w:t xml:space="preserve"> åtar sig staten att vid behov tillskjuta kapital så att kapitaltäckningsgraden i ett bolag alltid överstiger den i lag angivna lägsta nivån. Därmed finns inga begränsningar i åtagandet vad gäller belopp eller löptid. En variant är en s.k. grundfondsförbindelse. Med en grundfond</w:t>
      </w:r>
      <w:r w:rsidRPr="000A3A07">
        <w:t>s</w:t>
      </w:r>
      <w:r w:rsidRPr="000A3A07">
        <w:t xml:space="preserve">förbindelse säkras garantitagarens kapitalbas med </w:t>
      </w:r>
      <w:r w:rsidRPr="000A3A07">
        <w:t>ett visst belopp. En sådan garanti kan medverka till att hålla garantitagarens kapital intakt och stärka garantitagarens kreditvärdi</w:t>
      </w:r>
      <w:r w:rsidRPr="000A3A07">
        <w:t>g</w:t>
      </w:r>
      <w:r w:rsidRPr="000A3A07">
        <w:t>het.</w:t>
      </w:r>
    </w:p>
    <w:p w14:paraId="12DC45C4" w14:textId="77777777" w:rsidR="007C11E9" w:rsidRPr="000A3A07" w:rsidRDefault="007C11E9">
      <w:pPr>
        <w:pStyle w:val="Normaltindrag"/>
      </w:pPr>
      <w:r w:rsidRPr="000A3A07">
        <w:t>Syftet med statliga garantier är att underlätta för låntagaren att ta lån på marknaden och minska låntagarens lånekostnad. Långivarens pris för att tillhandahålla kapital beror på två faktorer: dels långivarens kostnad för att skaffa kapital för utlåning, dels den risk som utlåningen innebär (kreditri</w:t>
      </w:r>
      <w:r w:rsidRPr="000A3A07">
        <w:t>s</w:t>
      </w:r>
      <w:r w:rsidRPr="000A3A07">
        <w:t xml:space="preserve">ken). Med statlig garanti slipper långivaren kreditrisken som i stället bärs av staten. Staten tar på sig kreditrisken men överlåter själva kapitalförmedlingen till andra långivare. </w:t>
      </w:r>
    </w:p>
    <w:p w14:paraId="276D1D3D" w14:textId="77777777" w:rsidR="007C11E9" w:rsidRPr="000A3A07" w:rsidRDefault="007C11E9">
      <w:pPr>
        <w:pStyle w:val="Normaltindrag"/>
      </w:pPr>
      <w:r w:rsidRPr="000A3A07">
        <w:t>En ny modell för hantering av statliga garantier har beslutats av riksdagen med verkan från den 1 januari 1997. Det nya garantisystemet utgår från det faktum att varje garanti är förknippad med en risk och därmed en kostnad för staten. Riksgäldskontoret, som är den ansvariga garantimyndigheten då det gäller garantier till infr</w:t>
      </w:r>
      <w:r w:rsidRPr="000A3A07">
        <w:t>astrukturinvesteringar, ska värdera kreditrisken i varje garantiengagemang. Med utgångspunkt i värderingen ska kontoret fastställa en avgift, en riskpremie. Riskpremien ska betalas av låntagaren. Riksdagen kan besluta att helt eller delvis befria ett visst åtagande från sådan avgift. Det skall då betraktas som en statlig subvention motsvarande den uteblivna a</w:t>
      </w:r>
      <w:r w:rsidRPr="000A3A07">
        <w:t>v</w:t>
      </w:r>
      <w:r w:rsidRPr="000A3A07">
        <w:t>giftsintäkten. Ett anslag på statsbudgeten ska i sådana fall belastas med ett belopp som motsvarar subventionen. Intäkterna från garantiavgifter och i</w:t>
      </w:r>
      <w:r w:rsidRPr="000A3A07">
        <w:t xml:space="preserve"> förekommande fall anslagsmedel ska samlas i en garantireserv för framtida förluster. Till samma reserv ska också medel föras som återvinns från infri</w:t>
      </w:r>
      <w:r w:rsidRPr="000A3A07">
        <w:t>a</w:t>
      </w:r>
      <w:r w:rsidRPr="000A3A07">
        <w:t>de g</w:t>
      </w:r>
      <w:r w:rsidRPr="000A3A07">
        <w:t>a</w:t>
      </w:r>
      <w:r w:rsidRPr="000A3A07">
        <w:t>rantier.</w:t>
      </w:r>
    </w:p>
    <w:p w14:paraId="20076702" w14:textId="77777777" w:rsidR="007C11E9" w:rsidRPr="000A3A07" w:rsidRDefault="007C11E9">
      <w:pPr>
        <w:pStyle w:val="Normaltindrag"/>
      </w:pPr>
      <w:r w:rsidRPr="000A3A07">
        <w:t>Avsikten med den nya modellen är dels att göra kostnaden för garantigi</w:t>
      </w:r>
      <w:r w:rsidRPr="000A3A07">
        <w:t>v</w:t>
      </w:r>
      <w:r w:rsidRPr="000A3A07">
        <w:t>ningen synlig, dels att göra verksamheten långsiktigt självbärande. Tidigare var garantierna premi</w:t>
      </w:r>
      <w:r w:rsidRPr="000A3A07">
        <w:t>e</w:t>
      </w:r>
      <w:r w:rsidRPr="000A3A07">
        <w:t>fria.</w:t>
      </w:r>
    </w:p>
    <w:p w14:paraId="570773E5" w14:textId="77777777" w:rsidR="007C11E9" w:rsidRPr="000A3A07" w:rsidRDefault="007C11E9">
      <w:pPr>
        <w:pStyle w:val="Normaltindrag"/>
      </w:pPr>
      <w:r w:rsidRPr="000A3A07">
        <w:t>Genomförandet av den nya garantimodellen går emellertid långsamt när det gäller den typ av garantier som Riksgäldskontoret ansvarar för. Vid u</w:t>
      </w:r>
      <w:r w:rsidRPr="000A3A07">
        <w:t>t</w:t>
      </w:r>
      <w:r w:rsidRPr="000A3A07">
        <w:t>gången av 1998 var endast 5 % av de utestående garantierna utfärdade enligt de nya principerna. Invärderingen av de äldre garantierna ska slutföras senast vid utgången av 2001 (prop. 1999/2000:1, förs. 1999/2000:RR8, bet. 1999/2000:FiU24).</w:t>
      </w:r>
    </w:p>
    <w:p w14:paraId="53F5EC8F" w14:textId="77777777" w:rsidR="007C11E9" w:rsidRPr="000A3A07" w:rsidRDefault="007C11E9">
      <w:pPr>
        <w:pStyle w:val="Normaltindrag"/>
      </w:pPr>
      <w:r w:rsidRPr="000A3A07">
        <w:t>Riksgäldskontoret har på regeringens uppdrag ställt ut garantier för bl.a. Öresundsbron, Botniabanan och väginvesteringar i Stockholms- och Göt</w:t>
      </w:r>
      <w:r w:rsidRPr="000A3A07">
        <w:t>e</w:t>
      </w:r>
      <w:r w:rsidRPr="000A3A07">
        <w:t>borg</w:t>
      </w:r>
      <w:r w:rsidRPr="000A3A07">
        <w:t>s</w:t>
      </w:r>
      <w:r w:rsidRPr="000A3A07">
        <w:t xml:space="preserve">regionerna (Riksgäldskontoret 2000 b). </w:t>
      </w:r>
    </w:p>
    <w:p w14:paraId="1C811805" w14:textId="77777777" w:rsidR="007C11E9" w:rsidRPr="000A3A07" w:rsidRDefault="007C11E9">
      <w:pPr>
        <w:pStyle w:val="Normaltindrag"/>
      </w:pPr>
      <w:r w:rsidRPr="000A3A07">
        <w:t>Vid utgången av 1999 uppgick Riksgäldskontorets garantiåtagande för i</w:t>
      </w:r>
      <w:r w:rsidRPr="000A3A07">
        <w:t>n</w:t>
      </w:r>
      <w:r w:rsidRPr="000A3A07">
        <w:t>frastrukturprojekt till 30 930 miljoner kronor</w:t>
      </w:r>
      <w:r w:rsidRPr="000A3A07">
        <w:rPr>
          <w:rStyle w:val="Fotnotsreferens"/>
        </w:rPr>
        <w:footnoteReference w:id="6"/>
      </w:r>
      <w:r w:rsidRPr="000A3A07">
        <w:t xml:space="preserve"> (se figur 5). Garantierna u</w:t>
      </w:r>
      <w:r w:rsidRPr="000A3A07">
        <w:t>t</w:t>
      </w:r>
      <w:r w:rsidRPr="000A3A07">
        <w:t xml:space="preserve">gjorde 15,2 % av Riksgäldskontorets totala garantiåtaganden (www.sndo.se, 2000-05-07). </w:t>
      </w:r>
    </w:p>
    <w:p w14:paraId="1F834B24" w14:textId="77777777" w:rsidR="007C11E9" w:rsidRPr="000A3A07" w:rsidRDefault="007C11E9">
      <w:pPr>
        <w:pStyle w:val="Normaltindrag"/>
      </w:pPr>
      <w:r w:rsidRPr="000A3A07">
        <w:t>Enligt Riksgäldskontoret är lånekostnaderna högre för bolag med statligt garanterad upplåning jämfört med statens egen upplåning genom Riksgäld</w:t>
      </w:r>
      <w:r w:rsidRPr="000A3A07">
        <w:t>s</w:t>
      </w:r>
      <w:r w:rsidRPr="000A3A07">
        <w:t>kontoret. Om räntor och amorteringar ska betalas med anslag blir budgetb</w:t>
      </w:r>
      <w:r w:rsidRPr="000A3A07">
        <w:t>e</w:t>
      </w:r>
      <w:r w:rsidRPr="000A3A07">
        <w:t>lastningen således högre och resursutrymmet mindre med statligt garanterad upplåning. Kontoret påpekar också att sådan upplåning försvårar möjligh</w:t>
      </w:r>
      <w:r w:rsidRPr="000A3A07">
        <w:t>e</w:t>
      </w:r>
      <w:r w:rsidRPr="000A3A07">
        <w:t>terna att ge en rättvisande bild av statens finansiella ställning och risk (Rik</w:t>
      </w:r>
      <w:r w:rsidRPr="000A3A07">
        <w:t>s</w:t>
      </w:r>
      <w:r w:rsidRPr="000A3A07">
        <w:t xml:space="preserve">gäldskontoret 1999). </w:t>
      </w:r>
    </w:p>
    <w:p w14:paraId="0AE656F5" w14:textId="77777777" w:rsidR="007C11E9" w:rsidRPr="000A3A07" w:rsidRDefault="007C11E9">
      <w:pPr>
        <w:pStyle w:val="Tabellrubrik1"/>
        <w:spacing w:before="120"/>
      </w:pPr>
      <w:r w:rsidRPr="000A3A07">
        <w:t>Figur 5. Riksgäldskontorets garantiåtaganden totalt och för infrastruktu</w:t>
      </w:r>
      <w:r w:rsidRPr="000A3A07">
        <w:t>r</w:t>
      </w:r>
      <w:r w:rsidRPr="000A3A07">
        <w:t>projekt, miljoner kronor</w:t>
      </w:r>
    </w:p>
    <w:p w14:paraId="41A2B54B" w14:textId="7FBE7264" w:rsidR="007C11E9" w:rsidRPr="000A3A07" w:rsidRDefault="000A3A07">
      <w:pPr>
        <w:pStyle w:val="Tabell"/>
      </w:pPr>
      <w:r w:rsidRPr="000A3A07">
        <w:rPr>
          <w:noProof/>
        </w:rPr>
        <w:drawing>
          <wp:inline distT="0" distB="0" distL="0" distR="0" wp14:anchorId="60320B52" wp14:editId="3E19D2F2">
            <wp:extent cx="3744595" cy="20847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44595" cy="2084705"/>
                    </a:xfrm>
                    <a:prstGeom prst="rect">
                      <a:avLst/>
                    </a:prstGeom>
                    <a:noFill/>
                    <a:ln>
                      <a:noFill/>
                    </a:ln>
                  </pic:spPr>
                </pic:pic>
              </a:graphicData>
            </a:graphic>
          </wp:inline>
        </w:drawing>
      </w:r>
      <w:r w:rsidR="007C11E9" w:rsidRPr="000A3A07">
        <w:t>Källa: http://</w:t>
      </w:r>
      <w:bookmarkStart w:id="53" w:name="_Hlt506265103"/>
      <w:r w:rsidR="007C11E9" w:rsidRPr="000A3A07">
        <w:t>w</w:t>
      </w:r>
      <w:bookmarkEnd w:id="53"/>
      <w:r w:rsidR="007C11E9" w:rsidRPr="000A3A07">
        <w:t>ww.sndo.se, 2000-05-07</w:t>
      </w:r>
    </w:p>
    <w:p w14:paraId="1A11D23E" w14:textId="77777777" w:rsidR="007C11E9" w:rsidRPr="000A3A07" w:rsidRDefault="007C11E9">
      <w:pPr>
        <w:pStyle w:val="Tabell"/>
      </w:pPr>
      <w:r w:rsidRPr="000A3A07">
        <w:object w:dxaOrig="840" w:dyaOrig="1545" w14:anchorId="7AE92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6.3pt;margin-top:-8.3pt;width:314.6pt;height:174.9pt;z-index:251661824;mso-position-horizontal:absolute;mso-position-horizontal-relative:text;mso-position-vertical:absolute;mso-position-vertical-relative:text" o:allowincell="f">
            <v:imagedata r:id="rId31" o:title=""/>
            <w10:wrap type="topAndBottom"/>
            <w10:anchorlock/>
          </v:shape>
          <o:OLEObject Type="Embed" ProgID="Excel.Sheet.8" ShapeID="_x0000_s1038" DrawAspect="Content" ObjectID="_1827352988" r:id="rId32"/>
        </w:object>
      </w:r>
    </w:p>
    <w:p w14:paraId="38BB5FC1" w14:textId="77777777" w:rsidR="007C11E9" w:rsidRPr="000A3A07" w:rsidRDefault="007C11E9">
      <w:pPr>
        <w:pStyle w:val="Rubrik2"/>
      </w:pPr>
      <w:bookmarkStart w:id="54" w:name="_Toc496580992"/>
      <w:bookmarkStart w:id="55" w:name="_Toc506340938"/>
      <w:r w:rsidRPr="000A3A07">
        <w:t>Förskottering</w:t>
      </w:r>
      <w:bookmarkEnd w:id="54"/>
      <w:bookmarkEnd w:id="55"/>
    </w:p>
    <w:p w14:paraId="075530AE" w14:textId="77777777" w:rsidR="007C11E9" w:rsidRPr="000A3A07" w:rsidRDefault="007C11E9">
      <w:r w:rsidRPr="000A3A07">
        <w:t>Vägverket och Banverket kan tidigarelägga investeringar eller undvika sen</w:t>
      </w:r>
      <w:r w:rsidRPr="000A3A07">
        <w:t>a</w:t>
      </w:r>
      <w:r w:rsidRPr="000A3A07">
        <w:t>reläggningar av investeringar i förhållande till gällande tioårsplaner om verken för ändamålet får låna pengar (förskottering) av kommuner eller enskilda. En förutsättning är att det inte utgår någon ränta på förskotterat belopp. Lånen betalas tillbaka med anslagsmedel när medel för projekten finns tillgängliga i verkens budget. Återbetalningen kan fördelas över flera år.</w:t>
      </w:r>
    </w:p>
    <w:p w14:paraId="6A393436" w14:textId="77777777" w:rsidR="007C11E9" w:rsidRPr="000A3A07" w:rsidRDefault="007C11E9">
      <w:pPr>
        <w:pStyle w:val="Normaltindrag"/>
      </w:pPr>
      <w:r w:rsidRPr="000A3A07">
        <w:t>Den sammanlagda summan av förskotteringarna får för Vägverket respe</w:t>
      </w:r>
      <w:r w:rsidRPr="000A3A07">
        <w:t>k</w:t>
      </w:r>
      <w:r w:rsidRPr="000A3A07">
        <w:t>tive Banverket inte överstiga 20 % av respektive verks anslag för invest</w:t>
      </w:r>
      <w:r w:rsidRPr="000A3A07">
        <w:t>e</w:t>
      </w:r>
      <w:r w:rsidRPr="000A3A07">
        <w:t xml:space="preserve">ringar i nationell och regional plan. </w:t>
      </w:r>
    </w:p>
    <w:p w14:paraId="2F94F3E1" w14:textId="77777777" w:rsidR="007C11E9" w:rsidRPr="000A3A07" w:rsidRDefault="007C11E9">
      <w:pPr>
        <w:pStyle w:val="Normaltindrag"/>
      </w:pPr>
      <w:r w:rsidRPr="000A3A07">
        <w:t>Vägverket får på egen hand pröva förskottering av investeringar upp till 20 miljoner kronor. Dyrare projekt måste underställas regeringens prövning. Banverkets lån för en investering får inte överstiga 50 miljoner kronor.</w:t>
      </w:r>
    </w:p>
    <w:p w14:paraId="005CC6AC" w14:textId="77777777" w:rsidR="007C11E9" w:rsidRPr="000A3A07" w:rsidRDefault="007C11E9">
      <w:pPr>
        <w:pStyle w:val="Normaltindrag"/>
      </w:pPr>
      <w:r w:rsidRPr="000A3A07">
        <w:t xml:space="preserve">Vägverkets skuld för förskottering uppgick den 31 december 1999 till drygt 172 miljoner kronor (Vägverket 1999 b). Banverket har inte </w:t>
      </w:r>
      <w:r w:rsidRPr="000A3A07">
        <w:rPr>
          <w:snapToGrid w:val="0"/>
          <w:color w:val="000000"/>
          <w:lang w:eastAsia="sv-SE"/>
        </w:rPr>
        <w:t>nyttjat denna möjlighet per den 31 december 1999.</w:t>
      </w:r>
    </w:p>
    <w:p w14:paraId="023E765A" w14:textId="77777777" w:rsidR="007C11E9" w:rsidRPr="000A3A07" w:rsidRDefault="007C11E9">
      <w:pPr>
        <w:pStyle w:val="Normaltindrag"/>
      </w:pPr>
      <w:r w:rsidRPr="000A3A07">
        <w:t xml:space="preserve">Enligt uppgift från Vägverket är det normalt kommuner som förskotterar väginvesteringar. Större projekt delfinansieras ibland av flera parter. </w:t>
      </w:r>
    </w:p>
    <w:p w14:paraId="314F0136" w14:textId="77777777" w:rsidR="007C11E9" w:rsidRPr="000A3A07" w:rsidRDefault="007C11E9">
      <w:pPr>
        <w:pStyle w:val="Rubrik2"/>
      </w:pPr>
      <w:bookmarkStart w:id="56" w:name="_Toc496580993"/>
      <w:bookmarkStart w:id="57" w:name="_Toc506340939"/>
      <w:r w:rsidRPr="000A3A07">
        <w:t>Avgiftsfinansiering</w:t>
      </w:r>
      <w:bookmarkEnd w:id="56"/>
      <w:bookmarkEnd w:id="57"/>
      <w:r w:rsidRPr="000A3A07">
        <w:t xml:space="preserve"> </w:t>
      </w:r>
    </w:p>
    <w:p w14:paraId="3EEE4468" w14:textId="77777777" w:rsidR="007C11E9" w:rsidRPr="000A3A07" w:rsidRDefault="007C11E9">
      <w:r w:rsidRPr="000A3A07">
        <w:t>Sedan 1988 kan väginvesteringar efter regeringsbeslut finansieras med a</w:t>
      </w:r>
      <w:r w:rsidRPr="000A3A07">
        <w:t>v</w:t>
      </w:r>
      <w:r w:rsidRPr="000A3A07">
        <w:t xml:space="preserve">gifter från </w:t>
      </w:r>
      <w:commentRangeStart w:id="58"/>
      <w:r w:rsidRPr="000A3A07">
        <w:t>vägtrafikanterna</w:t>
      </w:r>
      <w:commentRangeEnd w:id="58"/>
      <w:r w:rsidRPr="000A3A07">
        <w:rPr>
          <w:rStyle w:val="Kommentarsreferens"/>
          <w:sz w:val="19"/>
        </w:rPr>
        <w:commentReference w:id="58"/>
      </w:r>
      <w:r w:rsidRPr="000A3A07">
        <w:t>. Riksdagen gav 1990 Vägverket rätt att ta upp lån i Riksgäldskontoret eller ställa borgen för delägda bolag, i syfte att underlätta tillkomsten av avgiftsfinansierade vägprojekt (prop. 1989/90:88, bet. 19989/90:TU7, rskr. 1989/90:325).</w:t>
      </w:r>
    </w:p>
    <w:p w14:paraId="55C30E87" w14:textId="77777777" w:rsidR="007C11E9" w:rsidRPr="000A3A07" w:rsidRDefault="007C11E9">
      <w:pPr>
        <w:pStyle w:val="Normaltindrag"/>
      </w:pPr>
      <w:r w:rsidRPr="000A3A07">
        <w:t>Enligt Vägverkets regleringsbrev för 2000 gäller att verket inom en ram på 500 miljoner kronor får ställa borgen för lånefinansierade vägobjekt som ska finansieras med avgifter. Vägverket får också teckna aktier i bolag som har bildats för avgiftsbelagda projekt. Dessutom ka</w:t>
      </w:r>
      <w:r w:rsidRPr="000A3A07">
        <w:t>n Vägverket efter regeringens godkännande bilda helägda bolag om det är mest ändamålsenligt för avgift</w:t>
      </w:r>
      <w:r w:rsidRPr="000A3A07">
        <w:t>s</w:t>
      </w:r>
      <w:r w:rsidRPr="000A3A07">
        <w:t>finansi</w:t>
      </w:r>
      <w:r w:rsidRPr="000A3A07">
        <w:t>e</w:t>
      </w:r>
      <w:r w:rsidRPr="000A3A07">
        <w:t xml:space="preserve">rade projekt. </w:t>
      </w:r>
    </w:p>
    <w:p w14:paraId="371130CD" w14:textId="77777777" w:rsidR="007C11E9" w:rsidRPr="000A3A07" w:rsidRDefault="007C11E9">
      <w:pPr>
        <w:pStyle w:val="Rubrik2"/>
      </w:pPr>
      <w:bookmarkStart w:id="59" w:name="_Toc496580994"/>
      <w:bookmarkStart w:id="60" w:name="_Toc506340940"/>
      <w:r w:rsidRPr="000A3A07">
        <w:t>Privatfinansiering genom partnerskap</w:t>
      </w:r>
      <w:bookmarkEnd w:id="59"/>
      <w:bookmarkEnd w:id="60"/>
    </w:p>
    <w:p w14:paraId="298A078F" w14:textId="77777777" w:rsidR="007C11E9" w:rsidRPr="000A3A07" w:rsidRDefault="007C11E9">
      <w:r w:rsidRPr="000A3A07">
        <w:t>Privatfinansiering genom partnerskap (s.k. Public Private Partnership, PPP) innebär att den privata sektorn helt eller delvis deltar i utformning och fina</w:t>
      </w:r>
      <w:r w:rsidRPr="000A3A07">
        <w:t>n</w:t>
      </w:r>
      <w:r w:rsidRPr="000A3A07">
        <w:t xml:space="preserve">siering av offentliga investeringar. Staten och den privata sektorn samarbetar och delar på investeringens risker. </w:t>
      </w:r>
    </w:p>
    <w:p w14:paraId="2F50BFAF" w14:textId="77777777" w:rsidR="007C11E9" w:rsidRPr="000A3A07" w:rsidRDefault="007C11E9">
      <w:pPr>
        <w:pStyle w:val="Normaltindrag"/>
      </w:pPr>
      <w:r w:rsidRPr="000A3A07">
        <w:t xml:space="preserve">Syftet med privatfinansiering genom partnerskap är förutom att finansiera investeringen att uppnå effektivitetsvinster. Effektivitetsvinster kan bl.a. uppnås genom riskdelning och genom att en och samma part ansvarar för flera delar av samma projekt. </w:t>
      </w:r>
    </w:p>
    <w:p w14:paraId="47D66208" w14:textId="77777777" w:rsidR="007C11E9" w:rsidRPr="000A3A07" w:rsidRDefault="007C11E9">
      <w:pPr>
        <w:pStyle w:val="Normaltindrag"/>
      </w:pPr>
      <w:r w:rsidRPr="000A3A07">
        <w:t>Staten köper funktionen eller användningen av en byggd och underhållen transportsträcka snarare än upphandlar byggandet av en väg eller järnväg. Med utgångspunkt i de krav som staten ställer kan de privata aktörerna opt</w:t>
      </w:r>
      <w:r w:rsidRPr="000A3A07">
        <w:t>i</w:t>
      </w:r>
      <w:r w:rsidRPr="000A3A07">
        <w:t xml:space="preserve">mera konstruktionen med hänsyn till både utformning, byggande och drift av anläggningen. </w:t>
      </w:r>
    </w:p>
    <w:p w14:paraId="067BB55C" w14:textId="77777777" w:rsidR="007C11E9" w:rsidRPr="000A3A07" w:rsidRDefault="007C11E9">
      <w:pPr>
        <w:pStyle w:val="Normaltindrag"/>
      </w:pPr>
      <w:r w:rsidRPr="000A3A07">
        <w:t>De privata aktörerna kan få ersättning från staten efter transportsträckans tillgänglighet, användning och kvalitet. Intäkterna kan också erhållas direkt av användarna genom avgifter. Ersättningen ska skapa incitament för de privata aktörerna att tillhandahålla tjänsten till den kvalitet och kvantitet som staten önskar under hela projektets livslängd. Internationella erfarenheter visar att kontraktsperioden för ett PP</w:t>
      </w:r>
      <w:r w:rsidRPr="000A3A07">
        <w:t xml:space="preserve">P-projekt åtminstone bör uppgå till 15–25 år. </w:t>
      </w:r>
    </w:p>
    <w:p w14:paraId="52E945D7" w14:textId="77777777" w:rsidR="007C11E9" w:rsidRPr="000A3A07" w:rsidRDefault="007C11E9">
      <w:pPr>
        <w:pStyle w:val="Rubrik2"/>
      </w:pPr>
      <w:bookmarkStart w:id="61" w:name="_Toc496580995"/>
      <w:bookmarkStart w:id="62" w:name="_Toc506340941"/>
      <w:r w:rsidRPr="000A3A07">
        <w:t>Bidrag från EU</w:t>
      </w:r>
      <w:bookmarkEnd w:id="61"/>
      <w:bookmarkEnd w:id="62"/>
    </w:p>
    <w:p w14:paraId="5A292484" w14:textId="77777777" w:rsidR="007C11E9" w:rsidRPr="000A3A07" w:rsidRDefault="007C11E9">
      <w:r w:rsidRPr="000A3A07">
        <w:t>Inom EU pågår arbetet med att bygga ut det transeuropeiska transportnätve</w:t>
      </w:r>
      <w:r w:rsidRPr="000A3A07">
        <w:t>r</w:t>
      </w:r>
      <w:r w:rsidRPr="000A3A07">
        <w:t>ket (TEN). I de transeuropeiska transportnätverken ingår infrastruktur som vägar, järnvägar, hamnar, flygplatser och rörledningar för t.ex. olja och gas. Målet med utbyggnaden är att personers och varors rörlighet ska öka. A</w:t>
      </w:r>
      <w:r w:rsidRPr="000A3A07">
        <w:t>n</w:t>
      </w:r>
      <w:r w:rsidRPr="000A3A07">
        <w:t>vändarna ska erbjudas i</w:t>
      </w:r>
      <w:r w:rsidRPr="000A3A07">
        <w:t>n</w:t>
      </w:r>
      <w:r w:rsidRPr="000A3A07">
        <w:t>frastruktur av hög kvalitet till acceptabelt pris.</w:t>
      </w:r>
    </w:p>
    <w:p w14:paraId="776ACCDE" w14:textId="77777777" w:rsidR="007C11E9" w:rsidRPr="000A3A07" w:rsidRDefault="007C11E9">
      <w:pPr>
        <w:pStyle w:val="Normaltindrag"/>
      </w:pPr>
      <w:r w:rsidRPr="000A3A07">
        <w:t xml:space="preserve">Medlemsländerna har möjlighet att få ekonomiskt stöd från EU för projekt som anses vara viktiga för unionen. Huvuddelen av finansieringen av dessa projekt ska dock ligga på medlemsländerna själva. </w:t>
      </w:r>
    </w:p>
    <w:p w14:paraId="57425696" w14:textId="77777777" w:rsidR="007C11E9" w:rsidRPr="000A3A07" w:rsidRDefault="007C11E9">
      <w:pPr>
        <w:pStyle w:val="Normaltindrag"/>
      </w:pPr>
      <w:r w:rsidRPr="000A3A07">
        <w:t>Syftet med det ekonomiska stödet är att påskynda de mest angelägna pr</w:t>
      </w:r>
      <w:r w:rsidRPr="000A3A07">
        <w:t>o</w:t>
      </w:r>
      <w:r w:rsidRPr="000A3A07">
        <w:t>jekten. Enligt regeringen kan bidragen inte i någon nämnvärd omfattning påverka utbyggnadstakten (prop. 1996/97:53). Under 1999 och 2000 har Sverige beviljats bidrag för bl.a. väg E 18 Örebro–Arboga, Botniabanan, Citytunneln och Öresundsförbindelsen. Stödet uppgick 1999 till totalt ca 30 milj</w:t>
      </w:r>
      <w:r w:rsidRPr="000A3A07">
        <w:t>o</w:t>
      </w:r>
      <w:r w:rsidRPr="000A3A07">
        <w:t>ner euro, vilket motsvarar ca 250 miljoner svenska kronor.</w:t>
      </w:r>
    </w:p>
    <w:p w14:paraId="27008EBD" w14:textId="77777777" w:rsidR="007C11E9" w:rsidRPr="000A3A07" w:rsidRDefault="007C11E9">
      <w:pPr>
        <w:pStyle w:val="Rubrik2"/>
      </w:pPr>
      <w:bookmarkStart w:id="63" w:name="_Toc496580996"/>
      <w:bookmarkStart w:id="64" w:name="_Toc506340942"/>
      <w:r w:rsidRPr="000A3A07">
        <w:t>Samfinansiering</w:t>
      </w:r>
      <w:bookmarkEnd w:id="63"/>
      <w:bookmarkEnd w:id="64"/>
    </w:p>
    <w:p w14:paraId="5B709EC2" w14:textId="77777777" w:rsidR="007C11E9" w:rsidRPr="000A3A07" w:rsidRDefault="007C11E9">
      <w:r w:rsidRPr="000A3A07">
        <w:t>Vissa investeringar samfinansieras av andra aktörer än Vägverket och Ba</w:t>
      </w:r>
      <w:r w:rsidRPr="000A3A07">
        <w:t>n</w:t>
      </w:r>
      <w:r w:rsidRPr="000A3A07">
        <w:t>verket. Kommuner är exempelvis vanliga delfinansiärer. Andra projekt f</w:t>
      </w:r>
      <w:r w:rsidRPr="000A3A07">
        <w:t>i</w:t>
      </w:r>
      <w:r w:rsidRPr="000A3A07">
        <w:t>nansieras av både Vägverket och Banverket eller tillsammans med SJ. Bidrag från exempelvis kommuner kan avse tilläggsinvesteringar som görs i sa</w:t>
      </w:r>
      <w:r w:rsidRPr="000A3A07">
        <w:t>m</w:t>
      </w:r>
      <w:r w:rsidRPr="000A3A07">
        <w:t>band med väg- eller jär</w:t>
      </w:r>
      <w:r w:rsidRPr="000A3A07">
        <w:t>n</w:t>
      </w:r>
      <w:r w:rsidRPr="000A3A07">
        <w:t xml:space="preserve">vägsinvesteringen. </w:t>
      </w:r>
    </w:p>
    <w:p w14:paraId="0A8757DD" w14:textId="77777777" w:rsidR="007C11E9" w:rsidRPr="000A3A07" w:rsidRDefault="007C11E9">
      <w:pPr>
        <w:pStyle w:val="Rubrik1"/>
      </w:pPr>
      <w:r w:rsidRPr="000A3A07">
        <w:br w:type="page"/>
      </w:r>
      <w:bookmarkStart w:id="65" w:name="_Toc496580997"/>
      <w:bookmarkStart w:id="66" w:name="_Toc506340943"/>
      <w:r w:rsidRPr="000A3A07">
        <w:t>Motiv till alternativa finansieringsformer</w:t>
      </w:r>
      <w:bookmarkEnd w:id="65"/>
      <w:bookmarkEnd w:id="66"/>
    </w:p>
    <w:p w14:paraId="05427588" w14:textId="77777777" w:rsidR="007C11E9" w:rsidRPr="000A3A07" w:rsidRDefault="007C11E9">
      <w:r w:rsidRPr="000A3A07">
        <w:t xml:space="preserve">Det finns olika fördelar och nackdelar med alternativa finansieringsformer. I detta avsnitt presenteras olika argument som förekommer i diskussionen om alternativ finansiering av infrastrukturinvesteringar. </w:t>
      </w:r>
    </w:p>
    <w:p w14:paraId="61A39761" w14:textId="77777777" w:rsidR="007C11E9" w:rsidRPr="000A3A07" w:rsidRDefault="007C11E9">
      <w:pPr>
        <w:pStyle w:val="Normaltindrag"/>
      </w:pPr>
      <w:r w:rsidRPr="000A3A07">
        <w:t>Inom Regeringskansliet pågår en utredning om alternativ finansiering av infrastruktur, med utgångspunkten att målet med sådan finansiering ska vara ökad effektivitet, lägre kostnader, effektivare riskfördelning, snabbare i</w:t>
      </w:r>
      <w:r w:rsidRPr="000A3A07">
        <w:t>n</w:t>
      </w:r>
      <w:r w:rsidRPr="000A3A07">
        <w:t>vesteringar och lägre belastning på statsbudgetens anslag – på kort eller lång sikt (Näringsdepartementet 2000).</w:t>
      </w:r>
    </w:p>
    <w:p w14:paraId="5BF34E2F" w14:textId="77777777" w:rsidR="007C11E9" w:rsidRPr="000A3A07" w:rsidRDefault="007C11E9">
      <w:pPr>
        <w:pStyle w:val="Rubrik2"/>
      </w:pPr>
      <w:bookmarkStart w:id="67" w:name="_Toc496580998"/>
      <w:bookmarkStart w:id="68" w:name="_Toc506340944"/>
      <w:r w:rsidRPr="000A3A07">
        <w:t>Tidigareläggning av de samhällsekonomiska vinsterna</w:t>
      </w:r>
      <w:bookmarkEnd w:id="67"/>
      <w:bookmarkEnd w:id="68"/>
    </w:p>
    <w:p w14:paraId="200B5B22" w14:textId="77777777" w:rsidR="007C11E9" w:rsidRPr="000A3A07" w:rsidRDefault="007C11E9">
      <w:r w:rsidRPr="000A3A07">
        <w:t>Ett motiv som ofta anförs för lånefinansiering är att finansieringsformen gör det möjligt att genomföra fler investeringar än anslagsramarna tillåter. När hela investeringen inte behöver betalas på en gång, utan utgifterna kan spr</w:t>
      </w:r>
      <w:r w:rsidRPr="000A3A07">
        <w:t>i</w:t>
      </w:r>
      <w:r w:rsidRPr="000A3A07">
        <w:t>das över en längre period, kan fler stora projekt startas inom samma anslag</w:t>
      </w:r>
      <w:r w:rsidRPr="000A3A07">
        <w:t>s</w:t>
      </w:r>
      <w:r w:rsidRPr="000A3A07">
        <w:t>ram. Väg- och järnvägsnätet kan således byggas ut tidigare, vilket betyder att även projektens samhällsekonomiska vinster tidigareläggs (prop. 1992/93:100, Statskontoret 1998, Vä</w:t>
      </w:r>
      <w:r w:rsidRPr="000A3A07">
        <w:t>g</w:t>
      </w:r>
      <w:r w:rsidRPr="000A3A07">
        <w:t xml:space="preserve">verket 1999 a). </w:t>
      </w:r>
    </w:p>
    <w:p w14:paraId="6EB3FD11" w14:textId="77777777" w:rsidR="007C11E9" w:rsidRPr="000A3A07" w:rsidRDefault="007C11E9">
      <w:pPr>
        <w:pStyle w:val="Normaltindrag"/>
      </w:pPr>
      <w:r w:rsidRPr="000A3A07">
        <w:t xml:space="preserve">Investeringarna måste dock förr eller senare betalas. Eftersom väg- och järnvägsinvesteringar sällan tillför monetära inkomster måste anslagsmedel avdelas för betalning av räntor och amorteringar. </w:t>
      </w:r>
    </w:p>
    <w:p w14:paraId="0A006D97" w14:textId="77777777" w:rsidR="007C11E9" w:rsidRPr="000A3A07" w:rsidRDefault="007C11E9">
      <w:pPr>
        <w:pStyle w:val="Normaltindrag"/>
      </w:pPr>
      <w:r w:rsidRPr="000A3A07">
        <w:t>Beslut om lånefinansiering innebär således att framtida anslagsutrymme intecknas. Ju fler och större projekt som lånefinansieras desto större del av de framtida anslagen kommer att behöva användas för att betala redan geno</w:t>
      </w:r>
      <w:r w:rsidRPr="000A3A07">
        <w:t>m</w:t>
      </w:r>
      <w:r w:rsidRPr="000A3A07">
        <w:t>förda investeringar. Framtida riksdagars möjligheter att besluta om nya i</w:t>
      </w:r>
      <w:r w:rsidRPr="000A3A07">
        <w:t>n</w:t>
      </w:r>
      <w:r w:rsidRPr="000A3A07">
        <w:t>vesteringar, ändrad inriktning eller omfattning av infrastrukturinvesteringa</w:t>
      </w:r>
      <w:r w:rsidRPr="000A3A07">
        <w:t>r</w:t>
      </w:r>
      <w:r w:rsidRPr="000A3A07">
        <w:t>na kommer därmed att minska. Det är inte självklart att framtida riksdagar gör samma bedömning av värdet av en investering (bet. 1992/93:FiU10, 1997/98:FiU4y, Riksgäldskontoret 1999, Statskontoret 1998, Svenska Natu</w:t>
      </w:r>
      <w:r w:rsidRPr="000A3A07">
        <w:t>r</w:t>
      </w:r>
      <w:r w:rsidRPr="000A3A07">
        <w:t xml:space="preserve">skyddsföreningen 1999, Vägverket 1999 a). </w:t>
      </w:r>
    </w:p>
    <w:p w14:paraId="4D78E96F" w14:textId="77777777" w:rsidR="007C11E9" w:rsidRPr="000A3A07" w:rsidRDefault="007C11E9">
      <w:pPr>
        <w:pStyle w:val="Normaltindrag"/>
      </w:pPr>
      <w:r w:rsidRPr="000A3A07">
        <w:t>Anslagsfinansierade investeringar</w:t>
      </w:r>
      <w:r w:rsidRPr="000A3A07">
        <w:rPr>
          <w:rStyle w:val="Kommentarsreferens"/>
          <w:vanish/>
        </w:rPr>
        <w:t xml:space="preserve"> </w:t>
      </w:r>
      <w:commentRangeStart w:id="69"/>
      <w:commentRangeEnd w:id="69"/>
      <w:r w:rsidRPr="000A3A07">
        <w:rPr>
          <w:rStyle w:val="Kommentarsreferens"/>
          <w:sz w:val="19"/>
        </w:rPr>
        <w:commentReference w:id="69"/>
      </w:r>
      <w:r w:rsidRPr="000A3A07">
        <w:t xml:space="preserve"> måste rymmas inom utgiftstaket. För lånefinansierade investeringar görs inte någon prövning av hela projektet inom utgiftstaket vid ett och samma tillfälle. Möjligheten att kringgå denna prövning kan medföra risk för att infrastruktursektorn ges ökade medel på bekostnad av andra sektorer (ett vanligt argument för lånefinansiering och PPP är att belastningen på statsbudgeten på kort sikt minskar så att pengar kan frig</w:t>
      </w:r>
      <w:r w:rsidRPr="000A3A07">
        <w:t>ö</w:t>
      </w:r>
      <w:r w:rsidRPr="000A3A07">
        <w:t xml:space="preserve">ras till ytterligare infrastruktursatsningar). </w:t>
      </w:r>
    </w:p>
    <w:p w14:paraId="32A02E47" w14:textId="77777777" w:rsidR="007C11E9" w:rsidRPr="000A3A07" w:rsidRDefault="007C11E9">
      <w:pPr>
        <w:pStyle w:val="Normaltindrag"/>
      </w:pPr>
      <w:r w:rsidRPr="000A3A07">
        <w:t>Alternativ finansiering, som exempelvis lå</w:t>
      </w:r>
      <w:r w:rsidRPr="000A3A07">
        <w:t>nefinansiering, kan alltså åber</w:t>
      </w:r>
      <w:r w:rsidRPr="000A3A07">
        <w:t>o</w:t>
      </w:r>
      <w:r w:rsidRPr="000A3A07">
        <w:t>pas för att utöka infrastruktursektorn utöver vad utgiftsramarna tillåter. Samma argument kan användas inom t.ex. utbildningsområdet. I förlän</w:t>
      </w:r>
      <w:r w:rsidRPr="000A3A07">
        <w:t>g</w:t>
      </w:r>
      <w:r w:rsidRPr="000A3A07">
        <w:t>ningen kan i stort sett alla samhällssektorer vara intresserade av att genom lånefinansiering expandera verksamheten. Detta skulle inte vara en statsf</w:t>
      </w:r>
      <w:r w:rsidRPr="000A3A07">
        <w:t>i</w:t>
      </w:r>
      <w:r w:rsidRPr="000A3A07">
        <w:t>nansiellt hållbar utväg. På sikt skulle även den samhällsekonomiska stabil</w:t>
      </w:r>
      <w:r w:rsidRPr="000A3A07">
        <w:t>i</w:t>
      </w:r>
      <w:r w:rsidRPr="000A3A07">
        <w:t>teten kunna hotas. För att undvika att en samhällssektor gynnas på bekostnad av andra bör det enligt Riksgäldsk</w:t>
      </w:r>
      <w:r w:rsidRPr="000A3A07">
        <w:t>ontoret göras klart att lånefinansiering innebär att resurser trängs undan för andra ändamål (Riksgäldskontoret 1999, Statskontoret 1999, Vägverket 1999 a, Näringsdepart</w:t>
      </w:r>
      <w:r w:rsidRPr="000A3A07">
        <w:t>e</w:t>
      </w:r>
      <w:r w:rsidRPr="000A3A07">
        <w:t xml:space="preserve">mentet 2000). </w:t>
      </w:r>
    </w:p>
    <w:p w14:paraId="461C234C" w14:textId="77777777" w:rsidR="007C11E9" w:rsidRPr="000A3A07" w:rsidRDefault="007C11E9">
      <w:pPr>
        <w:pStyle w:val="Normaltindrag"/>
      </w:pPr>
      <w:r w:rsidRPr="000A3A07">
        <w:t>Endast anslagsfinansierade investeringar prövas alltså inom utgiftstaket (det första budgetpolitiska målet) vid investeringstillfället. Investeringar som finansieras med lån i Riksgäldskontoret prövas dock på samma sätt som anslagsfinansierade investeringar mot målet om överskott i den offentliga sektorns finansiella sparande</w:t>
      </w:r>
      <w:r w:rsidRPr="000A3A07">
        <w:t xml:space="preserve"> (det andra budgetpolitiska målet). Statens lån</w:t>
      </w:r>
      <w:r w:rsidRPr="000A3A07">
        <w:t>e</w:t>
      </w:r>
      <w:r w:rsidRPr="000A3A07">
        <w:t>behov påverkas nämligen på samma sätt oavsett om en investering finansi</w:t>
      </w:r>
      <w:r w:rsidRPr="000A3A07">
        <w:t>e</w:t>
      </w:r>
      <w:r w:rsidRPr="000A3A07">
        <w:t>ras med lån i Riksgäldskontoret eller med anslag. I båda fallen tas skattei</w:t>
      </w:r>
      <w:r w:rsidRPr="000A3A07">
        <w:t>n</w:t>
      </w:r>
      <w:r w:rsidRPr="000A3A07">
        <w:t xml:space="preserve">komster eller upplånade medel i anspråk. En investering som finansieras med lån i bolag prövas varken inom utgiftstaket eller mot målet om överskott i den offentliga sektorns finansiella sparande vid investeringstillfället. </w:t>
      </w:r>
    </w:p>
    <w:p w14:paraId="4082FBB7" w14:textId="77777777" w:rsidR="007C11E9" w:rsidRPr="000A3A07" w:rsidRDefault="007C11E9">
      <w:pPr>
        <w:pStyle w:val="Normaltindrag"/>
      </w:pPr>
      <w:r w:rsidRPr="000A3A07">
        <w:t>Statsgaranterad upplåning kan vara dyrare än upplåning via Riksgäld</w:t>
      </w:r>
      <w:r w:rsidRPr="000A3A07">
        <w:t>s</w:t>
      </w:r>
      <w:r w:rsidRPr="000A3A07">
        <w:t>kontoret. Om lånen ska betalas tillbaka med anslag kan budgetbelastningen därför bli större och resursutrymmet mindre jämfört med om lånen tas genom Riksgäldskontoret (1992/93:FiU4y, Ekonomistyrningsverket 1999, Rik</w:t>
      </w:r>
      <w:r w:rsidRPr="000A3A07">
        <w:t>s</w:t>
      </w:r>
      <w:r w:rsidRPr="000A3A07">
        <w:t xml:space="preserve">gäldskontoret 1999). </w:t>
      </w:r>
    </w:p>
    <w:p w14:paraId="7BFF84E7" w14:textId="77777777" w:rsidR="007C11E9" w:rsidRPr="000A3A07" w:rsidRDefault="007C11E9">
      <w:pPr>
        <w:pStyle w:val="Normaltindrag"/>
      </w:pPr>
      <w:r w:rsidRPr="000A3A07">
        <w:t>Alternativa finansieringsformer är inte någon lösning på det reala r</w:t>
      </w:r>
      <w:r w:rsidRPr="000A3A07">
        <w:t>e</w:t>
      </w:r>
      <w:r w:rsidRPr="000A3A07">
        <w:t>sursproblemet. Metoden i sig ökar inte det samhällsekonomiska utrymmet för infrastrukturinvesteringar. Investeringarna tar i anspråk resurser oavsett om de finansieras över anslag när de genomförs eller om de finansieras g</w:t>
      </w:r>
      <w:r w:rsidRPr="000A3A07">
        <w:t>e</w:t>
      </w:r>
      <w:r w:rsidRPr="000A3A07">
        <w:t>nom avgifter eller amorteringar och räntekostnader under en längre period när de utnyttjas (bet. 1999/2000:FiU13).</w:t>
      </w:r>
    </w:p>
    <w:p w14:paraId="149A8190" w14:textId="77777777" w:rsidR="007C11E9" w:rsidRPr="000A3A07" w:rsidRDefault="007C11E9">
      <w:pPr>
        <w:pStyle w:val="Rubrik2"/>
      </w:pPr>
      <w:bookmarkStart w:id="70" w:name="_Toc496580999"/>
      <w:bookmarkStart w:id="71" w:name="_Toc506340945"/>
      <w:r w:rsidRPr="000A3A07">
        <w:t>Ökad effektivitet</w:t>
      </w:r>
      <w:bookmarkEnd w:id="70"/>
      <w:bookmarkEnd w:id="71"/>
    </w:p>
    <w:p w14:paraId="06693DAB" w14:textId="77777777" w:rsidR="007C11E9" w:rsidRPr="000A3A07" w:rsidRDefault="007C11E9">
      <w:r w:rsidRPr="000A3A07">
        <w:t>Syftet med privatfinansiering genom partnerskap är, förutom att finansiera investeringen, att uppnå effektivitetsvinster. Regeringen hävdar att alternativ finansiering kan medföra effektivitetsvinster på 15 %, tack vare riskförde</w:t>
      </w:r>
      <w:r w:rsidRPr="000A3A07">
        <w:t>l</w:t>
      </w:r>
      <w:r w:rsidRPr="000A3A07">
        <w:t>ning, ökade incitament, nytänkande och utnyttjande av den privata sektorns kommersiella kompetens (prop. 1999/2000:1). Uppskattningen av effektiv</w:t>
      </w:r>
      <w:r w:rsidRPr="000A3A07">
        <w:t>i</w:t>
      </w:r>
      <w:r w:rsidRPr="000A3A07">
        <w:t>tetsvinsternas storlek bygger på erfarenheter från andra länder. Till skillnad från i en del andra länder har väginvesteringar samt drift och underhåll i Sverige sedan många år upphandlats i konkurrens. Enligt uppgift från F</w:t>
      </w:r>
      <w:r w:rsidRPr="000A3A07">
        <w:t>i</w:t>
      </w:r>
      <w:r w:rsidRPr="000A3A07">
        <w:t>nansdepartementet har Sverige därför troligen redan tillgodogjort sig en del av dessa effektivitet</w:t>
      </w:r>
      <w:r w:rsidRPr="000A3A07">
        <w:t>s</w:t>
      </w:r>
      <w:r w:rsidRPr="000A3A07">
        <w:t xml:space="preserve">vinster. </w:t>
      </w:r>
    </w:p>
    <w:p w14:paraId="0E6F801F" w14:textId="77777777" w:rsidR="007C11E9" w:rsidRPr="000A3A07" w:rsidRDefault="007C11E9">
      <w:pPr>
        <w:pStyle w:val="Normaltindrag"/>
      </w:pPr>
      <w:r w:rsidRPr="000A3A07">
        <w:t>Inom ramen för Regeringskanslie</w:t>
      </w:r>
      <w:r w:rsidRPr="000A3A07">
        <w:t>ts utredning om alternativ finansiering av infrastruktur analyseras vilka effektivitetsvinster som kan erhållas i Sverige med svenska förutsät</w:t>
      </w:r>
      <w:r w:rsidRPr="000A3A07">
        <w:t>t</w:t>
      </w:r>
      <w:r w:rsidRPr="000A3A07">
        <w:t>ningar.</w:t>
      </w:r>
    </w:p>
    <w:p w14:paraId="6692E52C" w14:textId="77777777" w:rsidR="007C11E9" w:rsidRPr="000A3A07" w:rsidRDefault="007C11E9">
      <w:pPr>
        <w:rPr>
          <w:i/>
        </w:rPr>
      </w:pPr>
      <w:r w:rsidRPr="000A3A07">
        <w:rPr>
          <w:i/>
        </w:rPr>
        <w:t>Lägre kostnader för risker</w:t>
      </w:r>
    </w:p>
    <w:p w14:paraId="2C6EC6DE" w14:textId="77777777" w:rsidR="007C11E9" w:rsidRPr="000A3A07" w:rsidRDefault="007C11E9">
      <w:r w:rsidRPr="000A3A07">
        <w:t>All verksamhet är förenad med risker. Investeringar i vägar och järnvägar är förenade med både tekniska och ekonomiska risker. Riskerna kan enligt Vägverket delas upp i planeringsrisker, byggnadsrisker, underhållsrisker, finansiella risker, politiska/legala risker, marknadsrisker och avkastningsri</w:t>
      </w:r>
      <w:r w:rsidRPr="000A3A07">
        <w:t>s</w:t>
      </w:r>
      <w:r w:rsidRPr="000A3A07">
        <w:t>ker (Vä</w:t>
      </w:r>
      <w:r w:rsidRPr="000A3A07">
        <w:t>g</w:t>
      </w:r>
      <w:r w:rsidRPr="000A3A07">
        <w:t xml:space="preserve">verket 1999 a). </w:t>
      </w:r>
    </w:p>
    <w:p w14:paraId="30CFEC1F" w14:textId="77777777" w:rsidR="007C11E9" w:rsidRPr="000A3A07" w:rsidRDefault="007C11E9">
      <w:pPr>
        <w:pStyle w:val="Normaltindrag"/>
      </w:pPr>
      <w:r w:rsidRPr="000A3A07">
        <w:t>En av grundtankarna med privatfinansiering genom partnerskap är att ri</w:t>
      </w:r>
      <w:r w:rsidRPr="000A3A07">
        <w:t>s</w:t>
      </w:r>
      <w:r w:rsidRPr="000A3A07">
        <w:t>kerna ska identifieras, värderas och fördelas efter parternas möjlighet att hantera dem. Riskerna i ett projekt kan fördelas effektivt mellan parterna genom att de privata aktörerna prissätter riskerna och den offentliga sektorn överväger kostnade</w:t>
      </w:r>
      <w:r w:rsidRPr="000A3A07">
        <w:t>r</w:t>
      </w:r>
      <w:r w:rsidRPr="000A3A07">
        <w:t xml:space="preserve">na för att slippa ta vissa </w:t>
      </w:r>
      <w:commentRangeStart w:id="72"/>
      <w:r w:rsidRPr="000A3A07">
        <w:t>risker</w:t>
      </w:r>
      <w:commentRangeEnd w:id="72"/>
      <w:r w:rsidRPr="000A3A07">
        <w:rPr>
          <w:rStyle w:val="Kommentarsreferens"/>
          <w:sz w:val="19"/>
        </w:rPr>
        <w:commentReference w:id="72"/>
      </w:r>
      <w:r w:rsidRPr="000A3A07">
        <w:t xml:space="preserve">. </w:t>
      </w:r>
    </w:p>
    <w:p w14:paraId="33A220F4" w14:textId="77777777" w:rsidR="007C11E9" w:rsidRPr="000A3A07" w:rsidRDefault="007C11E9">
      <w:pPr>
        <w:pStyle w:val="Normaltindrag"/>
      </w:pPr>
      <w:r w:rsidRPr="000A3A07">
        <w:t>Enligt uppgift från Näringsdepartementet kan riskfördelning i PPP-projekt bidra till att öka Vägverkets och Banverkets medvetenhet om de risker som är förknippade med väg- och järnvägsinvesteringar. När verken får betala för riskerna ökar incitamenten att försöka identifiera och reducera dem. Des</w:t>
      </w:r>
      <w:r w:rsidRPr="000A3A07">
        <w:t>s</w:t>
      </w:r>
      <w:r w:rsidRPr="000A3A07">
        <w:t>utom finns det enligt Vägverket skäl att anta att de privata aktörerna ”utvecklar och prövar olika innovativa lösningar i syfte att begränsa riskerna och därmed riskkostnaderna” (Vägve</w:t>
      </w:r>
      <w:r w:rsidRPr="000A3A07">
        <w:t>r</w:t>
      </w:r>
      <w:r w:rsidRPr="000A3A07">
        <w:t>ket 1999 a).</w:t>
      </w:r>
    </w:p>
    <w:p w14:paraId="6DD6F340" w14:textId="77777777" w:rsidR="007C11E9" w:rsidRPr="000A3A07" w:rsidRDefault="007C11E9">
      <w:pPr>
        <w:pStyle w:val="Normaltindrag"/>
      </w:pPr>
      <w:r w:rsidRPr="000A3A07">
        <w:t>Internationella erfarenheter från PPP-projekt visar att de privata aktörerna normalt tar risker förknippade med projektering, byggnation, finansiering samt drift och underhåll, medan den offentliga sektorn tar risker som är förknippade med planeringsa</w:t>
      </w:r>
      <w:r w:rsidRPr="000A3A07">
        <w:t>r</w:t>
      </w:r>
      <w:r w:rsidRPr="000A3A07">
        <w:t>betet.</w:t>
      </w:r>
    </w:p>
    <w:p w14:paraId="6A3ECA72" w14:textId="77777777" w:rsidR="007C11E9" w:rsidRPr="000A3A07" w:rsidRDefault="007C11E9">
      <w:pPr>
        <w:rPr>
          <w:i/>
        </w:rPr>
      </w:pPr>
      <w:r w:rsidRPr="000A3A07">
        <w:rPr>
          <w:i/>
        </w:rPr>
        <w:t>Samordning av utformning, byggande, drift och underhåll</w:t>
      </w:r>
    </w:p>
    <w:p w14:paraId="05E95C59" w14:textId="77777777" w:rsidR="007C11E9" w:rsidRPr="000A3A07" w:rsidRDefault="007C11E9">
      <w:r w:rsidRPr="000A3A07">
        <w:t>Med privatfinansiering genom partnerskap upphandlas en offentlig service eller funktion snarare än byggandet av en väg eller järnväg. Entreprenören ska ges incitament att optimera konstruktionen utifrån investeringens fun</w:t>
      </w:r>
      <w:r w:rsidRPr="000A3A07">
        <w:t>k</w:t>
      </w:r>
      <w:r w:rsidRPr="000A3A07">
        <w:t>tion i stället för att behandla byggandet för sig och driften och underhållet för sig. Samordningen kan bidra till att utveckla produkten, reducera kostnade</w:t>
      </w:r>
      <w:r w:rsidRPr="000A3A07">
        <w:t>r</w:t>
      </w:r>
      <w:r w:rsidRPr="000A3A07">
        <w:t>na och effektiv</w:t>
      </w:r>
      <w:r w:rsidRPr="000A3A07">
        <w:t>i</w:t>
      </w:r>
      <w:r w:rsidRPr="000A3A07">
        <w:t>sera lösningen.</w:t>
      </w:r>
    </w:p>
    <w:p w14:paraId="64886925" w14:textId="77777777" w:rsidR="007C11E9" w:rsidRPr="000A3A07" w:rsidRDefault="007C11E9">
      <w:pPr>
        <w:pStyle w:val="Normaltindrag"/>
      </w:pPr>
      <w:r w:rsidRPr="000A3A07">
        <w:t>De privata aktörerna kan få ersättning för tillhandahållandet av funktionen antingen genom avgiftsintäkter direkt från användarna eller genom betalning från staten, t.ex. efter användning och kvalitet. Ersättningen ska skapa inc</w:t>
      </w:r>
      <w:r w:rsidRPr="000A3A07">
        <w:t>i</w:t>
      </w:r>
      <w:r w:rsidRPr="000A3A07">
        <w:t>tament för de privata aktörerna att tillhandahålla funktionen i den omfattning och av den kvalitet som statsmakterna önskar, under hela projektets liv</w:t>
      </w:r>
      <w:r w:rsidRPr="000A3A07">
        <w:t>s</w:t>
      </w:r>
      <w:r w:rsidRPr="000A3A07">
        <w:t>längd</w:t>
      </w:r>
      <w:r w:rsidRPr="000A3A07">
        <w:rPr>
          <w:rStyle w:val="Fotnotsreferens"/>
        </w:rPr>
        <w:footnoteReference w:id="7"/>
      </w:r>
      <w:r w:rsidRPr="000A3A07">
        <w:t xml:space="preserve">. </w:t>
      </w:r>
    </w:p>
    <w:p w14:paraId="60368DBA" w14:textId="77777777" w:rsidR="007C11E9" w:rsidRPr="000A3A07" w:rsidRDefault="007C11E9">
      <w:pPr>
        <w:pStyle w:val="Normaltindrag"/>
      </w:pPr>
      <w:r w:rsidRPr="000A3A07">
        <w:t>Internationella erfarenheter tyder på att planering och specificering av i</w:t>
      </w:r>
      <w:r w:rsidRPr="000A3A07">
        <w:t>n</w:t>
      </w:r>
      <w:r w:rsidRPr="000A3A07">
        <w:t>vesteringar tar längre tid vid upphandling av PPP-projekt. Upphandlarna och budgivarna tvingas ta ställning till ett projekts alla konsekvenser inklusive anläggningens drift redan i upphandlingsskedet. Upphandlingskostnaderna är därför högre än vid traditionella upphandlingar, både för staten och för a</w:t>
      </w:r>
      <w:r w:rsidRPr="000A3A07">
        <w:t>n</w:t>
      </w:r>
      <w:r w:rsidRPr="000A3A07">
        <w:t>budsgivarna. De höga transaktionskostnaderna är en av anledningarna till att PPP framför allt tillämpas på större projekt med lång avtalstid. Merkostn</w:t>
      </w:r>
      <w:r w:rsidRPr="000A3A07">
        <w:t>a</w:t>
      </w:r>
      <w:r w:rsidRPr="000A3A07">
        <w:t>derna i upphandlingsskedet kan tjänas in genom ökad säke</w:t>
      </w:r>
      <w:r w:rsidRPr="000A3A07">
        <w:t>rhet i den fortsatta proce</w:t>
      </w:r>
      <w:r w:rsidRPr="000A3A07">
        <w:t>s</w:t>
      </w:r>
      <w:r w:rsidRPr="000A3A07">
        <w:t>sen.</w:t>
      </w:r>
    </w:p>
    <w:p w14:paraId="27E7F7E2" w14:textId="77777777" w:rsidR="007C11E9" w:rsidRPr="000A3A07" w:rsidRDefault="007C11E9">
      <w:pPr>
        <w:pStyle w:val="Normaltindrag"/>
      </w:pPr>
      <w:r w:rsidRPr="000A3A07">
        <w:t>I Sverige är antalet större byggentreprenörer begränsat. Konkurrensen kan på grund av de höga anbudskostnade</w:t>
      </w:r>
      <w:r w:rsidRPr="000A3A07">
        <w:t>r</w:t>
      </w:r>
      <w:r w:rsidRPr="000A3A07">
        <w:t>na reduceras ytterligare för PPP-projekt. Internationella erfarenheter visar dock att större PPP-projekt kan locka anbudsgivare från hela Europa, vilket i stället kan öka konkurrensen (Bruzelius 1999, Vägverket 1999 a, Statskont</w:t>
      </w:r>
      <w:r w:rsidRPr="000A3A07">
        <w:t>o</w:t>
      </w:r>
      <w:r w:rsidRPr="000A3A07">
        <w:t xml:space="preserve">ret 1999). </w:t>
      </w:r>
    </w:p>
    <w:p w14:paraId="091D4E61" w14:textId="77777777" w:rsidR="007C11E9" w:rsidRPr="000A3A07" w:rsidRDefault="007C11E9">
      <w:pPr>
        <w:pStyle w:val="Rubrik2"/>
      </w:pPr>
      <w:bookmarkStart w:id="73" w:name="_Toc496581000"/>
      <w:bookmarkStart w:id="74" w:name="_Toc506340946"/>
      <w:r w:rsidRPr="000A3A07">
        <w:t>Utjämning av kostnader</w:t>
      </w:r>
      <w:bookmarkEnd w:id="73"/>
      <w:bookmarkEnd w:id="74"/>
    </w:p>
    <w:p w14:paraId="44549855" w14:textId="77777777" w:rsidR="007C11E9" w:rsidRPr="000A3A07" w:rsidRDefault="007C11E9">
      <w:r w:rsidRPr="000A3A07">
        <w:t>Stora väg- och järnvägsinvesteringar som medför en temporärt förhöjd b</w:t>
      </w:r>
      <w:r w:rsidRPr="000A3A07">
        <w:t>e</w:t>
      </w:r>
      <w:r w:rsidRPr="000A3A07">
        <w:t>lastning på statsbudgeten kan vara svåra att finansiera via ordinarie anslag för infrastrukturinvesteringar. För att skapa anslagsutrymme för en stor i</w:t>
      </w:r>
      <w:r w:rsidRPr="000A3A07">
        <w:t>n</w:t>
      </w:r>
      <w:r w:rsidRPr="000A3A07">
        <w:t>vestering kan man tvingas dra ut på byggnadstiden eller skära ner kraftigt på övrig verksamhet inom utgiftsområdet under byggnadstiden. Tillkomsten av större investeringar kan underlättas med ett tillfälligt tillskott av medel, t.ex. genom lån eller extern finansiering (Vägverket 1999 a).</w:t>
      </w:r>
    </w:p>
    <w:p w14:paraId="7C64DE73" w14:textId="77777777" w:rsidR="007C11E9" w:rsidRPr="000A3A07" w:rsidRDefault="007C11E9">
      <w:pPr>
        <w:pStyle w:val="Normaltindrag"/>
      </w:pPr>
      <w:r w:rsidRPr="000A3A07">
        <w:t>Ett projekts byggstart beror bl.a. på olika formella beslut (exempelv</w:t>
      </w:r>
      <w:r w:rsidRPr="000A3A07">
        <w:t>is reg</w:t>
      </w:r>
      <w:r w:rsidRPr="000A3A07">
        <w:t>e</w:t>
      </w:r>
      <w:r w:rsidRPr="000A3A07">
        <w:t>ringsbeslut om projektets tillåtlighet, länsstyrelsens godkännande av milj</w:t>
      </w:r>
      <w:r w:rsidRPr="000A3A07">
        <w:t>ö</w:t>
      </w:r>
      <w:r w:rsidRPr="000A3A07">
        <w:t>konsekvensbeskrivningar och regeringsprövning vid överklagande av ve</w:t>
      </w:r>
      <w:r w:rsidRPr="000A3A07">
        <w:t>r</w:t>
      </w:r>
      <w:r w:rsidRPr="000A3A07">
        <w:t>kens planer). Det kan vara svårt att förutsäga när alla tillstånd för ett projekt är klara. Därför kan det vara olämpligt att i statsbudgeten reservera en stor del av ett anslag för en viss investering. Om byggstarten skjuts upp till efte</w:t>
      </w:r>
      <w:r w:rsidRPr="000A3A07">
        <w:t>r</w:t>
      </w:r>
      <w:r w:rsidRPr="000A3A07">
        <w:t>följande år har anslagsmedel reserverats i onödan under innevarande år. Om större projekt lånefinansieras blir planeringen</w:t>
      </w:r>
      <w:r w:rsidRPr="000A3A07">
        <w:t xml:space="preserve"> av resurserna enligt uppgift från Näringsdepartementet flexiblare.</w:t>
      </w:r>
    </w:p>
    <w:p w14:paraId="44B6DF5B" w14:textId="77777777" w:rsidR="007C11E9" w:rsidRPr="000A3A07" w:rsidRDefault="007C11E9">
      <w:pPr>
        <w:rPr>
          <w:i/>
        </w:rPr>
      </w:pPr>
      <w:r w:rsidRPr="000A3A07">
        <w:rPr>
          <w:i/>
        </w:rPr>
        <w:t xml:space="preserve">Bättre fördelning av kostnader och intäkter </w:t>
      </w:r>
    </w:p>
    <w:p w14:paraId="36A39062" w14:textId="77777777" w:rsidR="007C11E9" w:rsidRPr="000A3A07" w:rsidRDefault="007C11E9">
      <w:r w:rsidRPr="000A3A07">
        <w:t>Anslagen för investeringar är utgiftsmässiga i statsbudgeten. Större i</w:t>
      </w:r>
      <w:r w:rsidRPr="000A3A07">
        <w:t>n</w:t>
      </w:r>
      <w:r w:rsidRPr="000A3A07">
        <w:t>frastrukturinvesteringar får därmed betydande statsfinansiella effekter då de genomförs. Lånefinansiering innebär att investeringens belastning på stat</w:t>
      </w:r>
      <w:r w:rsidRPr="000A3A07">
        <w:t>s</w:t>
      </w:r>
      <w:r w:rsidRPr="000A3A07">
        <w:t>budgeten sprids ut över flera år. Anskaffningsutgifterna periodiseras över anläggningens livslängd, och budgetbelastningen uppstår i takt med att a</w:t>
      </w:r>
      <w:r w:rsidRPr="000A3A07">
        <w:t>n</w:t>
      </w:r>
      <w:r w:rsidRPr="000A3A07">
        <w:t>läggningen brukas av medborgarna. Därmed framgår anläggningens kvarst</w:t>
      </w:r>
      <w:r w:rsidRPr="000A3A07">
        <w:t>å</w:t>
      </w:r>
      <w:r w:rsidRPr="000A3A07">
        <w:t>ende värde efter budgetårets slut också tydligare (prop. 1992/93:176, Statskont</w:t>
      </w:r>
      <w:r w:rsidRPr="000A3A07">
        <w:t>o</w:t>
      </w:r>
      <w:r w:rsidRPr="000A3A07">
        <w:t xml:space="preserve">ret 1999). </w:t>
      </w:r>
      <w:commentRangeStart w:id="75"/>
      <w:commentRangeEnd w:id="75"/>
      <w:r w:rsidRPr="000A3A07">
        <w:rPr>
          <w:rStyle w:val="Kommentarsreferens"/>
          <w:sz w:val="19"/>
        </w:rPr>
        <w:commentReference w:id="75"/>
      </w:r>
    </w:p>
    <w:p w14:paraId="3BE6CFC7" w14:textId="77777777" w:rsidR="007C11E9" w:rsidRPr="000A3A07" w:rsidRDefault="007C11E9">
      <w:pPr>
        <w:pStyle w:val="Normaltindrag"/>
      </w:pPr>
      <w:r w:rsidRPr="000A3A07">
        <w:t>Finansutskottet menar att det kan vara inoptimalt att bestämma att en viss typ av utgift ska finansieras med en viss typ av lån. Om infrastrukturinvest</w:t>
      </w:r>
      <w:r w:rsidRPr="000A3A07">
        <w:t>e</w:t>
      </w:r>
      <w:r w:rsidRPr="000A3A07">
        <w:t>ringar ska finansieras med lån eller inte är i stället en fråga om hur hela bu</w:t>
      </w:r>
      <w:r w:rsidRPr="000A3A07">
        <w:t>d</w:t>
      </w:r>
      <w:r w:rsidRPr="000A3A07">
        <w:t>geten ska finansieras och vilka budgetpolitiska mål som regering och riksdag vill sätta upp för det finansiella sparandet (bet. 1999/2000:FiU13). Utskottet har tidigare anfört att kan det finnas skäl att överväga andra budget- och redovisningsformer som kan underlätta en bedömning av den statliga se</w:t>
      </w:r>
      <w:r w:rsidRPr="000A3A07">
        <w:t>k</w:t>
      </w:r>
      <w:r w:rsidRPr="000A3A07">
        <w:t>torns resursförbrukning, även om finansieringsformerna inte ändras (1992/93:FiU4y, bet. 1992/93:FiU10, bet. 1992/93:FiU20).</w:t>
      </w:r>
    </w:p>
    <w:p w14:paraId="20BDC668" w14:textId="77777777" w:rsidR="007C11E9" w:rsidRPr="000A3A07" w:rsidRDefault="007C11E9">
      <w:pPr>
        <w:pStyle w:val="Normaltindrag"/>
      </w:pPr>
      <w:r w:rsidRPr="000A3A07">
        <w:t>Finansu</w:t>
      </w:r>
      <w:r w:rsidRPr="000A3A07">
        <w:t>tskottet betonade i december 1999 att det är viktigt att riksdagen kan fortsätta utöva sitt inflytande och sin finansmakt över större infrastru</w:t>
      </w:r>
      <w:r w:rsidRPr="000A3A07">
        <w:t>k</w:t>
      </w:r>
      <w:r w:rsidRPr="000A3A07">
        <w:t>turinvesteringar. I en utgiftsmässig budget återspeglas anskaffningen av resurser. Finansutskottet menar att utnyttjandet av finansiella och reala resu</w:t>
      </w:r>
      <w:r w:rsidRPr="000A3A07">
        <w:t>r</w:t>
      </w:r>
      <w:r w:rsidRPr="000A3A07">
        <w:t>ser bättre kommer till uttryck i en sådan budget. Utgiftsmässiga anslag anger också omfattningen av de investeringar som riksdagen kan påverka när b</w:t>
      </w:r>
      <w:r w:rsidRPr="000A3A07">
        <w:t>e</w:t>
      </w:r>
      <w:r w:rsidRPr="000A3A07">
        <w:t>slutet om investeringen fattas. I en kostnadsmässig budget skulle i</w:t>
      </w:r>
      <w:r w:rsidRPr="000A3A07">
        <w:t>nvest</w:t>
      </w:r>
      <w:r w:rsidRPr="000A3A07">
        <w:t>e</w:t>
      </w:r>
      <w:r w:rsidRPr="000A3A07">
        <w:t>ringarna belasta anslagen under 10–25 år med avskrivningskostnader som riksdagen under denna period inte kan påverka.</w:t>
      </w:r>
    </w:p>
    <w:p w14:paraId="2B7157B4" w14:textId="77777777" w:rsidR="007C11E9" w:rsidRPr="000A3A07" w:rsidRDefault="007C11E9">
      <w:pPr>
        <w:pStyle w:val="Normaltindrag"/>
      </w:pPr>
      <w:r w:rsidRPr="000A3A07">
        <w:t>I appendix diskuteras olika principer för redovisning av investeringar på statsbudgeten närmare.</w:t>
      </w:r>
    </w:p>
    <w:p w14:paraId="363E58A7" w14:textId="77777777" w:rsidR="007C11E9" w:rsidRPr="000A3A07" w:rsidRDefault="007C11E9">
      <w:pPr>
        <w:pStyle w:val="Rubrik1"/>
      </w:pPr>
      <w:r w:rsidRPr="000A3A07">
        <w:br w:type="page"/>
      </w:r>
      <w:bookmarkStart w:id="76" w:name="_Toc496581001"/>
      <w:bookmarkStart w:id="77" w:name="_Toc506340947"/>
      <w:r w:rsidRPr="000A3A07">
        <w:t>Exempel på infrastrukturprojekt med alternativ finansiering</w:t>
      </w:r>
      <w:bookmarkEnd w:id="76"/>
      <w:bookmarkEnd w:id="77"/>
    </w:p>
    <w:p w14:paraId="10DBC45B" w14:textId="77777777" w:rsidR="007C11E9" w:rsidRPr="000A3A07" w:rsidRDefault="007C11E9">
      <w:r w:rsidRPr="000A3A07">
        <w:t>I detta kapitel presenteras exempel på olika väg- och järnvägsinvesteringar som har finansierats på annat sätt än med anslag över statsbudgeten.</w:t>
      </w:r>
    </w:p>
    <w:p w14:paraId="5A0887B0" w14:textId="77777777" w:rsidR="007C11E9" w:rsidRPr="000A3A07" w:rsidRDefault="007C11E9">
      <w:pPr>
        <w:pStyle w:val="Rubrik2"/>
      </w:pPr>
      <w:bookmarkStart w:id="78" w:name="_Toc496581002"/>
      <w:bookmarkStart w:id="79" w:name="_Toc506340948"/>
      <w:r w:rsidRPr="000A3A07">
        <w:t>Lånefinansierade vägprojekt</w:t>
      </w:r>
      <w:bookmarkEnd w:id="78"/>
      <w:bookmarkEnd w:id="79"/>
    </w:p>
    <w:p w14:paraId="144A405C" w14:textId="77777777" w:rsidR="007C11E9" w:rsidRPr="000A3A07" w:rsidRDefault="007C11E9">
      <w:r w:rsidRPr="000A3A07">
        <w:t>Riksdagen beslutade 1987 att utbyggnaden av väg E 6 mellan Stenungsund och Ljungskile till motorväg skulle finansieras med lån i Riksgäldskontoret. Skulden uppgick vid utgången av 1999 till 928 miljoner kronor. Enligt Vä</w:t>
      </w:r>
      <w:r w:rsidRPr="000A3A07">
        <w:t>g</w:t>
      </w:r>
      <w:r w:rsidRPr="000A3A07">
        <w:t>verkets årsredovisning kommer lånet att amorteras med anslagsmedel under ytterligare 33 år (Vä</w:t>
      </w:r>
      <w:r w:rsidRPr="000A3A07">
        <w:t>g</w:t>
      </w:r>
      <w:r w:rsidRPr="000A3A07">
        <w:t>verket 1999 b).</w:t>
      </w:r>
    </w:p>
    <w:p w14:paraId="7F93BF97" w14:textId="77777777" w:rsidR="007C11E9" w:rsidRPr="000A3A07" w:rsidRDefault="007C11E9">
      <w:pPr>
        <w:pStyle w:val="Normaltindrag"/>
      </w:pPr>
      <w:r w:rsidRPr="000A3A07">
        <w:t>Regeringen föreslog 1996 alternativ finansiering av fyra väginvesteringar. Regeringen ansåg att investeringarna var angelägna ur trafiksäkerhets- och sysselsättningssynpunkt, men konstaterade att anslagna medel inte var til</w:t>
      </w:r>
      <w:r w:rsidRPr="000A3A07">
        <w:t>l</w:t>
      </w:r>
      <w:r w:rsidRPr="000A3A07">
        <w:t>räckliga för att projekten skulle kunna påbörjas under 1997. Riksdagen b</w:t>
      </w:r>
      <w:r w:rsidRPr="000A3A07">
        <w:t>e</w:t>
      </w:r>
      <w:r w:rsidRPr="000A3A07">
        <w:t>slutade att Vägverket fick ta upp lån i Riksgäldskontoret för utbyggnaden av vägarna. De fyra pr</w:t>
      </w:r>
      <w:r w:rsidRPr="000A3A07">
        <w:t>o</w:t>
      </w:r>
      <w:r w:rsidRPr="000A3A07">
        <w:t>jekten var</w:t>
      </w:r>
      <w:commentRangeStart w:id="80"/>
      <w:commentRangeEnd w:id="80"/>
      <w:r w:rsidRPr="000A3A07">
        <w:rPr>
          <w:rStyle w:val="Kommentarsreferens"/>
          <w:sz w:val="19"/>
        </w:rPr>
        <w:commentReference w:id="80"/>
      </w:r>
      <w:r w:rsidRPr="000A3A07">
        <w:t xml:space="preserve">: </w:t>
      </w:r>
    </w:p>
    <w:p w14:paraId="622A1092" w14:textId="77777777" w:rsidR="007C11E9" w:rsidRPr="000A3A07" w:rsidRDefault="007C11E9">
      <w:pPr>
        <w:numPr>
          <w:ilvl w:val="0"/>
          <w:numId w:val="76"/>
        </w:numPr>
      </w:pPr>
      <w:r w:rsidRPr="000A3A07">
        <w:t xml:space="preserve">E 18/E 20 delen Örebro–Arboga, </w:t>
      </w:r>
    </w:p>
    <w:p w14:paraId="02CA8FAD" w14:textId="77777777" w:rsidR="007C11E9" w:rsidRPr="000A3A07" w:rsidRDefault="007C11E9">
      <w:pPr>
        <w:numPr>
          <w:ilvl w:val="0"/>
          <w:numId w:val="76"/>
        </w:numPr>
        <w:spacing w:before="0"/>
      </w:pPr>
      <w:r w:rsidRPr="000A3A07">
        <w:t xml:space="preserve">E 4 delen Stora Åby–Väderstad, </w:t>
      </w:r>
    </w:p>
    <w:p w14:paraId="2FF6A322" w14:textId="77777777" w:rsidR="007C11E9" w:rsidRPr="000A3A07" w:rsidRDefault="007C11E9">
      <w:pPr>
        <w:numPr>
          <w:ilvl w:val="0"/>
          <w:numId w:val="76"/>
        </w:numPr>
        <w:spacing w:before="0"/>
      </w:pPr>
      <w:r w:rsidRPr="000A3A07">
        <w:t>E 22 Söderåkra–Hossmo,</w:t>
      </w:r>
    </w:p>
    <w:p w14:paraId="23DD2D8A" w14:textId="77777777" w:rsidR="007C11E9" w:rsidRPr="000A3A07" w:rsidRDefault="007C11E9">
      <w:pPr>
        <w:numPr>
          <w:ilvl w:val="0"/>
          <w:numId w:val="76"/>
        </w:numPr>
        <w:spacing w:before="0"/>
      </w:pPr>
      <w:r w:rsidRPr="000A3A07">
        <w:t xml:space="preserve">E 4 trafikplats Hallunda. </w:t>
      </w:r>
    </w:p>
    <w:p w14:paraId="7728DDF9" w14:textId="77777777" w:rsidR="007C11E9" w:rsidRPr="000A3A07" w:rsidRDefault="007C11E9">
      <w:r w:rsidRPr="000A3A07">
        <w:t>Vid utgången av 1999 uppgick skulden för de fyra projekten till 1 543 milj</w:t>
      </w:r>
      <w:r w:rsidRPr="000A3A07">
        <w:t>o</w:t>
      </w:r>
      <w:r w:rsidRPr="000A3A07">
        <w:t>ner kronor. Lånen får enligt Vägverkets regleringsbrev uppgå till högst 2 169 milj</w:t>
      </w:r>
      <w:r w:rsidRPr="000A3A07">
        <w:t>o</w:t>
      </w:r>
      <w:r w:rsidRPr="000A3A07">
        <w:t xml:space="preserve">ner kronor. </w:t>
      </w:r>
    </w:p>
    <w:p w14:paraId="75D8874D" w14:textId="77777777" w:rsidR="007C11E9" w:rsidRPr="000A3A07" w:rsidRDefault="007C11E9">
      <w:pPr>
        <w:pStyle w:val="Normaltindrag"/>
      </w:pPr>
      <w:r w:rsidRPr="000A3A07">
        <w:t xml:space="preserve">Kostnaden för räntor och amorteringar av lånen för de ovan nämnda fem projekten (E6 Stenungsund–Ljungskile samt de fyra tidigarelagda projekten) får belasta Vägverkets anslag för investeringar i nationell plan (Vägverkets regleringsbrev för </w:t>
      </w:r>
      <w:commentRangeStart w:id="81"/>
      <w:r w:rsidRPr="000A3A07">
        <w:t>2000</w:t>
      </w:r>
      <w:commentRangeEnd w:id="81"/>
      <w:r w:rsidRPr="000A3A07">
        <w:rPr>
          <w:rStyle w:val="Kommentarsreferens"/>
          <w:sz w:val="19"/>
        </w:rPr>
        <w:commentReference w:id="81"/>
      </w:r>
      <w:r w:rsidRPr="000A3A07">
        <w:t>). Lånen för de fyra tidigarelagda investeringarna ska återbetalas då projekten skulle ha genomförts enligt ordinarie infrastruktu</w:t>
      </w:r>
      <w:r w:rsidRPr="000A3A07">
        <w:t>r</w:t>
      </w:r>
      <w:r w:rsidRPr="000A3A07">
        <w:t>planering (prop. 1996/97:150, 1996/97:FiU20, rskr. 284 och rskr. 285). R</w:t>
      </w:r>
      <w:r w:rsidRPr="000A3A07">
        <w:t>e</w:t>
      </w:r>
      <w:r w:rsidRPr="000A3A07">
        <w:t>geringen räknar med att skulden minskar till noll vid utgången av 2003 (prop. 1999/2000:1).</w:t>
      </w:r>
    </w:p>
    <w:p w14:paraId="0ECB79E8" w14:textId="77777777" w:rsidR="007C11E9" w:rsidRPr="000A3A07" w:rsidRDefault="007C11E9">
      <w:pPr>
        <w:pStyle w:val="Normaltindrag"/>
      </w:pPr>
      <w:r w:rsidRPr="000A3A07">
        <w:t>Sedan 1991 har Vägverket också möjlighet att ta upp lån i Riksgäldskont</w:t>
      </w:r>
      <w:r w:rsidRPr="000A3A07">
        <w:t>o</w:t>
      </w:r>
      <w:r w:rsidRPr="000A3A07">
        <w:t>ret för investeringar i broar som ersätter färjor (prop. 1990/91:100 bil. 8, bet. 1990/91:TU26, rskr. 1990/91:</w:t>
      </w:r>
      <w:commentRangeStart w:id="82"/>
      <w:r w:rsidRPr="000A3A07">
        <w:t>326</w:t>
      </w:r>
      <w:commentRangeEnd w:id="82"/>
      <w:r w:rsidRPr="000A3A07">
        <w:rPr>
          <w:rStyle w:val="Kommentarsreferens"/>
          <w:sz w:val="19"/>
        </w:rPr>
        <w:commentReference w:id="82"/>
      </w:r>
      <w:r w:rsidRPr="000A3A07">
        <w:t>). Räntor och amorteringar för en broi</w:t>
      </w:r>
      <w:r w:rsidRPr="000A3A07">
        <w:t>n</w:t>
      </w:r>
      <w:r w:rsidRPr="000A3A07">
        <w:t>vestering får betalas med de anslagsmedel som skulle ha använts till fä</w:t>
      </w:r>
      <w:r w:rsidRPr="000A3A07">
        <w:t>r</w:t>
      </w:r>
      <w:r w:rsidRPr="000A3A07">
        <w:t xml:space="preserve">jedriften om bron inte hade byggts. </w:t>
      </w:r>
    </w:p>
    <w:p w14:paraId="2F10602C" w14:textId="77777777" w:rsidR="007C11E9" w:rsidRPr="000A3A07" w:rsidRDefault="007C11E9">
      <w:pPr>
        <w:pStyle w:val="Normaltindrag"/>
      </w:pPr>
      <w:r w:rsidRPr="000A3A07">
        <w:t>Vid utgången av 1999 var Vägverkets skuld för broar som ersätter färjor 172 miljoner kronor (prop. 1999/2000:1). Regeringen uppger att finansi</w:t>
      </w:r>
      <w:r w:rsidRPr="000A3A07">
        <w:t>e</w:t>
      </w:r>
      <w:r w:rsidRPr="000A3A07">
        <w:t xml:space="preserve">ringslösningen har valts för att Vägverket ska kunna ersätta färjeförbindelser med broar utan att Vägverkets anslagsförbrukning </w:t>
      </w:r>
      <w:commentRangeStart w:id="83"/>
      <w:r w:rsidRPr="000A3A07">
        <w:t>öka</w:t>
      </w:r>
      <w:commentRangeEnd w:id="83"/>
      <w:r w:rsidRPr="000A3A07">
        <w:rPr>
          <w:rStyle w:val="Kommentarsreferens"/>
          <w:sz w:val="19"/>
        </w:rPr>
        <w:commentReference w:id="83"/>
      </w:r>
      <w:r w:rsidRPr="000A3A07">
        <w:t>r</w:t>
      </w:r>
      <w:r w:rsidRPr="000A3A07">
        <w:t xml:space="preserve">. </w:t>
      </w:r>
    </w:p>
    <w:p w14:paraId="224635E1" w14:textId="77777777" w:rsidR="007C11E9" w:rsidRPr="000A3A07" w:rsidRDefault="007C11E9">
      <w:pPr>
        <w:pStyle w:val="Rubrik2"/>
        <w:rPr>
          <w:rStyle w:val="Kommentarsreferens"/>
          <w:sz w:val="23"/>
        </w:rPr>
      </w:pPr>
      <w:bookmarkStart w:id="84" w:name="_Toc496581003"/>
      <w:r w:rsidRPr="000A3A07">
        <w:br w:type="page"/>
      </w:r>
      <w:bookmarkStart w:id="85" w:name="_Toc506340949"/>
      <w:r w:rsidRPr="000A3A07">
        <w:t>Tranebergsbron</w:t>
      </w:r>
      <w:bookmarkEnd w:id="84"/>
      <w:bookmarkEnd w:id="85"/>
      <w:r w:rsidRPr="000A3A07">
        <w:t xml:space="preserve"> </w:t>
      </w:r>
    </w:p>
    <w:p w14:paraId="7A8DAD8F" w14:textId="77777777" w:rsidR="007C11E9" w:rsidRPr="000A3A07" w:rsidRDefault="007C11E9">
      <w:pPr>
        <w:rPr>
          <w:snapToGrid w:val="0"/>
          <w:lang w:eastAsia="sv-SE"/>
        </w:rPr>
      </w:pPr>
      <w:r w:rsidRPr="000A3A07">
        <w:t>Tranebergsbron i Stockholm är ett exempel på ett förskotterat samarbetspr</w:t>
      </w:r>
      <w:r w:rsidRPr="000A3A07">
        <w:t>o</w:t>
      </w:r>
      <w:r w:rsidRPr="000A3A07">
        <w:t>jekt. Vägverket, Storstockholms lokaltrafik och Stockholms stad är involv</w:t>
      </w:r>
      <w:r w:rsidRPr="000A3A07">
        <w:t>e</w:t>
      </w:r>
      <w:r w:rsidRPr="000A3A07">
        <w:t xml:space="preserve">rade i projektet. Bron beräknas kosta </w:t>
      </w:r>
      <w:r w:rsidRPr="000A3A07">
        <w:rPr>
          <w:snapToGrid w:val="0"/>
          <w:lang w:eastAsia="sv-SE"/>
        </w:rPr>
        <w:t>610 miljoner kronor i den prisnivå som rådde i juli 1998. Stockholms stad står för kostnaden under byggtiden. Vä</w:t>
      </w:r>
      <w:r w:rsidRPr="000A3A07">
        <w:rPr>
          <w:snapToGrid w:val="0"/>
          <w:lang w:eastAsia="sv-SE"/>
        </w:rPr>
        <w:t>g</w:t>
      </w:r>
      <w:r w:rsidRPr="000A3A07">
        <w:rPr>
          <w:snapToGrid w:val="0"/>
          <w:lang w:eastAsia="sv-SE"/>
        </w:rPr>
        <w:t xml:space="preserve">verket och SL återbetalar lånet till staden under tre år efter byggtidens slut år 2004. Vägverket ska stå för 494 miljoner kronor och SL för 116 miljoner kronor. Stockholms stad har dessutom förbundit sig att bidra med upp till 6,2 miljoner kronor beroende på objektets </w:t>
      </w:r>
      <w:commentRangeStart w:id="86"/>
      <w:r w:rsidRPr="000A3A07">
        <w:rPr>
          <w:snapToGrid w:val="0"/>
          <w:lang w:eastAsia="sv-SE"/>
        </w:rPr>
        <w:t>slutkos</w:t>
      </w:r>
      <w:r w:rsidRPr="000A3A07">
        <w:rPr>
          <w:snapToGrid w:val="0"/>
          <w:lang w:eastAsia="sv-SE"/>
        </w:rPr>
        <w:t>t</w:t>
      </w:r>
      <w:r w:rsidRPr="000A3A07">
        <w:rPr>
          <w:snapToGrid w:val="0"/>
          <w:lang w:eastAsia="sv-SE"/>
        </w:rPr>
        <w:t>nad</w:t>
      </w:r>
      <w:commentRangeEnd w:id="86"/>
      <w:r w:rsidRPr="000A3A07">
        <w:rPr>
          <w:rStyle w:val="Kommentarsreferens"/>
          <w:snapToGrid w:val="0"/>
          <w:sz w:val="19"/>
          <w:lang w:eastAsia="sv-SE"/>
        </w:rPr>
        <w:commentReference w:id="86"/>
      </w:r>
      <w:r w:rsidRPr="000A3A07">
        <w:rPr>
          <w:snapToGrid w:val="0"/>
          <w:lang w:eastAsia="sv-SE"/>
        </w:rPr>
        <w:t>.</w:t>
      </w:r>
    </w:p>
    <w:p w14:paraId="28484954" w14:textId="77777777" w:rsidR="007C11E9" w:rsidRPr="000A3A07" w:rsidRDefault="007C11E9">
      <w:pPr>
        <w:pStyle w:val="Rubrik2"/>
      </w:pPr>
      <w:bookmarkStart w:id="87" w:name="_Toc496581004"/>
      <w:bookmarkStart w:id="88" w:name="_Toc506340950"/>
      <w:r w:rsidRPr="000A3A07">
        <w:t>Rödöbron</w:t>
      </w:r>
      <w:bookmarkEnd w:id="87"/>
      <w:bookmarkEnd w:id="88"/>
      <w:r w:rsidRPr="000A3A07">
        <w:t xml:space="preserve"> </w:t>
      </w:r>
    </w:p>
    <w:p w14:paraId="7831D116" w14:textId="77777777" w:rsidR="007C11E9" w:rsidRPr="000A3A07" w:rsidRDefault="007C11E9">
      <w:r w:rsidRPr="000A3A07">
        <w:t>Rödöbron i Jämtland är den första broförbindelsen som avsågs finansieras med avgifter. Bron öppnades för trafik år 1993. För byggandet av bron bi</w:t>
      </w:r>
      <w:r w:rsidRPr="000A3A07">
        <w:t>l</w:t>
      </w:r>
      <w:r w:rsidRPr="000A3A07">
        <w:t>dades ett särskilt bolag, Rödöbron AB. Vägverkets investeringsaktiebolag Väginvest ägde 15 % av bolaget. Resterande andelar ägdes av tre kommuner samt sex privata intressenter i Jämtland. Bolaget hade rätt att under en tid ta ut vägavgifter av trafikanterna för att därefter överlämna bron till Vägverket. Riksdagen beslutade emellertid att ta bort broavgiften redan 1999. Vägve</w:t>
      </w:r>
      <w:r w:rsidRPr="000A3A07">
        <w:t>r</w:t>
      </w:r>
      <w:r w:rsidRPr="000A3A07">
        <w:t>kets anslag fick belastas med 18 miljoner kronor för lösen av lån för bron samt avvecklingskostnader för avgiftsanläggningen på bron</w:t>
      </w:r>
      <w:r w:rsidRPr="000A3A07">
        <w:t xml:space="preserve"> (Väginvest 1999 och prop. 1998/99:1, bet. 1998/99:TU1, rskr. 1998/99:79). </w:t>
      </w:r>
    </w:p>
    <w:p w14:paraId="2A2F3453" w14:textId="77777777" w:rsidR="007C11E9" w:rsidRPr="000A3A07" w:rsidRDefault="007C11E9">
      <w:pPr>
        <w:pStyle w:val="Rubrik2"/>
      </w:pPr>
      <w:bookmarkStart w:id="89" w:name="_Toc496581005"/>
      <w:bookmarkStart w:id="90" w:name="_Toc506340951"/>
      <w:r w:rsidRPr="000A3A07">
        <w:t>Grödingebanan och SL-investeringar</w:t>
      </w:r>
      <w:bookmarkEnd w:id="89"/>
      <w:bookmarkEnd w:id="90"/>
    </w:p>
    <w:p w14:paraId="6FF72D64" w14:textId="77777777" w:rsidR="007C11E9" w:rsidRPr="000A3A07" w:rsidRDefault="007C11E9">
      <w:r w:rsidRPr="000A3A07">
        <w:t>Banverket har tagit upp lån i Riksgäldskontoret för huvuddelen av utbyggn</w:t>
      </w:r>
      <w:r w:rsidRPr="000A3A07">
        <w:t>a</w:t>
      </w:r>
      <w:r w:rsidRPr="000A3A07">
        <w:t>den av Grödingebanan. Grödingebanan är en dubbelspårig järnväg som går från Flemingsberg via Södertälje till Järna. Järnvägen öppnades för trafik år 1995. Verket har också tagit upp lån i Riksgäldskontoret för investeringar i kollektivtrafiksystemet i Stockholmsområdet (”SL-paketet”). Banverket räknar med att utgifterna för SL-investeringarna och Grödingebanan kommer att uppgå till 1 672 miljoner kronor under perioden 2002–2011.</w:t>
      </w:r>
    </w:p>
    <w:p w14:paraId="78953BFA" w14:textId="77777777" w:rsidR="007C11E9" w:rsidRPr="000A3A07" w:rsidRDefault="007C11E9">
      <w:pPr>
        <w:pStyle w:val="Normaltindrag"/>
      </w:pPr>
      <w:r w:rsidRPr="000A3A07">
        <w:t>Banverket tar också upp lån för investeringar i eldriftsanläggningar och telen</w:t>
      </w:r>
      <w:r w:rsidRPr="000A3A07">
        <w:t>ätsutrustningar. Utgifterna för räntor och amorteringar för el- och tel</w:t>
      </w:r>
      <w:r w:rsidRPr="000A3A07">
        <w:t>e</w:t>
      </w:r>
      <w:r w:rsidRPr="000A3A07">
        <w:t xml:space="preserve">investeringar under perioden 2002–2011 beräknas uppgå till 7 947 miljoner kronor (SAMPLAN 1999). </w:t>
      </w:r>
    </w:p>
    <w:p w14:paraId="102AE055" w14:textId="77777777" w:rsidR="007C11E9" w:rsidRPr="000A3A07" w:rsidRDefault="007C11E9">
      <w:pPr>
        <w:pStyle w:val="Rubrik2"/>
      </w:pPr>
      <w:bookmarkStart w:id="91" w:name="_Toc496581006"/>
      <w:bookmarkStart w:id="92" w:name="_Toc506340952"/>
      <w:r w:rsidRPr="000A3A07">
        <w:t>Alandabanan</w:t>
      </w:r>
      <w:bookmarkEnd w:id="91"/>
      <w:bookmarkEnd w:id="92"/>
      <w:r w:rsidRPr="000A3A07">
        <w:t xml:space="preserve"> </w:t>
      </w:r>
    </w:p>
    <w:p w14:paraId="57ECCFC1" w14:textId="77777777" w:rsidR="007C11E9" w:rsidRPr="000A3A07" w:rsidRDefault="007C11E9">
      <w:r w:rsidRPr="000A3A07">
        <w:t>Arlandabanan är det första infrastrukturprojektet i landet som samfinansieras av staten och det privata näringslivet. Staten har svarat för utbyggnaden av den befintliga järnvägen mellan Stockholms Central och Rosersberg (det s.k. fyrspåret)</w:t>
      </w:r>
      <w:r w:rsidRPr="000A3A07">
        <w:rPr>
          <w:rStyle w:val="Fotnotsreferens"/>
        </w:rPr>
        <w:footnoteReference w:id="8"/>
      </w:r>
      <w:r w:rsidRPr="000A3A07">
        <w:t>. Förberedelserna för upphandlingen av Arlandabanans nya sträc</w:t>
      </w:r>
      <w:r w:rsidRPr="000A3A07">
        <w:t>k</w:t>
      </w:r>
      <w:r w:rsidRPr="000A3A07">
        <w:t>ning inleddes våren 1993. Upphandlingen avsåg delen Rosersberg–Arlanda flygplats (Södra böjen), anslutningen från Arlanda till Odensala (Norra b</w:t>
      </w:r>
      <w:r w:rsidRPr="000A3A07">
        <w:t>ö</w:t>
      </w:r>
      <w:r w:rsidRPr="000A3A07">
        <w:t>jen), stationslösningar på flygplatsen och Stockholms centralstation, anskaf</w:t>
      </w:r>
      <w:r w:rsidRPr="000A3A07">
        <w:t>f</w:t>
      </w:r>
      <w:r w:rsidRPr="000A3A07">
        <w:t>ning av tåg samt finansi</w:t>
      </w:r>
      <w:r w:rsidRPr="000A3A07">
        <w:t>e</w:t>
      </w:r>
      <w:r w:rsidRPr="000A3A07">
        <w:t xml:space="preserve">ring av projektet. </w:t>
      </w:r>
    </w:p>
    <w:p w14:paraId="32EB05C4" w14:textId="77777777" w:rsidR="007C11E9" w:rsidRPr="000A3A07" w:rsidRDefault="007C11E9">
      <w:pPr>
        <w:pStyle w:val="Normaltindrag"/>
      </w:pPr>
      <w:r w:rsidRPr="000A3A07">
        <w:t>Som ett led i förberedelsearbetet för upphandlingen bildade Banverket och Luftfartsverket efter riksdagens godkännande bolaget A-Banan Projekt AB (prop. 1993/94:39, bet. 1993/94:TU6,</w:t>
      </w:r>
      <w:r w:rsidRPr="000A3A07">
        <w:t xml:space="preserve"> rskr. 1993/94:74). Bolaget skulle a</w:t>
      </w:r>
      <w:r w:rsidRPr="000A3A07">
        <w:t>d</w:t>
      </w:r>
      <w:r w:rsidRPr="000A3A07">
        <w:t>ministrera upphandlingen av banan och samla de rättigheter och skyldigheter som bolaget behövde förfoga över i förhandling med de privata intressente</w:t>
      </w:r>
      <w:r w:rsidRPr="000A3A07">
        <w:t>r</w:t>
      </w:r>
      <w:r w:rsidRPr="000A3A07">
        <w:t>na</w:t>
      </w:r>
      <w:r w:rsidRPr="000A3A07">
        <w:rPr>
          <w:rStyle w:val="Fotnotsreferens"/>
        </w:rPr>
        <w:footnoteReference w:id="9"/>
      </w:r>
      <w:r w:rsidRPr="000A3A07">
        <w:t>. Bolaget blev de privata intressenternas motpart. Banverket och Luf</w:t>
      </w:r>
      <w:r w:rsidRPr="000A3A07">
        <w:t>t</w:t>
      </w:r>
      <w:r w:rsidRPr="000A3A07">
        <w:t>fartsverket har ställt ut en obegränsad likviditets- och kapitaltäckningsgaranti till förmån för bolaget (Banverket 2000).</w:t>
      </w:r>
    </w:p>
    <w:p w14:paraId="7D490432" w14:textId="77777777" w:rsidR="007C11E9" w:rsidRPr="000A3A07" w:rsidRDefault="007C11E9">
      <w:pPr>
        <w:pStyle w:val="Normaltindrag"/>
      </w:pPr>
      <w:r w:rsidRPr="000A3A07">
        <w:t>I augusti 1994 slöts ett avtal mellan A-Banan Projekt AB och det konsort</w:t>
      </w:r>
      <w:r w:rsidRPr="000A3A07">
        <w:t>i</w:t>
      </w:r>
      <w:r w:rsidRPr="000A3A07">
        <w:t>um som vann upphandlingen</w:t>
      </w:r>
      <w:r w:rsidRPr="000A3A07">
        <w:rPr>
          <w:rStyle w:val="Fotnotsreferens"/>
        </w:rPr>
        <w:footnoteReference w:id="10"/>
      </w:r>
      <w:r w:rsidRPr="000A3A07">
        <w:t>. Konsortiet bildade bolaget A-Train AB. A-Train AB skulle planera, finansiera, bygga och driva Arlandabanan.</w:t>
      </w:r>
    </w:p>
    <w:p w14:paraId="7532E3C1" w14:textId="77777777" w:rsidR="007C11E9" w:rsidRPr="000A3A07" w:rsidRDefault="007C11E9">
      <w:pPr>
        <w:pStyle w:val="Normaltindrag"/>
      </w:pPr>
      <w:r w:rsidRPr="000A3A07">
        <w:t>Kostnaden för utbyggnaden av Arlandabanan (Norra och Södra böjen) har beräknats till 4 500 miljoner kronor (www.ncc.se, 2000-08-18). Aktieägarna i det privata bolaget A-Train AB har satsat 600 miljoner kronor i aktiekap</w:t>
      </w:r>
      <w:r w:rsidRPr="000A3A07">
        <w:t>i</w:t>
      </w:r>
      <w:r w:rsidRPr="000A3A07">
        <w:t>tal. Staten har anslagit 850 miljoner kronor till projektet. Därtill finns lån i privata banker på 1 900 miljoner kronor och ett villkorslån från Riksgäld</w:t>
      </w:r>
      <w:r w:rsidRPr="000A3A07">
        <w:t>s</w:t>
      </w:r>
      <w:r w:rsidRPr="000A3A07">
        <w:t>kontoret på 1 000 miljoner kronor (Hultkrantz 2000). Villkorslånet löper utan ränta och ska vara efterställt alla övriga fordringar på A-Train AB. I stället för återbetalning har staten rätt till en årlig vinstdelning från bolaget. Åte</w:t>
      </w:r>
      <w:r w:rsidRPr="000A3A07">
        <w:t>r</w:t>
      </w:r>
      <w:r w:rsidRPr="000A3A07">
        <w:t>betalningen beror på bolagets resultat och kan bli allt från noll till relativt stora belopp.</w:t>
      </w:r>
    </w:p>
    <w:p w14:paraId="3C584B0A" w14:textId="77777777" w:rsidR="007C11E9" w:rsidRPr="000A3A07" w:rsidRDefault="007C11E9">
      <w:pPr>
        <w:pStyle w:val="Normaltindrag"/>
      </w:pPr>
      <w:r w:rsidRPr="000A3A07">
        <w:t>När Arlandabanan stod klar</w:t>
      </w:r>
      <w:r w:rsidRPr="000A3A07">
        <w:t xml:space="preserve"> överfördes äganderätten till banan till statens bolag A-banan Projekt </w:t>
      </w:r>
      <w:commentRangeStart w:id="93"/>
      <w:r w:rsidRPr="000A3A07">
        <w:t>AB</w:t>
      </w:r>
      <w:commentRangeEnd w:id="93"/>
      <w:r w:rsidRPr="000A3A07">
        <w:rPr>
          <w:rStyle w:val="Kommentarsreferens"/>
          <w:sz w:val="19"/>
        </w:rPr>
        <w:commentReference w:id="93"/>
      </w:r>
      <w:r w:rsidRPr="000A3A07">
        <w:t>, som i sin tur hyr ut den till A-train AB</w:t>
      </w:r>
      <w:r w:rsidRPr="000A3A07">
        <w:t>. A-Train AB har rätt att fram till år 2040 bedriva pendeltågstrafik mellan Stockholms centralstation och Arlanda flygplats. A-Train AB bedriver trafiken under namnet Arlanda Express. Bolagets intäkter består av biljettintäkterna från dem som nyttjar Arlandabanan. Banan öppnades för trafik 1999.</w:t>
      </w:r>
    </w:p>
    <w:p w14:paraId="22439614" w14:textId="77777777" w:rsidR="007C11E9" w:rsidRPr="000A3A07" w:rsidRDefault="007C11E9">
      <w:pPr>
        <w:pStyle w:val="Rubrik2"/>
      </w:pPr>
      <w:bookmarkStart w:id="94" w:name="_Toc496581007"/>
      <w:bookmarkStart w:id="95" w:name="_Toc506340953"/>
      <w:r w:rsidRPr="000A3A07">
        <w:t>Botniabanan</w:t>
      </w:r>
      <w:bookmarkEnd w:id="94"/>
      <w:bookmarkEnd w:id="95"/>
    </w:p>
    <w:p w14:paraId="15E12FC5" w14:textId="77777777" w:rsidR="007C11E9" w:rsidRPr="000A3A07" w:rsidRDefault="007C11E9">
      <w:r w:rsidRPr="000A3A07">
        <w:t>Botniabaneprojektet omfattar upprustning av befintlig järnväg mellan Sund</w:t>
      </w:r>
      <w:r w:rsidRPr="000A3A07">
        <w:t>s</w:t>
      </w:r>
      <w:r w:rsidRPr="000A3A07">
        <w:t>vall och Nyland norr om Kram</w:t>
      </w:r>
      <w:r w:rsidRPr="000A3A07">
        <w:softHyphen/>
        <w:t>fors (Ådalsbanan) samt nybyggnad av järnväg mellan Nyland och Umeå (Botniabanan). Den totala kostnaden för Botniab</w:t>
      </w:r>
      <w:r w:rsidRPr="000A3A07">
        <w:t>a</w:t>
      </w:r>
      <w:r w:rsidRPr="000A3A07">
        <w:t>neprojektet be</w:t>
      </w:r>
      <w:r w:rsidRPr="000A3A07">
        <w:softHyphen/>
        <w:t>räknas uppgå till ca 10 miljarder kronor. För upprustningen av Ådalsbanan har regeringen tills vidare reserverat 1 600 miljoner kronor. Banverket har redovisat ett förslag till olika investeringsnivåer för Ådalsb</w:t>
      </w:r>
      <w:r w:rsidRPr="000A3A07">
        <w:t>a</w:t>
      </w:r>
      <w:r w:rsidRPr="000A3A07">
        <w:t>nan. Förslagen omfattar åtgärder från 1 900 miljoner kronor till 2 500 milj</w:t>
      </w:r>
      <w:r w:rsidRPr="000A3A07">
        <w:t>o</w:t>
      </w:r>
      <w:r w:rsidRPr="000A3A07">
        <w:t>ner kronor. Regeringens beslut om hur mycket pengar det blir vä</w:t>
      </w:r>
      <w:r w:rsidRPr="000A3A07">
        <w:t>ntas under år 2000 (www.banverket.se, 2000-08-08). Upprustningen ska finansieras med Banverkets anslag. Nybyggnaden av Botniabanan beräknas kosta 8 200 mil</w:t>
      </w:r>
      <w:r w:rsidRPr="000A3A07">
        <w:softHyphen/>
        <w:t xml:space="preserve">joner kronor i den prisnivå som rådde i januari 1997. </w:t>
      </w:r>
    </w:p>
    <w:p w14:paraId="7AF25C60" w14:textId="77777777" w:rsidR="007C11E9" w:rsidRPr="000A3A07" w:rsidRDefault="007C11E9">
      <w:pPr>
        <w:pStyle w:val="Normaltindrag"/>
      </w:pPr>
      <w:r w:rsidRPr="000A3A07">
        <w:t>För utbyggnaden av Botniabanan bildade staten och fyra kommuner, Kramfors, Örnskölds</w:t>
      </w:r>
      <w:r w:rsidRPr="000A3A07">
        <w:softHyphen/>
        <w:t>vik, Nordmaling och Umeå, ett gemensamt aktiebolag, Botniaba</w:t>
      </w:r>
      <w:r w:rsidRPr="000A3A07">
        <w:softHyphen/>
        <w:t>nan AB. Bolaget ska ansvara för att järnvägen byggs och finansi</w:t>
      </w:r>
      <w:r w:rsidRPr="000A3A07">
        <w:t>e</w:t>
      </w:r>
      <w:r w:rsidRPr="000A3A07">
        <w:t>ras. Bolaget ägs till 91 % av staten</w:t>
      </w:r>
      <w:r w:rsidRPr="000A3A07">
        <w:rPr>
          <w:rStyle w:val="Fotnotsreferens"/>
        </w:rPr>
        <w:footnoteReference w:id="11"/>
      </w:r>
      <w:r w:rsidRPr="000A3A07">
        <w:t xml:space="preserve">. Kommunerna äger resterande 9 %. </w:t>
      </w:r>
    </w:p>
    <w:p w14:paraId="3ECEB77A" w14:textId="77777777" w:rsidR="007C11E9" w:rsidRPr="000A3A07" w:rsidRDefault="007C11E9">
      <w:pPr>
        <w:pStyle w:val="Normaltindrag"/>
      </w:pPr>
      <w:r w:rsidRPr="000A3A07">
        <w:t>Botniabanan AB ska finansiera utbyggnaden med lån på kapitalmarkn</w:t>
      </w:r>
      <w:r w:rsidRPr="000A3A07">
        <w:t>a</w:t>
      </w:r>
      <w:r w:rsidRPr="000A3A07">
        <w:t>den. Lånen får uppgå till en total kostnad på högst 8 200 miljoner kronor, exklusive finansiella kostnader. När banan är färdigbyggd ska Botniabanan AB hyra ut anläggningen till Banverket. Hyran ska motsvara den årliga kos</w:t>
      </w:r>
      <w:r w:rsidRPr="000A3A07">
        <w:t>t</w:t>
      </w:r>
      <w:r w:rsidRPr="000A3A07">
        <w:t>naden för amorteringar, räntor och drift av projekt</w:t>
      </w:r>
      <w:r w:rsidRPr="000A3A07">
        <w:softHyphen/>
        <w:t xml:space="preserve">bolaget. Statens kostnader för hyra ska rymmas inom ramen för Banverkets anslag (prop. 1998/99:100, bet. 1998/99:FiU27, rskr. 1998/99:249). </w:t>
      </w:r>
    </w:p>
    <w:p w14:paraId="1B618CAD" w14:textId="77777777" w:rsidR="007C11E9" w:rsidRPr="000A3A07" w:rsidRDefault="007C11E9">
      <w:pPr>
        <w:pStyle w:val="Normaltindrag"/>
      </w:pPr>
      <w:r w:rsidRPr="000A3A07">
        <w:t>Hyreskontraktet löper ut den 31 december 2045. Banan ska förvaltas och drivas som övriga stomjä</w:t>
      </w:r>
      <w:r w:rsidRPr="000A3A07">
        <w:t>r</w:t>
      </w:r>
      <w:r w:rsidRPr="000A3A07">
        <w:t>n</w:t>
      </w:r>
      <w:r w:rsidRPr="000A3A07">
        <w:t>vägar.</w:t>
      </w:r>
    </w:p>
    <w:p w14:paraId="085E9C06" w14:textId="77777777" w:rsidR="007C11E9" w:rsidRPr="000A3A07" w:rsidRDefault="007C11E9">
      <w:pPr>
        <w:pStyle w:val="Normaltindrag"/>
      </w:pPr>
      <w:r w:rsidRPr="000A3A07">
        <w:t>Kommunerna ska finansiera fyra fem stationer som beräknas kosta totalt ca 600 miljoner kronor. Kommunerna och landstingen har också förbundit sig att bedriva regional persontrafik under 15 år efter Botniabanans färdi</w:t>
      </w:r>
      <w:r w:rsidRPr="000A3A07">
        <w:t>g</w:t>
      </w:r>
      <w:r w:rsidRPr="000A3A07">
        <w:t>ställande.</w:t>
      </w:r>
    </w:p>
    <w:p w14:paraId="3094371F" w14:textId="77777777" w:rsidR="007C11E9" w:rsidRPr="000A3A07" w:rsidRDefault="007C11E9">
      <w:pPr>
        <w:pStyle w:val="Normaltindrag"/>
      </w:pPr>
      <w:r w:rsidRPr="000A3A07">
        <w:t>Riksdagen bemyndigade 1998 regeringen att för Botniabanans första etapp utfärda kapitaltäckningsgarantier till skydd för Bot</w:t>
      </w:r>
      <w:r w:rsidRPr="000A3A07">
        <w:softHyphen/>
        <w:t>niabanan AB:s eget kap</w:t>
      </w:r>
      <w:r w:rsidRPr="000A3A07">
        <w:t>i</w:t>
      </w:r>
      <w:r w:rsidRPr="000A3A07">
        <w:t>tal och att garantera bola</w:t>
      </w:r>
      <w:r w:rsidRPr="000A3A07">
        <w:softHyphen/>
        <w:t>gets förpliktelser gentemot långivare, rättighetsinn</w:t>
      </w:r>
      <w:r w:rsidRPr="000A3A07">
        <w:t>e</w:t>
      </w:r>
      <w:r w:rsidRPr="000A3A07">
        <w:t xml:space="preserve">havare och </w:t>
      </w:r>
      <w:commentRangeStart w:id="96"/>
      <w:r w:rsidRPr="000A3A07">
        <w:t>fordringsägare</w:t>
      </w:r>
      <w:commentRangeEnd w:id="96"/>
      <w:r w:rsidRPr="000A3A07">
        <w:rPr>
          <w:rStyle w:val="Kommentarsreferens"/>
          <w:sz w:val="19"/>
        </w:rPr>
        <w:commentReference w:id="96"/>
      </w:r>
      <w:r w:rsidRPr="000A3A07">
        <w:t>, inom en ram om 1 495 miljoner kronor i den prisnivå som rådde i januari 1997. Dessutom fick Botniabanan AB låna 50 miljoner kronor av Banverkets anslag för investeringar och drift och unde</w:t>
      </w:r>
      <w:r w:rsidRPr="000A3A07">
        <w:t>r</w:t>
      </w:r>
      <w:r w:rsidRPr="000A3A07">
        <w:t xml:space="preserve">håll (prop. 1997/98:150, bet. 1997/98:FiU27, rskr. 1997/98:317). </w:t>
      </w:r>
    </w:p>
    <w:p w14:paraId="411368CB" w14:textId="77777777" w:rsidR="007C11E9" w:rsidRPr="000A3A07" w:rsidRDefault="007C11E9">
      <w:pPr>
        <w:pStyle w:val="Normaltindrag"/>
      </w:pPr>
      <w:r w:rsidRPr="000A3A07">
        <w:t>Utbyggnaden av Botniabanan påbörjades 1999. Banan beräknades enligt de ursprungliga planerna vara färdigbyggd vid årsskiftet 2005/2006. Enligt uppgift från Botniabanan AB kommer projektet att försenas minst ett år. Nya Ådalsbanan beräknas tas i drift år 2</w:t>
      </w:r>
      <w:r w:rsidRPr="000A3A07">
        <w:t>006 (www.banv</w:t>
      </w:r>
      <w:bookmarkStart w:id="97" w:name="_Hlt493919912"/>
      <w:r w:rsidRPr="000A3A07">
        <w:t>e</w:t>
      </w:r>
      <w:bookmarkEnd w:id="97"/>
      <w:r w:rsidRPr="000A3A07">
        <w:t>rket.s</w:t>
      </w:r>
      <w:bookmarkStart w:id="98" w:name="_Hlt493919926"/>
      <w:r w:rsidRPr="000A3A07">
        <w:t>e</w:t>
      </w:r>
      <w:bookmarkEnd w:id="98"/>
      <w:r w:rsidRPr="000A3A07">
        <w:t xml:space="preserve">, 2000-08-08). </w:t>
      </w:r>
    </w:p>
    <w:p w14:paraId="20A806FE" w14:textId="77777777" w:rsidR="007C11E9" w:rsidRPr="000A3A07" w:rsidRDefault="007C11E9">
      <w:pPr>
        <w:pStyle w:val="Rubrik2"/>
      </w:pPr>
      <w:bookmarkStart w:id="99" w:name="_Toc496581008"/>
      <w:bookmarkStart w:id="100" w:name="_Toc506340954"/>
      <w:r w:rsidRPr="000A3A07">
        <w:t>Öresundsförbindelsen med anslutningar och Citytunneln</w:t>
      </w:r>
      <w:bookmarkEnd w:id="99"/>
      <w:bookmarkEnd w:id="100"/>
    </w:p>
    <w:p w14:paraId="6921108B" w14:textId="77777777" w:rsidR="007C11E9" w:rsidRPr="000A3A07" w:rsidRDefault="007C11E9">
      <w:r w:rsidRPr="000A3A07">
        <w:rPr>
          <w:i/>
        </w:rPr>
        <w:t xml:space="preserve">Den fasta förbindelsen över Öresund </w:t>
      </w:r>
      <w:r w:rsidRPr="000A3A07">
        <w:t>ska finansieras med avgifter som tas ut av trafikanterna. Med anledning av projektet bildades i Sverige det statliga bolaget Svensk-danska broförbindelsen AB (SVEDAB). Vägverket och Banverket förvaltar vardera hälften av aktierna i bolaget. I Danmark bildades bolaget A/S Øresundsforbindelsen. Det svenska och det danska bolaget bi</w:t>
      </w:r>
      <w:r w:rsidRPr="000A3A07">
        <w:t>l</w:t>
      </w:r>
      <w:r w:rsidRPr="000A3A07">
        <w:t>dade 1992 Öresundsbrokonsortiet</w:t>
      </w:r>
      <w:commentRangeStart w:id="101"/>
      <w:commentRangeEnd w:id="101"/>
      <w:r w:rsidRPr="000A3A07">
        <w:rPr>
          <w:rStyle w:val="Kommentarsreferens"/>
          <w:sz w:val="19"/>
        </w:rPr>
        <w:commentReference w:id="101"/>
      </w:r>
      <w:r w:rsidRPr="000A3A07">
        <w:t>.</w:t>
      </w:r>
    </w:p>
    <w:p w14:paraId="34848F45" w14:textId="77777777" w:rsidR="007C11E9" w:rsidRPr="000A3A07" w:rsidRDefault="007C11E9">
      <w:pPr>
        <w:pStyle w:val="Normaltindrag"/>
      </w:pPr>
      <w:r w:rsidRPr="000A3A07">
        <w:t>Öresundsbrokonsortiet finansierar utbyggnaden av förbindelsen genom lån på marknaden. Lånen garanteras solidariskt av svenska staten (genom Rik</w:t>
      </w:r>
      <w:r w:rsidRPr="000A3A07">
        <w:t>s</w:t>
      </w:r>
      <w:r w:rsidRPr="000A3A07">
        <w:t>gäldskontoret) och danska staten (genom Danmarks Nationalbank). Båda staterna garanterar hela upplåningen, men har regressrätt gentemot varandra på halva beloppet</w:t>
      </w:r>
      <w:r w:rsidRPr="000A3A07">
        <w:rPr>
          <w:rStyle w:val="Fotnotsreferens"/>
        </w:rPr>
        <w:footnoteReference w:id="12"/>
      </w:r>
      <w:r w:rsidRPr="000A3A07">
        <w:t xml:space="preserve"> (bet. 1997/98:</w:t>
      </w:r>
      <w:commentRangeStart w:id="102"/>
      <w:r w:rsidRPr="000A3A07">
        <w:t>TU6</w:t>
      </w:r>
      <w:commentRangeEnd w:id="102"/>
      <w:r w:rsidRPr="000A3A07">
        <w:rPr>
          <w:rStyle w:val="Kommentarsreferens"/>
          <w:sz w:val="19"/>
        </w:rPr>
        <w:commentReference w:id="102"/>
      </w:r>
      <w:r w:rsidRPr="000A3A07">
        <w:t xml:space="preserve">). </w:t>
      </w:r>
    </w:p>
    <w:p w14:paraId="5C791DAF" w14:textId="77777777" w:rsidR="007C11E9" w:rsidRPr="000A3A07" w:rsidRDefault="007C11E9">
      <w:pPr>
        <w:pStyle w:val="Normaltindrag"/>
      </w:pPr>
      <w:r w:rsidRPr="000A3A07">
        <w:t xml:space="preserve">Vid utgången av 1998 uppgick Öresundsbrokonsortiets totala upplåning till 22 200 miljoner kronor (Riksgäldskontoret </w:t>
      </w:r>
      <w:commentRangeStart w:id="103"/>
      <w:r w:rsidRPr="000A3A07">
        <w:t>1999</w:t>
      </w:r>
      <w:commentRangeEnd w:id="103"/>
      <w:r w:rsidRPr="000A3A07">
        <w:rPr>
          <w:rStyle w:val="Kommentarsreferens"/>
          <w:sz w:val="19"/>
        </w:rPr>
        <w:commentReference w:id="103"/>
      </w:r>
      <w:r w:rsidRPr="000A3A07">
        <w:t xml:space="preserve">). Enligt regeringens bedömning kan anläggandet av Öresundsförbindelsen avslutas inom ramen för en budget på 21 569 miljoner kronor i 2000 års prisnivå (prop. 1999/2000:66). </w:t>
      </w:r>
    </w:p>
    <w:p w14:paraId="2D74B7B0" w14:textId="77777777" w:rsidR="007C11E9" w:rsidRPr="000A3A07" w:rsidRDefault="007C11E9">
      <w:pPr>
        <w:pStyle w:val="Normaltindrag"/>
      </w:pPr>
      <w:r w:rsidRPr="000A3A07">
        <w:t>När förbindelsen öppnas för trafik ska Öresundsbrokonsortiet återbetala sin skuld med avgifterna från förbindelsens väg- och järnvägstrafik. Återb</w:t>
      </w:r>
      <w:r w:rsidRPr="000A3A07">
        <w:t>e</w:t>
      </w:r>
      <w:r w:rsidRPr="000A3A07">
        <w:t>talningstiden beräknades år 1997 till 27 år (prop. 1996/97:161 bil. 1). Våren år 2000 beslutade riksdagen att i enlighet med reglerna inom EU införa me</w:t>
      </w:r>
      <w:r w:rsidRPr="000A3A07">
        <w:t>r</w:t>
      </w:r>
      <w:r w:rsidRPr="000A3A07">
        <w:t>värdesskatt på broavgiften. I stället för att höja broavgifterna valde Ör</w:t>
      </w:r>
      <w:r w:rsidRPr="000A3A07">
        <w:t>e</w:t>
      </w:r>
      <w:r w:rsidRPr="000A3A07">
        <w:t>sundsbrokonsortiet att förlänga lånens återbetalningstid från 27 år till 30 år (prop. 1999/2000:66).</w:t>
      </w:r>
    </w:p>
    <w:p w14:paraId="71B7B11A" w14:textId="77777777" w:rsidR="007C11E9" w:rsidRPr="000A3A07" w:rsidRDefault="007C11E9">
      <w:pPr>
        <w:pStyle w:val="Normaltindrag"/>
      </w:pPr>
      <w:r w:rsidRPr="000A3A07">
        <w:t>Öresundsbrokonsortiet ska ge årlig utdelning till de båda moderbolagen SVEDAB och A/S Øresundsforbindelsen så fort konsortiet har redovisat fritt eget kapital. När lånen har återbetala</w:t>
      </w:r>
      <w:r w:rsidRPr="000A3A07">
        <w:t>ts kommer driftöverskottet att delas lika mellan SVEDAB och A/S Øresundsforbindelsen (SVEDAB 1996).</w:t>
      </w:r>
    </w:p>
    <w:p w14:paraId="2F122E4E" w14:textId="77777777" w:rsidR="007C11E9" w:rsidRPr="000A3A07" w:rsidRDefault="007C11E9">
      <w:pPr>
        <w:rPr>
          <w:i/>
        </w:rPr>
      </w:pPr>
      <w:r w:rsidRPr="000A3A07">
        <w:rPr>
          <w:i/>
        </w:rPr>
        <w:t xml:space="preserve">De svenska landanslutningarna </w:t>
      </w:r>
    </w:p>
    <w:p w14:paraId="6787238D" w14:textId="77777777" w:rsidR="007C11E9" w:rsidRPr="000A3A07" w:rsidRDefault="007C11E9">
      <w:r w:rsidRPr="000A3A07">
        <w:t>SVEDAB svarar också för planering, projektering, byggande, drift, underhåll och finansiering av de svenska landanslutningarna till Öresundsförbindelsen. Landanslutningarna består av en dubbelspårig järnväg och en fyrfilig moto</w:t>
      </w:r>
      <w:r w:rsidRPr="000A3A07">
        <w:t>r</w:t>
      </w:r>
      <w:r w:rsidRPr="000A3A07">
        <w:t>väg. Anläggningskostnaderna beräknas uppgå till 2 600 miljoner kronor räknat i den prisnivå som rådde i januari 1997 (prop. 1999/2000:66). Detta beräknas motsvara 3 700 miljoner kronor i löpande prisnivå inklusive moms och kapitaltjänstkostnader vid tidpunkten för invigningen (SVEDAB 2000). Landanslutningarna finansieras med lån i Riksgäldskontoret</w:t>
      </w:r>
      <w:commentRangeStart w:id="104"/>
      <w:r w:rsidRPr="000A3A07">
        <w:t xml:space="preserve"> </w:t>
      </w:r>
      <w:commentRangeEnd w:id="104"/>
      <w:r w:rsidRPr="000A3A07">
        <w:rPr>
          <w:rStyle w:val="Kommentarsreferens"/>
          <w:sz w:val="19"/>
        </w:rPr>
        <w:commentReference w:id="104"/>
      </w:r>
      <w:r w:rsidRPr="000A3A07">
        <w:t>(prop. 1996/97:161, bet. 1997/98:TU6, rskr. 1997/98:32)</w:t>
      </w:r>
      <w:r w:rsidRPr="000A3A07">
        <w:t>. Lånen för anslutningarna uppgick vid utgången av 1999 till 2 770 miljoner kronor (SVEDAB 2000).</w:t>
      </w:r>
    </w:p>
    <w:p w14:paraId="466BC16C" w14:textId="77777777" w:rsidR="007C11E9" w:rsidRPr="000A3A07" w:rsidRDefault="007C11E9">
      <w:pPr>
        <w:pStyle w:val="Normaltindrag"/>
      </w:pPr>
      <w:r w:rsidRPr="000A3A07">
        <w:t>Lånen ska återbetalas med SVEDAB:s utdelning från Öresundsbrokonso</w:t>
      </w:r>
      <w:r w:rsidRPr="000A3A07">
        <w:t>r</w:t>
      </w:r>
      <w:r w:rsidRPr="000A3A07">
        <w:t xml:space="preserve">tiet t.o.m. Öresundsförbindelsens 30:e driftår. Därefter tar Riksgäldskontoret över SVEDAB:s fordran. </w:t>
      </w:r>
    </w:p>
    <w:p w14:paraId="2EE826F9" w14:textId="77777777" w:rsidR="007C11E9" w:rsidRPr="000A3A07" w:rsidRDefault="007C11E9">
      <w:pPr>
        <w:pStyle w:val="Normaltindrag"/>
      </w:pPr>
      <w:r w:rsidRPr="000A3A07">
        <w:t>Återbetalningstiden för SVEDAB:s lån beräknades ursprungligen till 30 år. Införandet av mervärdesskatt på broavgifterna medför dock att utdelningen från Öresundskonsortiet senareläggs. Det betyder enligt regeringens bedö</w:t>
      </w:r>
      <w:r w:rsidRPr="000A3A07">
        <w:t>m</w:t>
      </w:r>
      <w:r w:rsidRPr="000A3A07">
        <w:t>ning att återbetalningstiden för SVEDAB:s lån förlängs till 38 år (prop. 1999/2000:66).</w:t>
      </w:r>
    </w:p>
    <w:p w14:paraId="1B2BF706" w14:textId="77777777" w:rsidR="007C11E9" w:rsidRPr="000A3A07" w:rsidRDefault="007C11E9">
      <w:pPr>
        <w:pStyle w:val="Normaltindrag"/>
      </w:pPr>
      <w:r w:rsidRPr="000A3A07">
        <w:t xml:space="preserve">Efter beslut i </w:t>
      </w:r>
      <w:commentRangeStart w:id="105"/>
      <w:r w:rsidRPr="000A3A07">
        <w:t xml:space="preserve">riksdagen </w:t>
      </w:r>
      <w:commentRangeEnd w:id="105"/>
      <w:r w:rsidRPr="000A3A07">
        <w:rPr>
          <w:rStyle w:val="Kommentarsreferens"/>
          <w:sz w:val="19"/>
        </w:rPr>
        <w:commentReference w:id="105"/>
      </w:r>
      <w:r w:rsidRPr="000A3A07">
        <w:t>har regeringen uppdragit åt Vägverket och Ba</w:t>
      </w:r>
      <w:r w:rsidRPr="000A3A07">
        <w:t>n</w:t>
      </w:r>
      <w:r w:rsidRPr="000A3A07">
        <w:t>verket att ställa ut kapitaltäckningsgarantier för SVEDAB:s eget kapital</w:t>
      </w:r>
      <w:r w:rsidRPr="000A3A07">
        <w:rPr>
          <w:rStyle w:val="Fotnotsreferens"/>
        </w:rPr>
        <w:footnoteReference w:id="13"/>
      </w:r>
      <w:r w:rsidRPr="000A3A07">
        <w:t xml:space="preserve"> och en borgen till SVEDAB för de lån som upptagits i Riksgäldskontoret. Riksgäldskontoret har övertagit garantin och borgen samt fått rätt att disp</w:t>
      </w:r>
      <w:r w:rsidRPr="000A3A07">
        <w:t>o</w:t>
      </w:r>
      <w:r w:rsidRPr="000A3A07">
        <w:t>nera medel från Vägverkets och Banverkets anslag för att täcka förluster vid infriande av kapitaltäckningsgarantin till SVEDAB eller för eventuella fö</w:t>
      </w:r>
      <w:r w:rsidRPr="000A3A07">
        <w:t>r</w:t>
      </w:r>
      <w:r w:rsidRPr="000A3A07">
        <w:t xml:space="preserve">luster i samband med Riksgäldskontorets utlåning till SVEDAB (prop. 1999/2000:1, bet. 1999/2000:TU1, rskr. 1999/2000:85 och 86). </w:t>
      </w:r>
    </w:p>
    <w:p w14:paraId="00B06F7C" w14:textId="77777777" w:rsidR="007C11E9" w:rsidRPr="000A3A07" w:rsidRDefault="007C11E9">
      <w:pPr>
        <w:pStyle w:val="Normaltindrag"/>
      </w:pPr>
      <w:r w:rsidRPr="000A3A07">
        <w:t>Våren år 2000 meddelade regeringen att SVEDAB:s eget kapital redan u</w:t>
      </w:r>
      <w:r w:rsidRPr="000A3A07">
        <w:t>n</w:t>
      </w:r>
      <w:r w:rsidRPr="000A3A07">
        <w:t>der öppningsåret kommer att understiga hälften av det registrerade aktiek</w:t>
      </w:r>
      <w:r w:rsidRPr="000A3A07">
        <w:t>a</w:t>
      </w:r>
      <w:r w:rsidRPr="000A3A07">
        <w:t>pitalet. Riksgäldskontorets kapitaltäckningsgaranti kommer därmed att u</w:t>
      </w:r>
      <w:r w:rsidRPr="000A3A07">
        <w:t>t</w:t>
      </w:r>
      <w:r w:rsidRPr="000A3A07">
        <w:t>nyttjas (prop. 1999/2000:66).</w:t>
      </w:r>
    </w:p>
    <w:p w14:paraId="0BB19468" w14:textId="77777777" w:rsidR="007C11E9" w:rsidRPr="000A3A07" w:rsidRDefault="007C11E9">
      <w:pPr>
        <w:pStyle w:val="Normaltindrag"/>
      </w:pPr>
      <w:r w:rsidRPr="000A3A07">
        <w:t>I sin årsredovisning för 1999 räknar SVEDAB med att aktieägartillskottet från kapitaltäckningsgarantin kommer att uppgå till ca 970 miljoner kronor under de första 18 månaderna. Ytterligare tillskott kan bli nödvändigt även därefter. Bolaget framhåller att denna situation inte är någon nyhet, utan har legat till grund för de överväga</w:t>
      </w:r>
      <w:r w:rsidRPr="000A3A07">
        <w:t>nden som föranlett att en garanti ställts ut till skydd för bol</w:t>
      </w:r>
      <w:r w:rsidRPr="000A3A07">
        <w:t>a</w:t>
      </w:r>
      <w:r w:rsidRPr="000A3A07">
        <w:t>gets eget kapital (SVEDAB 2000).</w:t>
      </w:r>
    </w:p>
    <w:p w14:paraId="369721A4" w14:textId="77777777" w:rsidR="007C11E9" w:rsidRPr="000A3A07" w:rsidRDefault="007C11E9">
      <w:pPr>
        <w:pStyle w:val="Normaltindrag"/>
      </w:pPr>
      <w:r w:rsidRPr="000A3A07">
        <w:t>Vägverket och Banverket har i separata skrivelser i december 1999 up</w:t>
      </w:r>
      <w:r w:rsidRPr="000A3A07">
        <w:t>p</w:t>
      </w:r>
      <w:r w:rsidRPr="000A3A07">
        <w:t>märksammat regeringen på de konsekvenser som infriandet av kapitaltäc</w:t>
      </w:r>
      <w:r w:rsidRPr="000A3A07">
        <w:t>k</w:t>
      </w:r>
      <w:r w:rsidRPr="000A3A07">
        <w:t>ning</w:t>
      </w:r>
      <w:r w:rsidRPr="000A3A07">
        <w:t>s</w:t>
      </w:r>
      <w:r w:rsidRPr="000A3A07">
        <w:t>garantierna får för verkens verksamhet (Banverket 2000).</w:t>
      </w:r>
    </w:p>
    <w:p w14:paraId="5EF256F9" w14:textId="77777777" w:rsidR="007C11E9" w:rsidRPr="000A3A07" w:rsidRDefault="007C11E9">
      <w:pPr>
        <w:rPr>
          <w:i/>
        </w:rPr>
      </w:pPr>
      <w:r w:rsidRPr="000A3A07">
        <w:rPr>
          <w:i/>
        </w:rPr>
        <w:t>Citytunneln i Malmö</w:t>
      </w:r>
    </w:p>
    <w:p w14:paraId="11FF6E12" w14:textId="77777777" w:rsidR="007C11E9" w:rsidRPr="000A3A07" w:rsidRDefault="007C11E9">
      <w:r w:rsidRPr="000A3A07">
        <w:t>Citytunneln i Malmö ska förbinda Malmö centralstation med Öresundsfö</w:t>
      </w:r>
      <w:r w:rsidRPr="000A3A07">
        <w:t>r</w:t>
      </w:r>
      <w:r w:rsidRPr="000A3A07">
        <w:t>bindelsen genom en 12 kilometer lång järnvägsförbindelse under staden. Staten och regionen träffade 1992 en överenskommelse om åtgärder i trafi</w:t>
      </w:r>
      <w:r w:rsidRPr="000A3A07">
        <w:t>k</w:t>
      </w:r>
      <w:r w:rsidRPr="000A3A07">
        <w:t>systemet i Malmöregionen. Bland annat föreslogs att en citytunnel skulle byggas. Fem år senare, år 1997, undertecknade staten, Banverket, SJ, Malmö kommun och Kommunalförbundet för Malmöhus läns kollektivtrafik ett avtal om genomf</w:t>
      </w:r>
      <w:r w:rsidRPr="000A3A07">
        <w:t>ö</w:t>
      </w:r>
      <w:r w:rsidRPr="000A3A07">
        <w:t xml:space="preserve">rande och finansiering av Citytunneln i Malmö. </w:t>
      </w:r>
    </w:p>
    <w:p w14:paraId="0F2E5354" w14:textId="77777777" w:rsidR="007C11E9" w:rsidRPr="000A3A07" w:rsidRDefault="007C11E9">
      <w:pPr>
        <w:pStyle w:val="Normaltindrag"/>
      </w:pPr>
      <w:r w:rsidRPr="000A3A07">
        <w:t xml:space="preserve">Anläggningskostnaderna för Citytunneln beräknades i avtalet till 4 950 miljoner </w:t>
      </w:r>
      <w:commentRangeStart w:id="106"/>
      <w:r w:rsidRPr="000A3A07">
        <w:t xml:space="preserve">kronor </w:t>
      </w:r>
      <w:commentRangeEnd w:id="106"/>
      <w:r w:rsidRPr="000A3A07">
        <w:rPr>
          <w:rStyle w:val="Kommentarsreferens"/>
          <w:sz w:val="19"/>
        </w:rPr>
        <w:commentReference w:id="106"/>
      </w:r>
      <w:r w:rsidRPr="000A3A07">
        <w:t xml:space="preserve">i den prisnivå som rådde i januari 1996 (prop. 1996/97:161, bet. 1997/98:TU6, rskr. 1997/98:32). Enligt avtalet skulle staten ansvara för 52 % och regionen för 48 % av projektets totala kostnader (se tabell 7). </w:t>
      </w:r>
    </w:p>
    <w:p w14:paraId="7F3F6620" w14:textId="77777777" w:rsidR="007C11E9" w:rsidRPr="000A3A07" w:rsidRDefault="007C11E9">
      <w:pPr>
        <w:pStyle w:val="Normaltindrag"/>
      </w:pPr>
    </w:p>
    <w:p w14:paraId="3E3DC4B3" w14:textId="77777777" w:rsidR="007C11E9" w:rsidRPr="000A3A07" w:rsidRDefault="007C11E9">
      <w:pPr>
        <w:pStyle w:val="Tabellrubrik1"/>
      </w:pPr>
      <w:r w:rsidRPr="000A3A07">
        <w:t>Tabell 7. Kostnadsansvar för Citytunneln (prisnivå januari 1996) enligt avtal 1997</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941"/>
        <w:gridCol w:w="2941"/>
      </w:tblGrid>
      <w:tr w:rsidR="00000000" w:rsidRPr="000A3A07" w14:paraId="25822D74" w14:textId="77777777">
        <w:tblPrEx>
          <w:tblCellMar>
            <w:top w:w="0" w:type="dxa"/>
            <w:bottom w:w="0" w:type="dxa"/>
          </w:tblCellMar>
        </w:tblPrEx>
        <w:tc>
          <w:tcPr>
            <w:tcW w:w="2941" w:type="dxa"/>
            <w:tcBorders>
              <w:bottom w:val="single" w:sz="6" w:space="0" w:color="000000"/>
            </w:tcBorders>
            <w:shd w:val="pct30" w:color="FFFF00" w:fill="FFFFFF"/>
          </w:tcPr>
          <w:p w14:paraId="62AFD03B" w14:textId="77777777" w:rsidR="007C11E9" w:rsidRPr="000A3A07" w:rsidRDefault="007C11E9">
            <w:pPr>
              <w:pStyle w:val="Normaltindrag"/>
              <w:ind w:firstLine="0"/>
              <w:rPr>
                <w:b/>
              </w:rPr>
            </w:pPr>
            <w:r w:rsidRPr="000A3A07">
              <w:rPr>
                <w:b/>
              </w:rPr>
              <w:t>Kostnadsansvar</w:t>
            </w:r>
          </w:p>
        </w:tc>
        <w:tc>
          <w:tcPr>
            <w:tcW w:w="2941" w:type="dxa"/>
            <w:tcBorders>
              <w:bottom w:val="single" w:sz="6" w:space="0" w:color="000000"/>
            </w:tcBorders>
            <w:shd w:val="pct30" w:color="FFFF00" w:fill="FFFFFF"/>
          </w:tcPr>
          <w:p w14:paraId="0DD45309" w14:textId="77777777" w:rsidR="007C11E9" w:rsidRPr="000A3A07" w:rsidRDefault="007C11E9">
            <w:pPr>
              <w:pStyle w:val="Normaltindrag"/>
              <w:ind w:firstLine="0"/>
              <w:jc w:val="center"/>
              <w:rPr>
                <w:b/>
              </w:rPr>
            </w:pPr>
            <w:r w:rsidRPr="000A3A07">
              <w:rPr>
                <w:b/>
              </w:rPr>
              <w:t>Kostnad (miljoner kronor)</w:t>
            </w:r>
          </w:p>
        </w:tc>
      </w:tr>
      <w:tr w:rsidR="00000000" w:rsidRPr="000A3A07" w14:paraId="4F88254C" w14:textId="77777777">
        <w:tblPrEx>
          <w:tblCellMar>
            <w:top w:w="0" w:type="dxa"/>
            <w:bottom w:w="0" w:type="dxa"/>
          </w:tblCellMar>
        </w:tblPrEx>
        <w:tc>
          <w:tcPr>
            <w:tcW w:w="2941" w:type="dxa"/>
            <w:tcBorders>
              <w:top w:val="nil"/>
            </w:tcBorders>
          </w:tcPr>
          <w:p w14:paraId="0E1682ED" w14:textId="77777777" w:rsidR="007C11E9" w:rsidRPr="000A3A07" w:rsidRDefault="007C11E9">
            <w:pPr>
              <w:pStyle w:val="Normaltindrag"/>
              <w:ind w:firstLine="0"/>
            </w:pPr>
            <w:r w:rsidRPr="000A3A07">
              <w:t>Staten</w:t>
            </w:r>
          </w:p>
        </w:tc>
        <w:tc>
          <w:tcPr>
            <w:tcW w:w="2941" w:type="dxa"/>
            <w:tcBorders>
              <w:top w:val="nil"/>
            </w:tcBorders>
          </w:tcPr>
          <w:p w14:paraId="10A97207" w14:textId="77777777" w:rsidR="007C11E9" w:rsidRPr="000A3A07" w:rsidRDefault="007C11E9">
            <w:pPr>
              <w:pStyle w:val="Normaltindrag"/>
              <w:ind w:firstLine="0"/>
              <w:jc w:val="center"/>
            </w:pPr>
            <w:r w:rsidRPr="000A3A07">
              <w:t>2 557</w:t>
            </w:r>
          </w:p>
        </w:tc>
      </w:tr>
      <w:tr w:rsidR="00000000" w:rsidRPr="000A3A07" w14:paraId="530138EC" w14:textId="77777777">
        <w:tblPrEx>
          <w:tblCellMar>
            <w:top w:w="0" w:type="dxa"/>
            <w:bottom w:w="0" w:type="dxa"/>
          </w:tblCellMar>
        </w:tblPrEx>
        <w:tc>
          <w:tcPr>
            <w:tcW w:w="2941" w:type="dxa"/>
            <w:tcBorders>
              <w:bottom w:val="nil"/>
            </w:tcBorders>
          </w:tcPr>
          <w:p w14:paraId="350BBBA3" w14:textId="77777777" w:rsidR="007C11E9" w:rsidRPr="000A3A07" w:rsidRDefault="007C11E9">
            <w:pPr>
              <w:pStyle w:val="Normaltindrag"/>
              <w:ind w:firstLine="0"/>
            </w:pPr>
            <w:r w:rsidRPr="000A3A07">
              <w:t>Regionen</w:t>
            </w:r>
          </w:p>
        </w:tc>
        <w:tc>
          <w:tcPr>
            <w:tcW w:w="2941" w:type="dxa"/>
            <w:tcBorders>
              <w:bottom w:val="nil"/>
            </w:tcBorders>
          </w:tcPr>
          <w:p w14:paraId="1E2A2CB1" w14:textId="77777777" w:rsidR="007C11E9" w:rsidRPr="000A3A07" w:rsidRDefault="007C11E9">
            <w:pPr>
              <w:pStyle w:val="Normaltindrag"/>
              <w:ind w:firstLine="0"/>
              <w:jc w:val="center"/>
            </w:pPr>
            <w:r w:rsidRPr="000A3A07">
              <w:t>2 393</w:t>
            </w:r>
          </w:p>
        </w:tc>
      </w:tr>
      <w:tr w:rsidR="00000000" w:rsidRPr="000A3A07" w14:paraId="18C0E915" w14:textId="77777777">
        <w:tblPrEx>
          <w:tblCellMar>
            <w:top w:w="0" w:type="dxa"/>
            <w:bottom w:w="0" w:type="dxa"/>
          </w:tblCellMar>
        </w:tblPrEx>
        <w:tc>
          <w:tcPr>
            <w:tcW w:w="2941" w:type="dxa"/>
            <w:tcBorders>
              <w:top w:val="single" w:sz="4" w:space="0" w:color="auto"/>
              <w:bottom w:val="single" w:sz="6" w:space="0" w:color="000000"/>
            </w:tcBorders>
          </w:tcPr>
          <w:p w14:paraId="70F19F88" w14:textId="77777777" w:rsidR="007C11E9" w:rsidRPr="000A3A07" w:rsidRDefault="007C11E9">
            <w:pPr>
              <w:pStyle w:val="Normaltindrag"/>
              <w:ind w:firstLine="0"/>
              <w:rPr>
                <w:b/>
              </w:rPr>
            </w:pPr>
            <w:r w:rsidRPr="000A3A07">
              <w:rPr>
                <w:b/>
              </w:rPr>
              <w:t>Total kostnad</w:t>
            </w:r>
          </w:p>
        </w:tc>
        <w:tc>
          <w:tcPr>
            <w:tcW w:w="2941" w:type="dxa"/>
            <w:tcBorders>
              <w:top w:val="single" w:sz="4" w:space="0" w:color="auto"/>
              <w:bottom w:val="single" w:sz="6" w:space="0" w:color="000000"/>
            </w:tcBorders>
          </w:tcPr>
          <w:p w14:paraId="00821088" w14:textId="77777777" w:rsidR="007C11E9" w:rsidRPr="000A3A07" w:rsidRDefault="007C11E9">
            <w:pPr>
              <w:pStyle w:val="Normaltindrag"/>
              <w:ind w:firstLine="0"/>
              <w:jc w:val="center"/>
              <w:rPr>
                <w:b/>
              </w:rPr>
            </w:pPr>
            <w:r w:rsidRPr="000A3A07">
              <w:rPr>
                <w:b/>
              </w:rPr>
              <w:t>4 950</w:t>
            </w:r>
          </w:p>
        </w:tc>
      </w:tr>
    </w:tbl>
    <w:p w14:paraId="3BBA7C88" w14:textId="77777777" w:rsidR="007C11E9" w:rsidRPr="000A3A07" w:rsidRDefault="007C11E9">
      <w:pPr>
        <w:pStyle w:val="Tabell"/>
      </w:pPr>
      <w:r w:rsidRPr="000A3A07">
        <w:t>Källa: Huvudavtal 1997-02-27 och betänkande 1997/98:TU6</w:t>
      </w:r>
    </w:p>
    <w:p w14:paraId="7C4851B2" w14:textId="77777777" w:rsidR="007C11E9" w:rsidRPr="000A3A07" w:rsidRDefault="007C11E9">
      <w:r w:rsidRPr="000A3A07">
        <w:t>En del av projektet avsågs finansieras med lån. SVEDAB skulle enligt avt</w:t>
      </w:r>
      <w:r w:rsidRPr="000A3A07">
        <w:t>a</w:t>
      </w:r>
      <w:r w:rsidRPr="000A3A07">
        <w:t>let låna 1 795 miljoner kronor i Riksgäldskontoret för vidare utlåning till Banverket, Malmö stad</w:t>
      </w:r>
      <w:r w:rsidRPr="000A3A07">
        <w:rPr>
          <w:rStyle w:val="Fotnotsreferens"/>
        </w:rPr>
        <w:footnoteReference w:id="14"/>
      </w:r>
      <w:r w:rsidRPr="000A3A07">
        <w:t xml:space="preserve"> och Region Skåne</w:t>
      </w:r>
      <w:r w:rsidRPr="000A3A07">
        <w:rPr>
          <w:rStyle w:val="Fotnotsreferens"/>
        </w:rPr>
        <w:footnoteReference w:id="15"/>
      </w:r>
      <w:r w:rsidRPr="000A3A07">
        <w:t xml:space="preserve">. Denna del av kostnaden skulle i första hand återbetalas med eventuellt överskott i SVEDAB:s verksamhet under 30 år efter det att Öresundsbron öppnats för trafik. Den del av lånet som efter trettioårsperioden kvarstod oamorterad skulle amorteras av staten till 33,6 % och av regionen till 66,4 %. </w:t>
      </w:r>
    </w:p>
    <w:p w14:paraId="7D730B8D" w14:textId="77777777" w:rsidR="007C11E9" w:rsidRPr="000A3A07" w:rsidRDefault="007C11E9">
      <w:pPr>
        <w:pStyle w:val="Normaltindrag"/>
      </w:pPr>
      <w:r w:rsidRPr="000A3A07">
        <w:t xml:space="preserve">Ett konsortium etablerades 1998 för förberedelser, byggande och drift av Citytunneln. Citytunnelkonsortiet ägs av Banverket, SJ, Malmö stad och Region Skåne. Alla medverkande är delfinansiärer med huvudansvar för </w:t>
      </w:r>
      <w:r w:rsidRPr="000A3A07">
        <w:t>olika delar av projektet. Ansvaret för eventuella kostnadsökningar i någon eller några projektdelar skulle enligt avtalet bäras av den eller de som är ansvariga för den delen av projektet som blivit dyrare än beräknat.</w:t>
      </w:r>
    </w:p>
    <w:p w14:paraId="418F2406" w14:textId="77777777" w:rsidR="007C11E9" w:rsidRPr="000A3A07" w:rsidRDefault="007C11E9">
      <w:pPr>
        <w:pStyle w:val="Normaltindrag"/>
      </w:pPr>
      <w:r w:rsidRPr="000A3A07">
        <w:t xml:space="preserve">Våren 2000 uppmärksammade regeringen att projektorganisationen var behäftad med problem och att Citytunneln beräknades bli över 40 % dyrare än beräknat. Citytunnelkonsortiets styrelse fastställde en ny budget på 7 120 miljoner kronor i den prisnivå som rådde i januari 1996. </w:t>
      </w:r>
    </w:p>
    <w:p w14:paraId="2B65C123" w14:textId="77777777" w:rsidR="007C11E9" w:rsidRPr="000A3A07" w:rsidRDefault="007C11E9">
      <w:pPr>
        <w:pStyle w:val="Normaltindrag"/>
      </w:pPr>
      <w:r w:rsidRPr="000A3A07">
        <w:t>Regeringen utsåg en förhandlingsman med uppdrag att för statens räkning förhandla fram en ny projektorganisation samt pröva fördelningen av kostn</w:t>
      </w:r>
      <w:r w:rsidRPr="000A3A07">
        <w:t>a</w:t>
      </w:r>
      <w:r w:rsidRPr="000A3A07">
        <w:t>derna mellan parterna. Utredaren ska senast i oktober 2000 redovisa result</w:t>
      </w:r>
      <w:r w:rsidRPr="000A3A07">
        <w:t>a</w:t>
      </w:r>
      <w:r w:rsidRPr="000A3A07">
        <w:t xml:space="preserve">tet när det gäller förändring av projektorganisationen. </w:t>
      </w:r>
    </w:p>
    <w:p w14:paraId="79AF3613" w14:textId="77777777" w:rsidR="007C11E9" w:rsidRPr="000A3A07" w:rsidRDefault="007C11E9">
      <w:pPr>
        <w:pStyle w:val="Normaltindrag"/>
      </w:pPr>
      <w:r w:rsidRPr="000A3A07">
        <w:t>Innan utbyggnaden av Citytunneln kan inledas ska regeringen tillåtli</w:t>
      </w:r>
      <w:r w:rsidRPr="000A3A07">
        <w:t>g</w:t>
      </w:r>
      <w:r w:rsidRPr="000A3A07">
        <w:t>hetspröva projektet enligt miljöbalken. Om regeringen tillåter järnvägstu</w:t>
      </w:r>
      <w:r w:rsidRPr="000A3A07">
        <w:t>n</w:t>
      </w:r>
      <w:r w:rsidRPr="000A3A07">
        <w:t>neln ska utredaren senast tre månader efter ett sådant beslut redovisa en överenskommelse om förändrad kostnadsförde</w:t>
      </w:r>
      <w:r w:rsidRPr="000A3A07">
        <w:t>l</w:t>
      </w:r>
      <w:r w:rsidRPr="000A3A07">
        <w:t>ning (dir. 2000:53).</w:t>
      </w:r>
    </w:p>
    <w:p w14:paraId="51BA795A" w14:textId="77777777" w:rsidR="007C11E9" w:rsidRPr="000A3A07" w:rsidRDefault="007C11E9">
      <w:pPr>
        <w:pStyle w:val="Rubrik2"/>
      </w:pPr>
      <w:bookmarkStart w:id="107" w:name="_Toc496581009"/>
      <w:bookmarkStart w:id="108" w:name="_Toc506340955"/>
      <w:r w:rsidRPr="000A3A07">
        <w:t>Stockholms- och Göteborgsprojekten</w:t>
      </w:r>
      <w:bookmarkEnd w:id="107"/>
      <w:bookmarkEnd w:id="108"/>
    </w:p>
    <w:p w14:paraId="79CE54AC" w14:textId="77777777" w:rsidR="007C11E9" w:rsidRPr="000A3A07" w:rsidRDefault="007C11E9">
      <w:r w:rsidRPr="000A3A07">
        <w:t>Regeringen tillkallade 1990 tre förhandlare, en för Stockholmsregionen, en för Göteborgsregionen och en för Malmöregionen. Förhandlarna kom med berörda parter i respektive region överens om åtgärder för att förbättra trafi</w:t>
      </w:r>
      <w:r w:rsidRPr="000A3A07">
        <w:t>k</w:t>
      </w:r>
      <w:r w:rsidRPr="000A3A07">
        <w:t xml:space="preserve">försörjningen och minska miljöproblemen från trafiken i regionerna. Avgifter på väg- och gatutrafiken ansågs vara en avgörande förutsättning för att de överenskomna åtgärderna skulle kunna genomföras i Stockholmsregionen och Göteborgsregionen (prop. 1990/91:87, bet. 1990/91:TU24, rskr. 1990/91:286). </w:t>
      </w:r>
    </w:p>
    <w:p w14:paraId="7B9348A9" w14:textId="77777777" w:rsidR="007C11E9" w:rsidRPr="000A3A07" w:rsidRDefault="007C11E9">
      <w:pPr>
        <w:pStyle w:val="Normaltindrag"/>
      </w:pPr>
      <w:r w:rsidRPr="000A3A07">
        <w:t>Två statliga bolag, Stockholmsleder AB och Göteborgs trafikleder AB, bildades för genomförandet av projekten. Bolagen skulle svara för finansi</w:t>
      </w:r>
      <w:r w:rsidRPr="000A3A07">
        <w:t>e</w:t>
      </w:r>
      <w:r w:rsidRPr="000A3A07">
        <w:t>ring och ekonomisk kontroll av projekten. Bolagen skulle ta upp lån på k</w:t>
      </w:r>
      <w:r w:rsidRPr="000A3A07">
        <w:t>a</w:t>
      </w:r>
      <w:r w:rsidRPr="000A3A07">
        <w:t xml:space="preserve">pitalmarknaden som skulle betalas tillbaka med intäkterna från avgifterna på biltrafiken. Bolagen är dotterbolag till Statens väg- och baninvest AB (Väginvest 1999). </w:t>
      </w:r>
    </w:p>
    <w:p w14:paraId="5C57771A" w14:textId="77777777" w:rsidR="007C11E9" w:rsidRPr="000A3A07" w:rsidRDefault="007C11E9">
      <w:pPr>
        <w:pStyle w:val="Normaltindrag"/>
      </w:pPr>
      <w:r w:rsidRPr="000A3A07">
        <w:t xml:space="preserve">I september 1992 kom parterna i </w:t>
      </w:r>
      <w:r w:rsidRPr="000A3A07">
        <w:rPr>
          <w:i/>
        </w:rPr>
        <w:t xml:space="preserve">Stockholmsregionen </w:t>
      </w:r>
      <w:r w:rsidRPr="000A3A07">
        <w:t>överens om en lö</w:t>
      </w:r>
      <w:r w:rsidRPr="000A3A07">
        <w:t>s</w:t>
      </w:r>
      <w:r w:rsidRPr="000A3A07">
        <w:t>ning av trafik- och miljösituationen i regionen. Överenskommelsen omfatt</w:t>
      </w:r>
      <w:r w:rsidRPr="000A3A07">
        <w:t>a</w:t>
      </w:r>
      <w:r w:rsidRPr="000A3A07">
        <w:t xml:space="preserve">de investeringar i kollektivtrafik om ca 15 800 miljoner kronor, i trafikleder om ca 18 200 miljoner kronor och i övriga väganknutna investeringar om ca 1 900 miljoner kronor (1992 års prisnivå). Parterna räknade med att behöva ta ut tullar från år 1996 fram till år 2025 för att återbetala investeringarna. </w:t>
      </w:r>
    </w:p>
    <w:p w14:paraId="2280F617" w14:textId="77777777" w:rsidR="007C11E9" w:rsidRPr="000A3A07" w:rsidRDefault="007C11E9">
      <w:pPr>
        <w:pStyle w:val="Normaltindrag"/>
      </w:pPr>
      <w:r w:rsidRPr="000A3A07">
        <w:t>I maj 1994 beslutade riksdagen om de första statliga lånegarantierna för vissa vägprojekt i St</w:t>
      </w:r>
      <w:r w:rsidRPr="000A3A07">
        <w:t>ockholmsöverenskommelsen. Staten hade 1997 ställt ut lånegarantier om totalt 13 616 miljoner kronor (prisnivå janu</w:t>
      </w:r>
      <w:r w:rsidRPr="000A3A07">
        <w:t>a</w:t>
      </w:r>
      <w:r w:rsidRPr="000A3A07">
        <w:t>ri 1992).</w:t>
      </w:r>
    </w:p>
    <w:p w14:paraId="486D9B6F" w14:textId="77777777" w:rsidR="007C11E9" w:rsidRPr="000A3A07" w:rsidRDefault="007C11E9">
      <w:pPr>
        <w:pStyle w:val="Normaltindrag"/>
      </w:pPr>
      <w:r w:rsidRPr="000A3A07">
        <w:t xml:space="preserve">I december 1993 redovisade parterna i </w:t>
      </w:r>
      <w:r w:rsidRPr="000A3A07">
        <w:rPr>
          <w:i/>
        </w:rPr>
        <w:t xml:space="preserve">Göteborgsregionen </w:t>
      </w:r>
      <w:r w:rsidRPr="000A3A07">
        <w:t>en slutlig öve</w:t>
      </w:r>
      <w:r w:rsidRPr="000A3A07">
        <w:t>r</w:t>
      </w:r>
      <w:r w:rsidRPr="000A3A07">
        <w:t>enskommelse om trafiksituationen i Göteborg. Den slutliga överenskomme</w:t>
      </w:r>
      <w:r w:rsidRPr="000A3A07">
        <w:t>l</w:t>
      </w:r>
      <w:r w:rsidRPr="000A3A07">
        <w:t>sen omfattade investeringar i kollektivtrafikanläggningar, miljöåtgärder och trafikleder om ca 9 000 miljoner kronor. Väginvesteringar om ca 6 000 mi</w:t>
      </w:r>
      <w:r w:rsidRPr="000A3A07">
        <w:t>l</w:t>
      </w:r>
      <w:r w:rsidRPr="000A3A07">
        <w:t>joner kronor avsågs finansieras med vägtullar. Återbetalningstiden beräkn</w:t>
      </w:r>
      <w:r w:rsidRPr="000A3A07">
        <w:t>a</w:t>
      </w:r>
      <w:r w:rsidRPr="000A3A07">
        <w:t xml:space="preserve">des till 20 år. </w:t>
      </w:r>
    </w:p>
    <w:p w14:paraId="2FF0CB50" w14:textId="77777777" w:rsidR="007C11E9" w:rsidRPr="000A3A07" w:rsidRDefault="007C11E9">
      <w:pPr>
        <w:pStyle w:val="Normaltindrag"/>
      </w:pPr>
      <w:r w:rsidRPr="000A3A07">
        <w:t>I juni 1994 beslutade riksdagen att bemyndiga regeringen att låta Rik</w:t>
      </w:r>
      <w:r w:rsidRPr="000A3A07">
        <w:t>s</w:t>
      </w:r>
      <w:r w:rsidRPr="000A3A07">
        <w:t>gäldskontoret ställa ut garantier om högst 260 miljoner kronor för förber</w:t>
      </w:r>
      <w:r w:rsidRPr="000A3A07">
        <w:t>e</w:t>
      </w:r>
      <w:r w:rsidRPr="000A3A07">
        <w:t>delsea</w:t>
      </w:r>
      <w:r w:rsidRPr="000A3A07">
        <w:t>r</w:t>
      </w:r>
      <w:r w:rsidRPr="000A3A07">
        <w:t>beten för vägutbyggnaderna i Göteborgsregionen.</w:t>
      </w:r>
    </w:p>
    <w:p w14:paraId="43B49BAC" w14:textId="77777777" w:rsidR="007C11E9" w:rsidRPr="000A3A07" w:rsidRDefault="007C11E9">
      <w:pPr>
        <w:rPr>
          <w:i/>
        </w:rPr>
      </w:pPr>
      <w:r w:rsidRPr="000A3A07">
        <w:rPr>
          <w:i/>
        </w:rPr>
        <w:t>Planerna på vägtullssystem överges</w:t>
      </w:r>
    </w:p>
    <w:p w14:paraId="02C4E6A3" w14:textId="77777777" w:rsidR="007C11E9" w:rsidRPr="000A3A07" w:rsidRDefault="007C11E9">
      <w:r w:rsidRPr="000A3A07">
        <w:t>I december 1997 beslutade riksdagen att inte genomföra de planerade vä</w:t>
      </w:r>
      <w:r w:rsidRPr="000A3A07">
        <w:t>g</w:t>
      </w:r>
      <w:r w:rsidRPr="000A3A07">
        <w:t xml:space="preserve">tullssystemen i Stockholmsregionen och Göteborgsregionen (prop. 1996/97:160, bet. 1997/98:TU1, rskr. 1997/98:104). Regeringen ansåg att vägtullssystemen kunde ge oönskade geografiska och fördelningspolitiska effekter. </w:t>
      </w:r>
    </w:p>
    <w:p w14:paraId="56D0A3D3" w14:textId="77777777" w:rsidR="007C11E9" w:rsidRPr="000A3A07" w:rsidRDefault="007C11E9">
      <w:pPr>
        <w:pStyle w:val="Normaltindrag"/>
      </w:pPr>
      <w:r w:rsidRPr="000A3A07">
        <w:t>Med anledning av att vägprojekten inte omfattades av de statliga i</w:t>
      </w:r>
      <w:r w:rsidRPr="000A3A07">
        <w:t>n</w:t>
      </w:r>
      <w:r w:rsidRPr="000A3A07">
        <w:t>frastrukturplanerna utredde regeringen möjligheterna för regionerna att f</w:t>
      </w:r>
      <w:r w:rsidRPr="000A3A07">
        <w:t>i</w:t>
      </w:r>
      <w:r w:rsidRPr="000A3A07">
        <w:t>nansiera investeringarna. Regeringen konstaterade dock efter en utredning att en helt regional finansi</w:t>
      </w:r>
      <w:r w:rsidRPr="000A3A07">
        <w:t>e</w:t>
      </w:r>
      <w:r w:rsidRPr="000A3A07">
        <w:t xml:space="preserve">ring inte var möjlig (prop. 1997/98:123). </w:t>
      </w:r>
    </w:p>
    <w:p w14:paraId="1D29C0BB" w14:textId="77777777" w:rsidR="007C11E9" w:rsidRPr="000A3A07" w:rsidRDefault="007C11E9">
      <w:pPr>
        <w:pStyle w:val="Normaltindrag"/>
      </w:pPr>
      <w:r w:rsidRPr="000A3A07">
        <w:t>Efter nya överenskommelser med de regionala parterna beslutade riksd</w:t>
      </w:r>
      <w:r w:rsidRPr="000A3A07">
        <w:t>a</w:t>
      </w:r>
      <w:r w:rsidRPr="000A3A07">
        <w:t>gen i stället om följande lösningar</w:t>
      </w:r>
      <w:r w:rsidRPr="000A3A07">
        <w:rPr>
          <w:rStyle w:val="Fotnotsreferens"/>
        </w:rPr>
        <w:footnoteReference w:id="16"/>
      </w:r>
      <w:r w:rsidRPr="000A3A07">
        <w:t>:</w:t>
      </w:r>
    </w:p>
    <w:p w14:paraId="65D37FB4" w14:textId="77777777" w:rsidR="007C11E9" w:rsidRPr="000A3A07" w:rsidRDefault="007C11E9">
      <w:pPr>
        <w:pStyle w:val="Normaltindrag"/>
        <w:numPr>
          <w:ilvl w:val="0"/>
          <w:numId w:val="35"/>
        </w:numPr>
      </w:pPr>
      <w:r w:rsidRPr="000A3A07">
        <w:t xml:space="preserve">I </w:t>
      </w:r>
      <w:r w:rsidRPr="000A3A07">
        <w:rPr>
          <w:i/>
        </w:rPr>
        <w:t xml:space="preserve">Stockholmsregionen </w:t>
      </w:r>
      <w:r w:rsidRPr="000A3A07">
        <w:t xml:space="preserve">ska Årstabron och Södra länken byggas. Årstabron ska samfinansieras med Stockholms läns landsting. Den totala kostnaden beräknas till 900 miljoner kronor. Stockholms läns landsting ska bidra med 800 miljoner kronor och staten stå för resterande del. Södra länken ska samfinansieras med Stockholms stad. Den totala kostnaden beräknas till    6 652 miljoner kronor. Stockholms stads bidrag uppgår till 827 miljoner kronor. Staten bidrar med lika mycket genom anslag. Dessutom ska staten låna ca </w:t>
      </w:r>
      <w:r w:rsidRPr="000A3A07">
        <w:t>5 000 miljoner kronor för projektet under byggnadstiden. Lånen tas upp på kapitalmarknaden genom Stockholmsleder AB. Lånen ska återb</w:t>
      </w:r>
      <w:r w:rsidRPr="000A3A07">
        <w:t>e</w:t>
      </w:r>
      <w:r w:rsidRPr="000A3A07">
        <w:t>talas med anslagsmedel under ca 25 år. De lån som tagits upp på grund av den ursprungliga överenskommelsen för nu avbrutna investeringar ska e</w:t>
      </w:r>
      <w:r w:rsidRPr="000A3A07">
        <w:t>n</w:t>
      </w:r>
      <w:r w:rsidRPr="000A3A07">
        <w:t xml:space="preserve">ligt beslutet återbetalas med anslag på statsbudgeten (prop. 1997/98:123, bet. 1997/98:TU5, rskr. 1997/98:213). </w:t>
      </w:r>
    </w:p>
    <w:p w14:paraId="7DD6F7F3" w14:textId="77777777" w:rsidR="007C11E9" w:rsidRPr="000A3A07" w:rsidRDefault="007C11E9">
      <w:pPr>
        <w:pStyle w:val="Normaltindrag"/>
        <w:numPr>
          <w:ilvl w:val="0"/>
          <w:numId w:val="35"/>
        </w:numPr>
      </w:pPr>
      <w:r w:rsidRPr="000A3A07">
        <w:t xml:space="preserve">I </w:t>
      </w:r>
      <w:r w:rsidRPr="000A3A07">
        <w:rPr>
          <w:i/>
        </w:rPr>
        <w:t xml:space="preserve">Göteborgsregionen </w:t>
      </w:r>
      <w:r w:rsidRPr="000A3A07">
        <w:t>ska man satsa mer på kollektivtrafik och miljö- och trafiksäkerhet i förhållande till vad som tidigare beslutats. Väginvesterin</w:t>
      </w:r>
      <w:r w:rsidRPr="000A3A07">
        <w:t>g</w:t>
      </w:r>
      <w:r w:rsidRPr="000A3A07">
        <w:t>arna minskar dock i omfattning. Totalkostnaden för investeringarna up</w:t>
      </w:r>
      <w:r w:rsidRPr="000A3A07">
        <w:t>p</w:t>
      </w:r>
      <w:r w:rsidRPr="000A3A07">
        <w:t xml:space="preserve">skattas till 4 200 miljoner kronor. Staten ska svara för 75 % och regionen eller enskilda kommuner för 25 % av kostnaderna (prop. 1997/98:150, bet. 1997/98:FiU27, rskr. 1997/98:317). </w:t>
      </w:r>
    </w:p>
    <w:p w14:paraId="3AF32422" w14:textId="77777777" w:rsidR="007C11E9" w:rsidRPr="000A3A07" w:rsidRDefault="007C11E9">
      <w:r w:rsidRPr="000A3A07">
        <w:t>För att staten ska kunna fullfölja sina åtaganden i enlighet med de nya öve</w:t>
      </w:r>
      <w:r w:rsidRPr="000A3A07">
        <w:t>r</w:t>
      </w:r>
      <w:r w:rsidRPr="000A3A07">
        <w:t>enskommelserna måste utgifterna enligt regeringen fördelas över en längre tidsperiod och investeringarna finansieras med lån under byggnadstiden.</w:t>
      </w:r>
    </w:p>
    <w:p w14:paraId="1CBDF3C3" w14:textId="77777777" w:rsidR="007C11E9" w:rsidRPr="000A3A07" w:rsidRDefault="007C11E9">
      <w:pPr>
        <w:pStyle w:val="Normaltindrag"/>
      </w:pPr>
      <w:r w:rsidRPr="000A3A07">
        <w:t>Bolagen Stockholmsleder AB och Göteborgs trafikleder AB svarar för statens upplåning. Upplåningen är baserad på en av riksdagen fastställd låneram och begränsas av de garantiramar som regeringen beslutar om. Vid utgången av år 1998 uppgick Stockholmsleder AB:s samlade upplåning till   4 191 miljoner kronor. Göteborgs trafikleder AB:s samlade upplåning up</w:t>
      </w:r>
      <w:r w:rsidRPr="000A3A07">
        <w:t>p</w:t>
      </w:r>
      <w:r w:rsidRPr="000A3A07">
        <w:t>gick vid samma tidpunkt till 550 miljoner kronor (Väginvest 1998).</w:t>
      </w:r>
    </w:p>
    <w:p w14:paraId="3E3D374A" w14:textId="77777777" w:rsidR="007C11E9" w:rsidRPr="000A3A07" w:rsidRDefault="007C11E9">
      <w:pPr>
        <w:pStyle w:val="Rubrik1"/>
      </w:pPr>
      <w:r w:rsidRPr="000A3A07">
        <w:br w:type="page"/>
      </w:r>
      <w:bookmarkStart w:id="109" w:name="_Toc496581010"/>
      <w:bookmarkStart w:id="110" w:name="_Toc506340956"/>
      <w:r w:rsidRPr="000A3A07">
        <w:t>Samhällsekonomiska kalkyler – en viktig del av beslutsunderlaget</w:t>
      </w:r>
      <w:bookmarkEnd w:id="109"/>
      <w:bookmarkEnd w:id="110"/>
    </w:p>
    <w:p w14:paraId="4D7ED53E" w14:textId="77777777" w:rsidR="007C11E9" w:rsidRPr="000A3A07" w:rsidRDefault="007C11E9">
      <w:r w:rsidRPr="000A3A07">
        <w:t>Genomförandet av en infrastrukturinvestering är ofta en lång process. Ku</w:t>
      </w:r>
      <w:r w:rsidRPr="000A3A07">
        <w:t>n</w:t>
      </w:r>
      <w:r w:rsidRPr="000A3A07">
        <w:t>skap om projektet tas fram successivt och olika former av beslutsunderlag används för att ta ställning till projektet i olika skeden – om det bör geno</w:t>
      </w:r>
      <w:r w:rsidRPr="000A3A07">
        <w:t>m</w:t>
      </w:r>
      <w:r w:rsidRPr="000A3A07">
        <w:t>föras, hur det bör utformas och regleras. Samhällsekonomiska kalkyler utgör en viktig del av det samlade underlaget för beslut om en väg- eller jär</w:t>
      </w:r>
      <w:r w:rsidRPr="000A3A07">
        <w:t>n</w:t>
      </w:r>
      <w:r w:rsidRPr="000A3A07">
        <w:t>vägsinvestering. Det framgår bl.a. av det övergripande transportpolitiska målet och av regeringens direktiv för planering av väg- och järnvägsinvest</w:t>
      </w:r>
      <w:r w:rsidRPr="000A3A07">
        <w:t>e</w:t>
      </w:r>
      <w:r w:rsidRPr="000A3A07">
        <w:t xml:space="preserve">ringar. Samhällsekonomiska kalkyler kan också användas för att </w:t>
      </w:r>
      <w:r w:rsidRPr="000A3A07">
        <w:t>följa upp effekter av redan genomförda investeringar. Det kan ge kunskap som kan användas för att förbättra utformningen av kommande investeringar och för att utveckla den samhäll</w:t>
      </w:r>
      <w:r w:rsidRPr="000A3A07">
        <w:t>s</w:t>
      </w:r>
      <w:r w:rsidRPr="000A3A07">
        <w:t>ekonomiska kalkylmetodiken.</w:t>
      </w:r>
    </w:p>
    <w:p w14:paraId="15C790AE" w14:textId="77777777" w:rsidR="007C11E9" w:rsidRPr="000A3A07" w:rsidRDefault="007C11E9">
      <w:pPr>
        <w:pStyle w:val="Rubrik2"/>
      </w:pPr>
      <w:bookmarkStart w:id="111" w:name="_Toc496581011"/>
      <w:bookmarkStart w:id="112" w:name="_Toc506340957"/>
      <w:r w:rsidRPr="000A3A07">
        <w:t>Samhällsekonomiska analyser i teori och praktik</w:t>
      </w:r>
      <w:bookmarkEnd w:id="111"/>
      <w:bookmarkEnd w:id="112"/>
    </w:p>
    <w:p w14:paraId="24061EEE" w14:textId="77777777" w:rsidR="007C11E9" w:rsidRPr="000A3A07" w:rsidRDefault="007C11E9">
      <w:r w:rsidRPr="000A3A07">
        <w:t>Samhällsekonomiska kalkyler används för att bedöma om investeringar eller andra åtgärder medför en effektiv användning av samhällets resurser. Med hjälp av kalkylerna försöker man skapa en helhetsbild av den stora mängd effekter som en åtgärd ger upphov till. En väg- eller järnvägsinvestering kan exempelvis påverka restiden, fordonskostnaderna, trafiksäkerheten och mi</w:t>
      </w:r>
      <w:r w:rsidRPr="000A3A07">
        <w:t>l</w:t>
      </w:r>
      <w:r w:rsidRPr="000A3A07">
        <w:t>jön. I en samhällsekonomisk kalkyl identifieras, kvantifieras och värderas de olika effekterna i kronor. Många effekter kan värderas med hjälp av mar</w:t>
      </w:r>
      <w:r w:rsidRPr="000A3A07">
        <w:t>k</w:t>
      </w:r>
      <w:r w:rsidRPr="000A3A07">
        <w:t>nadspriser (t.ex. anläggningskostnader och fordonskostnader). För andra effekter försöker man uppskatta individernas betalningsvilja med hjälp av indirekta metoder (t.ex. värdering av buller genom en studie av hur individer väljer mellan hus som ligger i områden med olika bullernivåer). Att fånga individernas värderingar är dock ofta svårt och de ansatser som</w:t>
      </w:r>
      <w:r w:rsidRPr="000A3A07">
        <w:t xml:space="preserve"> används är förenade med vissa osäke</w:t>
      </w:r>
      <w:r w:rsidRPr="000A3A07">
        <w:t>r</w:t>
      </w:r>
      <w:r w:rsidRPr="000A3A07">
        <w:t>heter.</w:t>
      </w:r>
    </w:p>
    <w:p w14:paraId="19DD6163" w14:textId="77777777" w:rsidR="007C11E9" w:rsidRPr="000A3A07" w:rsidRDefault="007C11E9">
      <w:pPr>
        <w:pStyle w:val="Normaltindrag"/>
      </w:pPr>
      <w:r w:rsidRPr="000A3A07">
        <w:t>I samhällsekonomiska kalkyler definieras en investerings effekter i fö</w:t>
      </w:r>
      <w:r w:rsidRPr="000A3A07">
        <w:t>r</w:t>
      </w:r>
      <w:r w:rsidRPr="000A3A07">
        <w:t>hållande till ett alternativt handlingssätt. Valet av jämförelsealternativ påve</w:t>
      </w:r>
      <w:r w:rsidRPr="000A3A07">
        <w:t>r</w:t>
      </w:r>
      <w:r w:rsidRPr="000A3A07">
        <w:t>kar kalkylresultatet. Jämförelsealternativet kan utgöras av situationen om ingen åtgärd vidtas och/eller situationen om en annan investering genomförs. Värderingen av en investerings effekter bygger på en prognos för den framt</w:t>
      </w:r>
      <w:r w:rsidRPr="000A3A07">
        <w:t>i</w:t>
      </w:r>
      <w:r w:rsidRPr="000A3A07">
        <w:t xml:space="preserve">da utvecklingen. I jämförelsealternativet ska de åtgärder som borde eller kommer att genomföras om investeringen inte blir av räknas med. </w:t>
      </w:r>
    </w:p>
    <w:p w14:paraId="5CEDCD08" w14:textId="77777777" w:rsidR="007C11E9" w:rsidRPr="000A3A07" w:rsidRDefault="007C11E9">
      <w:pPr>
        <w:pStyle w:val="Normaltindrag"/>
      </w:pPr>
      <w:r w:rsidRPr="000A3A07">
        <w:t>För att kunna väga samman en investerings effekter måste man ta h</w:t>
      </w:r>
      <w:r w:rsidRPr="000A3A07">
        <w:t>änsyn till hur effekterna fördelas i tiden. Framtida nyttor och kostnader diskonteras till ett gemensamt jämförelseår. Det uppskattade värdet av framtida positiva effekter (t.ex. kortare restid, minskad olycksrisk och minskade fordonskos</w:t>
      </w:r>
      <w:r w:rsidRPr="000A3A07">
        <w:t>t</w:t>
      </w:r>
      <w:r w:rsidRPr="000A3A07">
        <w:t>nader) vägs samman med värdet av negativa effekter (t.ex. intrång i miljön) till en nettoeffekt. Nuvärdet av nettoeffekterna sätts i relation till resursinsa</w:t>
      </w:r>
      <w:r w:rsidRPr="000A3A07">
        <w:t>t</w:t>
      </w:r>
      <w:r w:rsidRPr="000A3A07">
        <w:t xml:space="preserve">sen. </w:t>
      </w:r>
    </w:p>
    <w:p w14:paraId="29DFA358" w14:textId="77777777" w:rsidR="007C11E9" w:rsidRPr="000A3A07" w:rsidRDefault="007C11E9">
      <w:pPr>
        <w:pStyle w:val="Normaltindrag"/>
      </w:pPr>
      <w:r w:rsidRPr="000A3A07">
        <w:t>Alla konsekvenser kan inte mätas i en samhällsekonomisk kalkyl. En del effekter är t.ex. svåra att kvantifiera</w:t>
      </w:r>
      <w:r w:rsidRPr="000A3A07">
        <w:t xml:space="preserve"> och värdera i pengar (t.ex. påverkan på natur- och kulturvärden). För att få ett fullständigt beslutsunderlag för en samhällsekonomisk analys måste kalkylresultatet därför kompletteras med andra typer av underlag, ofta kvalitativa beskrivningar. Miljökonsekvensb</w:t>
      </w:r>
      <w:r w:rsidRPr="000A3A07">
        <w:t>e</w:t>
      </w:r>
      <w:r w:rsidRPr="000A3A07">
        <w:t xml:space="preserve">skrivningar är ett exempel på ett kompletterande underlag. </w:t>
      </w:r>
    </w:p>
    <w:p w14:paraId="038A2EFB" w14:textId="77777777" w:rsidR="007C11E9" w:rsidRPr="000A3A07" w:rsidRDefault="007C11E9">
      <w:pPr>
        <w:pStyle w:val="Normaltindrag"/>
      </w:pPr>
      <w:r w:rsidRPr="000A3A07">
        <w:t xml:space="preserve">Med hjälp av samhällsekonomiska kalkyler kan de samlade effekterna systematiseras. Kalkylresultatet för en enligt kalkylen olönsam investering kan t.ex. användas för att bedöma hur mycket </w:t>
      </w:r>
      <w:r w:rsidRPr="000A3A07">
        <w:t>värdet av eventuella positiva icke kvantifierbara effekter måste uppgå till för att investeringen ska vara lönsam. På samma sätt kan kalkylresultatet ligga till grund för en bedömning av vilket utrymme det finns för eventuella negativa icke kvantifierbara e</w:t>
      </w:r>
      <w:r w:rsidRPr="000A3A07">
        <w:t>f</w:t>
      </w:r>
      <w:r w:rsidRPr="000A3A07">
        <w:t>fekter för en lönsam inve</w:t>
      </w:r>
      <w:r w:rsidRPr="000A3A07">
        <w:t>s</w:t>
      </w:r>
      <w:r w:rsidRPr="000A3A07">
        <w:t xml:space="preserve">tering. </w:t>
      </w:r>
    </w:p>
    <w:p w14:paraId="6738F5A6" w14:textId="77777777" w:rsidR="007C11E9" w:rsidRPr="000A3A07" w:rsidRDefault="007C11E9">
      <w:pPr>
        <w:pStyle w:val="Normaltindrag"/>
      </w:pPr>
      <w:r w:rsidRPr="000A3A07">
        <w:t>Samhällsekonomiska kalkyler kan användas som ett  underlag för att avg</w:t>
      </w:r>
      <w:r w:rsidRPr="000A3A07">
        <w:t>ö</w:t>
      </w:r>
      <w:r w:rsidRPr="000A3A07">
        <w:t>ra huruvida en investering bör genomföras. Kalkylerna kan också användas för att jämföra olika utformningar av en investering och för att jämföra olika projekt sinsemellan. I den senaste inriktningsplaneringen låg de samhäll</w:t>
      </w:r>
      <w:r w:rsidRPr="000A3A07">
        <w:t>s</w:t>
      </w:r>
      <w:r w:rsidRPr="000A3A07">
        <w:t>ekonomiska kalkylresultaten till grund för prioritering av projekt i planerna och för fördelningen av investeringsmedel mellan väg och järnväg. Enligt Statens institut för kommunikationsanalys SIKA skulle kalkyler även kunna användas vid fördelningen av medel mellan investeringar å ena</w:t>
      </w:r>
      <w:r w:rsidRPr="000A3A07">
        <w:t xml:space="preserve"> sidan och drift och underhåll å andra sidan (SIKA 1999). </w:t>
      </w:r>
    </w:p>
    <w:p w14:paraId="0F34D06D" w14:textId="77777777" w:rsidR="007C11E9" w:rsidRPr="000A3A07" w:rsidRDefault="007C11E9">
      <w:pPr>
        <w:pStyle w:val="Normaltindrag"/>
      </w:pPr>
      <w:r w:rsidRPr="000A3A07">
        <w:t>Vägverket och Banverket gör i regel de samhällsekonomiska kalkylerna för statliga väg- och järnvägsinvesteringar. SIKA har ett övergripande ansvar för utveckling av de metoder för samhällsekonomisk kalkylering som verken använder. SIKA har också ett övergripande ansvar för de prognoser och prognosmetoder som ligger till grund för den samhällsekonomiska kalkylen. Ansvaret för att kalkyler för enskilda projekt genomförs på ett riktigt sätt vilar på Vä</w:t>
      </w:r>
      <w:r w:rsidRPr="000A3A07">
        <w:t>gverket och Banve</w:t>
      </w:r>
      <w:r w:rsidRPr="000A3A07">
        <w:t>r</w:t>
      </w:r>
      <w:r w:rsidRPr="000A3A07">
        <w:t xml:space="preserve">ket. </w:t>
      </w:r>
    </w:p>
    <w:p w14:paraId="782CA762" w14:textId="77777777" w:rsidR="007C11E9" w:rsidRPr="000A3A07" w:rsidRDefault="007C11E9">
      <w:pPr>
        <w:pStyle w:val="Normaltindrag"/>
      </w:pPr>
      <w:r w:rsidRPr="000A3A07">
        <w:t>Det är vanligt att utomstående konsulter anlitas för att göra samhällsek</w:t>
      </w:r>
      <w:r w:rsidRPr="000A3A07">
        <w:t>o</w:t>
      </w:r>
      <w:r w:rsidRPr="000A3A07">
        <w:t>nomiska kalkyler för investeringar i stadsbebyggelse. En anledning är att trafikberäkningarna är mer komplicerade i stadsbebyggelse än på landsbygd. Beräkningarna kräver ofta lokalt specifika resdata som myndigheterna no</w:t>
      </w:r>
      <w:r w:rsidRPr="000A3A07">
        <w:t>r</w:t>
      </w:r>
      <w:r w:rsidRPr="000A3A07">
        <w:t>malt inte tar fram själva (Jansson 2000).</w:t>
      </w:r>
    </w:p>
    <w:p w14:paraId="641E46DF" w14:textId="77777777" w:rsidR="007C11E9" w:rsidRPr="000A3A07" w:rsidRDefault="007C11E9">
      <w:pPr>
        <w:rPr>
          <w:i/>
        </w:rPr>
      </w:pPr>
      <w:r w:rsidRPr="000A3A07">
        <w:rPr>
          <w:i/>
        </w:rPr>
        <w:t>Granskning av kalkylerna</w:t>
      </w:r>
    </w:p>
    <w:p w14:paraId="7891C4FB" w14:textId="77777777" w:rsidR="007C11E9" w:rsidRPr="000A3A07" w:rsidRDefault="007C11E9">
      <w:r w:rsidRPr="000A3A07">
        <w:t>Inför de senaste två planeringsperioderna har SIKA fått i uppdrag att til</w:t>
      </w:r>
      <w:r w:rsidRPr="000A3A07">
        <w:t>l</w:t>
      </w:r>
      <w:r w:rsidRPr="000A3A07">
        <w:t>sammans med berörda myndigheter se över de samhällsekonomiska metoder och kalkylvärden som används på transportområdet. Myndigheterna prese</w:t>
      </w:r>
      <w:r w:rsidRPr="000A3A07">
        <w:t>n</w:t>
      </w:r>
      <w:r w:rsidRPr="000A3A07">
        <w:t>terade också behovet av ytterligare forskningsinsatser på området (SA</w:t>
      </w:r>
      <w:r w:rsidRPr="000A3A07">
        <w:t>M</w:t>
      </w:r>
      <w:r w:rsidRPr="000A3A07">
        <w:t>PLAN 1995 och SIKA 1999). Under år 2000 har SIKA påbörjat en revid</w:t>
      </w:r>
      <w:r w:rsidRPr="000A3A07">
        <w:t>e</w:t>
      </w:r>
      <w:r w:rsidRPr="000A3A07">
        <w:t>ring av samhällsekonomiska metoder och kalkylvärden. SIKA ska lämna en delredovisning av uppdraget senast den 1 november år 2000 och en slutred</w:t>
      </w:r>
      <w:r w:rsidRPr="000A3A07">
        <w:t>o</w:t>
      </w:r>
      <w:r w:rsidRPr="000A3A07">
        <w:t>visning senast den 1 oktober år 2002. SIKA har också i uppdrag att förbättra metoderna för</w:t>
      </w:r>
      <w:r w:rsidRPr="000A3A07">
        <w:t xml:space="preserve"> att beräkna effekterna av infrastrukturinvesteringar på vissa områden. Under år 2000 följer institutet bl.a. upp större väg- och järnvägsi</w:t>
      </w:r>
      <w:r w:rsidRPr="000A3A07">
        <w:t>n</w:t>
      </w:r>
      <w:r w:rsidRPr="000A3A07">
        <w:t xml:space="preserve">vesteringars inverkan på efterfrågan på infrastruktur (SIKA regleringsbrev för 2000). </w:t>
      </w:r>
    </w:p>
    <w:p w14:paraId="0B3EC793" w14:textId="77777777" w:rsidR="007C11E9" w:rsidRPr="000A3A07" w:rsidRDefault="007C11E9">
      <w:pPr>
        <w:pStyle w:val="Normaltindrag"/>
      </w:pPr>
      <w:r w:rsidRPr="000A3A07">
        <w:t>Det har i olika sammanhang riktats kritik mot samhällsekonomiska anal</w:t>
      </w:r>
      <w:r w:rsidRPr="000A3A07">
        <w:t>y</w:t>
      </w:r>
      <w:r w:rsidRPr="000A3A07">
        <w:t>ser. SIKA anser att denna kritik ofta är berättigad. Institutet anser emellertid att kritiken snarare rör bakomliggande beslutsunderlag och omgivande plan</w:t>
      </w:r>
      <w:r w:rsidRPr="000A3A07">
        <w:t>e</w:t>
      </w:r>
      <w:r w:rsidRPr="000A3A07">
        <w:t>ringsprocesser än kalkylmetoden som sådan. För att kalkylresultat ska kunna betraktas som tillförlitligt måste underlagen hålla god kvalitet (SIKA 1999).</w:t>
      </w:r>
    </w:p>
    <w:p w14:paraId="027B0595" w14:textId="77777777" w:rsidR="007C11E9" w:rsidRPr="000A3A07" w:rsidRDefault="007C11E9">
      <w:pPr>
        <w:pStyle w:val="Normaltindrag"/>
      </w:pPr>
      <w:r w:rsidRPr="000A3A07">
        <w:t>Riksrevisionsverket (RRV) granskade 1994 kostnadsutvecklingen för 15 större projekt inom Vägverket och Banverket. RRV konstaterar att proje</w:t>
      </w:r>
      <w:r w:rsidRPr="000A3A07">
        <w:t>k</w:t>
      </w:r>
      <w:r w:rsidRPr="000A3A07">
        <w:t>tens kostnader underskattas tidigt i planeringsprocessen. När ett projekt väl kommit in i verkens tioåriga planer omprövas projektets lönsamhet sällan, trots att kostnaden vid närmare utredning ofta beräknas öka (Riksrev</w:t>
      </w:r>
      <w:r w:rsidRPr="000A3A07">
        <w:t>i</w:t>
      </w:r>
      <w:r w:rsidRPr="000A3A07">
        <w:t>sionsverket 1994).</w:t>
      </w:r>
    </w:p>
    <w:p w14:paraId="4491DAED" w14:textId="77777777" w:rsidR="007C11E9" w:rsidRPr="000A3A07" w:rsidRDefault="007C11E9">
      <w:pPr>
        <w:pStyle w:val="Normaltindrag"/>
      </w:pPr>
      <w:r w:rsidRPr="000A3A07">
        <w:t>RRV kritiserar också Banverkets bedömningar av framtida järnvägstrafik. Prognoserna för framtida trafik har stor betydelse för den samhällsekonomi</w:t>
      </w:r>
      <w:r w:rsidRPr="000A3A07">
        <w:t>s</w:t>
      </w:r>
      <w:r w:rsidRPr="000A3A07">
        <w:t>ka lönsamheten i ett investeringsprojekt. RRV gör bedömningen att Banve</w:t>
      </w:r>
      <w:r w:rsidRPr="000A3A07">
        <w:t>r</w:t>
      </w:r>
      <w:r w:rsidRPr="000A3A07">
        <w:t>kets prognoser är alltför optimistiska (Riksrevisionsverket 1997 a). SIKA har i sin uppföljning av Vägverkets och Banverkets kalkyler funnit att järnväg</w:t>
      </w:r>
      <w:r w:rsidRPr="000A3A07">
        <w:t>s</w:t>
      </w:r>
      <w:r w:rsidRPr="000A3A07">
        <w:t>trafiken på några färdigställda banor är långt under den nivå som Banverket beräknat i sina trafikprognoser. SIKA menar att överskattningen beror på att Banverket har använt orealistiska prognosförutsättnin</w:t>
      </w:r>
      <w:r w:rsidRPr="000A3A07">
        <w:t>g</w:t>
      </w:r>
      <w:r w:rsidRPr="000A3A07">
        <w:t>ar (SIKA 2000).</w:t>
      </w:r>
    </w:p>
    <w:p w14:paraId="2A889FFA" w14:textId="77777777" w:rsidR="007C11E9" w:rsidRPr="000A3A07" w:rsidRDefault="007C11E9">
      <w:pPr>
        <w:pStyle w:val="Normaltindrag"/>
      </w:pPr>
      <w:r w:rsidRPr="000A3A07">
        <w:t>Underskattning av kostnader och överskattning av framtida trafi</w:t>
      </w:r>
      <w:r w:rsidRPr="000A3A07">
        <w:t>k medför enligt RRV risk för att samhällsekonomiskt olönsamma projekt genomförs (Riksrevisionsverket 1997 a).</w:t>
      </w:r>
    </w:p>
    <w:p w14:paraId="566DF72F" w14:textId="77777777" w:rsidR="007C11E9" w:rsidRPr="000A3A07" w:rsidRDefault="007C11E9">
      <w:pPr>
        <w:pStyle w:val="Normaltindrag"/>
      </w:pPr>
      <w:r w:rsidRPr="000A3A07">
        <w:t>RRV granskade 1997 Vägverkets, Banverkets och länsstyrelsernas unde</w:t>
      </w:r>
      <w:r w:rsidRPr="000A3A07">
        <w:t>r</w:t>
      </w:r>
      <w:r w:rsidRPr="000A3A07">
        <w:t>lag för remissversionerna av de långsiktiga nationella och regionala planerna för perioden 1998–2007. Enligt regeringens direktiv skulle den bedömda samhällsekonomiska lönsamheten utgöra en utgångspunkt vid verkens och länsstyrelsernas prioritering av projekt. Myndigheterna skulle också ta hä</w:t>
      </w:r>
      <w:r w:rsidRPr="000A3A07">
        <w:t>n</w:t>
      </w:r>
      <w:r w:rsidRPr="000A3A07">
        <w:t>syn till kvalitativa bedömnin</w:t>
      </w:r>
      <w:r w:rsidRPr="000A3A07">
        <w:t>g</w:t>
      </w:r>
      <w:r w:rsidRPr="000A3A07">
        <w:t>ar.</w:t>
      </w:r>
    </w:p>
    <w:p w14:paraId="53B0BD36" w14:textId="77777777" w:rsidR="007C11E9" w:rsidRPr="000A3A07" w:rsidRDefault="007C11E9">
      <w:pPr>
        <w:pStyle w:val="Normaltindrag"/>
      </w:pPr>
      <w:r w:rsidRPr="000A3A07">
        <w:t>RRV pekar på att samhällsekonomiska kalkyler för enskilda objekt ofta är osäkra. Osäkerheterna redovisas dock mycket sällan i underlag och planfö</w:t>
      </w:r>
      <w:r w:rsidRPr="000A3A07">
        <w:t>r</w:t>
      </w:r>
      <w:r w:rsidRPr="000A3A07">
        <w:t>slag. RRV konstaterar också att känslighetsanalyser med avseende på kriti</w:t>
      </w:r>
      <w:r w:rsidRPr="000A3A07">
        <w:t>s</w:t>
      </w:r>
      <w:r w:rsidRPr="000A3A07">
        <w:t>ka faktorer förekommer i alltför begränsad omfattning (Riksrevisionsverket 1997 b). Även SIKA konstaterar att osäkerhet och risk inte hanteras på ett tillfredsställande sätt i de samhäll</w:t>
      </w:r>
      <w:r w:rsidRPr="000A3A07">
        <w:t>s</w:t>
      </w:r>
      <w:r w:rsidRPr="000A3A07">
        <w:t xml:space="preserve">ekonomiska kalkylerna (SIKA 1999). </w:t>
      </w:r>
    </w:p>
    <w:p w14:paraId="3E57931D" w14:textId="77777777" w:rsidR="007C11E9" w:rsidRPr="000A3A07" w:rsidRDefault="007C11E9">
      <w:pPr>
        <w:pStyle w:val="Normaltindrag"/>
      </w:pPr>
      <w:r w:rsidRPr="000A3A07">
        <w:t>RRV konstaterar också brister i framtagning av effektiva alternativ. Ve</w:t>
      </w:r>
      <w:r w:rsidRPr="000A3A07">
        <w:t>r</w:t>
      </w:r>
      <w:r w:rsidRPr="000A3A07">
        <w:t>ken inriktade sig på nybyggande utan att förbättring av befintligt nät öve</w:t>
      </w:r>
      <w:r w:rsidRPr="000A3A07">
        <w:t>r</w:t>
      </w:r>
      <w:r w:rsidRPr="000A3A07">
        <w:t>vägdes som alternativ (Riksrevisionsverket 1997 b). SIKA uppger att det kan finnas intressanta möjligheter till utbytbarhet mellan trafikreglering och infrastrukturåtgärder som inte belyses i verkens planer. Ökad trafiksäkerhet kan t.ex. nås både genom lägre hastighetsgränser och ökad polisövervakning och genom n</w:t>
      </w:r>
      <w:r w:rsidRPr="000A3A07">
        <w:t>y</w:t>
      </w:r>
      <w:r w:rsidRPr="000A3A07">
        <w:t>byggnation av vägar (SIKA 1999).</w:t>
      </w:r>
    </w:p>
    <w:p w14:paraId="40B398DA" w14:textId="77777777" w:rsidR="007C11E9" w:rsidRPr="000A3A07" w:rsidRDefault="007C11E9">
      <w:pPr>
        <w:pStyle w:val="Normaltindrag"/>
      </w:pPr>
      <w:r w:rsidRPr="000A3A07">
        <w:t>RRV menar att det är oklart vilken betydelse det samhällsekonomiska b</w:t>
      </w:r>
      <w:r w:rsidRPr="000A3A07">
        <w:t>e</w:t>
      </w:r>
      <w:r w:rsidRPr="000A3A07">
        <w:t>slutsunderlaget egentligen har haft i prioriteringsprocessen. Ver</w:t>
      </w:r>
      <w:r w:rsidRPr="000A3A07">
        <w:softHyphen/>
        <w:t>ket konstat</w:t>
      </w:r>
      <w:r w:rsidRPr="000A3A07">
        <w:t>e</w:t>
      </w:r>
      <w:r w:rsidRPr="000A3A07">
        <w:t>rar att nästan inga beräkningar har kvalitetskontrollerats in</w:t>
      </w:r>
      <w:r w:rsidRPr="000A3A07">
        <w:softHyphen/>
        <w:t>nan åtgärderna har prio</w:t>
      </w:r>
      <w:r w:rsidRPr="000A3A07">
        <w:softHyphen/>
        <w:t>riterats. Utformningen av olika projekt har dessutom förändrats under planeringspro</w:t>
      </w:r>
      <w:r w:rsidRPr="000A3A07">
        <w:softHyphen/>
        <w:t>cessens gång utan att kalkylerna har upp</w:t>
      </w:r>
      <w:r w:rsidRPr="000A3A07">
        <w:softHyphen/>
        <w:t>date</w:t>
      </w:r>
      <w:r w:rsidRPr="000A3A07">
        <w:softHyphen/>
        <w:t>rats. RRV konst</w:t>
      </w:r>
      <w:r w:rsidRPr="000A3A07">
        <w:t>a</w:t>
      </w:r>
      <w:r w:rsidRPr="000A3A07">
        <w:t>terar vidare att det finns samhällsekonomiskt olön</w:t>
      </w:r>
      <w:r w:rsidRPr="000A3A07">
        <w:softHyphen/>
        <w:t>samma projekt i verkens planförslag. Många av de investeringar som föreslås i planerna har dessutom lägre lönsamhet än vad som framgår av verkens unde</w:t>
      </w:r>
      <w:r w:rsidRPr="000A3A07">
        <w:t xml:space="preserve">rlag. </w:t>
      </w:r>
    </w:p>
    <w:p w14:paraId="44FBAA74" w14:textId="77777777" w:rsidR="007C11E9" w:rsidRPr="000A3A07" w:rsidRDefault="007C11E9">
      <w:pPr>
        <w:pStyle w:val="Normaltindrag"/>
      </w:pPr>
      <w:r w:rsidRPr="000A3A07">
        <w:t>RRV anser att man i framtida planeringsomgångar bör upp</w:t>
      </w:r>
      <w:r w:rsidRPr="000A3A07">
        <w:softHyphen/>
        <w:t>märksamma h</w:t>
      </w:r>
      <w:r w:rsidRPr="000A3A07">
        <w:t>u</w:t>
      </w:r>
      <w:r w:rsidRPr="000A3A07">
        <w:t>ruvida underlag används som urvalsinstrument eller för att bekräfta de åtgä</w:t>
      </w:r>
      <w:r w:rsidRPr="000A3A07">
        <w:t>r</w:t>
      </w:r>
      <w:r w:rsidRPr="000A3A07">
        <w:t>der man vill ge</w:t>
      </w:r>
      <w:r w:rsidRPr="000A3A07">
        <w:softHyphen/>
        <w:t>nomföra (Riksrevisionsverket 1997 b).</w:t>
      </w:r>
    </w:p>
    <w:p w14:paraId="05C6F405" w14:textId="77777777" w:rsidR="007C11E9" w:rsidRPr="000A3A07" w:rsidRDefault="007C11E9">
      <w:pPr>
        <w:pStyle w:val="Rubrik2"/>
      </w:pPr>
      <w:bookmarkStart w:id="113" w:name="_Toc496581012"/>
      <w:bookmarkStart w:id="114" w:name="_Toc506340958"/>
      <w:r w:rsidRPr="000A3A07">
        <w:t>Fallstudier</w:t>
      </w:r>
      <w:bookmarkEnd w:id="113"/>
      <w:bookmarkEnd w:id="114"/>
    </w:p>
    <w:p w14:paraId="3C8C090E" w14:textId="77777777" w:rsidR="007C11E9" w:rsidRPr="000A3A07" w:rsidRDefault="007C11E9">
      <w:r w:rsidRPr="000A3A07">
        <w:t>Inom ramen för revisorernas granskning har det samhällsekonomiska b</w:t>
      </w:r>
      <w:r w:rsidRPr="000A3A07">
        <w:t>e</w:t>
      </w:r>
      <w:r w:rsidRPr="000A3A07">
        <w:t>slutsunderlaget för fyra infrastrukturinvesteringar med annan finansiering än anslagsfinansiering granskats. Syftet var att granska kvaliteten på de sa</w:t>
      </w:r>
      <w:r w:rsidRPr="000A3A07">
        <w:t>m</w:t>
      </w:r>
      <w:r w:rsidRPr="000A3A07">
        <w:t>hällsekonomiska kalkyler som legat till grund för regeringens bedömningar. Trots denna till synes tydliga avgränsning var det inte självklart vilka kalk</w:t>
      </w:r>
      <w:r w:rsidRPr="000A3A07">
        <w:t>y</w:t>
      </w:r>
      <w:r w:rsidRPr="000A3A07">
        <w:t>ler som skulle ingå i analysen. Det material som ingått i undersökningen har tagits fram i samråd med Näringsdepartementet, Vägverket och Banverket.</w:t>
      </w:r>
    </w:p>
    <w:p w14:paraId="6344427D" w14:textId="77777777" w:rsidR="007C11E9" w:rsidRPr="000A3A07" w:rsidRDefault="007C11E9">
      <w:pPr>
        <w:pStyle w:val="Normaltindrag"/>
      </w:pPr>
      <w:r w:rsidRPr="000A3A07">
        <w:t>De investeringar som ingår i granskningen är Arlandabanan</w:t>
      </w:r>
      <w:r w:rsidRPr="000A3A07">
        <w:t>, Botniabanan, Citytunneln i Malmö och Södra länken i Stockholm. Revisorerna har anlitat fyra forskare i nationalekonomi som fått i uppdrag att för en av investerin</w:t>
      </w:r>
      <w:r w:rsidRPr="000A3A07">
        <w:t>g</w:t>
      </w:r>
      <w:r w:rsidRPr="000A3A07">
        <w:t>arna granska kalkylernas kvalitet. Professor Lars Hultkrantz vid Högskolan Dalarna har granskat kalkylerna för Arlandabanan, professor Per-Olov J</w:t>
      </w:r>
      <w:r w:rsidRPr="000A3A07">
        <w:t>o</w:t>
      </w:r>
      <w:r w:rsidRPr="000A3A07">
        <w:t>hansson vid Handelshögskolan i Stockholm har analyserat kalkylen för Bo</w:t>
      </w:r>
      <w:r w:rsidRPr="000A3A07">
        <w:t>t</w:t>
      </w:r>
      <w:r w:rsidRPr="000A3A07">
        <w:t>niabanan, universitetslektor Jan-Eric Nilsson vid Högskolan Dalarna har granskat underlaget för Citytunneln och professor Jan Owe</w:t>
      </w:r>
      <w:r w:rsidRPr="000A3A07">
        <w:t xml:space="preserve">n Jansson vid Universitetet i Linköping har studerat kalkylerna för Södra länken. </w:t>
      </w:r>
    </w:p>
    <w:p w14:paraId="4CB79E89" w14:textId="77777777" w:rsidR="007C11E9" w:rsidRPr="000A3A07" w:rsidRDefault="007C11E9">
      <w:pPr>
        <w:pStyle w:val="Normaltindrag"/>
      </w:pPr>
      <w:r w:rsidRPr="000A3A07">
        <w:t>Forskarnas uppdrag var att bedöma kalkylernas kvalitet. Bedömningen skulle göras bl.a. utifrån en analys av vilka alternativ som utretts, vilka e</w:t>
      </w:r>
      <w:r w:rsidRPr="000A3A07">
        <w:t>f</w:t>
      </w:r>
      <w:r w:rsidRPr="000A3A07">
        <w:t>fekter som räknats med, vilka antaganden man utgått från, vilka undersö</w:t>
      </w:r>
      <w:r w:rsidRPr="000A3A07">
        <w:t>k</w:t>
      </w:r>
      <w:r w:rsidRPr="000A3A07">
        <w:t>ningar olika antaganden baseras på och hur beräkningarna påverkas av olika antaganden. Uppdraget var således inte att bedöma projektens samhällsek</w:t>
      </w:r>
      <w:r w:rsidRPr="000A3A07">
        <w:t>o</w:t>
      </w:r>
      <w:r w:rsidRPr="000A3A07">
        <w:t>nomiska lönsamhet. Forskarnas rapporter lämnades till revisorerna i juni 2000. Rapporterna återfinns i bilaga 1–4.</w:t>
      </w:r>
    </w:p>
    <w:p w14:paraId="3B49C18A" w14:textId="77777777" w:rsidR="007C11E9" w:rsidRPr="000A3A07" w:rsidRDefault="007C11E9">
      <w:pPr>
        <w:pStyle w:val="Normaltindrag"/>
      </w:pPr>
      <w:r w:rsidRPr="000A3A07">
        <w:t>Forskarnas rapporter skickades för synpunkter till de instanser som varit med i planeringsprocessen och antingen beställt eller tagit fram det b</w:t>
      </w:r>
      <w:r w:rsidRPr="000A3A07">
        <w:t>e</w:t>
      </w:r>
      <w:r w:rsidRPr="000A3A07">
        <w:t xml:space="preserve">slutsunderlag som har granskats av forskarna. </w:t>
      </w:r>
    </w:p>
    <w:p w14:paraId="1792A7D2" w14:textId="77777777" w:rsidR="007C11E9" w:rsidRPr="000A3A07" w:rsidRDefault="007C11E9">
      <w:pPr>
        <w:pStyle w:val="Normaltindrag"/>
      </w:pPr>
      <w:r w:rsidRPr="000A3A07">
        <w:t>Synpunkter har inkommit från Banverket, Vägverket, SIKA, Region Sk</w:t>
      </w:r>
      <w:r w:rsidRPr="000A3A07">
        <w:t>å</w:t>
      </w:r>
      <w:r w:rsidRPr="000A3A07">
        <w:t>ne, Inregia AB, Transek AB och SVEDAB. Revisorerna har också fått in synpunkter från Botniabanegruppen. Nedan redovisas forskarnas bedö</w:t>
      </w:r>
      <w:r w:rsidRPr="000A3A07">
        <w:t>m</w:t>
      </w:r>
      <w:r w:rsidRPr="000A3A07">
        <w:t>ningar och de synpunkter som inkommit.</w:t>
      </w:r>
    </w:p>
    <w:p w14:paraId="703CF136" w14:textId="77777777" w:rsidR="007C11E9" w:rsidRPr="000A3A07" w:rsidRDefault="007C11E9">
      <w:pPr>
        <w:pStyle w:val="RubrikUtanNr3"/>
      </w:pPr>
      <w:bookmarkStart w:id="115" w:name="_Toc496581013"/>
      <w:r w:rsidRPr="000A3A07">
        <w:t>Arlandabanan</w:t>
      </w:r>
      <w:bookmarkEnd w:id="115"/>
    </w:p>
    <w:p w14:paraId="6CFEA138" w14:textId="77777777" w:rsidR="007C11E9" w:rsidRPr="000A3A07" w:rsidRDefault="007C11E9">
      <w:r w:rsidRPr="000A3A07">
        <w:t>Arlandabanan förbinder Arlanda flygplats med järnvägen mellan Stockholm och Uppsala. Den befintliga järnvägen har byggts ut till fyra spår mellan Stockholms Central och Rosersberg (det s.k. fyrspåret). Ett 20 km långt nytt dubbelspår har byggts mellan Rosersberg och Arlanda (Södra böjen) och mellan Arlanda och Odensala (Norra böjen). Vid Arlanda har tre stationer byggts under jord. Två är avsedda för flygpendeln Arlanda Express och en är avsedd för fjärr- och regionaltåg samt pendeltåg. Vissa ombyggnader h</w:t>
      </w:r>
      <w:r w:rsidRPr="000A3A07">
        <w:t>ar också gjorts vid Stockholms Central. Arlandabanan invigdes den 24 nove</w:t>
      </w:r>
      <w:r w:rsidRPr="000A3A07">
        <w:t>m</w:t>
      </w:r>
      <w:r w:rsidRPr="000A3A07">
        <w:t>ber 1999.</w:t>
      </w:r>
    </w:p>
    <w:p w14:paraId="7F7BE43D" w14:textId="77777777" w:rsidR="007C11E9" w:rsidRPr="000A3A07" w:rsidRDefault="007C11E9">
      <w:pPr>
        <w:pStyle w:val="Normaltindrag"/>
      </w:pPr>
      <w:r w:rsidRPr="000A3A07">
        <w:t>Kostnaden för utbyggnaden av Arlandabanan har beräknats till 4 500 mi</w:t>
      </w:r>
      <w:r w:rsidRPr="000A3A07">
        <w:t>l</w:t>
      </w:r>
      <w:r w:rsidRPr="000A3A07">
        <w:t>joner kronor (www.ncc.se, 2000-08-18). För utbyggnaden av det s.k. fyrsp</w:t>
      </w:r>
      <w:r w:rsidRPr="000A3A07">
        <w:t>å</w:t>
      </w:r>
      <w:r w:rsidRPr="000A3A07">
        <w:t>ret har staten avsatt sammanlagt 1 900 miljoner kr</w:t>
      </w:r>
      <w:r w:rsidRPr="000A3A07">
        <w:t>o</w:t>
      </w:r>
      <w:r w:rsidRPr="000A3A07">
        <w:t>nor.</w:t>
      </w:r>
    </w:p>
    <w:p w14:paraId="4EF004F3" w14:textId="77777777" w:rsidR="007C11E9" w:rsidRPr="000A3A07" w:rsidRDefault="007C11E9">
      <w:pPr>
        <w:rPr>
          <w:b/>
          <w:i/>
        </w:rPr>
      </w:pPr>
      <w:r w:rsidRPr="000A3A07">
        <w:rPr>
          <w:b/>
          <w:i/>
        </w:rPr>
        <w:t>Från plan till genomförande</w:t>
      </w:r>
    </w:p>
    <w:p w14:paraId="68FAC3CE" w14:textId="77777777" w:rsidR="007C11E9" w:rsidRPr="000A3A07" w:rsidRDefault="007C11E9">
      <w:r w:rsidRPr="000A3A07">
        <w:t>Banverket och Luftfartsverket presenterade olika förslag om en järnvägsfö</w:t>
      </w:r>
      <w:r w:rsidRPr="000A3A07">
        <w:t>r</w:t>
      </w:r>
      <w:r w:rsidRPr="000A3A07">
        <w:t>bindelse till Arlanda i sina treårsplaner för perioden 1990/91–1992/93. Ba</w:t>
      </w:r>
      <w:r w:rsidRPr="000A3A07">
        <w:t>n</w:t>
      </w:r>
      <w:r w:rsidRPr="000A3A07">
        <w:t>verket konstaterade att Arlandabanan var ett samhällsekonomiskt lönsamt projekt (Banverket 1989). Mot bakgrund av verkens förslag uppdrog reg</w:t>
      </w:r>
      <w:r w:rsidRPr="000A3A07">
        <w:t>e</w:t>
      </w:r>
      <w:r w:rsidRPr="000A3A07">
        <w:t>ringen i november 1989 åt Banverket att lämna förslag till hur projektet skulle kunna finansieras helt utanför statsbudgeten. Regeringen uppgav att arbetet skulle bedrivas skyndsamt för att projektet skulle kunna börja byggas år 1991.</w:t>
      </w:r>
    </w:p>
    <w:p w14:paraId="77369464" w14:textId="77777777" w:rsidR="007C11E9" w:rsidRPr="000A3A07" w:rsidRDefault="007C11E9">
      <w:pPr>
        <w:pStyle w:val="Normaltindrag"/>
      </w:pPr>
      <w:r w:rsidRPr="000A3A07">
        <w:t>Från början var både samhällsekonomisk och företagsekonomis</w:t>
      </w:r>
      <w:r w:rsidRPr="000A3A07">
        <w:t>k lönsa</w:t>
      </w:r>
      <w:r w:rsidRPr="000A3A07">
        <w:t>m</w:t>
      </w:r>
      <w:r w:rsidRPr="000A3A07">
        <w:t>het en förutsättning för Arlandabanan (prop. 1992/93:176). Banverket ko</w:t>
      </w:r>
      <w:r w:rsidRPr="000A3A07">
        <w:t>n</w:t>
      </w:r>
      <w:r w:rsidRPr="000A3A07">
        <w:t xml:space="preserve">staterade dock i sina rapporter om finansieringen (Banverket 1990 a och 1990 b) att statliga finansiella åtaganden var nödvändiga för att banan skulle kunna komma till stånd. Delegationen för infrastrukturinvesteringar (K 1991:04) studerade projektet på nytt 1992. Även delegationen kom fram till att hela projektet inte skulle kunna finansieras helt utanför statsbudgeten (prop. 1992/93:176). </w:t>
      </w:r>
    </w:p>
    <w:p w14:paraId="03E7C960" w14:textId="77777777" w:rsidR="007C11E9" w:rsidRPr="000A3A07" w:rsidRDefault="007C11E9">
      <w:pPr>
        <w:pStyle w:val="Normaltindrag"/>
      </w:pPr>
      <w:r w:rsidRPr="000A3A07">
        <w:t>I avvaktan på ett slutligt ställnings</w:t>
      </w:r>
      <w:r w:rsidRPr="000A3A07">
        <w:t>tagande till Arlandabanans genomföra</w:t>
      </w:r>
      <w:r w:rsidRPr="000A3A07">
        <w:t>n</w:t>
      </w:r>
      <w:r w:rsidRPr="000A3A07">
        <w:t xml:space="preserve">de beslutade regeringen den 15 augusti 1991 och 12 mars 1992 att påbörja utbyggnaden av den fyrspåriga järnvägen mellan Stockholms Central och </w:t>
      </w:r>
      <w:commentRangeStart w:id="116"/>
      <w:r w:rsidRPr="000A3A07">
        <w:t>Rosersberg</w:t>
      </w:r>
      <w:commentRangeEnd w:id="116"/>
      <w:r w:rsidRPr="000A3A07">
        <w:rPr>
          <w:rStyle w:val="Kommentarsreferens"/>
          <w:sz w:val="19"/>
        </w:rPr>
        <w:commentReference w:id="116"/>
      </w:r>
      <w:r w:rsidRPr="000A3A07">
        <w:t>. Regeringen avsatte 750 miljoner kronor för proje</w:t>
      </w:r>
      <w:r w:rsidRPr="000A3A07">
        <w:t>k</w:t>
      </w:r>
      <w:r w:rsidRPr="000A3A07">
        <w:t xml:space="preserve">tet. </w:t>
      </w:r>
    </w:p>
    <w:p w14:paraId="6E2523E4" w14:textId="77777777" w:rsidR="007C11E9" w:rsidRPr="000A3A07" w:rsidRDefault="007C11E9">
      <w:pPr>
        <w:pStyle w:val="Normaltindrag"/>
      </w:pPr>
      <w:r w:rsidRPr="000A3A07">
        <w:t>Den 14 januari 1993 beslutade regeringen att så stor del av Arlandabanan som möjligt skulle finansieras med privata medel. Regeringen uppdrog åt Delegationen för infrastrukturinvesteringar att förhandla och träffa överen</w:t>
      </w:r>
      <w:r w:rsidRPr="000A3A07">
        <w:t>s</w:t>
      </w:r>
      <w:r w:rsidRPr="000A3A07">
        <w:t>kommelse med lämpliga intressenter om genomförandet av utbyggnaden av Arlandabanan på den Södra böjen. För den Norra böjen ville regeringen ha bättre beslutsunderlag. Regeringen uppdrog därför åt Banverket att genomf</w:t>
      </w:r>
      <w:r w:rsidRPr="000A3A07">
        <w:t>ö</w:t>
      </w:r>
      <w:r w:rsidRPr="000A3A07">
        <w:t>ra en samhällsekonomisk analys och en miljökonsekvensbeskrivning av sträc</w:t>
      </w:r>
      <w:r w:rsidRPr="000A3A07">
        <w:t>k</w:t>
      </w:r>
      <w:r w:rsidRPr="000A3A07">
        <w:t xml:space="preserve">an. Kostnaden för sträckan uppskattades till 850 miljoner kronor. </w:t>
      </w:r>
    </w:p>
    <w:p w14:paraId="21DECEA0" w14:textId="77777777" w:rsidR="007C11E9" w:rsidRPr="000A3A07" w:rsidRDefault="007C11E9">
      <w:pPr>
        <w:pStyle w:val="Normaltindrag"/>
      </w:pPr>
      <w:r w:rsidRPr="000A3A07">
        <w:t>Regeringen föreslog också att ytterligare 1 150 miljoner kronor skulle a</w:t>
      </w:r>
      <w:r w:rsidRPr="000A3A07">
        <w:t>n</w:t>
      </w:r>
      <w:r w:rsidRPr="000A3A07">
        <w:t>visas till den återstående delen av utbyggnaden av fyrspårig järnväg mellan Ulriksdal och Rosersberg (prop. 1992/93:176). Riksdagen godkände reg</w:t>
      </w:r>
      <w:r w:rsidRPr="000A3A07">
        <w:t>e</w:t>
      </w:r>
      <w:r w:rsidRPr="000A3A07">
        <w:t>ringens förslag och avsatte sammanlagt 2 000 miljoner kronor för utbyggn</w:t>
      </w:r>
      <w:r w:rsidRPr="000A3A07">
        <w:t>a</w:t>
      </w:r>
      <w:r w:rsidRPr="000A3A07">
        <w:t xml:space="preserve">den av fyrspåret och Norra böjen (bet. 1992/93:TU35, rskr. 1992/93:446). </w:t>
      </w:r>
    </w:p>
    <w:p w14:paraId="7BA9A012" w14:textId="77777777" w:rsidR="007C11E9" w:rsidRPr="000A3A07" w:rsidRDefault="007C11E9">
      <w:pPr>
        <w:pStyle w:val="Normaltindrag"/>
      </w:pPr>
      <w:r w:rsidRPr="000A3A07">
        <w:t>Under våren 1993 påbörjade Delegationen för infrastrukturinvesteringar förberedelserna för upphandlingen av Arlandabanan. Upphandlingen avsåg byggande av delen Rosersberg–Arlanda flygplats, stationslösningar på fly</w:t>
      </w:r>
      <w:r w:rsidRPr="000A3A07">
        <w:t>g</w:t>
      </w:r>
      <w:r w:rsidRPr="000A3A07">
        <w:t>platsen och på Stockholms Central, anskaffning av tåg samt finansiering av projektet. Senare inordnades även anslutningen från Arlanda till Odensala (Norra böjen) i projektet. Riksdagen ansåg att det var angeläget att Arland</w:t>
      </w:r>
      <w:r w:rsidRPr="000A3A07">
        <w:t>a</w:t>
      </w:r>
      <w:r w:rsidRPr="000A3A07">
        <w:t>banan hanterades som ett samma</w:t>
      </w:r>
      <w:r w:rsidRPr="000A3A07">
        <w:t>n</w:t>
      </w:r>
      <w:r w:rsidRPr="000A3A07">
        <w:t>hängande projekt.</w:t>
      </w:r>
    </w:p>
    <w:p w14:paraId="356ECB79" w14:textId="77777777" w:rsidR="007C11E9" w:rsidRPr="000A3A07" w:rsidRDefault="007C11E9">
      <w:pPr>
        <w:pStyle w:val="Normaltindrag"/>
      </w:pPr>
      <w:r w:rsidRPr="000A3A07">
        <w:t>Som ett led i delegationens förhandlingsarbete bildades, efter riksdagens godkännande, ett särskilt projektbolag, A-Banan Projekt AB (prop. 1993/94:39, bet. 1993/94:TU6, rskr. 1993/94:74). Bolaget skulle administr</w:t>
      </w:r>
      <w:r w:rsidRPr="000A3A07">
        <w:t>e</w:t>
      </w:r>
      <w:r w:rsidRPr="000A3A07">
        <w:t>ra upphandlingen och samla projektets rättigheter och skyldigheter</w:t>
      </w:r>
      <w:r w:rsidRPr="000A3A07">
        <w:rPr>
          <w:rStyle w:val="Fotnotsreferens"/>
        </w:rPr>
        <w:footnoteReference w:id="17"/>
      </w:r>
      <w:r w:rsidRPr="000A3A07">
        <w:t xml:space="preserve"> samt vara de privata intressenternas motpart. Bolaget är helägt av staten och fö</w:t>
      </w:r>
      <w:r w:rsidRPr="000A3A07">
        <w:t>r</w:t>
      </w:r>
      <w:r w:rsidRPr="000A3A07">
        <w:t xml:space="preserve">valtas till lika delar av Banverket och Luftfartsverket. Bolagets aktiekapital uppgår till 10 miljoner kronor. </w:t>
      </w:r>
    </w:p>
    <w:p w14:paraId="7680C163" w14:textId="77777777" w:rsidR="007C11E9" w:rsidRPr="000A3A07" w:rsidRDefault="007C11E9">
      <w:pPr>
        <w:pStyle w:val="Normaltindrag"/>
      </w:pPr>
      <w:r w:rsidRPr="000A3A07">
        <w:t>Anbudstiden gick ut den 15 februari 1994. Därefter inledde A-Banan Pr</w:t>
      </w:r>
      <w:r w:rsidRPr="000A3A07">
        <w:t>o</w:t>
      </w:r>
      <w:r w:rsidRPr="000A3A07">
        <w:t>jekt AB utvärdering och förhandlingar med berörda konsortier. I mars 1994 lämnade A-Banan Projekt AB en redovisning till regeringen av de grundlä</w:t>
      </w:r>
      <w:r w:rsidRPr="000A3A07">
        <w:t>g</w:t>
      </w:r>
      <w:r w:rsidRPr="000A3A07">
        <w:t>gande principerna för projektet, baserat på de huvudsakliga avtalsförslagen. I april samma år lade regeringen fram förslag till samfinansiering av Arland</w:t>
      </w:r>
      <w:r w:rsidRPr="000A3A07">
        <w:t>a</w:t>
      </w:r>
      <w:r w:rsidRPr="000A3A07">
        <w:t xml:space="preserve">banans utbyggnad (prop. 1993/94:213). </w:t>
      </w:r>
    </w:p>
    <w:p w14:paraId="4487EA67" w14:textId="77777777" w:rsidR="007C11E9" w:rsidRPr="000A3A07" w:rsidRDefault="007C11E9">
      <w:pPr>
        <w:pStyle w:val="Normaltindrag"/>
      </w:pPr>
      <w:r w:rsidRPr="000A3A07">
        <w:t>Regeringen föreslog att det konsortium som vann anbudstävlingen skulle få rätten att genom ett särskilt bildat aktiebolag bygga och förvalta utbyg</w:t>
      </w:r>
      <w:r w:rsidRPr="000A3A07">
        <w:t>g</w:t>
      </w:r>
      <w:r w:rsidRPr="000A3A07">
        <w:t>naden av Arlandabanan (Rosersberg–Arlanda–Odensala) samt driva Arla</w:t>
      </w:r>
      <w:r w:rsidRPr="000A3A07">
        <w:t>n</w:t>
      </w:r>
      <w:r w:rsidRPr="000A3A07">
        <w:t>dapendeln (Stockholms Central–Arlanda). Regeringen föreslog vidare att staten skulle bidra med 850 miljoner kronor för Norra böjen samt utställa ett villkorslån till det av konsortiet bildade bolaget. Villkorslånet föreslogs uppgå till ett belopp motsvarande 25 % av den totala projektkostnaden, dock högst 1 000 miljoner kronor. Banverket föreslogs ansvara för anslutningarna av Arlandabanan till stomjärnvägen mellan Stockholm och Uppsala, m</w:t>
      </w:r>
      <w:r w:rsidRPr="000A3A07">
        <w:t>arki</w:t>
      </w:r>
      <w:r w:rsidRPr="000A3A07">
        <w:t>n</w:t>
      </w:r>
      <w:r w:rsidRPr="000A3A07">
        <w:t>köp m.m. Trafikutskottet tillstyrkte alla regeringens förslag i maj samma år (bet. 1993/94:TU36).</w:t>
      </w:r>
    </w:p>
    <w:p w14:paraId="2D383993" w14:textId="77777777" w:rsidR="007C11E9" w:rsidRPr="000A3A07" w:rsidRDefault="007C11E9">
      <w:pPr>
        <w:pStyle w:val="Normaltindrag"/>
      </w:pPr>
      <w:r w:rsidRPr="000A3A07">
        <w:t>Under sommaren 1994 inledde A-banan Projekt AB slutförhandlingar med Arlanda Link Consortium</w:t>
      </w:r>
      <w:r w:rsidRPr="000A3A07">
        <w:rPr>
          <w:rStyle w:val="Fotnotsreferens"/>
        </w:rPr>
        <w:footnoteReference w:id="18"/>
      </w:r>
      <w:r w:rsidRPr="000A3A07">
        <w:t>. I augusti 1994 slöts ett avtal mellan parterna. Den 25 augusti 1994 överlämnade A-Banan Projekt AB ett förslag till avtal (Arlandabaneavtalen) till regeringen. Regeringen beslutade den 8 september 1994 om avtalens godkännande och utbetalningarnas verkställande. Den 22 december 1994 beslutade regeringen att tillkalla en förhandlingsman med uppgift att nå en överenskommelse om samordnad och integrerad tågtrafik på Arlandabanan och i Mälardalsregionen. Uppdraget redovisades den 17 febr</w:t>
      </w:r>
      <w:r w:rsidRPr="000A3A07">
        <w:t>u</w:t>
      </w:r>
      <w:r w:rsidRPr="000A3A07">
        <w:t xml:space="preserve">ari 1995. Under våren </w:t>
      </w:r>
      <w:r w:rsidRPr="000A3A07">
        <w:t xml:space="preserve">1995 slutförde förhandlingsmannen arbetet med att införliva överenskommelserna i Arlandabaneprojektsavtalet. </w:t>
      </w:r>
    </w:p>
    <w:p w14:paraId="6105932B" w14:textId="77777777" w:rsidR="007C11E9" w:rsidRPr="000A3A07" w:rsidRDefault="007C11E9">
      <w:pPr>
        <w:pStyle w:val="Normaltindrag"/>
      </w:pPr>
      <w:r w:rsidRPr="000A3A07">
        <w:t>Den 3 juli 1995 undertecknade A-banan projekt AB och Arlanda Link Consortium det slutliga avtalet. Därefter bildade konsortiet bolaget A-Train AB för planering, finansiering, utbyggnad och drift av Arlandabanan. Arla</w:t>
      </w:r>
      <w:r w:rsidRPr="000A3A07">
        <w:t>n</w:t>
      </w:r>
      <w:r w:rsidRPr="000A3A07">
        <w:t>d</w:t>
      </w:r>
      <w:r w:rsidRPr="000A3A07">
        <w:t>a</w:t>
      </w:r>
      <w:r w:rsidRPr="000A3A07">
        <w:t>banan invigdes den 24 november 1999.</w:t>
      </w:r>
    </w:p>
    <w:p w14:paraId="2DEBBF80" w14:textId="77777777" w:rsidR="007C11E9" w:rsidRPr="000A3A07" w:rsidRDefault="007C11E9">
      <w:pPr>
        <w:rPr>
          <w:b/>
          <w:i/>
        </w:rPr>
      </w:pPr>
      <w:r w:rsidRPr="000A3A07">
        <w:rPr>
          <w:b/>
          <w:i/>
        </w:rPr>
        <w:t>Kvaliteten på de samhällsekonomiska beräkningarna</w:t>
      </w:r>
    </w:p>
    <w:p w14:paraId="481E5409" w14:textId="77777777" w:rsidR="007C11E9" w:rsidRPr="000A3A07" w:rsidRDefault="007C11E9">
      <w:r w:rsidRPr="000A3A07">
        <w:t>Professor Lars Hultkrantz har inom ramen för revisorernas granskning stud</w:t>
      </w:r>
      <w:r w:rsidRPr="000A3A07">
        <w:t>e</w:t>
      </w:r>
      <w:r w:rsidRPr="000A3A07">
        <w:t xml:space="preserve">rat de samhällsekonomiska beräkningarna av Arlandabanans lönsamhet. </w:t>
      </w:r>
    </w:p>
    <w:p w14:paraId="4E8AC27F" w14:textId="77777777" w:rsidR="007C11E9" w:rsidRPr="000A3A07" w:rsidRDefault="007C11E9">
      <w:pPr>
        <w:pStyle w:val="Normaltindrag"/>
      </w:pPr>
      <w:r w:rsidRPr="000A3A07">
        <w:t xml:space="preserve">Hultkrantz granskning omfattar tre olika analyser. Den första analysen gjorde Banverket på regeringens uppdrag 1990. Banverket konstaterade att Arlandabanan var ett samhällsekonomiskt lönsamt projekt (Banverket 1990 a). </w:t>
      </w:r>
    </w:p>
    <w:p w14:paraId="3C546B30" w14:textId="77777777" w:rsidR="007C11E9" w:rsidRPr="000A3A07" w:rsidRDefault="007C11E9">
      <w:pPr>
        <w:pStyle w:val="Normaltindrag"/>
      </w:pPr>
      <w:r w:rsidRPr="000A3A07">
        <w:t>Den andra analysen lämnade det internationella konsultföretaget Salomon Brothers till Kommunikationsdepartementet hösten 1992 (Salomon Brothers 1992). Syftet med rapporten var att undersöka om och på vilka villkor en del av banan kunde finansieras och drivas i privat regi. På grundval av rapporten beslutade Delegationen för infrastrukturinvesteringar att föreslå regeringen att genomföra en samfinansierad utbyggnad av ett nytt spår från Rosersberg till Arlanda (Södra böjen).</w:t>
      </w:r>
    </w:p>
    <w:p w14:paraId="0DA0DD3E" w14:textId="77777777" w:rsidR="007C11E9" w:rsidRPr="000A3A07" w:rsidRDefault="007C11E9">
      <w:pPr>
        <w:pStyle w:val="Normaltindrag"/>
      </w:pPr>
      <w:r w:rsidRPr="000A3A07">
        <w:t>För den nordliga järnvägsanslutningen (Norra böjen) genomförde Banve</w:t>
      </w:r>
      <w:r w:rsidRPr="000A3A07">
        <w:t>r</w:t>
      </w:r>
      <w:r w:rsidRPr="000A3A07">
        <w:t>ket på regeringens uppdrag en samhällsekonomisk analys 1993 (Banverket 1993). Banverket jämförde tre olika alternativa lösningar. I kalkylen redov</w:t>
      </w:r>
      <w:r w:rsidRPr="000A3A07">
        <w:t>i</w:t>
      </w:r>
      <w:r w:rsidRPr="000A3A07">
        <w:t>sas inte de olika alternativens nytta, utan endast differensen i nytta mellan alternativen. Därmed framgår inte heller om en nordlig järnvägsanslutning är samhällsekonomiskt lö</w:t>
      </w:r>
      <w:r w:rsidRPr="000A3A07">
        <w:t>n</w:t>
      </w:r>
      <w:r w:rsidRPr="000A3A07">
        <w:t>sam.</w:t>
      </w:r>
    </w:p>
    <w:p w14:paraId="6F544DF7" w14:textId="77777777" w:rsidR="007C11E9" w:rsidRPr="000A3A07" w:rsidRDefault="007C11E9">
      <w:pPr>
        <w:rPr>
          <w:i/>
        </w:rPr>
      </w:pPr>
      <w:r w:rsidRPr="000A3A07">
        <w:rPr>
          <w:i/>
        </w:rPr>
        <w:t>Banverket 1990</w:t>
      </w:r>
    </w:p>
    <w:p w14:paraId="103FF0A6" w14:textId="77777777" w:rsidR="007C11E9" w:rsidRPr="000A3A07" w:rsidRDefault="007C11E9">
      <w:r w:rsidRPr="000A3A07">
        <w:t xml:space="preserve">I Banverkets utredning var huvudfrågan om en Arlandabana borde byggas. Kalkylen visade att en sådan investering skulle vara samhällsekonomiskt lönsam. </w:t>
      </w:r>
    </w:p>
    <w:p w14:paraId="7FFFC3C7" w14:textId="77777777" w:rsidR="007C11E9" w:rsidRPr="000A3A07" w:rsidRDefault="007C11E9">
      <w:pPr>
        <w:pStyle w:val="Normaltindrag"/>
      </w:pPr>
      <w:r w:rsidRPr="000A3A07">
        <w:t>Banverket beräknar lönsamheten för två järnvägslösningar. Dessa båda u</w:t>
      </w:r>
      <w:r w:rsidRPr="000A3A07">
        <w:t>t</w:t>
      </w:r>
      <w:r w:rsidRPr="000A3A07">
        <w:t>redningsalterantiv jämförs med situationen om ingen åtgärd genomförs. Hultkrantz menar att Banverkets avgränsning till järnvägsalternativ minskar värdet av analysen som underlag för ett ställningstagande till om projektet borde genomföras. Hultkrantz anser att Banverket också borde ha jämfört järnvägsalternativen med helt andra åtgärder som enklare kan lösa probl</w:t>
      </w:r>
      <w:r w:rsidRPr="000A3A07">
        <w:t>e</w:t>
      </w:r>
      <w:r w:rsidRPr="000A3A07">
        <w:t>men, exempelvis ökad satsning på busstrafiken. Bussarnas framkomlighet skulle kunna förbättras genom t.ex. egna filer, företrädesrätt och planski</w:t>
      </w:r>
      <w:r w:rsidRPr="000A3A07">
        <w:t xml:space="preserve">lda korsningar. </w:t>
      </w:r>
    </w:p>
    <w:p w14:paraId="1206A155" w14:textId="77777777" w:rsidR="007C11E9" w:rsidRPr="000A3A07" w:rsidRDefault="007C11E9">
      <w:pPr>
        <w:pStyle w:val="Normaltindrag"/>
      </w:pPr>
      <w:r w:rsidRPr="000A3A07">
        <w:t>Hultkrantz konstaterar att det projekt som faktiskt genomfördes i vissa d</w:t>
      </w:r>
      <w:r w:rsidRPr="000A3A07">
        <w:t>e</w:t>
      </w:r>
      <w:r w:rsidRPr="000A3A07">
        <w:t>lar skiljer sig från den utformning som förutsattes i den samhällsekonomiska kalkylen. I utredningsalternativet ingår en station vid Häggvik (Stockholm Nord) som aldrig kom att genomföras. Dessutom förutsattes att endast en station skulle byggas vid Arlanda. I verkligheten blev det tre stationer. Hul</w:t>
      </w:r>
      <w:r w:rsidRPr="000A3A07">
        <w:t>t</w:t>
      </w:r>
      <w:r w:rsidRPr="000A3A07">
        <w:t>krantz bedömer att dessa skillnader bör ha haft väsentlig betydelse för den beräknade nyttan och kostnaden. Ytterligare en väsentlig skillnad är att Ba</w:t>
      </w:r>
      <w:r w:rsidRPr="000A3A07">
        <w:t>n</w:t>
      </w:r>
      <w:r w:rsidRPr="000A3A07">
        <w:t>verket i utredningen antog att flygbusstrafiken skulle up</w:t>
      </w:r>
      <w:r w:rsidRPr="000A3A07">
        <w:t>phöra då Arlandab</w:t>
      </w:r>
      <w:r w:rsidRPr="000A3A07">
        <w:t>a</w:t>
      </w:r>
      <w:r w:rsidRPr="000A3A07">
        <w:t>nan öppnas för trafik. Detta antagande påverkar enligt Hultkrantz både den samhällsekonomiska och företagsekonomiska lönsamheten av Arlandabanan väsentligt. Han anser att Banverket borde ha reviderat beräkningarna när man senare insåg att flygbusstrafiken troligen skulle vara kvar.</w:t>
      </w:r>
    </w:p>
    <w:p w14:paraId="2367ED0F" w14:textId="77777777" w:rsidR="007C11E9" w:rsidRPr="000A3A07" w:rsidRDefault="007C11E9">
      <w:pPr>
        <w:pStyle w:val="Normaltindrag"/>
      </w:pPr>
      <w:r w:rsidRPr="000A3A07">
        <w:t>Den samhällsekonomiska kalkylen baseras bl.a. på prognoser för utvec</w:t>
      </w:r>
      <w:r w:rsidRPr="000A3A07">
        <w:t>k</w:t>
      </w:r>
      <w:r w:rsidRPr="000A3A07">
        <w:t>lingen av antalet flygresenärer till och från Arlanda. Prognoserna har stor betydelse för storleken på nyttoeffekterna och följaktligen även för kalkylr</w:t>
      </w:r>
      <w:r w:rsidRPr="000A3A07">
        <w:t>e</w:t>
      </w:r>
      <w:r w:rsidRPr="000A3A07">
        <w:t>sultatet. Hultkrantz pekar på att inrikesresandet med flyg kraftigt överskatt</w:t>
      </w:r>
      <w:r w:rsidRPr="000A3A07">
        <w:t>a</w:t>
      </w:r>
      <w:r w:rsidRPr="000A3A07">
        <w:t>des i Banverkets kalkyl. Hultkrantz konstaterar att orsaken till prognosfelet inte i tillräcklig utsträckning har analyserats, trots prognosernas betydelse för kalkylr</w:t>
      </w:r>
      <w:r w:rsidRPr="000A3A07">
        <w:t>e</w:t>
      </w:r>
      <w:r w:rsidRPr="000A3A07">
        <w:t xml:space="preserve">sultatet. </w:t>
      </w:r>
    </w:p>
    <w:p w14:paraId="64FE0E3F" w14:textId="77777777" w:rsidR="007C11E9" w:rsidRPr="000A3A07" w:rsidRDefault="007C11E9">
      <w:pPr>
        <w:pStyle w:val="Normaltindrag"/>
      </w:pPr>
      <w:r w:rsidRPr="000A3A07">
        <w:t xml:space="preserve">Den samhällsekonomiska bedömningen av miljöeffekterna gjordes på ett begränsat underlag. Bedömningen </w:t>
      </w:r>
      <w:r w:rsidRPr="000A3A07">
        <w:t>grundas enligt Hultkrantz på en scha</w:t>
      </w:r>
      <w:r w:rsidRPr="000A3A07">
        <w:t>b</w:t>
      </w:r>
      <w:r w:rsidRPr="000A3A07">
        <w:t>lon-mässig beräkning, utan att de olika miljöeffekterna redovisas. Hultkrantz anser att en högre värdering av miljöeffekterna kan motiveras. Samtidigt efterlyser han en översikt över de intrångsproblem som kunde förväntas uppstå på den sträc</w:t>
      </w:r>
      <w:r w:rsidRPr="000A3A07">
        <w:t>k</w:t>
      </w:r>
      <w:r w:rsidRPr="000A3A07">
        <w:t>an där helt ny järnväg ska dras.</w:t>
      </w:r>
    </w:p>
    <w:p w14:paraId="017570C4" w14:textId="77777777" w:rsidR="007C11E9" w:rsidRPr="000A3A07" w:rsidRDefault="007C11E9">
      <w:pPr>
        <w:pStyle w:val="Normaltindrag"/>
      </w:pPr>
      <w:r w:rsidRPr="000A3A07">
        <w:t>Hultkrantz anser dock att Banverkets kalkyl i princip är gjord på ett ko</w:t>
      </w:r>
      <w:r w:rsidRPr="000A3A07">
        <w:t>r</w:t>
      </w:r>
      <w:r w:rsidRPr="000A3A07">
        <w:t xml:space="preserve">rekt sätt med den metodik som då brukade tillämpas. </w:t>
      </w:r>
    </w:p>
    <w:p w14:paraId="1173B592" w14:textId="77777777" w:rsidR="007C11E9" w:rsidRPr="000A3A07" w:rsidRDefault="007C11E9">
      <w:pPr>
        <w:rPr>
          <w:i/>
        </w:rPr>
      </w:pPr>
      <w:r w:rsidRPr="000A3A07">
        <w:rPr>
          <w:i/>
        </w:rPr>
        <w:t>Salomon Brothers 1992</w:t>
      </w:r>
    </w:p>
    <w:p w14:paraId="1F095585" w14:textId="77777777" w:rsidR="007C11E9" w:rsidRPr="000A3A07" w:rsidRDefault="007C11E9">
      <w:r w:rsidRPr="000A3A07">
        <w:t>Salomon Brothers studerade om och hur Arlandabanan skulle kunna geno</w:t>
      </w:r>
      <w:r w:rsidRPr="000A3A07">
        <w:t>m</w:t>
      </w:r>
      <w:r w:rsidRPr="000A3A07">
        <w:t>föras som ett privat företag. Konsulterna analyserade vad som är ett rimligt avkastningskrav på en investering av detta slag och hur stora offentliga su</w:t>
      </w:r>
      <w:r w:rsidRPr="000A3A07">
        <w:t>b</w:t>
      </w:r>
      <w:r w:rsidRPr="000A3A07">
        <w:t>ventioner som skulle krävas. De beräknade också kostnaden för olika alte</w:t>
      </w:r>
      <w:r w:rsidRPr="000A3A07">
        <w:t>r</w:t>
      </w:r>
      <w:r w:rsidRPr="000A3A07">
        <w:t>nativa u</w:t>
      </w:r>
      <w:r w:rsidRPr="000A3A07">
        <w:t>t</w:t>
      </w:r>
      <w:r w:rsidRPr="000A3A07">
        <w:t xml:space="preserve">formningar av banprojektet. </w:t>
      </w:r>
    </w:p>
    <w:p w14:paraId="44228620" w14:textId="77777777" w:rsidR="007C11E9" w:rsidRPr="000A3A07" w:rsidRDefault="007C11E9">
      <w:pPr>
        <w:pStyle w:val="Normaltindrag"/>
      </w:pPr>
      <w:r w:rsidRPr="000A3A07">
        <w:t>Hultkrantz konstaterar att alla studerade utredningsalternativ låg inom järnvägsområdet. I förhållande till Banverkets kalkyl närmade sig konsulte</w:t>
      </w:r>
      <w:r w:rsidRPr="000A3A07">
        <w:t>r</w:t>
      </w:r>
      <w:r w:rsidRPr="000A3A07">
        <w:t>na det projekt som faktiskt kom att genomföras. Salomon Brothers beräknade hur kostnaderna skulle påverkas om stationerna vid Arlanda skulle läggas under i stället för ovan jord. Dessutom introducerade konsulterna tanken på att dela upp projektet i två etapper. Till skillnad från hur det faktiskt blev räknade dock konsulterna med att station Stockholm Nord skulle genomf</w:t>
      </w:r>
      <w:r w:rsidRPr="000A3A07">
        <w:t>ö</w:t>
      </w:r>
      <w:r w:rsidRPr="000A3A07">
        <w:t>ras. Konsulterna utgick också från att formen för den offentliga finansierin</w:t>
      </w:r>
      <w:r w:rsidRPr="000A3A07">
        <w:t>g</w:t>
      </w:r>
      <w:r w:rsidRPr="000A3A07">
        <w:t>en skulle vara en passagerarsubvention. I realiteten utgjorde</w:t>
      </w:r>
      <w:r w:rsidRPr="000A3A07">
        <w:t xml:space="preserve">s statens bidrag av ett anslag på 850 miljoner kronor och ett villkorslån på 1 miljard kronor. </w:t>
      </w:r>
    </w:p>
    <w:p w14:paraId="7B8061A9" w14:textId="77777777" w:rsidR="007C11E9" w:rsidRPr="000A3A07" w:rsidRDefault="007C11E9">
      <w:pPr>
        <w:pStyle w:val="Normaltindrag"/>
      </w:pPr>
      <w:r w:rsidRPr="000A3A07">
        <w:t>Liksom i Banverkets kalkyl från 1990 utgick Salomon Brothers från att flygbusstrafiken skulle upphöra. Det framhålls till och med som en förutsät</w:t>
      </w:r>
      <w:r w:rsidRPr="000A3A07">
        <w:t>t</w:t>
      </w:r>
      <w:r w:rsidRPr="000A3A07">
        <w:t>ning för att få privata investerare intresserade av att delta i projektet.</w:t>
      </w:r>
    </w:p>
    <w:p w14:paraId="072F8570" w14:textId="77777777" w:rsidR="007C11E9" w:rsidRPr="000A3A07" w:rsidRDefault="007C11E9">
      <w:pPr>
        <w:pStyle w:val="Normaltindrag"/>
      </w:pPr>
      <w:r w:rsidRPr="000A3A07">
        <w:t>Enligt Hultkrantz är det oklart huruvida konsulterna försöker göra en sa</w:t>
      </w:r>
      <w:r w:rsidRPr="000A3A07">
        <w:t>m</w:t>
      </w:r>
      <w:r w:rsidRPr="000A3A07">
        <w:t xml:space="preserve">hällsekonomisk analys av projektet. Han menar att beräkningarna kan tolkas som en samhällsekonomisk analys. Ur samhällsekonomisk synvinkel är dock rapporten ofullständig. Hultkrantz menar att rapporten inte ger underlag för att bedöma projektets samhällsekonomiska lönsamhet. </w:t>
      </w:r>
    </w:p>
    <w:p w14:paraId="451EC2AC" w14:textId="77777777" w:rsidR="007C11E9" w:rsidRPr="000A3A07" w:rsidRDefault="007C11E9">
      <w:pPr>
        <w:pStyle w:val="Normaltindrag"/>
      </w:pPr>
      <w:r w:rsidRPr="000A3A07">
        <w:t>Rapporten redovisades för Delegationen för infrastrukturinvesteringar i december 1992. Samma dag beslutade delegationen att föreslå regeringen att genomföra en samfinansierad utbyggnad av ett nytt spår från Rosersberg till Arlanda som</w:t>
      </w:r>
      <w:r w:rsidRPr="000A3A07">
        <w:t xml:space="preserve"> en första etapp av projektet. Närmare analys av storleken på och formerna för statlig finansiering skulle göras efter genomförd upphan</w:t>
      </w:r>
      <w:r w:rsidRPr="000A3A07">
        <w:t>d</w:t>
      </w:r>
      <w:r w:rsidRPr="000A3A07">
        <w:t>ling. Regeringen beslutade i januari 1993 att gå vidare med frågan i enlighet med detta förslag.</w:t>
      </w:r>
    </w:p>
    <w:p w14:paraId="481F2809" w14:textId="77777777" w:rsidR="007C11E9" w:rsidRPr="000A3A07" w:rsidRDefault="007C11E9">
      <w:pPr>
        <w:rPr>
          <w:i/>
        </w:rPr>
      </w:pPr>
      <w:r w:rsidRPr="000A3A07">
        <w:rPr>
          <w:i/>
        </w:rPr>
        <w:t>Banverket 1993</w:t>
      </w:r>
    </w:p>
    <w:p w14:paraId="6E4FBC28" w14:textId="77777777" w:rsidR="007C11E9" w:rsidRPr="000A3A07" w:rsidRDefault="007C11E9">
      <w:r w:rsidRPr="000A3A07">
        <w:t>Det gjordes inte någon ytterligare samhällsekonomisk studie av den södra delen av banan. Däremot analyserade Banverket 1993 en nordlig järnvägsa</w:t>
      </w:r>
      <w:r w:rsidRPr="000A3A07">
        <w:t>n</w:t>
      </w:r>
      <w:r w:rsidRPr="000A3A07">
        <w:t xml:space="preserve">slutning för resande norrifrån till Arlanda och norrut från Arlanda. Banverket studerade tre olika utredningsalternativ. Alternativen var kostnadsmässigt likvärdiga. Alla alternativ innebär investeringar i både spår och station. </w:t>
      </w:r>
    </w:p>
    <w:p w14:paraId="03F2310A" w14:textId="77777777" w:rsidR="007C11E9" w:rsidRPr="000A3A07" w:rsidRDefault="007C11E9">
      <w:pPr>
        <w:pStyle w:val="Normaltindrag"/>
      </w:pPr>
      <w:r w:rsidRPr="000A3A07">
        <w:t>Hultkrantz konstaterar att Banverket jämför utredningsalternativen med varandra i stället för att jämföra dem med ett jämförelsealternativ (situati</w:t>
      </w:r>
      <w:r w:rsidRPr="000A3A07">
        <w:t>o</w:t>
      </w:r>
      <w:r w:rsidRPr="000A3A07">
        <w:t>nen utan åtgärd eller situationen med en mindre kostsam investering). Det innebär att endast skillnaden i nytta mellan de tre alternativen redovisas. De olika alternativens samhällsekonomiska lönsamhet framgår inte av kalkylen. Därmed framgår inte heller huruvida en nordlig järnvägsanslutning är sa</w:t>
      </w:r>
      <w:r w:rsidRPr="000A3A07">
        <w:t>m</w:t>
      </w:r>
      <w:r w:rsidRPr="000A3A07">
        <w:t>hällsek</w:t>
      </w:r>
      <w:r w:rsidRPr="000A3A07">
        <w:t>o</w:t>
      </w:r>
      <w:r w:rsidRPr="000A3A07">
        <w:t>nomiskt lönsam.</w:t>
      </w:r>
    </w:p>
    <w:p w14:paraId="7D4FEC53" w14:textId="77777777" w:rsidR="007C11E9" w:rsidRPr="000A3A07" w:rsidRDefault="007C11E9">
      <w:pPr>
        <w:pStyle w:val="Normaltindrag"/>
      </w:pPr>
      <w:r w:rsidRPr="000A3A07">
        <w:t>Hultkrantz konstaterar att beräkningarna utgår från de prognoser som gjorts tidigare. Banverket beaktar dock att utvecklingen av flygresandet varit svagare än vad prognosen förutsatte. Dä</w:t>
      </w:r>
      <w:r w:rsidRPr="000A3A07">
        <w:t>rför antar verket att ökningen som tid</w:t>
      </w:r>
      <w:r w:rsidRPr="000A3A07">
        <w:t>i</w:t>
      </w:r>
      <w:r w:rsidRPr="000A3A07">
        <w:t>gare beräknades inträffa år 2000 skulle inträffa först år 2005.</w:t>
      </w:r>
    </w:p>
    <w:p w14:paraId="7E2A25FB" w14:textId="77777777" w:rsidR="007C11E9" w:rsidRPr="000A3A07" w:rsidRDefault="007C11E9">
      <w:pPr>
        <w:pStyle w:val="Normaltindrag"/>
      </w:pPr>
      <w:r w:rsidRPr="000A3A07">
        <w:t>Hultkrantz menar att Banverket kan ha snedvridit analysen av den nordliga järnvägsanslutningen i förhållande till tidigare kalkyler. Ett av alternativen som Banverket undersöker i kalkylen är omstigning vid Stockholm Nord (resenärer norrut från Arlanda åker Arlandapendeln söderut till station Stockholm Nord vid Häggvik, där man byter till tåg norrut mot Uppsala). I de två tidigare rapporterna betonades bet</w:t>
      </w:r>
      <w:r w:rsidRPr="000A3A07">
        <w:t xml:space="preserve">ydelsen av station Stockholm Nord för att fånga upp resenärer från norra Stockholm till Arlanda. I analysen av den nordliga järnvägsanslutningen begränsar sig Banverket till effekterna på resande norrut från Arlanda och norrifrån till Arlanda. </w:t>
      </w:r>
    </w:p>
    <w:p w14:paraId="32001BE0" w14:textId="77777777" w:rsidR="007C11E9" w:rsidRPr="000A3A07" w:rsidRDefault="007C11E9">
      <w:pPr>
        <w:pStyle w:val="Normaltindrag"/>
      </w:pPr>
      <w:r w:rsidRPr="000A3A07">
        <w:t>Hultkrantz menar att om Stockholm Nord är så betydelsefull för resand</w:t>
      </w:r>
      <w:r w:rsidRPr="000A3A07">
        <w:t>e</w:t>
      </w:r>
      <w:r w:rsidRPr="000A3A07">
        <w:t>tillströmningen från söder som anges i de tidigare rapporterna överskattar Banverket i kalkylen av den nordliga järnvägsanslutningen kostnaden för alternativet omstigning vid Stockholm Nord. Alternativet som innebär n</w:t>
      </w:r>
      <w:r w:rsidRPr="000A3A07">
        <w:t>y</w:t>
      </w:r>
      <w:r w:rsidRPr="000A3A07">
        <w:t>byggd järnväg mellan Arlanda och Odensala (Norra böjen) gynnas. Hul</w:t>
      </w:r>
      <w:r w:rsidRPr="000A3A07">
        <w:t>t</w:t>
      </w:r>
      <w:r w:rsidRPr="000A3A07">
        <w:t>krantz ställer sig också frågan om den södra sträckningen, med de nya föru</w:t>
      </w:r>
      <w:r w:rsidRPr="000A3A07">
        <w:t>t</w:t>
      </w:r>
      <w:r w:rsidRPr="000A3A07">
        <w:t>sättningarna, fortfarande är samhällsekon</w:t>
      </w:r>
      <w:r w:rsidRPr="000A3A07">
        <w:t>o</w:t>
      </w:r>
      <w:r w:rsidRPr="000A3A07">
        <w:t>miskt lönsam.</w:t>
      </w:r>
    </w:p>
    <w:p w14:paraId="493A266F" w14:textId="77777777" w:rsidR="007C11E9" w:rsidRPr="000A3A07" w:rsidRDefault="007C11E9">
      <w:pPr>
        <w:pStyle w:val="Normaltindrag"/>
      </w:pPr>
      <w:r w:rsidRPr="000A3A07">
        <w:t>Enligt Hultkrantz bedömning är kalkylen givet sina antaganden korrekt u</w:t>
      </w:r>
      <w:r w:rsidRPr="000A3A07">
        <w:t>t</w:t>
      </w:r>
      <w:r w:rsidRPr="000A3A07">
        <w:t>förd. Han menar dock att den inte utgör ett tillfredsställande underlag för beslut om den nordliga järnvägssträckningen. De olika alternativens lönsa</w:t>
      </w:r>
      <w:r w:rsidRPr="000A3A07">
        <w:t>m</w:t>
      </w:r>
      <w:r w:rsidRPr="000A3A07">
        <w:t>het framgår inte av kalkylen. Dessutom tas ingen hänsyn till Stockholm Nords betydelse för resand</w:t>
      </w:r>
      <w:r w:rsidRPr="000A3A07">
        <w:t>e</w:t>
      </w:r>
      <w:r w:rsidRPr="000A3A07">
        <w:t xml:space="preserve">tillströmningen från söder. </w:t>
      </w:r>
    </w:p>
    <w:p w14:paraId="56E143CB" w14:textId="77777777" w:rsidR="007C11E9" w:rsidRPr="000A3A07" w:rsidRDefault="007C11E9">
      <w:pPr>
        <w:rPr>
          <w:b/>
          <w:i/>
        </w:rPr>
      </w:pPr>
      <w:r w:rsidRPr="000A3A07">
        <w:rPr>
          <w:b/>
          <w:i/>
        </w:rPr>
        <w:t xml:space="preserve">Synpunkter </w:t>
      </w:r>
    </w:p>
    <w:p w14:paraId="1AF2A9ED" w14:textId="77777777" w:rsidR="007C11E9" w:rsidRPr="000A3A07" w:rsidRDefault="007C11E9">
      <w:r w:rsidRPr="000A3A07">
        <w:rPr>
          <w:i/>
        </w:rPr>
        <w:t xml:space="preserve">SIKA </w:t>
      </w:r>
      <w:r w:rsidRPr="000A3A07">
        <w:t>konstaterar att det ligger i Banverkets uppdrag att utreda och föreslå samhällsekonomiskt lönsamma järnvägslösningar. Den samordnade inrik</w:t>
      </w:r>
      <w:r w:rsidRPr="000A3A07">
        <w:t>t</w:t>
      </w:r>
      <w:r w:rsidRPr="000A3A07">
        <w:t xml:space="preserve">ningsplaneringen har införts för att man i investeringsplaneringen inte ska fokusera för snävt på lösningar inom bara ett område. </w:t>
      </w:r>
    </w:p>
    <w:p w14:paraId="6A6DA124" w14:textId="77777777" w:rsidR="007C11E9" w:rsidRPr="000A3A07" w:rsidRDefault="007C11E9">
      <w:pPr>
        <w:pStyle w:val="Normaltindrag"/>
      </w:pPr>
      <w:r w:rsidRPr="000A3A07">
        <w:t>SIKA hävdar att man vid ställningstagande till utformningen av ett projekt måste göra vissa avvägningar utanför kalkylerna, eftersom alla konsekvenser inte kan värderas med kalkylmetodik. SIKA anser dock att det är viktigt att ett realistiskt</w:t>
      </w:r>
      <w:r w:rsidRPr="000A3A07">
        <w:t xml:space="preserve"> bästa alternativ studeras i den samhällsekonomiska analysen. SIKA menar att ett sådant alternativ saknas i samtliga analyser som studerats inom ramen för revisorernas granskning.</w:t>
      </w:r>
    </w:p>
    <w:p w14:paraId="0ACBDD30" w14:textId="77777777" w:rsidR="007C11E9" w:rsidRPr="000A3A07" w:rsidRDefault="007C11E9">
      <w:pPr>
        <w:pStyle w:val="Normaltindrag"/>
      </w:pPr>
      <w:r w:rsidRPr="000A3A07">
        <w:t>SIKA har i likhet med Hultkrantz iakttagit att trafikverken inte har til</w:t>
      </w:r>
      <w:r w:rsidRPr="000A3A07">
        <w:t>l</w:t>
      </w:r>
      <w:r w:rsidRPr="000A3A07">
        <w:t>räckliga drivkrafter att följa upp sina egna prognoser och analyser i syfte att utveckla metodiken. SIKA håller också med Hultkrantz om att Salomon Brothers blandat samman ett samhällsekonomiskt och företagsekonomiskt perspektiv i sin studie. SIKA konstaterar också att det finns anledning att utarbeta bättre beskrivningar av intrångse</w:t>
      </w:r>
      <w:r w:rsidRPr="000A3A07">
        <w:t>f</w:t>
      </w:r>
      <w:r w:rsidRPr="000A3A07">
        <w:t>fekter.</w:t>
      </w:r>
    </w:p>
    <w:p w14:paraId="49F13E9F" w14:textId="77777777" w:rsidR="007C11E9" w:rsidRPr="000A3A07" w:rsidRDefault="007C11E9">
      <w:pPr>
        <w:pStyle w:val="Normaltindrag"/>
      </w:pPr>
      <w:r w:rsidRPr="000A3A07">
        <w:rPr>
          <w:i/>
        </w:rPr>
        <w:t xml:space="preserve">Banverket </w:t>
      </w:r>
      <w:r w:rsidRPr="000A3A07">
        <w:t>anser att det är olyckligt att större förändringar i infrastrukturen analyseras med alltför snäv utgångspunkt i ett transportslag och dess i</w:t>
      </w:r>
      <w:r w:rsidRPr="000A3A07">
        <w:t>n</w:t>
      </w:r>
      <w:r w:rsidRPr="000A3A07">
        <w:t>frastruktur. Större infrastruktursatsningar bör enligt Banverket analyseras i jämförelser mellan ett antal olika uppsättningar av framtida utbud av i</w:t>
      </w:r>
      <w:r w:rsidRPr="000A3A07">
        <w:t>n</w:t>
      </w:r>
      <w:r w:rsidRPr="000A3A07">
        <w:t xml:space="preserve">frastruktur för olika trafikslag. </w:t>
      </w:r>
    </w:p>
    <w:p w14:paraId="46FC3ED7" w14:textId="77777777" w:rsidR="007C11E9" w:rsidRPr="000A3A07" w:rsidRDefault="007C11E9">
      <w:pPr>
        <w:pStyle w:val="Normaltindrag"/>
      </w:pPr>
      <w:r w:rsidRPr="000A3A07">
        <w:t>Banverket hävdar att utformningen av regelverk (t.ex. principer och nivåer för vägavgifter och banavgifter samt nya regler som påverkar marknadstil</w:t>
      </w:r>
      <w:r w:rsidRPr="000A3A07">
        <w:t>l</w:t>
      </w:r>
      <w:r w:rsidRPr="000A3A07">
        <w:t>trädet) också påverkar den samhällsekonomiska lönsamheten och effektiv</w:t>
      </w:r>
      <w:r w:rsidRPr="000A3A07">
        <w:t>i</w:t>
      </w:r>
      <w:r w:rsidRPr="000A3A07">
        <w:t>teten. Nya regler, som t.ex. A-Trains trafikeringsmonopol, borde enligt Ba</w:t>
      </w:r>
      <w:r w:rsidRPr="000A3A07">
        <w:t>n</w:t>
      </w:r>
      <w:r w:rsidRPr="000A3A07">
        <w:t>verket analyseras närmare.</w:t>
      </w:r>
    </w:p>
    <w:p w14:paraId="56039938" w14:textId="77777777" w:rsidR="007C11E9" w:rsidRPr="000A3A07" w:rsidRDefault="007C11E9">
      <w:pPr>
        <w:pStyle w:val="Normaltindrag"/>
      </w:pPr>
      <w:r w:rsidRPr="000A3A07">
        <w:t xml:space="preserve">Banverket meddelar att verket utöver de studier som nämns i Hultkrantz rapport också studerade transportflödeseffekter och finansiella effekter av att betrakta den samlade landtransportinfrastrukturen till Arlanda som ett sy-         </w:t>
      </w:r>
      <w:r w:rsidRPr="000A3A07">
        <w:t>s</w:t>
      </w:r>
      <w:r w:rsidRPr="000A3A07">
        <w:t>tem.</w:t>
      </w:r>
    </w:p>
    <w:p w14:paraId="6319CE63" w14:textId="77777777" w:rsidR="007C11E9" w:rsidRPr="000A3A07" w:rsidRDefault="007C11E9">
      <w:pPr>
        <w:pStyle w:val="RubrikUtanNr3"/>
      </w:pPr>
      <w:bookmarkStart w:id="117" w:name="_Toc496581014"/>
      <w:r w:rsidRPr="000A3A07">
        <w:t>Botniabanan</w:t>
      </w:r>
      <w:bookmarkEnd w:id="117"/>
    </w:p>
    <w:p w14:paraId="700F8C05" w14:textId="77777777" w:rsidR="007C11E9" w:rsidRPr="000A3A07" w:rsidRDefault="007C11E9">
      <w:r w:rsidRPr="000A3A07">
        <w:t>Botniabaneprojektet omfattar en upprustning av ca 12 mil befintlig järnväg mellan Sundsvall och Nyland norr om Kramfors samt nybyggnad av ca 20 mil enkelspårig järnväg från Nyland längs Norrlandskusten till Umeå (prop. 1992/93:176, bet. 1992/93:TU35, SOU 1996:95). Projektet kan delas upp i Ådalsbanan (Sundsvall–Nyland) och Botniabanan (Nyland–Umeå). Upprus</w:t>
      </w:r>
      <w:r w:rsidRPr="000A3A07">
        <w:t>t</w:t>
      </w:r>
      <w:r w:rsidRPr="000A3A07">
        <w:t>ningen av Ådalsbanan beräknas kosta 1 600 miljoner kronor. Nybyggnaden av banan mellan Nyland och Umeå beräknas kosta 8 200 miljoner kronor räknat i den prisnivå som rådde 1997.</w:t>
      </w:r>
    </w:p>
    <w:p w14:paraId="1F7B96C7" w14:textId="77777777" w:rsidR="007C11E9" w:rsidRPr="000A3A07" w:rsidRDefault="007C11E9">
      <w:pPr>
        <w:rPr>
          <w:b/>
          <w:i/>
        </w:rPr>
      </w:pPr>
      <w:r w:rsidRPr="000A3A07">
        <w:rPr>
          <w:b/>
          <w:i/>
        </w:rPr>
        <w:t>Från plan till genomförande</w:t>
      </w:r>
    </w:p>
    <w:p w14:paraId="6354069D" w14:textId="77777777" w:rsidR="007C11E9" w:rsidRPr="000A3A07" w:rsidRDefault="007C11E9">
      <w:r w:rsidRPr="000A3A07">
        <w:t>Regering och riksdag uttalade i samband med planeringen av trafikens i</w:t>
      </w:r>
      <w:r w:rsidRPr="000A3A07">
        <w:t>n</w:t>
      </w:r>
      <w:r w:rsidRPr="000A3A07">
        <w:t>frastruktur för perioden 1994–2003 att det är angeläget att utbyggnaden av Botniabanan påbörjas. Uttalandet gjordes bl.a. mot bakgrund av det dåvara</w:t>
      </w:r>
      <w:r w:rsidRPr="000A3A07">
        <w:t>n</w:t>
      </w:r>
      <w:r w:rsidRPr="000A3A07">
        <w:t>de sysselsät</w:t>
      </w:r>
      <w:r w:rsidRPr="000A3A07">
        <w:t>t</w:t>
      </w:r>
      <w:r w:rsidRPr="000A3A07">
        <w:t>ningsläget (prop. 1992/93:176, bet. 1992/93:TU35).</w:t>
      </w:r>
    </w:p>
    <w:p w14:paraId="298EA953" w14:textId="77777777" w:rsidR="007C11E9" w:rsidRPr="000A3A07" w:rsidRDefault="007C11E9">
      <w:pPr>
        <w:pStyle w:val="Normaltindrag"/>
      </w:pPr>
      <w:r w:rsidRPr="000A3A07">
        <w:t>Regeringen utsåg 1994 en särskild utredare (K 1994:05) som fick i up</w:t>
      </w:r>
      <w:r w:rsidRPr="000A3A07">
        <w:t>p</w:t>
      </w:r>
      <w:r w:rsidRPr="000A3A07">
        <w:t>drag att studera förutsättningarna för en utbyggnad av Botniabanan längs sträckan Sundsvall–Örnsköldsvik–Umeå. I uppdraget ingick att bedöma projektets samhällsekonomiska lönsamhet. Utredaren bedömde att lönsa</w:t>
      </w:r>
      <w:r w:rsidRPr="000A3A07">
        <w:t>m</w:t>
      </w:r>
      <w:r w:rsidRPr="000A3A07">
        <w:t xml:space="preserve">heten var för dålig för att motivera ett beslut om genomförande. </w:t>
      </w:r>
    </w:p>
    <w:p w14:paraId="6102AB65" w14:textId="77777777" w:rsidR="007C11E9" w:rsidRPr="000A3A07" w:rsidRDefault="007C11E9">
      <w:pPr>
        <w:pStyle w:val="Normaltindrag"/>
      </w:pPr>
      <w:r w:rsidRPr="000A3A07">
        <w:t>Utredaren uppgav att om förutsättningarna för Botniabanan skulle förbät</w:t>
      </w:r>
      <w:r w:rsidRPr="000A3A07">
        <w:t>t</w:t>
      </w:r>
      <w:r w:rsidRPr="000A3A07">
        <w:t>ras och det skulle bli aktuellt att ta ställning till att bygga banan borde den byggas söderifrån. Upprustningen av Ådalsbanan sträckan Sundsvall–Nyland bedömdes alltså vara den högst prioriterade etappen. Utredaren bedömde att det är först när både Ådalsbanan är upprustad och en ny bandel på sträckan Nyland–Örnsköldsvik–Umeå är utbyggd i sin helhet som Botniabanan får en avgörande betydelse för regionens trafikfö</w:t>
      </w:r>
      <w:r w:rsidRPr="000A3A07">
        <w:t>r</w:t>
      </w:r>
      <w:r w:rsidRPr="000A3A07">
        <w:t xml:space="preserve">sörjning (SOU 1996:95). </w:t>
      </w:r>
    </w:p>
    <w:p w14:paraId="3E761E27" w14:textId="77777777" w:rsidR="007C11E9" w:rsidRPr="000A3A07" w:rsidRDefault="007C11E9">
      <w:pPr>
        <w:pStyle w:val="Normaltindrag"/>
      </w:pPr>
      <w:r w:rsidRPr="000A3A07">
        <w:t>Regeringen ansåg att avsaknaden av en järnväg längs Norrlands kust b</w:t>
      </w:r>
      <w:r w:rsidRPr="000A3A07">
        <w:t>e</w:t>
      </w:r>
      <w:r w:rsidRPr="000A3A07">
        <w:t xml:space="preserve">gränsar möjligheterna till en effektiv trafikförsörjning, varför Botniabanan borde byggas ut. Riksdagen uttalade att Botniabanan har stor betydelse för Norrland. Regeringen beslutade 1997 att uppdra åt en förhandlingsman att med berörda parter undersöka förutsättningarna för finansiering, utbyggnad och trafikering av Botniabanan (prop. 1996/97:53, bet. 1996/97:TU7, rskr. 1996/97:174). </w:t>
      </w:r>
    </w:p>
    <w:p w14:paraId="546F9D8D" w14:textId="77777777" w:rsidR="007C11E9" w:rsidRPr="000A3A07" w:rsidRDefault="007C11E9">
      <w:pPr>
        <w:pStyle w:val="Normaltindrag"/>
      </w:pPr>
      <w:r w:rsidRPr="000A3A07">
        <w:t>Efter det att regeringen redovisat ett förslag till avsiktsförklaring angående Botniabanan i 1997 års vårproposition ingic</w:t>
      </w:r>
      <w:r w:rsidRPr="000A3A07">
        <w:t>k förhandlingsmannen i nove</w:t>
      </w:r>
      <w:r w:rsidRPr="000A3A07">
        <w:t>m</w:t>
      </w:r>
      <w:r w:rsidRPr="000A3A07">
        <w:t>ber samma år ett avtal om banans byggande med Kramfors kommun, Ör</w:t>
      </w:r>
      <w:r w:rsidRPr="000A3A07">
        <w:t>n</w:t>
      </w:r>
      <w:r w:rsidRPr="000A3A07">
        <w:t>sköldsviks kommun, Nordmalings kommun, Umeå kommun, Västernor</w:t>
      </w:r>
      <w:r w:rsidRPr="000A3A07">
        <w:t>r</w:t>
      </w:r>
      <w:r w:rsidRPr="000A3A07">
        <w:t xml:space="preserve">lands läns landsting samt Västerbottens läns landsting. </w:t>
      </w:r>
    </w:p>
    <w:p w14:paraId="58FC0CD4" w14:textId="77777777" w:rsidR="007C11E9" w:rsidRPr="000A3A07" w:rsidRDefault="007C11E9">
      <w:pPr>
        <w:pStyle w:val="Normaltindrag"/>
      </w:pPr>
      <w:r w:rsidRPr="000A3A07">
        <w:t>Avtalet gällde utbyggnaden av järnvägen från Nyland norr om Kramfors till Umeå. Upprustningen av Ådalsbanan ingick inte. Regeringen föreslog i enlighet med avtalet om Botniabanan att kostnader förknippade med finans</w:t>
      </w:r>
      <w:r w:rsidRPr="000A3A07">
        <w:t>i</w:t>
      </w:r>
      <w:r w:rsidRPr="000A3A07">
        <w:t>ering, planering, projektering, upphandling och byggande av Botniabanan skulle finansieras med lån. Staten och berörda kommuner skulle enligt fö</w:t>
      </w:r>
      <w:r w:rsidRPr="000A3A07">
        <w:t>r</w:t>
      </w:r>
      <w:r w:rsidRPr="000A3A07">
        <w:t>slaget bilda ett gemensamt aktiebolag, Botniabanan AB. Bolagets uppgift skulle vara att finansiera, projektera, upphandla, bygga och hyra ut Botni</w:t>
      </w:r>
      <w:r w:rsidRPr="000A3A07">
        <w:t>a</w:t>
      </w:r>
      <w:r w:rsidRPr="000A3A07">
        <w:t>banan (prop. 1997/98:62). Riksdagen hade inga invändningar mot regerin</w:t>
      </w:r>
      <w:r w:rsidRPr="000A3A07">
        <w:t>g</w:t>
      </w:r>
      <w:r w:rsidRPr="000A3A07">
        <w:t>ens förslag till finansiering. Finansutskottet uttalade dock att statliga i</w:t>
      </w:r>
      <w:r w:rsidRPr="000A3A07">
        <w:t>n</w:t>
      </w:r>
      <w:r w:rsidRPr="000A3A07">
        <w:t>frastrukturinvesteringar normalt bör finansieras med anslag över statsbu</w:t>
      </w:r>
      <w:r w:rsidRPr="000A3A07">
        <w:t>dg</w:t>
      </w:r>
      <w:r w:rsidRPr="000A3A07">
        <w:t>e</w:t>
      </w:r>
      <w:r w:rsidRPr="000A3A07">
        <w:t>ten i takt med att investeringen genomförs (bet. 1997/98:TU10, 1997/98:FiU4y, rskr. 1997/98:266 och 267).</w:t>
      </w:r>
    </w:p>
    <w:p w14:paraId="5884FC5A" w14:textId="77777777" w:rsidR="007C11E9" w:rsidRPr="000A3A07" w:rsidRDefault="007C11E9">
      <w:pPr>
        <w:pStyle w:val="Normaltindrag"/>
      </w:pPr>
      <w:r w:rsidRPr="000A3A07">
        <w:t>Staten har ställt ut kapitaltäckningsgarantier gentemot Botniabanan AB. Staten åtar sig därmed att vid behov tillskjuta kapital så att kapitaltäckning</w:t>
      </w:r>
      <w:r w:rsidRPr="000A3A07">
        <w:t>s</w:t>
      </w:r>
      <w:r w:rsidRPr="000A3A07">
        <w:t>graden i bolaget alltid överstiger en viss nivå. Staten garanterar också bol</w:t>
      </w:r>
      <w:r w:rsidRPr="000A3A07">
        <w:t>a</w:t>
      </w:r>
      <w:r w:rsidRPr="000A3A07">
        <w:t>gets förpliktelser gentemot långivare, rättighetsinnehavare och fordringsäg</w:t>
      </w:r>
      <w:r w:rsidRPr="000A3A07">
        <w:t>a</w:t>
      </w:r>
      <w:r w:rsidRPr="000A3A07">
        <w:t>re med avseende på kostnaden för finansiering och byggande av banan (prop. 1997/98:150, bet. 1997/98:FiU27, rskr. 1997/98:317).</w:t>
      </w:r>
    </w:p>
    <w:p w14:paraId="00D1F2A6" w14:textId="77777777" w:rsidR="007C11E9" w:rsidRPr="000A3A07" w:rsidRDefault="007C11E9">
      <w:pPr>
        <w:pStyle w:val="Normaltindrag"/>
      </w:pPr>
      <w:r w:rsidRPr="000A3A07">
        <w:t>Banverket ansvarar för planeringsarbetet. När planerna är fastställda och det är dags att börja bygga tar Botniabanan AB över ansvaret. De lägger ut uppdraget att bygga järnvägen på olika entreprenörer. Första spadtaget togs den 1</w:t>
      </w:r>
      <w:r w:rsidRPr="000A3A07">
        <w:t>4 augusti 1999. Enligt de ursprungliga planerna skulle Botniabanan vara färdigbyggd vid årsskiftet 2005/2006. Enligt uppgift från Botniabanan AB har projektet dock försenats minst ett år på grund av att tillåtlighetsprö</w:t>
      </w:r>
      <w:r w:rsidRPr="000A3A07">
        <w:t>v</w:t>
      </w:r>
      <w:r w:rsidRPr="000A3A07">
        <w:t>ningen av projektet enligt miljöbalken drar ut på tiden. Nya Ådalsbanan berä</w:t>
      </w:r>
      <w:r w:rsidRPr="000A3A07">
        <w:t>k</w:t>
      </w:r>
      <w:r w:rsidRPr="000A3A07">
        <w:t>nas tas i drift år 2006.</w:t>
      </w:r>
    </w:p>
    <w:p w14:paraId="115677A4" w14:textId="77777777" w:rsidR="007C11E9" w:rsidRPr="000A3A07" w:rsidRDefault="007C11E9">
      <w:pPr>
        <w:rPr>
          <w:b/>
          <w:i/>
        </w:rPr>
      </w:pPr>
      <w:r w:rsidRPr="000A3A07">
        <w:rPr>
          <w:b/>
          <w:i/>
        </w:rPr>
        <w:t>Kvaliteten på de samhällsekonomiska beräkningarna</w:t>
      </w:r>
    </w:p>
    <w:p w14:paraId="3D387DEF" w14:textId="77777777" w:rsidR="007C11E9" w:rsidRPr="000A3A07" w:rsidRDefault="007C11E9">
      <w:r w:rsidRPr="000A3A07">
        <w:t>Professor Per-Olov Johansson har på revisorernas uppdrag granskat den samhällsekonomiska kalkyl som gjordes i samband med den statliga offentl</w:t>
      </w:r>
      <w:r w:rsidRPr="000A3A07">
        <w:t>i</w:t>
      </w:r>
      <w:r w:rsidRPr="000A3A07">
        <w:t>ga utredningen om Botniabanan (SOU 1996:95). SIKA gjorde den samhäll</w:t>
      </w:r>
      <w:r w:rsidRPr="000A3A07">
        <w:t>s</w:t>
      </w:r>
      <w:r w:rsidRPr="000A3A07">
        <w:t>ekonomiska bedö</w:t>
      </w:r>
      <w:r w:rsidRPr="000A3A07">
        <w:t>m</w:t>
      </w:r>
      <w:r w:rsidRPr="000A3A07">
        <w:t xml:space="preserve">ningen på uppdrag av utredningen (SIKA 1996). </w:t>
      </w:r>
    </w:p>
    <w:p w14:paraId="3B44175F" w14:textId="77777777" w:rsidR="007C11E9" w:rsidRPr="000A3A07" w:rsidRDefault="007C11E9">
      <w:pPr>
        <w:pStyle w:val="Normaltindrag"/>
      </w:pPr>
      <w:r w:rsidRPr="000A3A07">
        <w:t>Enligt utredningen beräknades Botniabanans nyttoeffekter överstiga kos</w:t>
      </w:r>
      <w:r w:rsidRPr="000A3A07">
        <w:t>t</w:t>
      </w:r>
      <w:r w:rsidRPr="000A3A07">
        <w:t>naden med ca 9 miljoner kronor om året (se tabell 8). Osäkerheten i kalkylen ansågs dock så stor att utredningen bedömde att projektets samhällsekon</w:t>
      </w:r>
      <w:r w:rsidRPr="000A3A07">
        <w:t>o</w:t>
      </w:r>
      <w:r w:rsidRPr="000A3A07">
        <w:t xml:space="preserve">miska nytta var ungefär lika stor som dess kostnad. </w:t>
      </w:r>
    </w:p>
    <w:p w14:paraId="3E417C11" w14:textId="77777777" w:rsidR="007C11E9" w:rsidRPr="000A3A07" w:rsidRDefault="007C11E9">
      <w:pPr>
        <w:pStyle w:val="Tabellrubrik1"/>
      </w:pPr>
      <w:r w:rsidRPr="000A3A07">
        <w:t>Tabell 8. Samhällsekonomisk kalkyl för Botniabanan</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480"/>
        <w:gridCol w:w="1630"/>
        <w:gridCol w:w="1630"/>
      </w:tblGrid>
      <w:tr w:rsidR="00000000" w:rsidRPr="000A3A07" w14:paraId="36EFFA03" w14:textId="77777777">
        <w:tblPrEx>
          <w:tblCellMar>
            <w:top w:w="0" w:type="dxa"/>
            <w:bottom w:w="0" w:type="dxa"/>
          </w:tblCellMar>
        </w:tblPrEx>
        <w:tc>
          <w:tcPr>
            <w:tcW w:w="2480" w:type="dxa"/>
            <w:tcBorders>
              <w:bottom w:val="single" w:sz="6" w:space="0" w:color="000000"/>
            </w:tcBorders>
            <w:shd w:val="pct30" w:color="FFFF00" w:fill="FFFFFF"/>
          </w:tcPr>
          <w:p w14:paraId="714168DF" w14:textId="77777777" w:rsidR="007C11E9" w:rsidRPr="000A3A07" w:rsidRDefault="007C11E9">
            <w:pPr>
              <w:spacing w:before="0"/>
              <w:jc w:val="left"/>
              <w:rPr>
                <w:b/>
              </w:rPr>
            </w:pPr>
            <w:r w:rsidRPr="000A3A07">
              <w:rPr>
                <w:b/>
              </w:rPr>
              <w:t>Kostnad/nytta</w:t>
            </w:r>
          </w:p>
        </w:tc>
        <w:tc>
          <w:tcPr>
            <w:tcW w:w="1630" w:type="dxa"/>
            <w:tcBorders>
              <w:bottom w:val="single" w:sz="6" w:space="0" w:color="000000"/>
            </w:tcBorders>
            <w:shd w:val="pct30" w:color="FFFF00" w:fill="FFFFFF"/>
          </w:tcPr>
          <w:p w14:paraId="756124E6" w14:textId="77777777" w:rsidR="007C11E9" w:rsidRPr="000A3A07" w:rsidRDefault="007C11E9">
            <w:pPr>
              <w:spacing w:before="0"/>
              <w:jc w:val="left"/>
              <w:rPr>
                <w:b/>
              </w:rPr>
            </w:pPr>
            <w:r w:rsidRPr="000A3A07">
              <w:rPr>
                <w:b/>
              </w:rPr>
              <w:t xml:space="preserve">Årliga belopp, </w:t>
            </w:r>
          </w:p>
          <w:p w14:paraId="2AD18F5B" w14:textId="77777777" w:rsidR="007C11E9" w:rsidRPr="000A3A07" w:rsidRDefault="007C11E9">
            <w:pPr>
              <w:spacing w:before="0"/>
              <w:jc w:val="left"/>
              <w:rPr>
                <w:b/>
              </w:rPr>
            </w:pPr>
            <w:r w:rsidRPr="000A3A07">
              <w:rPr>
                <w:b/>
              </w:rPr>
              <w:t>milj</w:t>
            </w:r>
            <w:r w:rsidRPr="000A3A07">
              <w:rPr>
                <w:b/>
              </w:rPr>
              <w:t>o</w:t>
            </w:r>
            <w:r w:rsidRPr="000A3A07">
              <w:rPr>
                <w:b/>
              </w:rPr>
              <w:t>ner kronor</w:t>
            </w:r>
          </w:p>
        </w:tc>
        <w:tc>
          <w:tcPr>
            <w:tcW w:w="1630" w:type="dxa"/>
            <w:tcBorders>
              <w:bottom w:val="single" w:sz="6" w:space="0" w:color="000000"/>
            </w:tcBorders>
            <w:shd w:val="pct30" w:color="FFFF00" w:fill="FFFFFF"/>
          </w:tcPr>
          <w:p w14:paraId="44755D04" w14:textId="77777777" w:rsidR="007C11E9" w:rsidRPr="000A3A07" w:rsidRDefault="007C11E9">
            <w:pPr>
              <w:spacing w:before="0"/>
              <w:jc w:val="left"/>
              <w:rPr>
                <w:b/>
              </w:rPr>
            </w:pPr>
            <w:r w:rsidRPr="000A3A07">
              <w:rPr>
                <w:b/>
              </w:rPr>
              <w:t xml:space="preserve">Årliga belopp, </w:t>
            </w:r>
          </w:p>
          <w:p w14:paraId="657E3CD1" w14:textId="77777777" w:rsidR="007C11E9" w:rsidRPr="000A3A07" w:rsidRDefault="007C11E9">
            <w:pPr>
              <w:spacing w:before="0"/>
              <w:jc w:val="left"/>
              <w:rPr>
                <w:b/>
              </w:rPr>
            </w:pPr>
            <w:r w:rsidRPr="000A3A07">
              <w:rPr>
                <w:b/>
              </w:rPr>
              <w:t>milj</w:t>
            </w:r>
            <w:r w:rsidRPr="000A3A07">
              <w:rPr>
                <w:b/>
              </w:rPr>
              <w:t>o</w:t>
            </w:r>
            <w:r w:rsidRPr="000A3A07">
              <w:rPr>
                <w:b/>
              </w:rPr>
              <w:t>ner kronor</w:t>
            </w:r>
          </w:p>
        </w:tc>
      </w:tr>
      <w:tr w:rsidR="00000000" w:rsidRPr="000A3A07" w14:paraId="0846AEC9" w14:textId="77777777">
        <w:tblPrEx>
          <w:tblCellMar>
            <w:top w:w="0" w:type="dxa"/>
            <w:bottom w:w="0" w:type="dxa"/>
          </w:tblCellMar>
        </w:tblPrEx>
        <w:tc>
          <w:tcPr>
            <w:tcW w:w="2480" w:type="dxa"/>
            <w:tcBorders>
              <w:top w:val="nil"/>
            </w:tcBorders>
          </w:tcPr>
          <w:p w14:paraId="2F5727FF" w14:textId="77777777" w:rsidR="007C11E9" w:rsidRPr="000A3A07" w:rsidRDefault="007C11E9">
            <w:pPr>
              <w:spacing w:before="0"/>
              <w:jc w:val="left"/>
            </w:pPr>
            <w:r w:rsidRPr="000A3A07">
              <w:t>Anläggningskostnad</w:t>
            </w:r>
          </w:p>
        </w:tc>
        <w:tc>
          <w:tcPr>
            <w:tcW w:w="1630" w:type="dxa"/>
            <w:tcBorders>
              <w:top w:val="nil"/>
            </w:tcBorders>
          </w:tcPr>
          <w:p w14:paraId="3DA6327C" w14:textId="77777777" w:rsidR="007C11E9" w:rsidRPr="000A3A07" w:rsidRDefault="007C11E9">
            <w:pPr>
              <w:spacing w:before="0"/>
              <w:jc w:val="right"/>
            </w:pPr>
            <w:r w:rsidRPr="000A3A07">
              <w:t>-600</w:t>
            </w:r>
          </w:p>
        </w:tc>
        <w:tc>
          <w:tcPr>
            <w:tcW w:w="1630" w:type="dxa"/>
            <w:tcBorders>
              <w:top w:val="nil"/>
            </w:tcBorders>
          </w:tcPr>
          <w:p w14:paraId="2BEB9883" w14:textId="77777777" w:rsidR="007C11E9" w:rsidRPr="000A3A07" w:rsidRDefault="007C11E9">
            <w:pPr>
              <w:spacing w:before="0"/>
              <w:jc w:val="right"/>
            </w:pPr>
          </w:p>
        </w:tc>
      </w:tr>
      <w:tr w:rsidR="00000000" w:rsidRPr="000A3A07" w14:paraId="2E09E4A0" w14:textId="77777777">
        <w:tblPrEx>
          <w:tblCellMar>
            <w:top w:w="0" w:type="dxa"/>
            <w:bottom w:w="0" w:type="dxa"/>
          </w:tblCellMar>
        </w:tblPrEx>
        <w:tc>
          <w:tcPr>
            <w:tcW w:w="2480" w:type="dxa"/>
            <w:tcBorders>
              <w:top w:val="nil"/>
              <w:bottom w:val="nil"/>
            </w:tcBorders>
          </w:tcPr>
          <w:p w14:paraId="1AAC1CA7" w14:textId="77777777" w:rsidR="007C11E9" w:rsidRPr="000A3A07" w:rsidRDefault="007C11E9">
            <w:pPr>
              <w:spacing w:before="0"/>
              <w:jc w:val="left"/>
            </w:pPr>
            <w:r w:rsidRPr="000A3A07">
              <w:t>Banunderhåll</w:t>
            </w:r>
          </w:p>
        </w:tc>
        <w:tc>
          <w:tcPr>
            <w:tcW w:w="1630" w:type="dxa"/>
            <w:tcBorders>
              <w:top w:val="nil"/>
              <w:bottom w:val="nil"/>
            </w:tcBorders>
          </w:tcPr>
          <w:p w14:paraId="57D3FF05" w14:textId="77777777" w:rsidR="007C11E9" w:rsidRPr="000A3A07" w:rsidRDefault="007C11E9">
            <w:pPr>
              <w:spacing w:before="0"/>
              <w:jc w:val="right"/>
            </w:pPr>
            <w:r w:rsidRPr="000A3A07">
              <w:t>-31</w:t>
            </w:r>
          </w:p>
        </w:tc>
        <w:tc>
          <w:tcPr>
            <w:tcW w:w="1630" w:type="dxa"/>
            <w:tcBorders>
              <w:top w:val="nil"/>
              <w:bottom w:val="nil"/>
            </w:tcBorders>
          </w:tcPr>
          <w:p w14:paraId="7AEB402C" w14:textId="77777777" w:rsidR="007C11E9" w:rsidRPr="000A3A07" w:rsidRDefault="007C11E9">
            <w:pPr>
              <w:spacing w:before="0"/>
              <w:jc w:val="right"/>
            </w:pPr>
          </w:p>
        </w:tc>
      </w:tr>
      <w:tr w:rsidR="00000000" w:rsidRPr="000A3A07" w14:paraId="19F1156B" w14:textId="77777777">
        <w:tblPrEx>
          <w:tblCellMar>
            <w:top w:w="0" w:type="dxa"/>
            <w:bottom w:w="0" w:type="dxa"/>
          </w:tblCellMar>
        </w:tblPrEx>
        <w:tc>
          <w:tcPr>
            <w:tcW w:w="2480" w:type="dxa"/>
            <w:tcBorders>
              <w:top w:val="single" w:sz="4" w:space="0" w:color="auto"/>
              <w:bottom w:val="single" w:sz="4" w:space="0" w:color="auto"/>
            </w:tcBorders>
          </w:tcPr>
          <w:p w14:paraId="4C94A5B7" w14:textId="77777777" w:rsidR="007C11E9" w:rsidRPr="000A3A07" w:rsidRDefault="007C11E9">
            <w:pPr>
              <w:spacing w:before="0"/>
              <w:jc w:val="left"/>
              <w:rPr>
                <w:i/>
              </w:rPr>
            </w:pPr>
            <w:r w:rsidRPr="000A3A07">
              <w:rPr>
                <w:i/>
              </w:rPr>
              <w:t>Summa kostnad (1)</w:t>
            </w:r>
          </w:p>
        </w:tc>
        <w:tc>
          <w:tcPr>
            <w:tcW w:w="1630" w:type="dxa"/>
            <w:tcBorders>
              <w:top w:val="single" w:sz="4" w:space="0" w:color="auto"/>
              <w:bottom w:val="single" w:sz="4" w:space="0" w:color="auto"/>
            </w:tcBorders>
          </w:tcPr>
          <w:p w14:paraId="7DA64447" w14:textId="77777777" w:rsidR="007C11E9" w:rsidRPr="000A3A07" w:rsidRDefault="007C11E9">
            <w:pPr>
              <w:spacing w:before="0"/>
              <w:jc w:val="right"/>
            </w:pPr>
          </w:p>
        </w:tc>
        <w:tc>
          <w:tcPr>
            <w:tcW w:w="1630" w:type="dxa"/>
            <w:tcBorders>
              <w:top w:val="single" w:sz="4" w:space="0" w:color="auto"/>
              <w:bottom w:val="single" w:sz="4" w:space="0" w:color="auto"/>
            </w:tcBorders>
          </w:tcPr>
          <w:p w14:paraId="6E966016" w14:textId="77777777" w:rsidR="007C11E9" w:rsidRPr="000A3A07" w:rsidRDefault="007C11E9">
            <w:pPr>
              <w:spacing w:before="0"/>
              <w:jc w:val="right"/>
              <w:rPr>
                <w:i/>
              </w:rPr>
            </w:pPr>
            <w:r w:rsidRPr="000A3A07">
              <w:rPr>
                <w:i/>
              </w:rPr>
              <w:t>-631</w:t>
            </w:r>
          </w:p>
        </w:tc>
      </w:tr>
      <w:tr w:rsidR="00000000" w:rsidRPr="000A3A07" w14:paraId="4A8E118C" w14:textId="77777777">
        <w:tblPrEx>
          <w:tblCellMar>
            <w:top w:w="0" w:type="dxa"/>
            <w:bottom w:w="0" w:type="dxa"/>
          </w:tblCellMar>
        </w:tblPrEx>
        <w:tc>
          <w:tcPr>
            <w:tcW w:w="2480" w:type="dxa"/>
            <w:tcBorders>
              <w:top w:val="nil"/>
            </w:tcBorders>
          </w:tcPr>
          <w:p w14:paraId="50CF733A" w14:textId="77777777" w:rsidR="007C11E9" w:rsidRPr="000A3A07" w:rsidRDefault="007C11E9">
            <w:pPr>
              <w:spacing w:before="0"/>
              <w:jc w:val="left"/>
            </w:pPr>
            <w:r w:rsidRPr="000A3A07">
              <w:t>Företagsekonomiskt netto, tågoperatörer</w:t>
            </w:r>
          </w:p>
        </w:tc>
        <w:tc>
          <w:tcPr>
            <w:tcW w:w="1630" w:type="dxa"/>
            <w:tcBorders>
              <w:top w:val="nil"/>
            </w:tcBorders>
          </w:tcPr>
          <w:p w14:paraId="41844B3E" w14:textId="77777777" w:rsidR="007C11E9" w:rsidRPr="000A3A07" w:rsidRDefault="007C11E9">
            <w:pPr>
              <w:spacing w:before="0"/>
              <w:jc w:val="right"/>
            </w:pPr>
            <w:r w:rsidRPr="000A3A07">
              <w:t>+45</w:t>
            </w:r>
          </w:p>
        </w:tc>
        <w:tc>
          <w:tcPr>
            <w:tcW w:w="1630" w:type="dxa"/>
            <w:tcBorders>
              <w:top w:val="nil"/>
            </w:tcBorders>
          </w:tcPr>
          <w:p w14:paraId="0B4754D4" w14:textId="77777777" w:rsidR="007C11E9" w:rsidRPr="000A3A07" w:rsidRDefault="007C11E9">
            <w:pPr>
              <w:spacing w:before="0"/>
              <w:jc w:val="right"/>
            </w:pPr>
          </w:p>
        </w:tc>
      </w:tr>
      <w:tr w:rsidR="00000000" w:rsidRPr="000A3A07" w14:paraId="04228A42" w14:textId="77777777">
        <w:tblPrEx>
          <w:tblCellMar>
            <w:top w:w="0" w:type="dxa"/>
            <w:bottom w:w="0" w:type="dxa"/>
          </w:tblCellMar>
        </w:tblPrEx>
        <w:tc>
          <w:tcPr>
            <w:tcW w:w="2480" w:type="dxa"/>
          </w:tcPr>
          <w:p w14:paraId="4743FB1B" w14:textId="77777777" w:rsidR="007C11E9" w:rsidRPr="000A3A07" w:rsidRDefault="007C11E9">
            <w:pPr>
              <w:spacing w:before="0"/>
              <w:jc w:val="left"/>
            </w:pPr>
            <w:r w:rsidRPr="000A3A07">
              <w:t>Företagsekonomiskt netto, övriga operat</w:t>
            </w:r>
            <w:r w:rsidRPr="000A3A07">
              <w:t>ö</w:t>
            </w:r>
            <w:r w:rsidRPr="000A3A07">
              <w:t>rer</w:t>
            </w:r>
          </w:p>
        </w:tc>
        <w:tc>
          <w:tcPr>
            <w:tcW w:w="1630" w:type="dxa"/>
          </w:tcPr>
          <w:p w14:paraId="16050D15" w14:textId="77777777" w:rsidR="007C11E9" w:rsidRPr="000A3A07" w:rsidRDefault="007C11E9">
            <w:pPr>
              <w:spacing w:before="0"/>
              <w:jc w:val="right"/>
            </w:pPr>
            <w:r w:rsidRPr="000A3A07">
              <w:t>-35</w:t>
            </w:r>
          </w:p>
        </w:tc>
        <w:tc>
          <w:tcPr>
            <w:tcW w:w="1630" w:type="dxa"/>
          </w:tcPr>
          <w:p w14:paraId="5AD3A30A" w14:textId="77777777" w:rsidR="007C11E9" w:rsidRPr="000A3A07" w:rsidRDefault="007C11E9">
            <w:pPr>
              <w:spacing w:before="0"/>
              <w:jc w:val="right"/>
            </w:pPr>
          </w:p>
        </w:tc>
      </w:tr>
      <w:tr w:rsidR="00000000" w:rsidRPr="000A3A07" w14:paraId="66271CDB" w14:textId="77777777">
        <w:tblPrEx>
          <w:tblCellMar>
            <w:top w:w="0" w:type="dxa"/>
            <w:bottom w:w="0" w:type="dxa"/>
          </w:tblCellMar>
        </w:tblPrEx>
        <w:tc>
          <w:tcPr>
            <w:tcW w:w="2480" w:type="dxa"/>
          </w:tcPr>
          <w:p w14:paraId="3C1EAE5D" w14:textId="77777777" w:rsidR="007C11E9" w:rsidRPr="000A3A07" w:rsidRDefault="007C11E9">
            <w:pPr>
              <w:spacing w:before="0"/>
              <w:jc w:val="left"/>
            </w:pPr>
            <w:r w:rsidRPr="000A3A07">
              <w:t>Korrigering för subventioner m.m.</w:t>
            </w:r>
          </w:p>
        </w:tc>
        <w:tc>
          <w:tcPr>
            <w:tcW w:w="1630" w:type="dxa"/>
          </w:tcPr>
          <w:p w14:paraId="0013FBF5" w14:textId="77777777" w:rsidR="007C11E9" w:rsidRPr="000A3A07" w:rsidRDefault="007C11E9">
            <w:pPr>
              <w:spacing w:before="0"/>
              <w:jc w:val="right"/>
            </w:pPr>
            <w:r w:rsidRPr="000A3A07">
              <w:t>+92</w:t>
            </w:r>
          </w:p>
        </w:tc>
        <w:tc>
          <w:tcPr>
            <w:tcW w:w="1630" w:type="dxa"/>
          </w:tcPr>
          <w:p w14:paraId="19B59523" w14:textId="77777777" w:rsidR="007C11E9" w:rsidRPr="000A3A07" w:rsidRDefault="007C11E9">
            <w:pPr>
              <w:spacing w:before="0"/>
              <w:jc w:val="right"/>
            </w:pPr>
          </w:p>
        </w:tc>
      </w:tr>
      <w:tr w:rsidR="00000000" w:rsidRPr="000A3A07" w14:paraId="0A22B5CA" w14:textId="77777777">
        <w:tblPrEx>
          <w:tblCellMar>
            <w:top w:w="0" w:type="dxa"/>
            <w:bottom w:w="0" w:type="dxa"/>
          </w:tblCellMar>
        </w:tblPrEx>
        <w:tc>
          <w:tcPr>
            <w:tcW w:w="2480" w:type="dxa"/>
          </w:tcPr>
          <w:p w14:paraId="058AED73" w14:textId="77777777" w:rsidR="007C11E9" w:rsidRPr="000A3A07" w:rsidRDefault="007C11E9">
            <w:pPr>
              <w:spacing w:before="0"/>
              <w:jc w:val="left"/>
            </w:pPr>
            <w:r w:rsidRPr="000A3A07">
              <w:t>Konsumentöverskott</w:t>
            </w:r>
          </w:p>
        </w:tc>
        <w:tc>
          <w:tcPr>
            <w:tcW w:w="1630" w:type="dxa"/>
          </w:tcPr>
          <w:p w14:paraId="3DC407A7" w14:textId="77777777" w:rsidR="007C11E9" w:rsidRPr="000A3A07" w:rsidRDefault="007C11E9">
            <w:pPr>
              <w:spacing w:before="0"/>
              <w:jc w:val="right"/>
            </w:pPr>
            <w:r w:rsidRPr="000A3A07">
              <w:t>+300</w:t>
            </w:r>
          </w:p>
        </w:tc>
        <w:tc>
          <w:tcPr>
            <w:tcW w:w="1630" w:type="dxa"/>
          </w:tcPr>
          <w:p w14:paraId="24667852" w14:textId="77777777" w:rsidR="007C11E9" w:rsidRPr="000A3A07" w:rsidRDefault="007C11E9">
            <w:pPr>
              <w:spacing w:before="0"/>
              <w:jc w:val="right"/>
            </w:pPr>
          </w:p>
        </w:tc>
      </w:tr>
      <w:tr w:rsidR="00000000" w:rsidRPr="000A3A07" w14:paraId="37CE854E" w14:textId="77777777">
        <w:tblPrEx>
          <w:tblCellMar>
            <w:top w:w="0" w:type="dxa"/>
            <w:bottom w:w="0" w:type="dxa"/>
          </w:tblCellMar>
        </w:tblPrEx>
        <w:tc>
          <w:tcPr>
            <w:tcW w:w="2480" w:type="dxa"/>
          </w:tcPr>
          <w:p w14:paraId="70A4AB3F" w14:textId="77777777" w:rsidR="007C11E9" w:rsidRPr="000A3A07" w:rsidRDefault="007C11E9">
            <w:pPr>
              <w:spacing w:before="0"/>
              <w:jc w:val="left"/>
            </w:pPr>
            <w:r w:rsidRPr="000A3A07">
              <w:t>Miljöeffekter</w:t>
            </w:r>
          </w:p>
        </w:tc>
        <w:tc>
          <w:tcPr>
            <w:tcW w:w="1630" w:type="dxa"/>
          </w:tcPr>
          <w:p w14:paraId="784A77CF" w14:textId="77777777" w:rsidR="007C11E9" w:rsidRPr="000A3A07" w:rsidRDefault="007C11E9">
            <w:pPr>
              <w:spacing w:before="0"/>
              <w:jc w:val="right"/>
            </w:pPr>
            <w:r w:rsidRPr="000A3A07">
              <w:t>+26</w:t>
            </w:r>
          </w:p>
        </w:tc>
        <w:tc>
          <w:tcPr>
            <w:tcW w:w="1630" w:type="dxa"/>
          </w:tcPr>
          <w:p w14:paraId="5BE33E01" w14:textId="77777777" w:rsidR="007C11E9" w:rsidRPr="000A3A07" w:rsidRDefault="007C11E9">
            <w:pPr>
              <w:spacing w:before="0"/>
              <w:jc w:val="right"/>
            </w:pPr>
          </w:p>
        </w:tc>
      </w:tr>
      <w:tr w:rsidR="00000000" w:rsidRPr="000A3A07" w14:paraId="38E4B2B9" w14:textId="77777777">
        <w:tblPrEx>
          <w:tblCellMar>
            <w:top w:w="0" w:type="dxa"/>
            <w:bottom w:w="0" w:type="dxa"/>
          </w:tblCellMar>
        </w:tblPrEx>
        <w:tc>
          <w:tcPr>
            <w:tcW w:w="2480" w:type="dxa"/>
          </w:tcPr>
          <w:p w14:paraId="08DCCC1E" w14:textId="77777777" w:rsidR="007C11E9" w:rsidRPr="000A3A07" w:rsidRDefault="007C11E9">
            <w:pPr>
              <w:spacing w:before="0"/>
              <w:jc w:val="left"/>
              <w:rPr>
                <w:i/>
              </w:rPr>
            </w:pPr>
            <w:r w:rsidRPr="000A3A07">
              <w:rPr>
                <w:i/>
              </w:rPr>
              <w:t>Summa persontrafik</w:t>
            </w:r>
          </w:p>
        </w:tc>
        <w:tc>
          <w:tcPr>
            <w:tcW w:w="1630" w:type="dxa"/>
          </w:tcPr>
          <w:p w14:paraId="198F5904" w14:textId="77777777" w:rsidR="007C11E9" w:rsidRPr="000A3A07" w:rsidRDefault="007C11E9">
            <w:pPr>
              <w:spacing w:before="0"/>
              <w:jc w:val="right"/>
              <w:rPr>
                <w:i/>
              </w:rPr>
            </w:pPr>
            <w:r w:rsidRPr="000A3A07">
              <w:rPr>
                <w:i/>
              </w:rPr>
              <w:t>+428</w:t>
            </w:r>
          </w:p>
        </w:tc>
        <w:tc>
          <w:tcPr>
            <w:tcW w:w="1630" w:type="dxa"/>
          </w:tcPr>
          <w:p w14:paraId="2B56B82F" w14:textId="77777777" w:rsidR="007C11E9" w:rsidRPr="000A3A07" w:rsidRDefault="007C11E9">
            <w:pPr>
              <w:spacing w:before="0"/>
              <w:jc w:val="right"/>
              <w:rPr>
                <w:i/>
              </w:rPr>
            </w:pPr>
          </w:p>
        </w:tc>
      </w:tr>
      <w:tr w:rsidR="00000000" w:rsidRPr="000A3A07" w14:paraId="17E2458E" w14:textId="77777777">
        <w:tblPrEx>
          <w:tblCellMar>
            <w:top w:w="0" w:type="dxa"/>
            <w:bottom w:w="0" w:type="dxa"/>
          </w:tblCellMar>
        </w:tblPrEx>
        <w:tc>
          <w:tcPr>
            <w:tcW w:w="2480" w:type="dxa"/>
          </w:tcPr>
          <w:p w14:paraId="38A94045" w14:textId="77777777" w:rsidR="007C11E9" w:rsidRPr="000A3A07" w:rsidRDefault="007C11E9">
            <w:pPr>
              <w:spacing w:before="0"/>
              <w:jc w:val="left"/>
            </w:pPr>
            <w:r w:rsidRPr="000A3A07">
              <w:t>Tidsbesparing m.m.</w:t>
            </w:r>
          </w:p>
        </w:tc>
        <w:tc>
          <w:tcPr>
            <w:tcW w:w="1630" w:type="dxa"/>
          </w:tcPr>
          <w:p w14:paraId="50136178" w14:textId="77777777" w:rsidR="007C11E9" w:rsidRPr="000A3A07" w:rsidRDefault="007C11E9">
            <w:pPr>
              <w:spacing w:before="0"/>
              <w:jc w:val="right"/>
            </w:pPr>
            <w:r w:rsidRPr="000A3A07">
              <w:t>+23</w:t>
            </w:r>
          </w:p>
        </w:tc>
        <w:tc>
          <w:tcPr>
            <w:tcW w:w="1630" w:type="dxa"/>
          </w:tcPr>
          <w:p w14:paraId="128F2099" w14:textId="77777777" w:rsidR="007C11E9" w:rsidRPr="000A3A07" w:rsidRDefault="007C11E9">
            <w:pPr>
              <w:spacing w:before="0"/>
              <w:jc w:val="right"/>
            </w:pPr>
          </w:p>
        </w:tc>
      </w:tr>
      <w:tr w:rsidR="00000000" w:rsidRPr="000A3A07" w14:paraId="474AEF15" w14:textId="77777777">
        <w:tblPrEx>
          <w:tblCellMar>
            <w:top w:w="0" w:type="dxa"/>
            <w:bottom w:w="0" w:type="dxa"/>
          </w:tblCellMar>
        </w:tblPrEx>
        <w:tc>
          <w:tcPr>
            <w:tcW w:w="2480" w:type="dxa"/>
          </w:tcPr>
          <w:p w14:paraId="5E93265C" w14:textId="77777777" w:rsidR="007C11E9" w:rsidRPr="000A3A07" w:rsidRDefault="007C11E9">
            <w:pPr>
              <w:spacing w:before="0"/>
              <w:jc w:val="left"/>
            </w:pPr>
            <w:r w:rsidRPr="000A3A07">
              <w:t>Sänkta trafikeringskostn</w:t>
            </w:r>
            <w:r w:rsidRPr="000A3A07">
              <w:t>a</w:t>
            </w:r>
            <w:r w:rsidRPr="000A3A07">
              <w:t>der</w:t>
            </w:r>
          </w:p>
        </w:tc>
        <w:tc>
          <w:tcPr>
            <w:tcW w:w="1630" w:type="dxa"/>
          </w:tcPr>
          <w:p w14:paraId="4E338617" w14:textId="77777777" w:rsidR="007C11E9" w:rsidRPr="000A3A07" w:rsidRDefault="007C11E9">
            <w:pPr>
              <w:spacing w:before="0"/>
              <w:jc w:val="right"/>
            </w:pPr>
            <w:r w:rsidRPr="000A3A07">
              <w:t>+168</w:t>
            </w:r>
          </w:p>
        </w:tc>
        <w:tc>
          <w:tcPr>
            <w:tcW w:w="1630" w:type="dxa"/>
          </w:tcPr>
          <w:p w14:paraId="29AC0510" w14:textId="77777777" w:rsidR="007C11E9" w:rsidRPr="000A3A07" w:rsidRDefault="007C11E9">
            <w:pPr>
              <w:spacing w:before="0"/>
              <w:jc w:val="right"/>
            </w:pPr>
          </w:p>
        </w:tc>
      </w:tr>
      <w:tr w:rsidR="00000000" w:rsidRPr="000A3A07" w14:paraId="7F3732B9" w14:textId="77777777">
        <w:tblPrEx>
          <w:tblCellMar>
            <w:top w:w="0" w:type="dxa"/>
            <w:bottom w:w="0" w:type="dxa"/>
          </w:tblCellMar>
        </w:tblPrEx>
        <w:tc>
          <w:tcPr>
            <w:tcW w:w="2480" w:type="dxa"/>
          </w:tcPr>
          <w:p w14:paraId="20C2E248" w14:textId="77777777" w:rsidR="007C11E9" w:rsidRPr="000A3A07" w:rsidRDefault="007C11E9">
            <w:pPr>
              <w:spacing w:before="0"/>
              <w:jc w:val="left"/>
            </w:pPr>
            <w:r w:rsidRPr="000A3A07">
              <w:t>Miljöeffekter</w:t>
            </w:r>
          </w:p>
        </w:tc>
        <w:tc>
          <w:tcPr>
            <w:tcW w:w="1630" w:type="dxa"/>
          </w:tcPr>
          <w:p w14:paraId="6F6F9BFA" w14:textId="77777777" w:rsidR="007C11E9" w:rsidRPr="000A3A07" w:rsidRDefault="007C11E9">
            <w:pPr>
              <w:spacing w:before="0"/>
              <w:jc w:val="right"/>
            </w:pPr>
            <w:r w:rsidRPr="000A3A07">
              <w:t>+21</w:t>
            </w:r>
          </w:p>
        </w:tc>
        <w:tc>
          <w:tcPr>
            <w:tcW w:w="1630" w:type="dxa"/>
          </w:tcPr>
          <w:p w14:paraId="27BFAC06" w14:textId="77777777" w:rsidR="007C11E9" w:rsidRPr="000A3A07" w:rsidRDefault="007C11E9">
            <w:pPr>
              <w:spacing w:before="0"/>
              <w:jc w:val="right"/>
            </w:pPr>
          </w:p>
        </w:tc>
      </w:tr>
      <w:tr w:rsidR="00000000" w:rsidRPr="000A3A07" w14:paraId="5756D3F4" w14:textId="77777777">
        <w:tblPrEx>
          <w:tblCellMar>
            <w:top w:w="0" w:type="dxa"/>
            <w:bottom w:w="0" w:type="dxa"/>
          </w:tblCellMar>
        </w:tblPrEx>
        <w:tc>
          <w:tcPr>
            <w:tcW w:w="2480" w:type="dxa"/>
            <w:tcBorders>
              <w:bottom w:val="nil"/>
            </w:tcBorders>
          </w:tcPr>
          <w:p w14:paraId="03A1ED87" w14:textId="77777777" w:rsidR="007C11E9" w:rsidRPr="000A3A07" w:rsidRDefault="007C11E9">
            <w:pPr>
              <w:spacing w:before="0"/>
              <w:jc w:val="left"/>
              <w:rPr>
                <w:i/>
              </w:rPr>
            </w:pPr>
            <w:r w:rsidRPr="000A3A07">
              <w:rPr>
                <w:i/>
              </w:rPr>
              <w:t>Summa godstrafik</w:t>
            </w:r>
          </w:p>
        </w:tc>
        <w:tc>
          <w:tcPr>
            <w:tcW w:w="1630" w:type="dxa"/>
            <w:tcBorders>
              <w:bottom w:val="nil"/>
            </w:tcBorders>
          </w:tcPr>
          <w:p w14:paraId="76221381" w14:textId="77777777" w:rsidR="007C11E9" w:rsidRPr="000A3A07" w:rsidRDefault="007C11E9">
            <w:pPr>
              <w:spacing w:before="0"/>
              <w:jc w:val="right"/>
            </w:pPr>
            <w:r w:rsidRPr="000A3A07">
              <w:rPr>
                <w:i/>
              </w:rPr>
              <w:t>+212</w:t>
            </w:r>
          </w:p>
        </w:tc>
        <w:tc>
          <w:tcPr>
            <w:tcW w:w="1630" w:type="dxa"/>
            <w:tcBorders>
              <w:bottom w:val="nil"/>
            </w:tcBorders>
          </w:tcPr>
          <w:p w14:paraId="1453364D" w14:textId="77777777" w:rsidR="007C11E9" w:rsidRPr="000A3A07" w:rsidRDefault="007C11E9">
            <w:pPr>
              <w:spacing w:before="0"/>
              <w:jc w:val="right"/>
              <w:rPr>
                <w:i/>
              </w:rPr>
            </w:pPr>
          </w:p>
        </w:tc>
      </w:tr>
      <w:tr w:rsidR="00000000" w:rsidRPr="000A3A07" w14:paraId="39949BB0" w14:textId="77777777">
        <w:tblPrEx>
          <w:tblCellMar>
            <w:top w:w="0" w:type="dxa"/>
            <w:bottom w:w="0" w:type="dxa"/>
          </w:tblCellMar>
        </w:tblPrEx>
        <w:tc>
          <w:tcPr>
            <w:tcW w:w="2480" w:type="dxa"/>
            <w:tcBorders>
              <w:top w:val="single" w:sz="4" w:space="0" w:color="auto"/>
              <w:bottom w:val="nil"/>
            </w:tcBorders>
          </w:tcPr>
          <w:p w14:paraId="390E2962" w14:textId="77777777" w:rsidR="007C11E9" w:rsidRPr="000A3A07" w:rsidRDefault="007C11E9">
            <w:pPr>
              <w:spacing w:before="0"/>
              <w:jc w:val="left"/>
              <w:rPr>
                <w:i/>
              </w:rPr>
            </w:pPr>
            <w:r w:rsidRPr="000A3A07">
              <w:rPr>
                <w:i/>
              </w:rPr>
              <w:t>Summa nytta (2)</w:t>
            </w:r>
          </w:p>
        </w:tc>
        <w:tc>
          <w:tcPr>
            <w:tcW w:w="1630" w:type="dxa"/>
            <w:tcBorders>
              <w:top w:val="single" w:sz="4" w:space="0" w:color="auto"/>
              <w:bottom w:val="nil"/>
            </w:tcBorders>
          </w:tcPr>
          <w:p w14:paraId="6F566419" w14:textId="77777777" w:rsidR="007C11E9" w:rsidRPr="000A3A07" w:rsidRDefault="007C11E9">
            <w:pPr>
              <w:spacing w:before="0"/>
              <w:jc w:val="right"/>
            </w:pPr>
          </w:p>
        </w:tc>
        <w:tc>
          <w:tcPr>
            <w:tcW w:w="1630" w:type="dxa"/>
            <w:tcBorders>
              <w:top w:val="single" w:sz="4" w:space="0" w:color="auto"/>
              <w:bottom w:val="nil"/>
            </w:tcBorders>
          </w:tcPr>
          <w:p w14:paraId="604B0891" w14:textId="77777777" w:rsidR="007C11E9" w:rsidRPr="000A3A07" w:rsidRDefault="007C11E9">
            <w:pPr>
              <w:spacing w:before="0"/>
              <w:jc w:val="right"/>
              <w:rPr>
                <w:i/>
              </w:rPr>
            </w:pPr>
            <w:r w:rsidRPr="000A3A07">
              <w:rPr>
                <w:i/>
              </w:rPr>
              <w:t>+640</w:t>
            </w:r>
          </w:p>
        </w:tc>
      </w:tr>
      <w:tr w:rsidR="00000000" w:rsidRPr="000A3A07" w14:paraId="58850BF7" w14:textId="77777777">
        <w:tblPrEx>
          <w:tblCellMar>
            <w:top w:w="0" w:type="dxa"/>
            <w:bottom w:w="0" w:type="dxa"/>
          </w:tblCellMar>
        </w:tblPrEx>
        <w:tc>
          <w:tcPr>
            <w:tcW w:w="2480" w:type="dxa"/>
            <w:tcBorders>
              <w:top w:val="single" w:sz="4" w:space="0" w:color="auto"/>
              <w:bottom w:val="single" w:sz="4" w:space="0" w:color="auto"/>
            </w:tcBorders>
          </w:tcPr>
          <w:p w14:paraId="15256FD4" w14:textId="77777777" w:rsidR="007C11E9" w:rsidRPr="000A3A07" w:rsidRDefault="007C11E9">
            <w:pPr>
              <w:spacing w:before="0"/>
              <w:jc w:val="left"/>
              <w:rPr>
                <w:i/>
              </w:rPr>
            </w:pPr>
            <w:r w:rsidRPr="000A3A07">
              <w:rPr>
                <w:i/>
              </w:rPr>
              <w:t>Nytta minus kostnad (2–1)</w:t>
            </w:r>
          </w:p>
        </w:tc>
        <w:tc>
          <w:tcPr>
            <w:tcW w:w="1630" w:type="dxa"/>
            <w:tcBorders>
              <w:top w:val="single" w:sz="4" w:space="0" w:color="auto"/>
              <w:bottom w:val="single" w:sz="4" w:space="0" w:color="auto"/>
            </w:tcBorders>
          </w:tcPr>
          <w:p w14:paraId="583FD707" w14:textId="77777777" w:rsidR="007C11E9" w:rsidRPr="000A3A07" w:rsidRDefault="007C11E9">
            <w:pPr>
              <w:spacing w:before="0"/>
              <w:jc w:val="right"/>
            </w:pPr>
          </w:p>
        </w:tc>
        <w:tc>
          <w:tcPr>
            <w:tcW w:w="1630" w:type="dxa"/>
            <w:tcBorders>
              <w:top w:val="single" w:sz="4" w:space="0" w:color="auto"/>
              <w:bottom w:val="single" w:sz="4" w:space="0" w:color="auto"/>
            </w:tcBorders>
          </w:tcPr>
          <w:p w14:paraId="24291E88" w14:textId="77777777" w:rsidR="007C11E9" w:rsidRPr="000A3A07" w:rsidRDefault="007C11E9">
            <w:pPr>
              <w:spacing w:before="0"/>
              <w:jc w:val="right"/>
              <w:rPr>
                <w:i/>
              </w:rPr>
            </w:pPr>
            <w:r w:rsidRPr="000A3A07">
              <w:rPr>
                <w:i/>
              </w:rPr>
              <w:t>+9</w:t>
            </w:r>
          </w:p>
        </w:tc>
      </w:tr>
      <w:tr w:rsidR="00000000" w:rsidRPr="000A3A07" w14:paraId="4A55F657" w14:textId="77777777">
        <w:tblPrEx>
          <w:tblCellMar>
            <w:top w:w="0" w:type="dxa"/>
            <w:bottom w:w="0" w:type="dxa"/>
          </w:tblCellMar>
        </w:tblPrEx>
        <w:tc>
          <w:tcPr>
            <w:tcW w:w="2480" w:type="dxa"/>
            <w:tcBorders>
              <w:top w:val="nil"/>
            </w:tcBorders>
          </w:tcPr>
          <w:p w14:paraId="0328E44B" w14:textId="77777777" w:rsidR="007C11E9" w:rsidRPr="000A3A07" w:rsidRDefault="007C11E9">
            <w:pPr>
              <w:spacing w:before="0"/>
              <w:jc w:val="left"/>
              <w:rPr>
                <w:b/>
              </w:rPr>
            </w:pPr>
            <w:r w:rsidRPr="000A3A07">
              <w:rPr>
                <w:b/>
              </w:rPr>
              <w:t xml:space="preserve">Nettonuvärdekvot </w:t>
            </w:r>
            <w:r w:rsidRPr="000A3A07">
              <w:rPr>
                <w:i/>
              </w:rPr>
              <w:t>((2–1)/1)</w:t>
            </w:r>
          </w:p>
        </w:tc>
        <w:tc>
          <w:tcPr>
            <w:tcW w:w="1630" w:type="dxa"/>
            <w:tcBorders>
              <w:top w:val="nil"/>
            </w:tcBorders>
          </w:tcPr>
          <w:p w14:paraId="52CAB164" w14:textId="77777777" w:rsidR="007C11E9" w:rsidRPr="000A3A07" w:rsidRDefault="007C11E9">
            <w:pPr>
              <w:spacing w:before="0"/>
              <w:jc w:val="right"/>
              <w:rPr>
                <w:b/>
              </w:rPr>
            </w:pPr>
          </w:p>
        </w:tc>
        <w:tc>
          <w:tcPr>
            <w:tcW w:w="1630" w:type="dxa"/>
            <w:tcBorders>
              <w:top w:val="nil"/>
            </w:tcBorders>
          </w:tcPr>
          <w:p w14:paraId="4504203F" w14:textId="77777777" w:rsidR="007C11E9" w:rsidRPr="000A3A07" w:rsidRDefault="007C11E9">
            <w:pPr>
              <w:spacing w:before="0"/>
              <w:jc w:val="right"/>
              <w:rPr>
                <w:b/>
              </w:rPr>
            </w:pPr>
            <w:r w:rsidRPr="000A3A07">
              <w:rPr>
                <w:b/>
              </w:rPr>
              <w:t>+0,014</w:t>
            </w:r>
          </w:p>
        </w:tc>
      </w:tr>
    </w:tbl>
    <w:p w14:paraId="5ED83F32" w14:textId="77777777" w:rsidR="007C11E9" w:rsidRPr="000A3A07" w:rsidRDefault="007C11E9">
      <w:pPr>
        <w:pStyle w:val="Tabell"/>
      </w:pPr>
      <w:r w:rsidRPr="000A3A07">
        <w:t>Källa: SOU 1996:95</w:t>
      </w:r>
    </w:p>
    <w:p w14:paraId="28FD47F8" w14:textId="77777777" w:rsidR="007C11E9" w:rsidRPr="000A3A07" w:rsidRDefault="007C11E9">
      <w:r w:rsidRPr="000A3A07">
        <w:t>I kalkylen jämförs en utbyggnad av Botniabanan med situationen om ingen åtgärd genomförs. Johansson anser att en jämförelse med lönsamheten för andra stora infrastrukturinvesteringar som skulle ge en bild av Botniabanans relativa lönsamhet också skulle vara intressant. En sådan analys skulle enligt Johansson vara särskilt relevant om Botniabanan kan förmodas konkurrera med andra liknande projekt om en begränsad budget för infrastrukturinvest</w:t>
      </w:r>
      <w:r w:rsidRPr="000A3A07">
        <w:t>e</w:t>
      </w:r>
      <w:r w:rsidRPr="000A3A07">
        <w:t>ringar. Han anser att utbyggnad av Botniabanan också borde jämföras med lönsamheten för andra åtgärder, som nya lok på stambanan och utökad hamnkapacitet.</w:t>
      </w:r>
    </w:p>
    <w:p w14:paraId="17BEB0AA" w14:textId="77777777" w:rsidR="007C11E9" w:rsidRPr="000A3A07" w:rsidRDefault="007C11E9">
      <w:pPr>
        <w:pStyle w:val="Normaltindrag"/>
      </w:pPr>
      <w:r w:rsidRPr="000A3A07">
        <w:t>I kalkylen uppgår anläggningskostnaden till 10 100 miljoner kronor. Den nybyggda banan beräknas kosta 8 000 miljoner kronor. Upprustningen av Ådalsbanan beräknas kosta 1 600 miljoner kronor</w:t>
      </w:r>
      <w:r w:rsidRPr="000A3A07">
        <w:rPr>
          <w:rStyle w:val="Fotnotsreferens"/>
        </w:rPr>
        <w:footnoteReference w:id="19"/>
      </w:r>
      <w:r w:rsidRPr="000A3A07">
        <w:t>. Därtill kommer kostn</w:t>
      </w:r>
      <w:r w:rsidRPr="000A3A07">
        <w:t>a</w:t>
      </w:r>
      <w:r w:rsidRPr="000A3A07">
        <w:t xml:space="preserve">der för ytterligare investeringar i bannätet och kompletterande anläggningar. </w:t>
      </w:r>
    </w:p>
    <w:p w14:paraId="098C2CBF" w14:textId="77777777" w:rsidR="007C11E9" w:rsidRPr="000A3A07" w:rsidRDefault="007C11E9">
      <w:pPr>
        <w:pStyle w:val="Normaltindrag"/>
      </w:pPr>
      <w:r w:rsidRPr="000A3A07">
        <w:t>I utredningen anges att dessa kringinvesteringar beräknas kosta mellan      1 400 miljoner kronor och 2 700 miljoner kronor. Johansson konstaterar att kalkylen endast belastas med 750 miljoner kronor. I utredningen motiveras kostnadsreduceringen med att kringinvesteringarna medför nytta bl.a. i form av förbättrad stadsmiljö och anslutningstrafik. En del av kostnaden för kringinvesteringarna kvittas i kalkyl</w:t>
      </w:r>
      <w:r w:rsidRPr="000A3A07">
        <w:t>en mot denna nytta. Johansson ifråg</w:t>
      </w:r>
      <w:r w:rsidRPr="000A3A07">
        <w:t>a</w:t>
      </w:r>
      <w:r w:rsidRPr="000A3A07">
        <w:t>sätter detta tillvägagångssätt. Han menar att man lika väl skulle kunna arg</w:t>
      </w:r>
      <w:r w:rsidRPr="000A3A07">
        <w:t>u</w:t>
      </w:r>
      <w:r w:rsidRPr="000A3A07">
        <w:t>mentera för att räkna upp kostnaden, t.ex. med värdet av de bullerstörningar som trafiken vå</w:t>
      </w:r>
      <w:r w:rsidRPr="000A3A07">
        <w:t>l</w:t>
      </w:r>
      <w:r w:rsidRPr="000A3A07">
        <w:t xml:space="preserve">lar. </w:t>
      </w:r>
    </w:p>
    <w:p w14:paraId="619D5DB2" w14:textId="77777777" w:rsidR="007C11E9" w:rsidRPr="000A3A07" w:rsidRDefault="007C11E9">
      <w:pPr>
        <w:pStyle w:val="Normaltindrag"/>
      </w:pPr>
      <w:r w:rsidRPr="000A3A07">
        <w:t>Johansson anser att utredningens trafikprognoser är optimistiska, men ko</w:t>
      </w:r>
      <w:r w:rsidRPr="000A3A07">
        <w:t>n</w:t>
      </w:r>
      <w:r w:rsidRPr="000A3A07">
        <w:t>staterar att man i utredningen redovisar hur kalkylresultatet påverkas av efterfrågeförändrin</w:t>
      </w:r>
      <w:r w:rsidRPr="000A3A07">
        <w:t>g</w:t>
      </w:r>
      <w:r w:rsidRPr="000A3A07">
        <w:t xml:space="preserve">ar. </w:t>
      </w:r>
    </w:p>
    <w:p w14:paraId="6D206C59" w14:textId="77777777" w:rsidR="007C11E9" w:rsidRPr="000A3A07" w:rsidRDefault="007C11E9">
      <w:pPr>
        <w:pStyle w:val="Normaltindrag"/>
      </w:pPr>
      <w:r w:rsidRPr="000A3A07">
        <w:t>Kalkylen baseras på en mängd antaganden om den ekonomiska utvec</w:t>
      </w:r>
      <w:r w:rsidRPr="000A3A07">
        <w:t>k</w:t>
      </w:r>
      <w:r w:rsidRPr="000A3A07">
        <w:t>lingen. Johansson konstaterar att det inte framgår hur dessa antaganden p</w:t>
      </w:r>
      <w:r w:rsidRPr="000A3A07">
        <w:t>å</w:t>
      </w:r>
      <w:r w:rsidRPr="000A3A07">
        <w:t>verkar kalkylens utfall. Han efterlyser en ”baskalkyl” som utgår från dagens förhållanden. En sådan kalkyl kunde sedan jämföras med en kalkyl baserad på prognoser om framtiden. På så sätt skulle man lättare kunna avgöra om och i så fall när det är samhällsekonomiskt försvarbart att påbörja invest</w:t>
      </w:r>
      <w:r w:rsidRPr="000A3A07">
        <w:t>e</w:t>
      </w:r>
      <w:r w:rsidRPr="000A3A07">
        <w:t>ringen, menar Johansson.</w:t>
      </w:r>
    </w:p>
    <w:p w14:paraId="0FE987BF" w14:textId="77777777" w:rsidR="007C11E9" w:rsidRPr="000A3A07" w:rsidRDefault="007C11E9">
      <w:pPr>
        <w:pStyle w:val="Normaltindrag"/>
      </w:pPr>
      <w:r w:rsidRPr="000A3A07">
        <w:t>I kalkylen har värdet av den förbättrade trafiken med avseende på bl.a. restid och väntetid beräknats i relation t</w:t>
      </w:r>
      <w:r w:rsidRPr="000A3A07">
        <w:t>ill nuvarande trafik med samma transportslag. Resandet på Botniabanan har alltså jämförts med nuvarande nattågsresande. Tåg på Botniabanan kommer dock även att attrahera resen</w:t>
      </w:r>
      <w:r w:rsidRPr="000A3A07">
        <w:t>ä</w:t>
      </w:r>
      <w:r w:rsidRPr="000A3A07">
        <w:t>rer som tidigare reste med flyg eller bil eller inte reste alls. För dessa resen</w:t>
      </w:r>
      <w:r w:rsidRPr="000A3A07">
        <w:t>ä</w:t>
      </w:r>
      <w:r w:rsidRPr="000A3A07">
        <w:t>rer blir t.ex. restidsvinsterna inte lika stora som för tidigare tågresenärer. Johansson konstaterar att en konsekvens av denna ansats blir att en resenär på sträckan Stockholm–Umeå skulle välja tåget även om det skulle kosta mer än en flygresa, trots att</w:t>
      </w:r>
      <w:r w:rsidRPr="000A3A07">
        <w:t xml:space="preserve"> tåget tar betydligt län</w:t>
      </w:r>
      <w:r w:rsidRPr="000A3A07">
        <w:t>g</w:t>
      </w:r>
      <w:r w:rsidRPr="000A3A07">
        <w:t xml:space="preserve">re tid. </w:t>
      </w:r>
    </w:p>
    <w:p w14:paraId="0D097625" w14:textId="77777777" w:rsidR="007C11E9" w:rsidRPr="000A3A07" w:rsidRDefault="007C11E9">
      <w:pPr>
        <w:pStyle w:val="Normaltindrag"/>
      </w:pPr>
      <w:r w:rsidRPr="000A3A07">
        <w:t>Nyttan av Botniabanan består framför allt av resenärernas tidsvinster. I u</w:t>
      </w:r>
      <w:r w:rsidRPr="000A3A07">
        <w:t>t</w:t>
      </w:r>
      <w:r w:rsidRPr="000A3A07">
        <w:t>redningen justeras värdet av restidsvinsterna ned för att metoden ska bli mer relevant för Botniabanan. Johansson bedömer att nyttan av restidsvinsterna ändå överskattas i utredningen, bl.a. för att man inte tar hänsyn till att resen</w:t>
      </w:r>
      <w:r w:rsidRPr="000A3A07">
        <w:t>ä</w:t>
      </w:r>
      <w:r w:rsidRPr="000A3A07">
        <w:t xml:space="preserve">rerna har andra alternativ än dagtåg att välja på. Om man i kalkylen skulle ta hänsyn till att resenärerna också kan välja att flyga eller åka bil, buss eller en kombination av bil, buss, tåg bedömer Johansson att Botniabanans beräknade nytta skulle bli betydligt lägre. </w:t>
      </w:r>
    </w:p>
    <w:p w14:paraId="3F060F0E" w14:textId="77777777" w:rsidR="007C11E9" w:rsidRPr="000A3A07" w:rsidRDefault="007C11E9">
      <w:pPr>
        <w:pStyle w:val="Normaltindrag"/>
      </w:pPr>
      <w:r w:rsidRPr="000A3A07">
        <w:t>Johan</w:t>
      </w:r>
      <w:r w:rsidRPr="000A3A07">
        <w:t>sson konstaterar att nyttan för regionala resenärer inte kommenteras närmare i utredningen och att denna grupp inte har någon större betydelse för kalkylens utfall.</w:t>
      </w:r>
    </w:p>
    <w:p w14:paraId="667C6CF7" w14:textId="77777777" w:rsidR="007C11E9" w:rsidRPr="000A3A07" w:rsidRDefault="007C11E9">
      <w:pPr>
        <w:pStyle w:val="Normaltindrag"/>
      </w:pPr>
      <w:r w:rsidRPr="000A3A07">
        <w:t>Johansson påpekar också att det utifrån informationen i utredningen (samt kompletterande uppgifter från SIKA) inte är möjligt att beräkna en resenärs genomsnittliga nytta och biljettpris. Han konstaterar att det är ovanligt att en samhällsekonomisk bedömning redovisas på ett sådant sätt att det inte går att återskapa beräkningarna.</w:t>
      </w:r>
    </w:p>
    <w:p w14:paraId="4E6D3A9D" w14:textId="77777777" w:rsidR="007C11E9" w:rsidRPr="000A3A07" w:rsidRDefault="007C11E9">
      <w:pPr>
        <w:pStyle w:val="Normaltindrag"/>
      </w:pPr>
      <w:r w:rsidRPr="000A3A07">
        <w:t>I utredningen räknar man med att kostnaderna för godstrafiken kan reduc</w:t>
      </w:r>
      <w:r w:rsidRPr="000A3A07">
        <w:t>e</w:t>
      </w:r>
      <w:r w:rsidRPr="000A3A07">
        <w:t>ras till följd av minskade transporttider och möjligheten att använda längre och tyngre tåg. Johansson menar att besparingarna inte kan realiseras i den utsträckning som antas i kalkylen, bl.a. för att kunderna inte helt kommer att kunna anpassa sig till transportföretagens krav. I utredningen anges att serv</w:t>
      </w:r>
      <w:r w:rsidRPr="000A3A07">
        <w:t>i</w:t>
      </w:r>
      <w:r w:rsidRPr="000A3A07">
        <w:t>cen sannolikt begränsas när transporterna ska samordnas i längre och tyngre tåg. Det kan innebära att kunderna i stället väljer andra transportlösningar (t.ex. sj</w:t>
      </w:r>
      <w:r w:rsidRPr="000A3A07">
        <w:t>ö</w:t>
      </w:r>
      <w:r w:rsidRPr="000A3A07">
        <w:t xml:space="preserve">fart). </w:t>
      </w:r>
    </w:p>
    <w:p w14:paraId="4F6E6EAD" w14:textId="77777777" w:rsidR="007C11E9" w:rsidRPr="000A3A07" w:rsidRDefault="007C11E9">
      <w:pPr>
        <w:pStyle w:val="Normaltindrag"/>
      </w:pPr>
      <w:r w:rsidRPr="000A3A07">
        <w:t>Johansson menar vidare att Bot</w:t>
      </w:r>
      <w:r w:rsidRPr="000A3A07">
        <w:t>niabanans miljövinster kan ha överdrivits i utredningen. Man räknar med att miljön förbättras genom att tågen på Bot-  niabanan ersätter ett stort antal bil- och lastbilsresor. Man avstår dock från att värdera negativa miljöeffekter, som buller i tätbefolkade områden och i</w:t>
      </w:r>
      <w:r w:rsidRPr="000A3A07">
        <w:t>n</w:t>
      </w:r>
      <w:r w:rsidRPr="000A3A07">
        <w:t>trång i natur- och kulturmiljöer, utöver de åtgärder som kan rymmas inom ramen för investeringskos</w:t>
      </w:r>
      <w:r w:rsidRPr="000A3A07">
        <w:t>t</w:t>
      </w:r>
      <w:r w:rsidRPr="000A3A07">
        <w:t xml:space="preserve">naden. </w:t>
      </w:r>
    </w:p>
    <w:p w14:paraId="5A98D44A" w14:textId="77777777" w:rsidR="007C11E9" w:rsidRPr="000A3A07" w:rsidRDefault="007C11E9">
      <w:pPr>
        <w:pStyle w:val="Normaltindrag"/>
      </w:pPr>
      <w:r w:rsidRPr="000A3A07">
        <w:t>I utredningen diskuteras inte hur utbyggnaden av Botniabanan kan tänkas påverka sysselsättningen. Johansson saknar en sådan diskuss</w:t>
      </w:r>
      <w:r w:rsidRPr="000A3A07">
        <w:t>ion, även om sysselsättningseffekterna enligt hans bedömning sannolikt inte förändrar Botniabanans samhällsekonomiska lönsamhet på något avgörande sätt.</w:t>
      </w:r>
    </w:p>
    <w:p w14:paraId="3414F4DF" w14:textId="77777777" w:rsidR="007C11E9" w:rsidRPr="000A3A07" w:rsidRDefault="007C11E9">
      <w:pPr>
        <w:pStyle w:val="Normaltindrag"/>
      </w:pPr>
      <w:r w:rsidRPr="000A3A07">
        <w:t>I utredningen anges att Botniabanan inte genererar några betydande regi</w:t>
      </w:r>
      <w:r w:rsidRPr="000A3A07">
        <w:t>o</w:t>
      </w:r>
      <w:r w:rsidRPr="000A3A07">
        <w:t>nalekonomiska vinster utöver dem som fångas in av en samhällsekonomisk bedömning. Johansson instämmer i denna bedömning.</w:t>
      </w:r>
    </w:p>
    <w:p w14:paraId="2302EE9F" w14:textId="77777777" w:rsidR="007C11E9" w:rsidRPr="000A3A07" w:rsidRDefault="007C11E9">
      <w:pPr>
        <w:rPr>
          <w:b/>
          <w:i/>
        </w:rPr>
      </w:pPr>
      <w:r w:rsidRPr="000A3A07">
        <w:rPr>
          <w:b/>
          <w:i/>
        </w:rPr>
        <w:t>Synpunkter</w:t>
      </w:r>
    </w:p>
    <w:p w14:paraId="42891AE9" w14:textId="77777777" w:rsidR="007C11E9" w:rsidRPr="000A3A07" w:rsidRDefault="007C11E9">
      <w:r w:rsidRPr="000A3A07">
        <w:rPr>
          <w:i/>
        </w:rPr>
        <w:t>SIKA</w:t>
      </w:r>
      <w:r w:rsidRPr="000A3A07">
        <w:t xml:space="preserve"> anser att Johanssons iakttagelser stämmer väl med SIKA:s uppfattning. </w:t>
      </w:r>
    </w:p>
    <w:p w14:paraId="20DA2B9F" w14:textId="77777777" w:rsidR="007C11E9" w:rsidRPr="000A3A07" w:rsidRDefault="007C11E9">
      <w:pPr>
        <w:pStyle w:val="Normaltindrag"/>
      </w:pPr>
      <w:r w:rsidRPr="000A3A07">
        <w:t>SIKA beklagar att det utifrån redovisningen av den samhällsekonomiska kalkylen inte är möjligt att replikera SIKA:s beräkningar av resenärernas nytta. SIKA förklarar att kalkylerna till stor del produceras manuellt som räkneexempel. Principerna för beräkningarna dokumenteras, men inte själva beräkningarna. SIKA anser att det bör utarbetas en miniminorm för hur ka</w:t>
      </w:r>
      <w:r w:rsidRPr="000A3A07">
        <w:t>l</w:t>
      </w:r>
      <w:r w:rsidRPr="000A3A07">
        <w:t>kyler och prognoser ska dok</w:t>
      </w:r>
      <w:r w:rsidRPr="000A3A07">
        <w:t>u</w:t>
      </w:r>
      <w:r w:rsidRPr="000A3A07">
        <w:t>menteras.</w:t>
      </w:r>
    </w:p>
    <w:p w14:paraId="6CC83778" w14:textId="77777777" w:rsidR="007C11E9" w:rsidRPr="000A3A07" w:rsidRDefault="007C11E9">
      <w:pPr>
        <w:pStyle w:val="Normaltindrag"/>
      </w:pPr>
      <w:r w:rsidRPr="000A3A07">
        <w:t>SIKA delar Johanssons bedömning att projektets nytta troligen är öve</w:t>
      </w:r>
      <w:r w:rsidRPr="000A3A07">
        <w:t>r</w:t>
      </w:r>
      <w:r w:rsidRPr="000A3A07">
        <w:t>skattad i kalkylen. Den metod som används för att värdera Botniabanans tidsvinster utgår nämligen från att alla resor görs under en dag, medan jämf</w:t>
      </w:r>
      <w:r w:rsidRPr="000A3A07">
        <w:t>ö</w:t>
      </w:r>
      <w:r w:rsidRPr="000A3A07">
        <w:t xml:space="preserve">relsealternativet i Botniabanans fall utgörs av nattåg. SIKA drar slutsatsen att det finns anledning att göra mer utförliga känslighetsanalyser när nattåg ingår i analysen. </w:t>
      </w:r>
    </w:p>
    <w:p w14:paraId="5804E616" w14:textId="77777777" w:rsidR="007C11E9" w:rsidRPr="000A3A07" w:rsidRDefault="007C11E9">
      <w:pPr>
        <w:pStyle w:val="Normaltindrag"/>
      </w:pPr>
      <w:r w:rsidRPr="000A3A07">
        <w:t>Slutligen konstaterar SIKA att det saknas ett realistiskt bästa alternativ i analysen och att det finns anledning att utarbeta bättre beskrivningar av intrångse</w:t>
      </w:r>
      <w:r w:rsidRPr="000A3A07">
        <w:t>f</w:t>
      </w:r>
      <w:r w:rsidRPr="000A3A07">
        <w:t>fekter.</w:t>
      </w:r>
    </w:p>
    <w:p w14:paraId="4EFBBE9F" w14:textId="77777777" w:rsidR="007C11E9" w:rsidRPr="000A3A07" w:rsidRDefault="007C11E9">
      <w:pPr>
        <w:pStyle w:val="Normaltindrag"/>
      </w:pPr>
      <w:r w:rsidRPr="000A3A07">
        <w:rPr>
          <w:i/>
        </w:rPr>
        <w:t xml:space="preserve">Banverket </w:t>
      </w:r>
      <w:r w:rsidRPr="000A3A07">
        <w:t>påpekar att verket vid ett flertal tillfällen har kritiserat den u</w:t>
      </w:r>
      <w:r w:rsidRPr="000A3A07">
        <w:t>t</w:t>
      </w:r>
      <w:r w:rsidRPr="000A3A07">
        <w:t>redning som Johanssons granskning avser (SOU 1996:95). Kritiken har bl.a. gällt att utredningen drar felaktiga och tveksamma slutsatser som påverkar projektets lönsamhet negativt. Banverkets uppfattning är att utredaren unde</w:t>
      </w:r>
      <w:r w:rsidRPr="000A3A07">
        <w:t>r</w:t>
      </w:r>
      <w:r w:rsidRPr="000A3A07">
        <w:t xml:space="preserve">skattar nyttan av Botniabanans utbyggnad. Enligt Banverkets beräkningar är projektet klart samhällsekonomiskt lönsamt. </w:t>
      </w:r>
    </w:p>
    <w:p w14:paraId="2ACCB16E" w14:textId="77777777" w:rsidR="007C11E9" w:rsidRPr="000A3A07" w:rsidRDefault="007C11E9">
      <w:pPr>
        <w:pStyle w:val="Normaltindrag"/>
      </w:pPr>
      <w:r w:rsidRPr="000A3A07">
        <w:t xml:space="preserve">Banverket menar att Johansson i sin rapport ger en felaktig bild av vad det kostar att flyga mellan </w:t>
      </w:r>
      <w:r w:rsidRPr="000A3A07">
        <w:t>Stockholm och övre Norrland. Verket anser också att Johansson alltför ensidigt hänvisar till resor mellan Umeå och Stockholm. Många resenärer har inte Stockholm som mål. Detta menar Banverket kan medföra att Johanssons uppskattningar av resenärernas nytta blir felaktiga. Banverket anser att utredningens prognoser för resandevolymen är ri</w:t>
      </w:r>
      <w:r w:rsidRPr="000A3A07">
        <w:t>m</w:t>
      </w:r>
      <w:r w:rsidRPr="000A3A07">
        <w:t xml:space="preserve">liga. </w:t>
      </w:r>
    </w:p>
    <w:p w14:paraId="09BF905F" w14:textId="77777777" w:rsidR="007C11E9" w:rsidRPr="000A3A07" w:rsidRDefault="007C11E9">
      <w:pPr>
        <w:pStyle w:val="Normaltindrag"/>
      </w:pPr>
      <w:r w:rsidRPr="000A3A07">
        <w:t>Banverket anser att Botniabanans nytta för dagens nattågsresenärer är u</w:t>
      </w:r>
      <w:r w:rsidRPr="000A3A07">
        <w:t>n</w:t>
      </w:r>
      <w:r w:rsidRPr="000A3A07">
        <w:t xml:space="preserve">derskattad. Verket anser att det inte finns anledning att gå ifrån den metod som använts för värdering av tidsvinsterna. I utredningen förs resonemang om att all tid, t.ex. förkortad sovtid, inte är värdefull tid. Banverket menar dock att avgångarna på Botniabanan ska anpassas så att den kortare restiden inte innebär mindre nattsömn utan fler timmar hemma eller på jobbet i stället för på nattåget. </w:t>
      </w:r>
    </w:p>
    <w:p w14:paraId="151243F6" w14:textId="77777777" w:rsidR="007C11E9" w:rsidRPr="000A3A07" w:rsidRDefault="007C11E9">
      <w:pPr>
        <w:pStyle w:val="Normaltindrag"/>
      </w:pPr>
      <w:r w:rsidRPr="000A3A07">
        <w:t xml:space="preserve">Banverket hävdar att buller- och vibrationsåtgärder m.m. ingår i kalkylen och att de därför inte ska belasta </w:t>
      </w:r>
      <w:r w:rsidRPr="000A3A07">
        <w:t>kalkylen ytterligare. Vidare hävdar verket att kostnader för kringinvesteringar ingår i kalkylernas omkostnadspålägg. Dessutom skulle vissa kringinvesteringar som ingår i kalkylen enligt Ba</w:t>
      </w:r>
      <w:r w:rsidRPr="000A3A07">
        <w:t>n</w:t>
      </w:r>
      <w:r w:rsidRPr="000A3A07">
        <w:t>verket genomföras oberoende av Botniabanan, vilket betyder att kalkylen belastas med för höga kostnader. Banverket hävdar också att Botniabanan har positiva samhällseffekter som inte ingår i kalkylen. Förbättrade pen</w:t>
      </w:r>
      <w:r w:rsidRPr="000A3A07">
        <w:t>d</w:t>
      </w:r>
      <w:r w:rsidRPr="000A3A07">
        <w:t xml:space="preserve">lingsmöjligheter gynnar t.ex. arbetsmarknaden i olika delar av regionen. </w:t>
      </w:r>
    </w:p>
    <w:p w14:paraId="78C5F7B9" w14:textId="77777777" w:rsidR="007C11E9" w:rsidRPr="000A3A07" w:rsidRDefault="007C11E9">
      <w:pPr>
        <w:pStyle w:val="Normaltindrag"/>
      </w:pPr>
      <w:r w:rsidRPr="000A3A07">
        <w:t>Slutligen påpekar Banverket att</w:t>
      </w:r>
      <w:r w:rsidRPr="000A3A07">
        <w:t xml:space="preserve"> man varken i den statliga offentliga utre</w:t>
      </w:r>
      <w:r w:rsidRPr="000A3A07">
        <w:t>d</w:t>
      </w:r>
      <w:r w:rsidRPr="000A3A07">
        <w:t>ningen eller i Johanssons rapport beaktar att den nuvarande stambanan g</w:t>
      </w:r>
      <w:r w:rsidRPr="000A3A07">
        <w:t>e</w:t>
      </w:r>
      <w:r w:rsidRPr="000A3A07">
        <w:t>nom övre Norrland består av enkelspår. Avbrott på linjen innebär totalstopp för trafiken, vilket kan få stora konsekvenser bl.a. för industrin. Banverket menar att risken för omfattande trafikstörningar minimeras med en dubbe</w:t>
      </w:r>
      <w:r w:rsidRPr="000A3A07">
        <w:t>l</w:t>
      </w:r>
      <w:r w:rsidRPr="000A3A07">
        <w:t>spårig Bo</w:t>
      </w:r>
      <w:r w:rsidRPr="000A3A07">
        <w:t>t</w:t>
      </w:r>
      <w:r w:rsidRPr="000A3A07">
        <w:t xml:space="preserve">niabana.  </w:t>
      </w:r>
    </w:p>
    <w:p w14:paraId="5DBD7FB9" w14:textId="77777777" w:rsidR="007C11E9" w:rsidRPr="000A3A07" w:rsidRDefault="007C11E9">
      <w:pPr>
        <w:pStyle w:val="Normaltindrag"/>
      </w:pPr>
      <w:r w:rsidRPr="000A3A07">
        <w:rPr>
          <w:i/>
        </w:rPr>
        <w:t>Botniabanegruppen</w:t>
      </w:r>
      <w:r w:rsidRPr="000A3A07">
        <w:t>, som är en informell samarbetsgrupp för berörda kommuner, landsting och länsstyrelser, har också lämnat synpunkter på Johanssons rapport. Botniabanegruppen anser att det är otillräckligt att e</w:t>
      </w:r>
      <w:r w:rsidRPr="000A3A07">
        <w:t>n</w:t>
      </w:r>
      <w:r w:rsidRPr="000A3A07">
        <w:t>dast den statliga offentliga utredningen från 1996 granskas. Gruppen menar att det viktigaste underlaget är den samhällsekonomiska kalkyl som Banve</w:t>
      </w:r>
      <w:r w:rsidRPr="000A3A07">
        <w:t>r</w:t>
      </w:r>
      <w:r w:rsidRPr="000A3A07">
        <w:t>ket tog fram 1996 (Banverket 1996 b)</w:t>
      </w:r>
      <w:r w:rsidRPr="000A3A07">
        <w:rPr>
          <w:rStyle w:val="Fotnotsreferens"/>
        </w:rPr>
        <w:footnoteReference w:id="20"/>
      </w:r>
      <w:r w:rsidRPr="000A3A07">
        <w:t>. Denna utredning visar att Botniab</w:t>
      </w:r>
      <w:r w:rsidRPr="000A3A07">
        <w:t>a</w:t>
      </w:r>
      <w:r w:rsidRPr="000A3A07">
        <w:t>nan är ett samhällsekonomiskt lönsamt projekt.</w:t>
      </w:r>
    </w:p>
    <w:p w14:paraId="49D9BE70" w14:textId="77777777" w:rsidR="007C11E9" w:rsidRPr="000A3A07" w:rsidRDefault="007C11E9">
      <w:pPr>
        <w:pStyle w:val="Normaltindrag"/>
      </w:pPr>
      <w:r w:rsidRPr="000A3A07">
        <w:t>Botniabanegruppen menar att många viktiga effekter som måste vägas in i den slutliga analysen inte beaktas i en samhällsekonomisk kalkyl. Som e</w:t>
      </w:r>
      <w:r w:rsidRPr="000A3A07">
        <w:t>x</w:t>
      </w:r>
      <w:r w:rsidRPr="000A3A07">
        <w:t>empel anges regional utveckling, ökad tillförlitlighet i järnvägssystemet och miljömässig hållbarhet. Gruppen uppger att man med konsulthjälp har tagit fram ett antal rapporter för att belysa denna typ av effekter.</w:t>
      </w:r>
    </w:p>
    <w:p w14:paraId="416BAD8C" w14:textId="77777777" w:rsidR="007C11E9" w:rsidRPr="000A3A07" w:rsidRDefault="007C11E9">
      <w:pPr>
        <w:pStyle w:val="RubrikUtanNr3"/>
      </w:pPr>
      <w:bookmarkStart w:id="118" w:name="_Toc496581015"/>
      <w:r w:rsidRPr="000A3A07">
        <w:t>Citytunneln</w:t>
      </w:r>
      <w:bookmarkEnd w:id="118"/>
    </w:p>
    <w:p w14:paraId="5AEDAC0C" w14:textId="77777777" w:rsidR="007C11E9" w:rsidRPr="000A3A07" w:rsidRDefault="007C11E9">
      <w:r w:rsidRPr="000A3A07">
        <w:t>Citytunnelprojektet omfattar de investeringar som krävs för att binda sa</w:t>
      </w:r>
      <w:r w:rsidRPr="000A3A07">
        <w:t>m</w:t>
      </w:r>
      <w:r w:rsidRPr="000A3A07">
        <w:t>man spårtrafik öster om Malmö Central med Öresundsförbindelsen via en tunnel under de centrala delarna av Malmö. De bandelar som krävs för att tågtrafik ska kunna bedrivas till Ystad och Trelleborg ingår också. Utbyg</w:t>
      </w:r>
      <w:r w:rsidRPr="000A3A07">
        <w:t>g</w:t>
      </w:r>
      <w:r w:rsidRPr="000A3A07">
        <w:t>naden av Citytunneln beräknas kosta 7 120 miljoner kronor.</w:t>
      </w:r>
    </w:p>
    <w:p w14:paraId="6AEE408B" w14:textId="77777777" w:rsidR="007C11E9" w:rsidRPr="000A3A07" w:rsidRDefault="007C11E9">
      <w:pPr>
        <w:rPr>
          <w:b/>
          <w:i/>
        </w:rPr>
      </w:pPr>
      <w:r w:rsidRPr="000A3A07">
        <w:rPr>
          <w:b/>
          <w:i/>
        </w:rPr>
        <w:t>Från plan till genomförande</w:t>
      </w:r>
    </w:p>
    <w:p w14:paraId="512EFBD2" w14:textId="77777777" w:rsidR="007C11E9" w:rsidRPr="000A3A07" w:rsidRDefault="007C11E9">
      <w:r w:rsidRPr="000A3A07">
        <w:t>Sveriges och Danmarks regeringar slöt i mars 1991 ett avtal om en fast fö</w:t>
      </w:r>
      <w:r w:rsidRPr="000A3A07">
        <w:t>r</w:t>
      </w:r>
      <w:r w:rsidRPr="000A3A07">
        <w:t>bindelse över Öresund. Enligt avtalet ska Sverige och Danmark var för sig anlägga nödvändiga väg- och järnvägsförbindelser från Öresundsförbinde</w:t>
      </w:r>
      <w:r w:rsidRPr="000A3A07">
        <w:t>l</w:t>
      </w:r>
      <w:r w:rsidRPr="000A3A07">
        <w:t>sen till det befintliga väg- och järnvägsnätet i respektive land. I avtalet föru</w:t>
      </w:r>
      <w:r w:rsidRPr="000A3A07">
        <w:t>t</w:t>
      </w:r>
      <w:r w:rsidRPr="000A3A07">
        <w:t>sattes att all järnvägstrafik från Öresundsbron i Sverige skulle ledas via Ko</w:t>
      </w:r>
      <w:r w:rsidRPr="000A3A07">
        <w:t>n</w:t>
      </w:r>
      <w:r w:rsidRPr="000A3A07">
        <w:t>tinenta</w:t>
      </w:r>
      <w:r w:rsidRPr="000A3A07">
        <w:t>l</w:t>
      </w:r>
      <w:r w:rsidRPr="000A3A07">
        <w:t xml:space="preserve">banan. </w:t>
      </w:r>
    </w:p>
    <w:p w14:paraId="127F93B7" w14:textId="77777777" w:rsidR="007C11E9" w:rsidRPr="000A3A07" w:rsidRDefault="007C11E9">
      <w:pPr>
        <w:pStyle w:val="Normaltindrag"/>
      </w:pPr>
      <w:r w:rsidRPr="000A3A07">
        <w:t>Regeringen beslutade att tillkalla en förhandlare med uppgift att utarbeta en överenskommelse om hur trafiksystemen i Malmöregionen skulle anslutas till broförbindelsen. Statens förhandlingsm</w:t>
      </w:r>
      <w:r w:rsidRPr="000A3A07">
        <w:t>an och Kommunalförbundet för Malmöhus läns kollektivtrafik träffade i juni 1992 en överenskommelse. I överenskommelsen föreslås bl.a. att Malmö Central ska knytas till Öresund</w:t>
      </w:r>
      <w:r w:rsidRPr="000A3A07">
        <w:t>s</w:t>
      </w:r>
      <w:r w:rsidRPr="000A3A07">
        <w:t>bron genom en dubbelspårig järnväg som delvis går i tunnel under Malmö. Sträckningen kom att kallas Citytunneln. Anläggningskostnaden beräknades av Malmö stad till 2 900–3 500 miljoner kronor räknat i den prisnivå som rådde 1993. Det var inte möjligt att inom ramen för överenskommelsen lösa frågan om en finansiering av C</w:t>
      </w:r>
      <w:r w:rsidRPr="000A3A07">
        <w:t>i</w:t>
      </w:r>
      <w:r w:rsidRPr="000A3A07">
        <w:t>tytunneln (SO</w:t>
      </w:r>
      <w:r w:rsidRPr="000A3A07">
        <w:t>U 1992:114).</w:t>
      </w:r>
    </w:p>
    <w:p w14:paraId="43528096" w14:textId="77777777" w:rsidR="007C11E9" w:rsidRPr="000A3A07" w:rsidRDefault="007C11E9">
      <w:pPr>
        <w:pStyle w:val="Normaltindrag"/>
      </w:pPr>
      <w:r w:rsidRPr="000A3A07">
        <w:t>I februari 1994 beslutade regeringen att tillkalla en särskild utredare med uppdrag att lämna förslag till genomförande och finansiering av en Citytu</w:t>
      </w:r>
      <w:r w:rsidRPr="000A3A07">
        <w:t>n</w:t>
      </w:r>
      <w:r w:rsidRPr="000A3A07">
        <w:t>nel (dir. 1994:16). Utredaren skulle bl.a. belysa projektets ekonomiska föru</w:t>
      </w:r>
      <w:r w:rsidRPr="000A3A07">
        <w:t>t</w:t>
      </w:r>
      <w:r w:rsidRPr="000A3A07">
        <w:t>sättningar och möjligheter till finansiering av olika intressenter. Tre månader senare redovisade utredaren sitt uppdrag (SOU 1994:78). Den samhällsek</w:t>
      </w:r>
      <w:r w:rsidRPr="000A3A07">
        <w:t>o</w:t>
      </w:r>
      <w:r w:rsidRPr="000A3A07">
        <w:t>nomiska kalkyl som ingick i utredningen visade att Citytunneln inte kunde hävda sig vid en jämförelse med en upprustning av Kontinentalbanan, som var tänkt att bli den svenska anslutningen till Öresundsbron. Utredaren i</w:t>
      </w:r>
      <w:r w:rsidRPr="000A3A07">
        <w:t>n</w:t>
      </w:r>
      <w:r w:rsidRPr="000A3A07">
        <w:t>stämde inte i uppfattningen att kapacitetsbrist på Kontinentalb</w:t>
      </w:r>
      <w:r w:rsidRPr="000A3A07">
        <w:t>anan skulle motivera Citytunneln. Utredaren föreslog att en fördjupad teknisk prövning av tunneln skulle genomföras innan ställning skulle tas till om förutsättningar fanns för en gemensam finansieringslösning mellan staten och regi</w:t>
      </w:r>
      <w:r w:rsidRPr="000A3A07">
        <w:t>o</w:t>
      </w:r>
      <w:r w:rsidRPr="000A3A07">
        <w:t xml:space="preserve">nen. </w:t>
      </w:r>
    </w:p>
    <w:p w14:paraId="4F1BE1AB" w14:textId="77777777" w:rsidR="007C11E9" w:rsidRPr="000A3A07" w:rsidRDefault="007C11E9">
      <w:pPr>
        <w:pStyle w:val="Normaltindrag"/>
      </w:pPr>
      <w:r w:rsidRPr="000A3A07">
        <w:t>Regeringen beslutade i maj 1995 att bifalla en begäran från SVEDAB att tillsammans med företrädare för regionen utreda de tekniska förutsättninga</w:t>
      </w:r>
      <w:r w:rsidRPr="000A3A07">
        <w:t>r</w:t>
      </w:r>
      <w:r w:rsidRPr="000A3A07">
        <w:t>na för att bygga en Citytunnel. SVEDAB överlämnade sin utredning i febr</w:t>
      </w:r>
      <w:r w:rsidRPr="000A3A07">
        <w:t>u</w:t>
      </w:r>
      <w:r w:rsidRPr="000A3A07">
        <w:t>ari 1996. Kommunalförbundet för Malmöhus läns kollektivtrafik överlämn</w:t>
      </w:r>
      <w:r w:rsidRPr="000A3A07">
        <w:t>a</w:t>
      </w:r>
      <w:r w:rsidRPr="000A3A07">
        <w:t xml:space="preserve">de i mars 1996 två kompletterande utredningar om Citytunnelns effekter på tillgänglighet, resande och lokalisering samt om Citytunnelns betydelse för integrationen mellan Danmark och Sverige. Rapporterna remissbehandlades och utgjorde därefter underlag till den avsiktsförklaring om finansiering och genomförande av tunnelprojektet som regeringen undertecknade hösten </w:t>
      </w:r>
      <w:r w:rsidRPr="000A3A07">
        <w:t>1996.</w:t>
      </w:r>
    </w:p>
    <w:p w14:paraId="7BAD3B87" w14:textId="77777777" w:rsidR="007C11E9" w:rsidRPr="000A3A07" w:rsidRDefault="007C11E9">
      <w:pPr>
        <w:pStyle w:val="Normaltindrag"/>
      </w:pPr>
      <w:r w:rsidRPr="000A3A07">
        <w:t>Regeringen tillsatte en förhandlingsman som med utgångspunkt i avsikt</w:t>
      </w:r>
      <w:r w:rsidRPr="000A3A07">
        <w:t>s</w:t>
      </w:r>
      <w:r w:rsidRPr="000A3A07">
        <w:t>förklaringen skulle förhandla och teckna ett preliminärt avtal om finansiering och byggande av en Citytunnel. Förhandlingsmannen presenterade i februari 1997 ett förslag till avtal mellan staten, Banverket, SJ, Malmö kommun och Region Skåne. Riksdagen godkände avtalet hösten 1997 (prop. 1996/97:161, bet. 1997/98:TU6, rskr. 1997/98:32). Regeringen anger i sin proposition att ett syfte med Citytunneln är att av miljöskäl avlasta Kontinentalbanan. B</w:t>
      </w:r>
      <w:r w:rsidRPr="000A3A07">
        <w:t>e</w:t>
      </w:r>
      <w:r w:rsidRPr="000A3A07">
        <w:t xml:space="preserve">slutet att avlasta Kontinentalbanan leder enligt regeringen </w:t>
      </w:r>
      <w:r w:rsidRPr="000A3A07">
        <w:t>till att tidigare bedömningar av Citytunnelns samhällsekonomiska lönsamhet inte är giltiga, eftersom de har byggt på att Kontinentalbanan kan utgöra ett långsiktigt alternativ för denna trafik.</w:t>
      </w:r>
    </w:p>
    <w:p w14:paraId="3FD1A527" w14:textId="77777777" w:rsidR="007C11E9" w:rsidRPr="000A3A07" w:rsidRDefault="007C11E9">
      <w:pPr>
        <w:pStyle w:val="Normaltindrag"/>
      </w:pPr>
      <w:r w:rsidRPr="000A3A07">
        <w:t xml:space="preserve">Avtalsparterna bildade ett gemensamt konsortium, Citytunnelkonsortiet i </w:t>
      </w:r>
      <w:commentRangeStart w:id="119"/>
      <w:r w:rsidRPr="000A3A07">
        <w:t>Malmö</w:t>
      </w:r>
      <w:commentRangeEnd w:id="119"/>
      <w:r w:rsidRPr="000A3A07">
        <w:rPr>
          <w:rStyle w:val="Kommentarsreferens"/>
          <w:sz w:val="19"/>
        </w:rPr>
        <w:commentReference w:id="119"/>
      </w:r>
      <w:r w:rsidRPr="000A3A07">
        <w:t>, för projektering, byggande och driftsättning av projektet</w:t>
      </w:r>
      <w:r w:rsidRPr="000A3A07">
        <w:t>. Tunne</w:t>
      </w:r>
      <w:r w:rsidRPr="000A3A07">
        <w:t>l</w:t>
      </w:r>
      <w:r w:rsidRPr="000A3A07">
        <w:t>projektet delades upp i sex olika delar. Ansvaret för de olika delarna fördel</w:t>
      </w:r>
      <w:r w:rsidRPr="000A3A07">
        <w:t>a</w:t>
      </w:r>
      <w:r w:rsidRPr="000A3A07">
        <w:t>des mellan parterna. Om kostnadsökningar skulle uppkomma i någon eller några av projektdelarna skulle ansvaret för kostnadsökningarna bäras av den eller de som är ansvariga för den projektdelen.</w:t>
      </w:r>
    </w:p>
    <w:p w14:paraId="68B98D6D" w14:textId="77777777" w:rsidR="007C11E9" w:rsidRPr="000A3A07" w:rsidRDefault="007C11E9">
      <w:pPr>
        <w:pStyle w:val="Normaltindrag"/>
      </w:pPr>
      <w:r w:rsidRPr="000A3A07">
        <w:t>Våren år 2000 meddelade regeringen att projektet bedömdes bli ca 2 000 miljoner kronor dyrare än beräknat</w:t>
      </w:r>
      <w:r w:rsidRPr="000A3A07">
        <w:rPr>
          <w:rStyle w:val="Fotnotsreferens"/>
        </w:rPr>
        <w:footnoteReference w:id="21"/>
      </w:r>
      <w:r w:rsidRPr="000A3A07">
        <w:t xml:space="preserve"> (prop. 1999/2000:66). Regeringen p</w:t>
      </w:r>
      <w:r w:rsidRPr="000A3A07">
        <w:t>e</w:t>
      </w:r>
      <w:r w:rsidRPr="000A3A07">
        <w:t>kade också på problem med projektorganisationen. Det finns enligt regerin</w:t>
      </w:r>
      <w:r w:rsidRPr="000A3A07">
        <w:t>g</w:t>
      </w:r>
      <w:r w:rsidRPr="000A3A07">
        <w:t>en risk för oklara ansvarsförhållanden och gränsdragningsproblem. Des</w:t>
      </w:r>
      <w:r w:rsidRPr="000A3A07">
        <w:t>s</w:t>
      </w:r>
      <w:r w:rsidRPr="000A3A07">
        <w:t>utom ifrågasattes projektorganisationens möjligheter att arbeta på ett kos</w:t>
      </w:r>
      <w:r w:rsidRPr="000A3A07">
        <w:t>t</w:t>
      </w:r>
      <w:r w:rsidRPr="000A3A07">
        <w:t xml:space="preserve">nadseffektivt sätt. </w:t>
      </w:r>
    </w:p>
    <w:p w14:paraId="31737AA5" w14:textId="77777777" w:rsidR="007C11E9" w:rsidRPr="000A3A07" w:rsidRDefault="007C11E9">
      <w:pPr>
        <w:pStyle w:val="Normaltindrag"/>
      </w:pPr>
      <w:r w:rsidRPr="000A3A07">
        <w:t xml:space="preserve">Med anledning av organisationsproblemen och kostnadsökningen utsåg Näringsdepartementet i juni 2000 en förhandlingsman som fick i uppdrag att för statens räkning omförhandla samt teckna preliminär ändring av avtalen om genomförande och </w:t>
      </w:r>
      <w:r w:rsidRPr="000A3A07">
        <w:t>finansiering av Citytunneln (dir. 2000:53). Senast i oktober 2000 ska förhandlingsmannen redovisa resultatet när det gäller fö</w:t>
      </w:r>
      <w:r w:rsidRPr="000A3A07">
        <w:t>r</w:t>
      </w:r>
      <w:r w:rsidRPr="000A3A07">
        <w:t>ändring av projektorganisationen. Innan utbyggnaden av Citytunneln kan inledas ska regeringen tillåtlighetspröva projektet enligt miljöbalken. Om regeringen tillåter järnvägstunneln ska utredaren senast tre månader efter ett sådant beslut redovisa en överenskommelse om förändrad kostnadsförde</w:t>
      </w:r>
      <w:r w:rsidRPr="000A3A07">
        <w:t>l</w:t>
      </w:r>
      <w:r w:rsidRPr="000A3A07">
        <w:t>ning.</w:t>
      </w:r>
    </w:p>
    <w:p w14:paraId="3634E2EF" w14:textId="77777777" w:rsidR="007C11E9" w:rsidRPr="000A3A07" w:rsidRDefault="007C11E9">
      <w:pPr>
        <w:pStyle w:val="Normaltindrag"/>
      </w:pPr>
      <w:r w:rsidRPr="000A3A07">
        <w:t>Innan utbyggnaden av Citytunneln kan inledas krävs också en lagakraf</w:t>
      </w:r>
      <w:r w:rsidRPr="000A3A07">
        <w:t>t</w:t>
      </w:r>
      <w:r w:rsidRPr="000A3A07">
        <w:t>vunnen detaljplan, en fastställd järnvägsplan med godkänd miljökonsekven</w:t>
      </w:r>
      <w:r w:rsidRPr="000A3A07">
        <w:t>s</w:t>
      </w:r>
      <w:r w:rsidRPr="000A3A07">
        <w:t>beskrivning och tillstånd enligt vattenlagen. Citytunnelkonsortiet räknar med att alla tillstånd är klara år 2002 och att utbyggnaden då kan inledas. C</w:t>
      </w:r>
      <w:r w:rsidRPr="000A3A07">
        <w:t>i</w:t>
      </w:r>
      <w:r w:rsidRPr="000A3A07">
        <w:t xml:space="preserve">tytunneln beräknas tas i drift år 2007. </w:t>
      </w:r>
    </w:p>
    <w:p w14:paraId="25F2C03F" w14:textId="77777777" w:rsidR="007C11E9" w:rsidRPr="000A3A07" w:rsidRDefault="007C11E9">
      <w:pPr>
        <w:rPr>
          <w:b/>
          <w:i/>
        </w:rPr>
      </w:pPr>
      <w:r w:rsidRPr="000A3A07">
        <w:rPr>
          <w:b/>
          <w:i/>
        </w:rPr>
        <w:t>Kvaliteten på de samhällsekonomiska beräkningarna</w:t>
      </w:r>
    </w:p>
    <w:p w14:paraId="6CC5E70F" w14:textId="77777777" w:rsidR="007C11E9" w:rsidRPr="000A3A07" w:rsidRDefault="007C11E9">
      <w:r w:rsidRPr="000A3A07">
        <w:t>Universitetslektor Jan-Eric Nilsson har inom ramen för revisorernas grans</w:t>
      </w:r>
      <w:r w:rsidRPr="000A3A07">
        <w:t>k</w:t>
      </w:r>
      <w:r w:rsidRPr="000A3A07">
        <w:t>ning studerat de samhällsekonomiska beräkningarna av Citytunnelns lö</w:t>
      </w:r>
      <w:r w:rsidRPr="000A3A07">
        <w:t>n</w:t>
      </w:r>
      <w:r w:rsidRPr="000A3A07">
        <w:t xml:space="preserve">samhet. </w:t>
      </w:r>
    </w:p>
    <w:p w14:paraId="7F3E10CC" w14:textId="77777777" w:rsidR="007C11E9" w:rsidRPr="000A3A07" w:rsidRDefault="007C11E9">
      <w:pPr>
        <w:pStyle w:val="Normaltindrag"/>
      </w:pPr>
      <w:r w:rsidRPr="000A3A07">
        <w:t xml:space="preserve">Nilssons granskning omfattar den kalkyl som gjordes i samband med den statliga offentliga utredningen om Citytunneln (SOU 1994:78) samt de tre kompletterande utredningar som gjordes på regeringens uppdrag 1996 (SVEDAB 1996, Inregia 1995 och Inregia 1996 a). </w:t>
      </w:r>
    </w:p>
    <w:p w14:paraId="0B17671C" w14:textId="77777777" w:rsidR="007C11E9" w:rsidRPr="000A3A07" w:rsidRDefault="007C11E9">
      <w:pPr>
        <w:pStyle w:val="Normaltindrag"/>
      </w:pPr>
      <w:r w:rsidRPr="000A3A07">
        <w:t>Den samhällsekonomiska kalkyl som presenterades i utredningen från 1994 gjordes av Banverkets södra region i samråd med Malmöhus Trafik AB och Malmö kommun. I kalkylen jämförs Citytunnelprojektet med upprus</w:t>
      </w:r>
      <w:r w:rsidRPr="000A3A07">
        <w:t>t</w:t>
      </w:r>
      <w:r w:rsidRPr="000A3A07">
        <w:t>ning av den befintliga Kontinentalbanan. Ursprungligen var Kontinentalb</w:t>
      </w:r>
      <w:r w:rsidRPr="000A3A07">
        <w:t>a</w:t>
      </w:r>
      <w:r w:rsidRPr="000A3A07">
        <w:t xml:space="preserve">nan tänkt att bli den svenska anslutningen till Öresundsbron för både person- och godstrafik. </w:t>
      </w:r>
    </w:p>
    <w:p w14:paraId="1BDB6089" w14:textId="77777777" w:rsidR="007C11E9" w:rsidRPr="000A3A07" w:rsidRDefault="007C11E9">
      <w:pPr>
        <w:pStyle w:val="Normaltindrag"/>
      </w:pPr>
      <w:r w:rsidRPr="000A3A07">
        <w:t>Av utredningen framgår att Citytunneln inte kan motiveras samhällsek</w:t>
      </w:r>
      <w:r w:rsidRPr="000A3A07">
        <w:t>o</w:t>
      </w:r>
      <w:r w:rsidRPr="000A3A07">
        <w:t>nomiskt. Citytunneln ansågs inte vara kommersiellt bärkraftig och kunde inte hävda sig vid en jämförelse med de infrastrukturinvesteringar som normalt finansieras av staten. Utredaren bedömde att tunneln endast skulle kunna komma till stånd genom att staten och Malmöregionen tillsammans svarar för finansierin</w:t>
      </w:r>
      <w:r w:rsidRPr="000A3A07">
        <w:t>g</w:t>
      </w:r>
      <w:r w:rsidRPr="000A3A07">
        <w:t>en.</w:t>
      </w:r>
    </w:p>
    <w:p w14:paraId="4A13268F" w14:textId="77777777" w:rsidR="007C11E9" w:rsidRPr="000A3A07" w:rsidRDefault="007C11E9">
      <w:pPr>
        <w:pStyle w:val="Normaltindrag"/>
      </w:pPr>
      <w:r w:rsidRPr="000A3A07">
        <w:t>Den första av de tre kompletterande utredningarna utfördes av SVEDAB och Malmöhus Trafik AB. Utredningen innehöll en teknisk komplettering av tidigare utredningar om Citytunneln. Anläggningskostna</w:t>
      </w:r>
      <w:r w:rsidRPr="000A3A07">
        <w:t>den beräknades till  5 000 miljoner kronor räknat i den prisnivå som rådde i januari 1996</w:t>
      </w:r>
      <w:r w:rsidRPr="000A3A07">
        <w:rPr>
          <w:rStyle w:val="Fotnotsreferens"/>
        </w:rPr>
        <w:footnoteReference w:id="22"/>
      </w:r>
      <w:r w:rsidRPr="000A3A07">
        <w:t>.</w:t>
      </w:r>
    </w:p>
    <w:p w14:paraId="5BBB1E07" w14:textId="77777777" w:rsidR="007C11E9" w:rsidRPr="000A3A07" w:rsidRDefault="007C11E9">
      <w:pPr>
        <w:pStyle w:val="Normaltindrag"/>
      </w:pPr>
      <w:r w:rsidRPr="000A3A07">
        <w:t>De två övriga kompletterande utredningarna gjordes av konsultföretaget Inregia AB på uppdrag av Malmöhus Trafik AB. Inregia analyserade C</w:t>
      </w:r>
      <w:r w:rsidRPr="000A3A07">
        <w:t>i</w:t>
      </w:r>
      <w:r w:rsidRPr="000A3A07">
        <w:t>tytunnelns strategiska roll. Inregia menar att den totala nyttan av Citytunneln, med lokaliserings- och integrationseffekter och specialiserings- och konku</w:t>
      </w:r>
      <w:r w:rsidRPr="000A3A07">
        <w:t>r</w:t>
      </w:r>
      <w:r w:rsidRPr="000A3A07">
        <w:t>renseffekter, uppgår till ca 5 000 miljoner kronor.</w:t>
      </w:r>
    </w:p>
    <w:p w14:paraId="347BE9D4" w14:textId="77777777" w:rsidR="007C11E9" w:rsidRPr="000A3A07" w:rsidRDefault="007C11E9">
      <w:pPr>
        <w:rPr>
          <w:i/>
        </w:rPr>
      </w:pPr>
      <w:r w:rsidRPr="000A3A07">
        <w:rPr>
          <w:i/>
        </w:rPr>
        <w:t>SOU 1994:78</w:t>
      </w:r>
    </w:p>
    <w:p w14:paraId="10C64A74" w14:textId="77777777" w:rsidR="007C11E9" w:rsidRPr="000A3A07" w:rsidRDefault="007C11E9">
      <w:r w:rsidRPr="000A3A07">
        <w:t>Enligt den kalkyl som Banverkets södra region gjorde på uppdrag av utre</w:t>
      </w:r>
      <w:r w:rsidRPr="000A3A07">
        <w:t>d</w:t>
      </w:r>
      <w:r w:rsidRPr="000A3A07">
        <w:t>ningen beräknas Citytunnelns kostnader överstiga projektets nyttoeffekter med nästan 900 miljoner kronor (se tabell 9). Banverket beräknade projektets nettonuvärdekvot till –0,22, vilket betyder att samhället beräknas få tillbaka mindre än 80 öre för varje investerad krona.</w:t>
      </w:r>
    </w:p>
    <w:p w14:paraId="2222EEDA" w14:textId="77777777" w:rsidR="007C11E9" w:rsidRPr="000A3A07" w:rsidRDefault="007C11E9">
      <w:pPr>
        <w:pStyle w:val="Tabellrubrik1"/>
      </w:pPr>
    </w:p>
    <w:p w14:paraId="3131E934" w14:textId="77777777" w:rsidR="007C11E9" w:rsidRPr="000A3A07" w:rsidRDefault="007C11E9">
      <w:pPr>
        <w:pStyle w:val="Tabellrubrik1"/>
      </w:pPr>
      <w:r w:rsidRPr="000A3A07">
        <w:t>Tabell 9. Samhällsekonomisk analys av Citytunneln (altern</w:t>
      </w:r>
      <w:r w:rsidRPr="000A3A07">
        <w:t>a</w:t>
      </w:r>
      <w:r w:rsidRPr="000A3A07">
        <w:t>tiv borrad), prisnivå januari 1993</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480"/>
        <w:gridCol w:w="1701"/>
        <w:gridCol w:w="1701"/>
      </w:tblGrid>
      <w:tr w:rsidR="00000000" w:rsidRPr="000A3A07" w14:paraId="400E375D" w14:textId="77777777">
        <w:tblPrEx>
          <w:tblCellMar>
            <w:top w:w="0" w:type="dxa"/>
            <w:bottom w:w="0" w:type="dxa"/>
          </w:tblCellMar>
        </w:tblPrEx>
        <w:tc>
          <w:tcPr>
            <w:tcW w:w="2480" w:type="dxa"/>
            <w:tcBorders>
              <w:bottom w:val="single" w:sz="6" w:space="0" w:color="000000"/>
            </w:tcBorders>
            <w:shd w:val="pct30" w:color="FFFF00" w:fill="FFFFFF"/>
          </w:tcPr>
          <w:p w14:paraId="62CC38B8" w14:textId="77777777" w:rsidR="007C11E9" w:rsidRPr="000A3A07" w:rsidRDefault="007C11E9">
            <w:pPr>
              <w:spacing w:before="0"/>
              <w:jc w:val="left"/>
              <w:rPr>
                <w:b/>
              </w:rPr>
            </w:pPr>
            <w:r w:rsidRPr="000A3A07">
              <w:rPr>
                <w:b/>
              </w:rPr>
              <w:t>Kostnad/nytta</w:t>
            </w:r>
          </w:p>
        </w:tc>
        <w:tc>
          <w:tcPr>
            <w:tcW w:w="1701" w:type="dxa"/>
            <w:tcBorders>
              <w:bottom w:val="single" w:sz="6" w:space="0" w:color="000000"/>
            </w:tcBorders>
            <w:shd w:val="pct30" w:color="FFFF00" w:fill="FFFFFF"/>
          </w:tcPr>
          <w:p w14:paraId="4FA8D9F6" w14:textId="77777777" w:rsidR="007C11E9" w:rsidRPr="000A3A07" w:rsidRDefault="007C11E9">
            <w:pPr>
              <w:spacing w:before="0"/>
              <w:jc w:val="left"/>
              <w:rPr>
                <w:b/>
              </w:rPr>
            </w:pPr>
            <w:r w:rsidRPr="000A3A07">
              <w:rPr>
                <w:b/>
              </w:rPr>
              <w:t xml:space="preserve">Nuvärde, </w:t>
            </w:r>
          </w:p>
          <w:p w14:paraId="1BBE9A85" w14:textId="77777777" w:rsidR="007C11E9" w:rsidRPr="000A3A07" w:rsidRDefault="007C11E9">
            <w:pPr>
              <w:spacing w:before="0"/>
              <w:jc w:val="left"/>
              <w:rPr>
                <w:b/>
              </w:rPr>
            </w:pPr>
            <w:r w:rsidRPr="000A3A07">
              <w:rPr>
                <w:b/>
              </w:rPr>
              <w:t>miljoner kronor</w:t>
            </w:r>
          </w:p>
        </w:tc>
        <w:tc>
          <w:tcPr>
            <w:tcW w:w="1701" w:type="dxa"/>
            <w:tcBorders>
              <w:bottom w:val="single" w:sz="6" w:space="0" w:color="000000"/>
            </w:tcBorders>
            <w:shd w:val="pct30" w:color="FFFF00" w:fill="FFFFFF"/>
          </w:tcPr>
          <w:p w14:paraId="7A3AA639" w14:textId="77777777" w:rsidR="007C11E9" w:rsidRPr="000A3A07" w:rsidRDefault="007C11E9">
            <w:pPr>
              <w:spacing w:before="0"/>
              <w:jc w:val="left"/>
              <w:rPr>
                <w:b/>
              </w:rPr>
            </w:pPr>
            <w:r w:rsidRPr="000A3A07">
              <w:rPr>
                <w:b/>
              </w:rPr>
              <w:t xml:space="preserve">Nuvärde, </w:t>
            </w:r>
          </w:p>
          <w:p w14:paraId="3707C49B" w14:textId="77777777" w:rsidR="007C11E9" w:rsidRPr="000A3A07" w:rsidRDefault="007C11E9">
            <w:pPr>
              <w:spacing w:before="0"/>
              <w:jc w:val="left"/>
              <w:rPr>
                <w:b/>
              </w:rPr>
            </w:pPr>
            <w:r w:rsidRPr="000A3A07">
              <w:rPr>
                <w:b/>
              </w:rPr>
              <w:t>miljoner kronor</w:t>
            </w:r>
          </w:p>
        </w:tc>
      </w:tr>
      <w:tr w:rsidR="00000000" w:rsidRPr="000A3A07" w14:paraId="060AECF1" w14:textId="77777777">
        <w:tblPrEx>
          <w:tblCellMar>
            <w:top w:w="0" w:type="dxa"/>
            <w:bottom w:w="0" w:type="dxa"/>
          </w:tblCellMar>
        </w:tblPrEx>
        <w:tc>
          <w:tcPr>
            <w:tcW w:w="2480" w:type="dxa"/>
            <w:tcBorders>
              <w:top w:val="nil"/>
            </w:tcBorders>
          </w:tcPr>
          <w:p w14:paraId="7C6EC871" w14:textId="77777777" w:rsidR="007C11E9" w:rsidRPr="000A3A07" w:rsidRDefault="007C11E9">
            <w:pPr>
              <w:spacing w:before="0"/>
              <w:jc w:val="left"/>
            </w:pPr>
            <w:r w:rsidRPr="000A3A07">
              <w:t>Anläggningskostnad</w:t>
            </w:r>
          </w:p>
        </w:tc>
        <w:tc>
          <w:tcPr>
            <w:tcW w:w="1701" w:type="dxa"/>
            <w:tcBorders>
              <w:top w:val="nil"/>
            </w:tcBorders>
          </w:tcPr>
          <w:p w14:paraId="410C9934" w14:textId="77777777" w:rsidR="007C11E9" w:rsidRPr="000A3A07" w:rsidRDefault="007C11E9">
            <w:pPr>
              <w:spacing w:before="0"/>
              <w:jc w:val="right"/>
            </w:pPr>
            <w:r w:rsidRPr="000A3A07">
              <w:t>-3 780</w:t>
            </w:r>
          </w:p>
        </w:tc>
        <w:tc>
          <w:tcPr>
            <w:tcW w:w="1701" w:type="dxa"/>
            <w:tcBorders>
              <w:top w:val="nil"/>
            </w:tcBorders>
          </w:tcPr>
          <w:p w14:paraId="1B5E2700" w14:textId="77777777" w:rsidR="007C11E9" w:rsidRPr="000A3A07" w:rsidRDefault="007C11E9">
            <w:pPr>
              <w:spacing w:before="0"/>
              <w:jc w:val="right"/>
            </w:pPr>
          </w:p>
        </w:tc>
      </w:tr>
      <w:tr w:rsidR="00000000" w:rsidRPr="000A3A07" w14:paraId="6A3F2441" w14:textId="77777777">
        <w:tblPrEx>
          <w:tblCellMar>
            <w:top w:w="0" w:type="dxa"/>
            <w:bottom w:w="0" w:type="dxa"/>
          </w:tblCellMar>
        </w:tblPrEx>
        <w:tc>
          <w:tcPr>
            <w:tcW w:w="2480" w:type="dxa"/>
            <w:tcBorders>
              <w:bottom w:val="nil"/>
            </w:tcBorders>
          </w:tcPr>
          <w:p w14:paraId="6C308708" w14:textId="77777777" w:rsidR="007C11E9" w:rsidRPr="000A3A07" w:rsidRDefault="007C11E9">
            <w:pPr>
              <w:spacing w:before="0"/>
              <w:jc w:val="left"/>
            </w:pPr>
            <w:r w:rsidRPr="000A3A07">
              <w:t>Drift, underhåll och förnye</w:t>
            </w:r>
            <w:r w:rsidRPr="000A3A07">
              <w:t>l</w:t>
            </w:r>
            <w:r w:rsidRPr="000A3A07">
              <w:t>se</w:t>
            </w:r>
          </w:p>
        </w:tc>
        <w:tc>
          <w:tcPr>
            <w:tcW w:w="1701" w:type="dxa"/>
            <w:tcBorders>
              <w:bottom w:val="nil"/>
            </w:tcBorders>
          </w:tcPr>
          <w:p w14:paraId="1CB92190" w14:textId="77777777" w:rsidR="007C11E9" w:rsidRPr="000A3A07" w:rsidRDefault="007C11E9">
            <w:pPr>
              <w:spacing w:before="0"/>
              <w:jc w:val="right"/>
            </w:pPr>
            <w:r w:rsidRPr="000A3A07">
              <w:t>-135</w:t>
            </w:r>
          </w:p>
        </w:tc>
        <w:tc>
          <w:tcPr>
            <w:tcW w:w="1701" w:type="dxa"/>
            <w:tcBorders>
              <w:bottom w:val="nil"/>
            </w:tcBorders>
          </w:tcPr>
          <w:p w14:paraId="05495B45" w14:textId="77777777" w:rsidR="007C11E9" w:rsidRPr="000A3A07" w:rsidRDefault="007C11E9">
            <w:pPr>
              <w:spacing w:before="0"/>
              <w:jc w:val="right"/>
            </w:pPr>
          </w:p>
        </w:tc>
      </w:tr>
      <w:tr w:rsidR="00000000" w:rsidRPr="000A3A07" w14:paraId="73D763F1" w14:textId="77777777">
        <w:tblPrEx>
          <w:tblCellMar>
            <w:top w:w="0" w:type="dxa"/>
            <w:bottom w:w="0" w:type="dxa"/>
          </w:tblCellMar>
        </w:tblPrEx>
        <w:tc>
          <w:tcPr>
            <w:tcW w:w="2480" w:type="dxa"/>
            <w:tcBorders>
              <w:top w:val="single" w:sz="4" w:space="0" w:color="auto"/>
              <w:bottom w:val="single" w:sz="4" w:space="0" w:color="auto"/>
            </w:tcBorders>
          </w:tcPr>
          <w:p w14:paraId="135EC8AD" w14:textId="77777777" w:rsidR="007C11E9" w:rsidRPr="000A3A07" w:rsidRDefault="007C11E9">
            <w:pPr>
              <w:spacing w:before="0"/>
              <w:jc w:val="left"/>
              <w:rPr>
                <w:i/>
              </w:rPr>
            </w:pPr>
            <w:r w:rsidRPr="000A3A07">
              <w:rPr>
                <w:i/>
              </w:rPr>
              <w:t>Summa kostnad (1)</w:t>
            </w:r>
          </w:p>
        </w:tc>
        <w:tc>
          <w:tcPr>
            <w:tcW w:w="1701" w:type="dxa"/>
            <w:tcBorders>
              <w:top w:val="single" w:sz="4" w:space="0" w:color="auto"/>
              <w:bottom w:val="single" w:sz="4" w:space="0" w:color="auto"/>
            </w:tcBorders>
          </w:tcPr>
          <w:p w14:paraId="36456060" w14:textId="77777777" w:rsidR="007C11E9" w:rsidRPr="000A3A07" w:rsidRDefault="007C11E9">
            <w:pPr>
              <w:spacing w:before="0"/>
              <w:jc w:val="right"/>
            </w:pPr>
          </w:p>
        </w:tc>
        <w:tc>
          <w:tcPr>
            <w:tcW w:w="1701" w:type="dxa"/>
            <w:tcBorders>
              <w:top w:val="single" w:sz="4" w:space="0" w:color="auto"/>
              <w:bottom w:val="single" w:sz="4" w:space="0" w:color="auto"/>
            </w:tcBorders>
          </w:tcPr>
          <w:p w14:paraId="1E8F2050" w14:textId="77777777" w:rsidR="007C11E9" w:rsidRPr="000A3A07" w:rsidRDefault="007C11E9">
            <w:pPr>
              <w:spacing w:before="0"/>
              <w:jc w:val="right"/>
              <w:rPr>
                <w:i/>
              </w:rPr>
            </w:pPr>
            <w:r w:rsidRPr="000A3A07">
              <w:rPr>
                <w:i/>
              </w:rPr>
              <w:t>-3 915</w:t>
            </w:r>
          </w:p>
        </w:tc>
      </w:tr>
      <w:tr w:rsidR="00000000" w:rsidRPr="000A3A07" w14:paraId="3DC4E3D3" w14:textId="77777777">
        <w:tblPrEx>
          <w:tblCellMar>
            <w:top w:w="0" w:type="dxa"/>
            <w:bottom w:w="0" w:type="dxa"/>
          </w:tblCellMar>
        </w:tblPrEx>
        <w:tc>
          <w:tcPr>
            <w:tcW w:w="2480" w:type="dxa"/>
            <w:tcBorders>
              <w:top w:val="nil"/>
            </w:tcBorders>
          </w:tcPr>
          <w:p w14:paraId="29220E50" w14:textId="77777777" w:rsidR="007C11E9" w:rsidRPr="000A3A07" w:rsidRDefault="007C11E9">
            <w:pPr>
              <w:spacing w:before="0"/>
              <w:jc w:val="left"/>
            </w:pPr>
            <w:r w:rsidRPr="000A3A07">
              <w:t>Nettoeffekt, tågtrafik</w:t>
            </w:r>
          </w:p>
        </w:tc>
        <w:tc>
          <w:tcPr>
            <w:tcW w:w="1701" w:type="dxa"/>
            <w:tcBorders>
              <w:top w:val="nil"/>
            </w:tcBorders>
          </w:tcPr>
          <w:p w14:paraId="1A8BCCFC" w14:textId="77777777" w:rsidR="007C11E9" w:rsidRPr="000A3A07" w:rsidRDefault="007C11E9">
            <w:pPr>
              <w:spacing w:before="0"/>
              <w:jc w:val="right"/>
            </w:pPr>
            <w:r w:rsidRPr="000A3A07">
              <w:t>1 040</w:t>
            </w:r>
          </w:p>
        </w:tc>
        <w:tc>
          <w:tcPr>
            <w:tcW w:w="1701" w:type="dxa"/>
            <w:tcBorders>
              <w:top w:val="nil"/>
            </w:tcBorders>
          </w:tcPr>
          <w:p w14:paraId="0043A2B0" w14:textId="77777777" w:rsidR="007C11E9" w:rsidRPr="000A3A07" w:rsidRDefault="007C11E9">
            <w:pPr>
              <w:spacing w:before="0"/>
              <w:jc w:val="right"/>
              <w:rPr>
                <w:i/>
              </w:rPr>
            </w:pPr>
          </w:p>
        </w:tc>
      </w:tr>
      <w:tr w:rsidR="00000000" w:rsidRPr="000A3A07" w14:paraId="00438404" w14:textId="77777777">
        <w:tblPrEx>
          <w:tblCellMar>
            <w:top w:w="0" w:type="dxa"/>
            <w:bottom w:w="0" w:type="dxa"/>
          </w:tblCellMar>
        </w:tblPrEx>
        <w:tc>
          <w:tcPr>
            <w:tcW w:w="2480" w:type="dxa"/>
          </w:tcPr>
          <w:p w14:paraId="4564DDBC" w14:textId="77777777" w:rsidR="007C11E9" w:rsidRPr="000A3A07" w:rsidRDefault="007C11E9">
            <w:pPr>
              <w:spacing w:before="0"/>
              <w:jc w:val="left"/>
            </w:pPr>
            <w:r w:rsidRPr="000A3A07">
              <w:t>Tidsvinst</w:t>
            </w:r>
          </w:p>
        </w:tc>
        <w:tc>
          <w:tcPr>
            <w:tcW w:w="1701" w:type="dxa"/>
          </w:tcPr>
          <w:p w14:paraId="499B537B" w14:textId="77777777" w:rsidR="007C11E9" w:rsidRPr="000A3A07" w:rsidRDefault="007C11E9">
            <w:pPr>
              <w:spacing w:before="0"/>
              <w:jc w:val="right"/>
            </w:pPr>
            <w:r w:rsidRPr="000A3A07">
              <w:t>1 885</w:t>
            </w:r>
          </w:p>
        </w:tc>
        <w:tc>
          <w:tcPr>
            <w:tcW w:w="1701" w:type="dxa"/>
          </w:tcPr>
          <w:p w14:paraId="66DE7BE2" w14:textId="77777777" w:rsidR="007C11E9" w:rsidRPr="000A3A07" w:rsidRDefault="007C11E9">
            <w:pPr>
              <w:spacing w:before="0"/>
              <w:jc w:val="right"/>
              <w:rPr>
                <w:i/>
              </w:rPr>
            </w:pPr>
          </w:p>
        </w:tc>
      </w:tr>
      <w:tr w:rsidR="00000000" w:rsidRPr="000A3A07" w14:paraId="7254A2CA" w14:textId="77777777">
        <w:tblPrEx>
          <w:tblCellMar>
            <w:top w:w="0" w:type="dxa"/>
            <w:bottom w:w="0" w:type="dxa"/>
          </w:tblCellMar>
        </w:tblPrEx>
        <w:tc>
          <w:tcPr>
            <w:tcW w:w="2480" w:type="dxa"/>
            <w:tcBorders>
              <w:bottom w:val="nil"/>
            </w:tcBorders>
          </w:tcPr>
          <w:p w14:paraId="392C4B0C" w14:textId="77777777" w:rsidR="007C11E9" w:rsidRPr="000A3A07" w:rsidRDefault="007C11E9">
            <w:pPr>
              <w:spacing w:before="0"/>
              <w:jc w:val="left"/>
            </w:pPr>
            <w:r w:rsidRPr="000A3A07">
              <w:t>Miljö</w:t>
            </w:r>
          </w:p>
        </w:tc>
        <w:tc>
          <w:tcPr>
            <w:tcW w:w="1701" w:type="dxa"/>
            <w:tcBorders>
              <w:bottom w:val="nil"/>
            </w:tcBorders>
          </w:tcPr>
          <w:p w14:paraId="7347CAAC" w14:textId="77777777" w:rsidR="007C11E9" w:rsidRPr="000A3A07" w:rsidRDefault="007C11E9">
            <w:pPr>
              <w:spacing w:before="0"/>
              <w:jc w:val="right"/>
            </w:pPr>
            <w:r w:rsidRPr="000A3A07">
              <w:t>120</w:t>
            </w:r>
          </w:p>
        </w:tc>
        <w:tc>
          <w:tcPr>
            <w:tcW w:w="1701" w:type="dxa"/>
            <w:tcBorders>
              <w:bottom w:val="nil"/>
            </w:tcBorders>
          </w:tcPr>
          <w:p w14:paraId="2437235E" w14:textId="77777777" w:rsidR="007C11E9" w:rsidRPr="000A3A07" w:rsidRDefault="007C11E9">
            <w:pPr>
              <w:spacing w:before="0"/>
              <w:jc w:val="right"/>
              <w:rPr>
                <w:i/>
              </w:rPr>
            </w:pPr>
          </w:p>
        </w:tc>
      </w:tr>
      <w:tr w:rsidR="00000000" w:rsidRPr="000A3A07" w14:paraId="061E255F" w14:textId="77777777">
        <w:tblPrEx>
          <w:tblCellMar>
            <w:top w:w="0" w:type="dxa"/>
            <w:bottom w:w="0" w:type="dxa"/>
          </w:tblCellMar>
        </w:tblPrEx>
        <w:tc>
          <w:tcPr>
            <w:tcW w:w="2480" w:type="dxa"/>
            <w:tcBorders>
              <w:top w:val="single" w:sz="4" w:space="0" w:color="auto"/>
              <w:bottom w:val="nil"/>
            </w:tcBorders>
          </w:tcPr>
          <w:p w14:paraId="33F610D3" w14:textId="77777777" w:rsidR="007C11E9" w:rsidRPr="000A3A07" w:rsidRDefault="007C11E9">
            <w:pPr>
              <w:spacing w:before="0"/>
              <w:jc w:val="left"/>
              <w:rPr>
                <w:i/>
              </w:rPr>
            </w:pPr>
            <w:r w:rsidRPr="000A3A07">
              <w:rPr>
                <w:i/>
              </w:rPr>
              <w:t>Summa nytta (2)</w:t>
            </w:r>
          </w:p>
        </w:tc>
        <w:tc>
          <w:tcPr>
            <w:tcW w:w="1701" w:type="dxa"/>
            <w:tcBorders>
              <w:top w:val="single" w:sz="4" w:space="0" w:color="auto"/>
              <w:bottom w:val="nil"/>
            </w:tcBorders>
          </w:tcPr>
          <w:p w14:paraId="01F048CC" w14:textId="77777777" w:rsidR="007C11E9" w:rsidRPr="000A3A07" w:rsidRDefault="007C11E9">
            <w:pPr>
              <w:spacing w:before="0"/>
              <w:jc w:val="right"/>
            </w:pPr>
          </w:p>
        </w:tc>
        <w:tc>
          <w:tcPr>
            <w:tcW w:w="1701" w:type="dxa"/>
            <w:tcBorders>
              <w:top w:val="single" w:sz="4" w:space="0" w:color="auto"/>
              <w:bottom w:val="nil"/>
            </w:tcBorders>
          </w:tcPr>
          <w:p w14:paraId="7A255AED" w14:textId="77777777" w:rsidR="007C11E9" w:rsidRPr="000A3A07" w:rsidRDefault="007C11E9">
            <w:pPr>
              <w:spacing w:before="0"/>
              <w:jc w:val="right"/>
              <w:rPr>
                <w:i/>
              </w:rPr>
            </w:pPr>
            <w:r w:rsidRPr="000A3A07">
              <w:rPr>
                <w:i/>
              </w:rPr>
              <w:t>3 045</w:t>
            </w:r>
          </w:p>
        </w:tc>
      </w:tr>
      <w:tr w:rsidR="00000000" w:rsidRPr="000A3A07" w14:paraId="097DAB6C" w14:textId="77777777">
        <w:tblPrEx>
          <w:tblCellMar>
            <w:top w:w="0" w:type="dxa"/>
            <w:bottom w:w="0" w:type="dxa"/>
          </w:tblCellMar>
        </w:tblPrEx>
        <w:tc>
          <w:tcPr>
            <w:tcW w:w="2480" w:type="dxa"/>
            <w:tcBorders>
              <w:top w:val="single" w:sz="4" w:space="0" w:color="auto"/>
              <w:bottom w:val="single" w:sz="4" w:space="0" w:color="auto"/>
            </w:tcBorders>
          </w:tcPr>
          <w:p w14:paraId="4D8C6DE0" w14:textId="77777777" w:rsidR="007C11E9" w:rsidRPr="000A3A07" w:rsidRDefault="007C11E9">
            <w:pPr>
              <w:spacing w:before="0"/>
              <w:jc w:val="left"/>
              <w:rPr>
                <w:i/>
              </w:rPr>
            </w:pPr>
            <w:r w:rsidRPr="000A3A07">
              <w:rPr>
                <w:i/>
              </w:rPr>
              <w:t>Nytta minus kostnad (2–1)</w:t>
            </w:r>
          </w:p>
        </w:tc>
        <w:tc>
          <w:tcPr>
            <w:tcW w:w="1701" w:type="dxa"/>
            <w:tcBorders>
              <w:top w:val="single" w:sz="4" w:space="0" w:color="auto"/>
              <w:bottom w:val="single" w:sz="4" w:space="0" w:color="auto"/>
            </w:tcBorders>
          </w:tcPr>
          <w:p w14:paraId="1F600557" w14:textId="77777777" w:rsidR="007C11E9" w:rsidRPr="000A3A07" w:rsidRDefault="007C11E9">
            <w:pPr>
              <w:spacing w:before="0"/>
              <w:jc w:val="right"/>
            </w:pPr>
          </w:p>
        </w:tc>
        <w:tc>
          <w:tcPr>
            <w:tcW w:w="1701" w:type="dxa"/>
            <w:tcBorders>
              <w:top w:val="single" w:sz="4" w:space="0" w:color="auto"/>
              <w:bottom w:val="single" w:sz="4" w:space="0" w:color="auto"/>
            </w:tcBorders>
          </w:tcPr>
          <w:p w14:paraId="41B9A1B6" w14:textId="77777777" w:rsidR="007C11E9" w:rsidRPr="000A3A07" w:rsidRDefault="007C11E9">
            <w:pPr>
              <w:spacing w:before="0"/>
              <w:jc w:val="right"/>
              <w:rPr>
                <w:i/>
              </w:rPr>
            </w:pPr>
            <w:r w:rsidRPr="000A3A07">
              <w:rPr>
                <w:i/>
              </w:rPr>
              <w:t>-870</w:t>
            </w:r>
          </w:p>
        </w:tc>
      </w:tr>
      <w:tr w:rsidR="00000000" w:rsidRPr="000A3A07" w14:paraId="7A6A63EE" w14:textId="77777777">
        <w:tblPrEx>
          <w:tblCellMar>
            <w:top w:w="0" w:type="dxa"/>
            <w:bottom w:w="0" w:type="dxa"/>
          </w:tblCellMar>
        </w:tblPrEx>
        <w:tc>
          <w:tcPr>
            <w:tcW w:w="2480" w:type="dxa"/>
            <w:tcBorders>
              <w:top w:val="nil"/>
            </w:tcBorders>
          </w:tcPr>
          <w:p w14:paraId="3525FBB8" w14:textId="77777777" w:rsidR="007C11E9" w:rsidRPr="000A3A07" w:rsidRDefault="007C11E9">
            <w:pPr>
              <w:spacing w:before="0"/>
              <w:jc w:val="left"/>
              <w:rPr>
                <w:b/>
              </w:rPr>
            </w:pPr>
            <w:r w:rsidRPr="000A3A07">
              <w:rPr>
                <w:b/>
              </w:rPr>
              <w:t xml:space="preserve">Nettonuvärdekvot </w:t>
            </w:r>
            <w:r w:rsidRPr="000A3A07">
              <w:rPr>
                <w:i/>
              </w:rPr>
              <w:t>((2–1)/1)</w:t>
            </w:r>
          </w:p>
        </w:tc>
        <w:tc>
          <w:tcPr>
            <w:tcW w:w="1701" w:type="dxa"/>
            <w:tcBorders>
              <w:top w:val="nil"/>
            </w:tcBorders>
          </w:tcPr>
          <w:p w14:paraId="0D367F23" w14:textId="77777777" w:rsidR="007C11E9" w:rsidRPr="000A3A07" w:rsidRDefault="007C11E9">
            <w:pPr>
              <w:spacing w:before="0"/>
              <w:jc w:val="right"/>
            </w:pPr>
          </w:p>
        </w:tc>
        <w:tc>
          <w:tcPr>
            <w:tcW w:w="1701" w:type="dxa"/>
            <w:tcBorders>
              <w:top w:val="nil"/>
            </w:tcBorders>
          </w:tcPr>
          <w:p w14:paraId="7EB82B84" w14:textId="77777777" w:rsidR="007C11E9" w:rsidRPr="000A3A07" w:rsidRDefault="007C11E9">
            <w:pPr>
              <w:spacing w:before="0"/>
              <w:jc w:val="right"/>
              <w:rPr>
                <w:b/>
              </w:rPr>
            </w:pPr>
            <w:r w:rsidRPr="000A3A07">
              <w:rPr>
                <w:b/>
              </w:rPr>
              <w:t>-0,22</w:t>
            </w:r>
          </w:p>
        </w:tc>
      </w:tr>
    </w:tbl>
    <w:p w14:paraId="5E88A0C3" w14:textId="77777777" w:rsidR="007C11E9" w:rsidRPr="000A3A07" w:rsidRDefault="007C11E9">
      <w:pPr>
        <w:pStyle w:val="Tabell"/>
      </w:pPr>
      <w:r w:rsidRPr="000A3A07">
        <w:t>Källa: SOU 1994:78</w:t>
      </w:r>
    </w:p>
    <w:p w14:paraId="3A8C4A0F" w14:textId="77777777" w:rsidR="007C11E9" w:rsidRPr="000A3A07" w:rsidRDefault="007C11E9">
      <w:r w:rsidRPr="000A3A07">
        <w:t>I utredningen jämför Banverket två alternativa utformningar av Citytunneln (borrad och grävd) med upprustning av Kontinentalbanan. Nilsson konstat</w:t>
      </w:r>
      <w:r w:rsidRPr="000A3A07">
        <w:t>e</w:t>
      </w:r>
      <w:r w:rsidRPr="000A3A07">
        <w:t>rar att det inte är möjligt att uttala sig om huruvida tunneln är den bästa å</w:t>
      </w:r>
      <w:r w:rsidRPr="000A3A07">
        <w:t>t</w:t>
      </w:r>
      <w:r w:rsidRPr="000A3A07">
        <w:t>gärden för att ansluta det svenska järnvägsnätet till Öresundsbron. Kalkylr</w:t>
      </w:r>
      <w:r w:rsidRPr="000A3A07">
        <w:t>e</w:t>
      </w:r>
      <w:r w:rsidRPr="000A3A07">
        <w:t>sultatet visar endast att Citytunneln är ett sämre alternativ än Kontinentalb</w:t>
      </w:r>
      <w:r w:rsidRPr="000A3A07">
        <w:t>a</w:t>
      </w:r>
      <w:r w:rsidRPr="000A3A07">
        <w:t xml:space="preserve">nan. </w:t>
      </w:r>
    </w:p>
    <w:p w14:paraId="3301E689" w14:textId="77777777" w:rsidR="007C11E9" w:rsidRPr="000A3A07" w:rsidRDefault="007C11E9">
      <w:pPr>
        <w:pStyle w:val="Normaltindrag"/>
      </w:pPr>
      <w:r w:rsidRPr="000A3A07">
        <w:t>Nilsson påpekar att det är svårt att i efterhand kontrollera rimligheten i u</w:t>
      </w:r>
      <w:r w:rsidRPr="000A3A07">
        <w:t>t</w:t>
      </w:r>
      <w:r w:rsidRPr="000A3A07">
        <w:t>redningens trafikprognoser. Han anser att redovisningen av den antagna ökningen av trafiken är oklar. Han konstaterar också att det inte går att utläsa hur stora tidsvinster som tunneln beräknas medföra för tågen, trots att storl</w:t>
      </w:r>
      <w:r w:rsidRPr="000A3A07">
        <w:t>e</w:t>
      </w:r>
      <w:r w:rsidRPr="000A3A07">
        <w:t>ken på tidsvinsterna är avgörande för beräkningarna. Resenärernas tidsvin</w:t>
      </w:r>
      <w:r w:rsidRPr="000A3A07">
        <w:t>s</w:t>
      </w:r>
      <w:r w:rsidRPr="000A3A07">
        <w:t>ter utgör en av Citytunnelns viktigaste nytt</w:t>
      </w:r>
      <w:r w:rsidRPr="000A3A07">
        <w:t>o</w:t>
      </w:r>
      <w:r w:rsidRPr="000A3A07">
        <w:t xml:space="preserve">effekter. </w:t>
      </w:r>
    </w:p>
    <w:p w14:paraId="6AF5DB60" w14:textId="77777777" w:rsidR="007C11E9" w:rsidRPr="000A3A07" w:rsidRDefault="007C11E9">
      <w:pPr>
        <w:pStyle w:val="Normaltindrag"/>
      </w:pPr>
      <w:r w:rsidRPr="000A3A07">
        <w:t>Förutom tidsvinster beräknas Citytunneln också medföra bekvämlighet</w:t>
      </w:r>
      <w:r w:rsidRPr="000A3A07">
        <w:t>s</w:t>
      </w:r>
      <w:r w:rsidRPr="000A3A07">
        <w:t>vinster för resenärerna, genom att de inte längre behöver byta mellan tåg och buss. Nilsson konstaterar att de beräknade väntetidsvinsterna är iögonenfa</w:t>
      </w:r>
      <w:r w:rsidRPr="000A3A07">
        <w:t>l</w:t>
      </w:r>
      <w:r w:rsidRPr="000A3A07">
        <w:t>lande stora. Samtidigt konstaterar han att det inte går att kontrollera rimli</w:t>
      </w:r>
      <w:r w:rsidRPr="000A3A07">
        <w:t>g</w:t>
      </w:r>
      <w:r w:rsidRPr="000A3A07">
        <w:t>heten i utredningens beräkningar utan att veta hur många trafikanter det rör sig om (som annars skulle behöva byta från buss till tåg).</w:t>
      </w:r>
    </w:p>
    <w:p w14:paraId="74EDE842" w14:textId="77777777" w:rsidR="007C11E9" w:rsidRPr="000A3A07" w:rsidRDefault="007C11E9">
      <w:pPr>
        <w:pStyle w:val="Normaltindrag"/>
      </w:pPr>
      <w:r w:rsidRPr="000A3A07">
        <w:t>Citytunneln beräknas också medföra en minskning av biltrafiken, vilket beräknas påverka miljön positivt. Nilsson konstaterar att denna effekt på</w:t>
      </w:r>
      <w:r w:rsidRPr="000A3A07">
        <w:t>ve</w:t>
      </w:r>
      <w:r w:rsidRPr="000A3A07">
        <w:t>r</w:t>
      </w:r>
      <w:r w:rsidRPr="000A3A07">
        <w:t>kar kalkylresultatet i ringa omfattning.</w:t>
      </w:r>
    </w:p>
    <w:p w14:paraId="65F42BE1" w14:textId="77777777" w:rsidR="007C11E9" w:rsidRPr="000A3A07" w:rsidRDefault="007C11E9">
      <w:pPr>
        <w:pStyle w:val="Normaltindrag"/>
      </w:pPr>
      <w:r w:rsidRPr="000A3A07">
        <w:t>Nilsson konstaterar också att Citytunneln inte beräknas förbättra bullers</w:t>
      </w:r>
      <w:r w:rsidRPr="000A3A07">
        <w:t>i</w:t>
      </w:r>
      <w:r w:rsidRPr="000A3A07">
        <w:t>tuationen för dem som bor längs Kontinentalbanan, trots att persontrafiken skulle flyttas över från banan till Citytunneln. Bullerstörningarna sägs i allt väsentligt bero på godstraf</w:t>
      </w:r>
      <w:r w:rsidRPr="000A3A07">
        <w:t>i</w:t>
      </w:r>
      <w:r w:rsidRPr="000A3A07">
        <w:t xml:space="preserve">ken. </w:t>
      </w:r>
    </w:p>
    <w:p w14:paraId="634432F9" w14:textId="77777777" w:rsidR="007C11E9" w:rsidRPr="000A3A07" w:rsidRDefault="007C11E9">
      <w:pPr>
        <w:pStyle w:val="Normaltindrag"/>
      </w:pPr>
      <w:r w:rsidRPr="000A3A07">
        <w:t xml:space="preserve">Nilsson anser att Banverket inte har gjort några principiella felaktigheter i beräkningarna av tunnelns samhällsekonomiska nytta. Han anser dock att de beräkningar som gjorts borde ha förklarats och motiverats mer utförligt. </w:t>
      </w:r>
    </w:p>
    <w:p w14:paraId="4A646B4C" w14:textId="77777777" w:rsidR="007C11E9" w:rsidRPr="000A3A07" w:rsidRDefault="007C11E9">
      <w:pPr>
        <w:rPr>
          <w:i/>
        </w:rPr>
      </w:pPr>
      <w:r w:rsidRPr="000A3A07">
        <w:rPr>
          <w:i/>
        </w:rPr>
        <w:t xml:space="preserve">Inregia 1995 och 1996 </w:t>
      </w:r>
    </w:p>
    <w:p w14:paraId="09753195" w14:textId="77777777" w:rsidR="007C11E9" w:rsidRPr="000A3A07" w:rsidRDefault="007C11E9">
      <w:r w:rsidRPr="000A3A07">
        <w:t>Syftet med Inregias utredningar var att analysera Citytunnelns förväntade effekter på resande, tillgänglighet och lokalisering i Öresundsregionen år 2010. Inregia menar att Öresundsbron och Citytunneln kommer att få omvä</w:t>
      </w:r>
      <w:r w:rsidRPr="000A3A07">
        <w:t>l</w:t>
      </w:r>
      <w:r w:rsidRPr="000A3A07">
        <w:t>vande konsekvenser för Öresundsregionens framtida utveckling. Nya föru</w:t>
      </w:r>
      <w:r w:rsidRPr="000A3A07">
        <w:t>t</w:t>
      </w:r>
      <w:r w:rsidRPr="000A3A07">
        <w:t>sättningar skapas för integration av näringsliv och institutioner, för arbets- och bostadsmarknad och för forskning, utbildning och kultur. Integrationen kan stärka regionens position i konkurrensen med andra storstadsregioner, varvid fler företag kan attraheras till regionen. Den större marknaden kan ge befintliga företag bättre möjlighet till specialisering och utveckling. Möjli</w:t>
      </w:r>
      <w:r w:rsidRPr="000A3A07">
        <w:t>g</w:t>
      </w:r>
      <w:r w:rsidRPr="000A3A07">
        <w:t>heten för enskilda individer att få lämpligt jobb och bo</w:t>
      </w:r>
      <w:r w:rsidRPr="000A3A07">
        <w:t>stad kan förbättras. Valfr</w:t>
      </w:r>
      <w:r w:rsidRPr="000A3A07">
        <w:t>i</w:t>
      </w:r>
      <w:r w:rsidRPr="000A3A07">
        <w:t>heten på exempelvis kultur- och serviceområdet kan öka.</w:t>
      </w:r>
    </w:p>
    <w:p w14:paraId="6FFBD4FA" w14:textId="77777777" w:rsidR="007C11E9" w:rsidRPr="000A3A07" w:rsidRDefault="007C11E9">
      <w:pPr>
        <w:pStyle w:val="Normaltindrag"/>
      </w:pPr>
      <w:r w:rsidRPr="000A3A07">
        <w:t xml:space="preserve">Enligt Inregia omfattar den samhällsekonomiska kalkyl som presenterades i utredningen 1994 inte dessa lokaliserings- och specialiseringseffekter, varför man utgår från att Citytunnelns verkliga samhällsekonomiska värde underskattas i kalkylen. </w:t>
      </w:r>
    </w:p>
    <w:p w14:paraId="2B266F56" w14:textId="77777777" w:rsidR="007C11E9" w:rsidRPr="000A3A07" w:rsidRDefault="007C11E9">
      <w:pPr>
        <w:pStyle w:val="Normaltindrag"/>
      </w:pPr>
      <w:r w:rsidRPr="000A3A07">
        <w:t>Inregia använder vad som kallas bench-markingteknik för att räkna ut det totala samhällsekonomiska värdet av dessa effekter. Öresundsregionen jä</w:t>
      </w:r>
      <w:r w:rsidRPr="000A3A07">
        <w:t>m</w:t>
      </w:r>
      <w:r w:rsidRPr="000A3A07">
        <w:t>förs med andra storstadsregioner. Inregia uppskattar nuvärdet av tunnelns samhällsekonomiska nytta för Sverige till ca 5 000 miljoner kronor, exklus</w:t>
      </w:r>
      <w:r w:rsidRPr="000A3A07">
        <w:t>i</w:t>
      </w:r>
      <w:r w:rsidRPr="000A3A07">
        <w:t>ve miljö- och trafiksäkerhetseffekter.</w:t>
      </w:r>
    </w:p>
    <w:p w14:paraId="7C89FB19" w14:textId="77777777" w:rsidR="007C11E9" w:rsidRPr="000A3A07" w:rsidRDefault="007C11E9">
      <w:pPr>
        <w:pStyle w:val="Normaltindrag"/>
      </w:pPr>
      <w:r w:rsidRPr="000A3A07">
        <w:t xml:space="preserve">Beräkningarna kompletteras med en uppskattning av vad det innebär att lokaliserings- och integrationseffekter inte ingick i den tidigare kalkylen från 1994. Inregias beräkningar implicerar att nuvärdet av nyttan bör ökas från den tidigare kalkylens 3 000 miljoner kronor till 4 300 miljoner kronor. </w:t>
      </w:r>
    </w:p>
    <w:p w14:paraId="5472EB83" w14:textId="77777777" w:rsidR="007C11E9" w:rsidRPr="000A3A07" w:rsidRDefault="007C11E9">
      <w:pPr>
        <w:pStyle w:val="Normaltindrag"/>
      </w:pPr>
      <w:r w:rsidRPr="000A3A07">
        <w:t>Slutligen uppskattar Inregia storleken på specialiserings- och konkurre</w:t>
      </w:r>
      <w:r w:rsidRPr="000A3A07">
        <w:t>n</w:t>
      </w:r>
      <w:r w:rsidRPr="000A3A07">
        <w:t>s-effekterna till 700 miljoner kronor. Man utgår från att övriga poster är riktigt bedömda. Citytunnelprojektets totala nytta (5 000 miljarder kronor) minskas med summan av de olika effekterna (4 300 miljarder kronor). Inregias b</w:t>
      </w:r>
      <w:r w:rsidRPr="000A3A07">
        <w:t>e</w:t>
      </w:r>
      <w:r w:rsidRPr="000A3A07">
        <w:t>dömning sammanfattas i tabell 10.</w:t>
      </w:r>
    </w:p>
    <w:p w14:paraId="57C1DD20" w14:textId="77777777" w:rsidR="007C11E9" w:rsidRPr="000A3A07" w:rsidRDefault="007C11E9">
      <w:pPr>
        <w:pStyle w:val="Normaltindrag"/>
      </w:pPr>
    </w:p>
    <w:p w14:paraId="434CFAFA" w14:textId="77777777" w:rsidR="007C11E9" w:rsidRPr="000A3A07" w:rsidRDefault="007C11E9">
      <w:pPr>
        <w:pStyle w:val="Tabellrubrik1"/>
      </w:pPr>
      <w:r w:rsidRPr="000A3A07">
        <w:t>Tabell 10. Inregias uppskattning av nuvärdet av Citytunnelns nyttoeffe</w:t>
      </w:r>
      <w:r w:rsidRPr="000A3A07">
        <w:t>k</w:t>
      </w:r>
      <w:r w:rsidRPr="000A3A07">
        <w:t>ter</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4322"/>
        <w:gridCol w:w="1560"/>
      </w:tblGrid>
      <w:tr w:rsidR="00000000" w:rsidRPr="000A3A07" w14:paraId="0B615D7A" w14:textId="77777777">
        <w:tblPrEx>
          <w:tblCellMar>
            <w:top w:w="0" w:type="dxa"/>
            <w:bottom w:w="0" w:type="dxa"/>
          </w:tblCellMar>
        </w:tblPrEx>
        <w:tc>
          <w:tcPr>
            <w:tcW w:w="4322" w:type="dxa"/>
            <w:tcBorders>
              <w:bottom w:val="single" w:sz="6" w:space="0" w:color="000000"/>
            </w:tcBorders>
            <w:shd w:val="pct30" w:color="FFFF00" w:fill="FFFFFF"/>
          </w:tcPr>
          <w:p w14:paraId="7B45274D" w14:textId="77777777" w:rsidR="007C11E9" w:rsidRPr="000A3A07" w:rsidRDefault="007C11E9">
            <w:pPr>
              <w:spacing w:before="0"/>
              <w:rPr>
                <w:b/>
              </w:rPr>
            </w:pPr>
            <w:r w:rsidRPr="000A3A07">
              <w:rPr>
                <w:b/>
              </w:rPr>
              <w:t>Effekter</w:t>
            </w:r>
          </w:p>
        </w:tc>
        <w:tc>
          <w:tcPr>
            <w:tcW w:w="1560" w:type="dxa"/>
            <w:tcBorders>
              <w:bottom w:val="single" w:sz="6" w:space="0" w:color="000000"/>
            </w:tcBorders>
            <w:shd w:val="pct30" w:color="FFFF00" w:fill="FFFFFF"/>
          </w:tcPr>
          <w:p w14:paraId="2701B70D" w14:textId="77777777" w:rsidR="007C11E9" w:rsidRPr="000A3A07" w:rsidRDefault="007C11E9">
            <w:pPr>
              <w:spacing w:before="0"/>
              <w:rPr>
                <w:b/>
              </w:rPr>
            </w:pPr>
            <w:r w:rsidRPr="000A3A07">
              <w:rPr>
                <w:b/>
              </w:rPr>
              <w:t xml:space="preserve">Nuvärde, </w:t>
            </w:r>
          </w:p>
          <w:p w14:paraId="07D82DCA" w14:textId="77777777" w:rsidR="007C11E9" w:rsidRPr="000A3A07" w:rsidRDefault="007C11E9">
            <w:pPr>
              <w:spacing w:before="0"/>
              <w:rPr>
                <w:b/>
              </w:rPr>
            </w:pPr>
            <w:r w:rsidRPr="000A3A07">
              <w:rPr>
                <w:b/>
              </w:rPr>
              <w:t>miljoner kr</w:t>
            </w:r>
            <w:r w:rsidRPr="000A3A07">
              <w:rPr>
                <w:b/>
              </w:rPr>
              <w:t>o</w:t>
            </w:r>
            <w:r w:rsidRPr="000A3A07">
              <w:rPr>
                <w:b/>
              </w:rPr>
              <w:t>nor</w:t>
            </w:r>
          </w:p>
        </w:tc>
      </w:tr>
      <w:tr w:rsidR="00000000" w:rsidRPr="000A3A07" w14:paraId="5E904453" w14:textId="77777777">
        <w:tblPrEx>
          <w:tblCellMar>
            <w:top w:w="0" w:type="dxa"/>
            <w:bottom w:w="0" w:type="dxa"/>
          </w:tblCellMar>
        </w:tblPrEx>
        <w:tc>
          <w:tcPr>
            <w:tcW w:w="4322" w:type="dxa"/>
            <w:tcBorders>
              <w:top w:val="nil"/>
            </w:tcBorders>
          </w:tcPr>
          <w:p w14:paraId="314BC28D" w14:textId="77777777" w:rsidR="007C11E9" w:rsidRPr="000A3A07" w:rsidRDefault="007C11E9">
            <w:pPr>
              <w:spacing w:before="0"/>
            </w:pPr>
            <w:r w:rsidRPr="000A3A07">
              <w:t>Trafikeffekter</w:t>
            </w:r>
          </w:p>
        </w:tc>
        <w:tc>
          <w:tcPr>
            <w:tcW w:w="1560" w:type="dxa"/>
            <w:tcBorders>
              <w:top w:val="nil"/>
            </w:tcBorders>
          </w:tcPr>
          <w:p w14:paraId="42735BA9" w14:textId="77777777" w:rsidR="007C11E9" w:rsidRPr="000A3A07" w:rsidRDefault="007C11E9">
            <w:pPr>
              <w:spacing w:before="0"/>
              <w:jc w:val="right"/>
            </w:pPr>
            <w:r w:rsidRPr="000A3A07">
              <w:t>2 900</w:t>
            </w:r>
          </w:p>
        </w:tc>
      </w:tr>
      <w:tr w:rsidR="00000000" w:rsidRPr="000A3A07" w14:paraId="37B31EAC" w14:textId="77777777">
        <w:tblPrEx>
          <w:tblCellMar>
            <w:top w:w="0" w:type="dxa"/>
            <w:bottom w:w="0" w:type="dxa"/>
          </w:tblCellMar>
        </w:tblPrEx>
        <w:tc>
          <w:tcPr>
            <w:tcW w:w="4322" w:type="dxa"/>
          </w:tcPr>
          <w:p w14:paraId="5F9A0D80" w14:textId="77777777" w:rsidR="007C11E9" w:rsidRPr="000A3A07" w:rsidRDefault="007C11E9">
            <w:pPr>
              <w:spacing w:before="0"/>
            </w:pPr>
            <w:r w:rsidRPr="000A3A07">
              <w:t>Miljö- och trafiksäkerhetseffekter</w:t>
            </w:r>
          </w:p>
        </w:tc>
        <w:tc>
          <w:tcPr>
            <w:tcW w:w="1560" w:type="dxa"/>
          </w:tcPr>
          <w:p w14:paraId="3404D02D" w14:textId="77777777" w:rsidR="007C11E9" w:rsidRPr="000A3A07" w:rsidRDefault="007C11E9">
            <w:pPr>
              <w:spacing w:before="0"/>
              <w:jc w:val="right"/>
            </w:pPr>
            <w:r w:rsidRPr="000A3A07">
              <w:t>100</w:t>
            </w:r>
          </w:p>
        </w:tc>
      </w:tr>
      <w:tr w:rsidR="00000000" w:rsidRPr="000A3A07" w14:paraId="20C6BAF0" w14:textId="77777777">
        <w:tblPrEx>
          <w:tblCellMar>
            <w:top w:w="0" w:type="dxa"/>
            <w:bottom w:w="0" w:type="dxa"/>
          </w:tblCellMar>
        </w:tblPrEx>
        <w:tc>
          <w:tcPr>
            <w:tcW w:w="4322" w:type="dxa"/>
          </w:tcPr>
          <w:p w14:paraId="6DAC7B88" w14:textId="77777777" w:rsidR="007C11E9" w:rsidRPr="000A3A07" w:rsidRDefault="007C11E9">
            <w:pPr>
              <w:spacing w:before="0"/>
            </w:pPr>
            <w:r w:rsidRPr="000A3A07">
              <w:t>Lokaliserings- och integrationseffekter</w:t>
            </w:r>
          </w:p>
        </w:tc>
        <w:tc>
          <w:tcPr>
            <w:tcW w:w="1560" w:type="dxa"/>
          </w:tcPr>
          <w:p w14:paraId="0D0C0273" w14:textId="77777777" w:rsidR="007C11E9" w:rsidRPr="000A3A07" w:rsidRDefault="007C11E9">
            <w:pPr>
              <w:spacing w:before="0"/>
              <w:jc w:val="right"/>
            </w:pPr>
            <w:r w:rsidRPr="000A3A07">
              <w:t>1 300</w:t>
            </w:r>
          </w:p>
        </w:tc>
      </w:tr>
      <w:tr w:rsidR="00000000" w:rsidRPr="000A3A07" w14:paraId="453641BA" w14:textId="77777777">
        <w:tblPrEx>
          <w:tblCellMar>
            <w:top w:w="0" w:type="dxa"/>
            <w:bottom w:w="0" w:type="dxa"/>
          </w:tblCellMar>
        </w:tblPrEx>
        <w:tc>
          <w:tcPr>
            <w:tcW w:w="4322" w:type="dxa"/>
            <w:tcBorders>
              <w:bottom w:val="nil"/>
            </w:tcBorders>
          </w:tcPr>
          <w:p w14:paraId="02FE55C5" w14:textId="77777777" w:rsidR="007C11E9" w:rsidRPr="000A3A07" w:rsidRDefault="007C11E9">
            <w:pPr>
              <w:spacing w:before="0"/>
            </w:pPr>
            <w:r w:rsidRPr="000A3A07">
              <w:t>Specialiserings- och konkurrenseffekter</w:t>
            </w:r>
          </w:p>
        </w:tc>
        <w:tc>
          <w:tcPr>
            <w:tcW w:w="1560" w:type="dxa"/>
            <w:tcBorders>
              <w:bottom w:val="nil"/>
            </w:tcBorders>
          </w:tcPr>
          <w:p w14:paraId="722D0C1A" w14:textId="77777777" w:rsidR="007C11E9" w:rsidRPr="000A3A07" w:rsidRDefault="007C11E9">
            <w:pPr>
              <w:spacing w:before="0"/>
              <w:jc w:val="right"/>
            </w:pPr>
            <w:r w:rsidRPr="000A3A07">
              <w:t>700</w:t>
            </w:r>
          </w:p>
        </w:tc>
      </w:tr>
      <w:tr w:rsidR="00000000" w:rsidRPr="000A3A07" w14:paraId="275BEA5F" w14:textId="77777777">
        <w:tblPrEx>
          <w:tblCellMar>
            <w:top w:w="0" w:type="dxa"/>
            <w:bottom w:w="0" w:type="dxa"/>
          </w:tblCellMar>
        </w:tblPrEx>
        <w:tc>
          <w:tcPr>
            <w:tcW w:w="4322" w:type="dxa"/>
            <w:tcBorders>
              <w:top w:val="single" w:sz="4" w:space="0" w:color="auto"/>
              <w:bottom w:val="single" w:sz="6" w:space="0" w:color="000000"/>
            </w:tcBorders>
          </w:tcPr>
          <w:p w14:paraId="4D8445ED" w14:textId="77777777" w:rsidR="007C11E9" w:rsidRPr="000A3A07" w:rsidRDefault="007C11E9">
            <w:pPr>
              <w:spacing w:before="0"/>
              <w:rPr>
                <w:i/>
              </w:rPr>
            </w:pPr>
            <w:r w:rsidRPr="000A3A07">
              <w:rPr>
                <w:i/>
              </w:rPr>
              <w:t>Totala effekter</w:t>
            </w:r>
          </w:p>
        </w:tc>
        <w:tc>
          <w:tcPr>
            <w:tcW w:w="1560" w:type="dxa"/>
            <w:tcBorders>
              <w:top w:val="single" w:sz="4" w:space="0" w:color="auto"/>
              <w:bottom w:val="single" w:sz="6" w:space="0" w:color="000000"/>
            </w:tcBorders>
          </w:tcPr>
          <w:p w14:paraId="667B6844" w14:textId="77777777" w:rsidR="007C11E9" w:rsidRPr="000A3A07" w:rsidRDefault="007C11E9">
            <w:pPr>
              <w:spacing w:before="0"/>
              <w:jc w:val="right"/>
              <w:rPr>
                <w:i/>
              </w:rPr>
            </w:pPr>
            <w:r w:rsidRPr="000A3A07">
              <w:rPr>
                <w:i/>
              </w:rPr>
              <w:t>5 000</w:t>
            </w:r>
          </w:p>
        </w:tc>
      </w:tr>
    </w:tbl>
    <w:p w14:paraId="0C3B070C" w14:textId="77777777" w:rsidR="007C11E9" w:rsidRPr="000A3A07" w:rsidRDefault="007C11E9">
      <w:pPr>
        <w:pStyle w:val="Tabell"/>
      </w:pPr>
      <w:r w:rsidRPr="000A3A07">
        <w:t xml:space="preserve"> Källa: Inregia 1996 a</w:t>
      </w:r>
    </w:p>
    <w:p w14:paraId="4F8A043E" w14:textId="77777777" w:rsidR="007C11E9" w:rsidRPr="000A3A07" w:rsidRDefault="007C11E9">
      <w:r w:rsidRPr="000A3A07">
        <w:t>Inregias utgångspunkt är att man i ”traditionella” samhällsekonomiska ka</w:t>
      </w:r>
      <w:r w:rsidRPr="000A3A07">
        <w:t>l</w:t>
      </w:r>
      <w:r w:rsidRPr="000A3A07">
        <w:t>kyler kan missa väsentliga effekter av den investering som studeras. Nilsson instämmer att man i en samhällsekonomisk kalkyl i princip bör beakta de indirekta effekter som Inregia hänvisar till i sina beräkningar. Han menar att det dock är svårt att mäta ett eventuellt samband mellan enskilda infrastru</w:t>
      </w:r>
      <w:r w:rsidRPr="000A3A07">
        <w:t>k</w:t>
      </w:r>
      <w:r w:rsidRPr="000A3A07">
        <w:t>turinvesteringar och en regions välstånd eller välståndsökning. Sambandet är enligt Nilsson troligen starkare ju mindre utvecklad infrastrukturen är och ju större de effekter en åtgärd ger upphov till är. Om</w:t>
      </w:r>
      <w:r w:rsidRPr="000A3A07">
        <w:t xml:space="preserve"> tidsvinsterna är små och om trafikföretagens ekonomi påverkas i liten omfattning finns det enligt Nilsson inte anledning att tro att industri- och boendestruktur påverkas annat än marginellt.</w:t>
      </w:r>
    </w:p>
    <w:p w14:paraId="7CD190CB" w14:textId="77777777" w:rsidR="007C11E9" w:rsidRPr="000A3A07" w:rsidRDefault="007C11E9">
      <w:pPr>
        <w:pStyle w:val="Normaltindrag"/>
      </w:pPr>
      <w:r w:rsidRPr="000A3A07">
        <w:t>Nilsson menar att de indirekta effekter som Inregia räknar med bör ingå i kalkylen om man kan belägga att Citytunneln har sådana effekter. Han anser dock att det på grundval av Inregias analyser inte är möjligt att dra slutsatser om de indirekta effekternas storlek. Därför, menar han, kan inte heller Inr</w:t>
      </w:r>
      <w:r w:rsidRPr="000A3A07">
        <w:t>e</w:t>
      </w:r>
      <w:r w:rsidRPr="000A3A07">
        <w:t xml:space="preserve">gias rapporter användas för att komplettera den tidigare samhällsekonomiska analysen. </w:t>
      </w:r>
    </w:p>
    <w:p w14:paraId="0EACA686" w14:textId="77777777" w:rsidR="007C11E9" w:rsidRPr="000A3A07" w:rsidRDefault="007C11E9">
      <w:pPr>
        <w:rPr>
          <w:b/>
          <w:i/>
        </w:rPr>
      </w:pPr>
      <w:r w:rsidRPr="000A3A07">
        <w:rPr>
          <w:b/>
          <w:i/>
        </w:rPr>
        <w:t>Synpunkter</w:t>
      </w:r>
    </w:p>
    <w:p w14:paraId="107D1004" w14:textId="77777777" w:rsidR="007C11E9" w:rsidRPr="000A3A07" w:rsidRDefault="007C11E9">
      <w:r w:rsidRPr="000A3A07">
        <w:rPr>
          <w:i/>
        </w:rPr>
        <w:t>SIKA</w:t>
      </w:r>
      <w:r w:rsidRPr="000A3A07">
        <w:t xml:space="preserve"> delar i allt väsentligt Nilssons bedömning av kalkylen. Institutet i</w:t>
      </w:r>
      <w:r w:rsidRPr="000A3A07">
        <w:t>n</w:t>
      </w:r>
      <w:r w:rsidRPr="000A3A07">
        <w:t>stämmer i att det inte enkelt går att lägga till Inregias effekter i en samhäll</w:t>
      </w:r>
      <w:r w:rsidRPr="000A3A07">
        <w:t>s</w:t>
      </w:r>
      <w:r w:rsidRPr="000A3A07">
        <w:t xml:space="preserve">ekonomisk kalkyl, men menar att det inte betyder att sådana effekter inte kommer att uppstå. </w:t>
      </w:r>
    </w:p>
    <w:p w14:paraId="28DC18CF" w14:textId="77777777" w:rsidR="007C11E9" w:rsidRPr="000A3A07" w:rsidRDefault="007C11E9">
      <w:pPr>
        <w:pStyle w:val="Normaltindrag"/>
      </w:pPr>
      <w:r w:rsidRPr="000A3A07">
        <w:t>SIKA anser att Nilsson borde ha tagit upp att utbyggnaden av Citytunneln kan ha ett stadsbyggnadsvärde som inte fångas i kalkylen. SIKA bedömer dock att Citytunneln är olönsam även med hänsyn till stadsbyggnadsnytto</w:t>
      </w:r>
      <w:r w:rsidRPr="000A3A07">
        <w:t>r</w:t>
      </w:r>
      <w:r w:rsidRPr="000A3A07">
        <w:t>na.</w:t>
      </w:r>
    </w:p>
    <w:p w14:paraId="1EB08F40" w14:textId="77777777" w:rsidR="007C11E9" w:rsidRPr="000A3A07" w:rsidRDefault="007C11E9">
      <w:pPr>
        <w:pStyle w:val="Normaltindrag"/>
      </w:pPr>
      <w:r w:rsidRPr="000A3A07">
        <w:t>SIKA anser att beskrivningen av Kontinentalbanan är alltför kortfattad. I</w:t>
      </w:r>
      <w:r w:rsidRPr="000A3A07">
        <w:t>n</w:t>
      </w:r>
      <w:r w:rsidRPr="000A3A07">
        <w:t>stitutet anser att det är viktigt att det i planeringsprocessen klarläggs om det går att utforma ett realistiskt alte</w:t>
      </w:r>
      <w:r w:rsidRPr="000A3A07">
        <w:t>r</w:t>
      </w:r>
      <w:r w:rsidRPr="000A3A07">
        <w:t>nativ till tunneln.</w:t>
      </w:r>
    </w:p>
    <w:p w14:paraId="767439C0" w14:textId="77777777" w:rsidR="007C11E9" w:rsidRPr="000A3A07" w:rsidRDefault="007C11E9">
      <w:pPr>
        <w:pStyle w:val="Normaltindrag"/>
      </w:pPr>
      <w:r w:rsidRPr="000A3A07">
        <w:rPr>
          <w:i/>
        </w:rPr>
        <w:t>Banverket</w:t>
      </w:r>
      <w:r w:rsidRPr="000A3A07">
        <w:t xml:space="preserve"> anser som tidigare nämnts att det är olyckligt när större förän</w:t>
      </w:r>
      <w:r w:rsidRPr="000A3A07">
        <w:t>d</w:t>
      </w:r>
      <w:r w:rsidRPr="000A3A07">
        <w:t>ringar i infrastrukturen analyseras med alltför snäv utgångspunkt i ett tran</w:t>
      </w:r>
      <w:r w:rsidRPr="000A3A07">
        <w:t>s</w:t>
      </w:r>
      <w:r w:rsidRPr="000A3A07">
        <w:t xml:space="preserve">portslag och dess infrastruktur. </w:t>
      </w:r>
    </w:p>
    <w:p w14:paraId="63D88118" w14:textId="77777777" w:rsidR="007C11E9" w:rsidRPr="000A3A07" w:rsidRDefault="007C11E9">
      <w:pPr>
        <w:pStyle w:val="Normaltindrag"/>
      </w:pPr>
      <w:r w:rsidRPr="000A3A07">
        <w:rPr>
          <w:i/>
        </w:rPr>
        <w:t>Region Skåne</w:t>
      </w:r>
      <w:r w:rsidRPr="000A3A07">
        <w:t xml:space="preserve"> anser att Nilsson gjort en bra sammanställning av utre</w:t>
      </w:r>
      <w:r w:rsidRPr="000A3A07">
        <w:t>d</w:t>
      </w:r>
      <w:r w:rsidRPr="000A3A07">
        <w:t>ningsmaterialet och underlaget för riksdagens ställningstagande. Regionen menar dock att det faktum att kalkylen som gjorts visar på ett underskott inte behöver betyda att projektet är samhällsekonomiskt olönsamt. Regionen menar att Citytunneln kan medföra stora samhällsekonomiska effekter som ligger utanför trafiksystemet och därför inte omfattas av kalkylen. Region Skåne menar att det slutliga ställningstagandet till investeringen måste gru</w:t>
      </w:r>
      <w:r w:rsidRPr="000A3A07">
        <w:t>n</w:t>
      </w:r>
      <w:r w:rsidRPr="000A3A07">
        <w:t>das på po</w:t>
      </w:r>
      <w:r w:rsidRPr="000A3A07">
        <w:t xml:space="preserve">litiska och strategiska bedömningar, eftersom det är svårt att dra slutsatser om dessa indirekta effekters storlek. </w:t>
      </w:r>
    </w:p>
    <w:p w14:paraId="03DD69C9" w14:textId="77777777" w:rsidR="007C11E9" w:rsidRPr="000A3A07" w:rsidRDefault="007C11E9">
      <w:pPr>
        <w:pStyle w:val="Normaltindrag"/>
      </w:pPr>
      <w:r w:rsidRPr="000A3A07">
        <w:t>Region Skåne påpekar också att Koncessionsnämnden för miljöskydd har underkänt Kontinentalbanan som anslutning till Öresundsbron. Beslutet kom efter det att utredningen och den samhällsekonomiska kalkylen tagits fram. Koncessionsnämnden uppgav att banan endast bör användas fram till det att ett alternativ till Kontinentalbanan har färdigställts. Enligt Region Skåne analyserar Citytunnelkonsor</w:t>
      </w:r>
      <w:r w:rsidRPr="000A3A07">
        <w:t xml:space="preserve">tiet för närvarande de alternativa utformningar som nu är aktuella. </w:t>
      </w:r>
    </w:p>
    <w:p w14:paraId="6030055B" w14:textId="77777777" w:rsidR="007C11E9" w:rsidRPr="000A3A07" w:rsidRDefault="007C11E9">
      <w:pPr>
        <w:pStyle w:val="Normaltindrag"/>
      </w:pPr>
      <w:r w:rsidRPr="000A3A07">
        <w:rPr>
          <w:i/>
        </w:rPr>
        <w:t xml:space="preserve">SVEDAB </w:t>
      </w:r>
      <w:r w:rsidRPr="000A3A07">
        <w:t>meddelar att bolaget inte har några synpunkter på Nilssons ra</w:t>
      </w:r>
      <w:r w:rsidRPr="000A3A07">
        <w:t>p</w:t>
      </w:r>
      <w:r w:rsidRPr="000A3A07">
        <w:t xml:space="preserve">port. </w:t>
      </w:r>
    </w:p>
    <w:p w14:paraId="2D4A5CE2" w14:textId="77777777" w:rsidR="007C11E9" w:rsidRPr="000A3A07" w:rsidRDefault="007C11E9">
      <w:pPr>
        <w:pStyle w:val="Normaltindrag"/>
      </w:pPr>
      <w:r w:rsidRPr="000A3A07">
        <w:rPr>
          <w:i/>
        </w:rPr>
        <w:t>Inregia AB</w:t>
      </w:r>
      <w:r w:rsidRPr="000A3A07">
        <w:t xml:space="preserve"> betonar att samhällsekonomiska analyser är förknippade med osäkerheter. Bolaget menar att inte bara Citytunnelns indirekta effekter, utan även slutsatserna om t.ex. tidsbesparingar och miljövinster, är osäkra. Inregia anser att det behövs metoder för hantering av osäkerhet och risk vid beslut om transportinvesteringar. Inregia menar att man på grundval av bolagets underlag om Citytunneln kan dra slutsatser om Citytunnelns indirekta effe</w:t>
      </w:r>
      <w:r w:rsidRPr="000A3A07">
        <w:t>k</w:t>
      </w:r>
      <w:r w:rsidRPr="000A3A07">
        <w:t>ter.</w:t>
      </w:r>
    </w:p>
    <w:p w14:paraId="18DA285D" w14:textId="77777777" w:rsidR="007C11E9" w:rsidRPr="000A3A07" w:rsidRDefault="007C11E9">
      <w:pPr>
        <w:pStyle w:val="RubrikUtanNr3"/>
      </w:pPr>
      <w:bookmarkStart w:id="120" w:name="_Toc496581016"/>
      <w:r w:rsidRPr="000A3A07">
        <w:t>Södra länken</w:t>
      </w:r>
      <w:bookmarkEnd w:id="120"/>
    </w:p>
    <w:p w14:paraId="044B3E99" w14:textId="77777777" w:rsidR="007C11E9" w:rsidRPr="000A3A07" w:rsidRDefault="007C11E9">
      <w:r w:rsidRPr="000A3A07">
        <w:t>Södra länken är en trafikled i Stockholm som ska binda samman Essingel</w:t>
      </w:r>
      <w:r w:rsidRPr="000A3A07">
        <w:t>e</w:t>
      </w:r>
      <w:r w:rsidRPr="000A3A07">
        <w:t xml:space="preserve">den i väster med Värmdöleden i öster. Totalt blir Södra länken ca 6 kilometer lång, varav 4,5 km kommer att vara i tunnel. Tunnlarna går under Årsta, Johanneshov och Hammarbyhöjden, över Sickla kanal och därefter vidare i tunnlar till Värmdöleden. Utbyggnaden av Södra länken beräknas kosta        6 652 miljoner kronor (inklusive marklösenkostnader) räknat i den prisnivå som rådde i december 1997. </w:t>
      </w:r>
    </w:p>
    <w:p w14:paraId="55AD19A5" w14:textId="77777777" w:rsidR="007C11E9" w:rsidRPr="000A3A07" w:rsidRDefault="007C11E9">
      <w:pPr>
        <w:pStyle w:val="Normaltindrag"/>
      </w:pPr>
      <w:r w:rsidRPr="000A3A07">
        <w:t>Benämningen Södra länken härstammar från projektets roll i det s.k. Dennispaketet. Södra länken utgjorde en de</w:t>
      </w:r>
      <w:r w:rsidRPr="000A3A07">
        <w:t>l av den ringled som enligt pl</w:t>
      </w:r>
      <w:r w:rsidRPr="000A3A07">
        <w:t>a</w:t>
      </w:r>
      <w:r w:rsidRPr="000A3A07">
        <w:t xml:space="preserve">nerna skulle byggas runt Stockholms innerstad. Essingeleden skulle kom-     pletteras med Österleden, Norra länken och Södra länken. Ringleden var en viktig del i Dennispaketet. </w:t>
      </w:r>
    </w:p>
    <w:p w14:paraId="6CBDB345" w14:textId="77777777" w:rsidR="007C11E9" w:rsidRPr="000A3A07" w:rsidRDefault="007C11E9">
      <w:pPr>
        <w:rPr>
          <w:b/>
          <w:i/>
        </w:rPr>
      </w:pPr>
      <w:r w:rsidRPr="000A3A07">
        <w:rPr>
          <w:b/>
          <w:i/>
        </w:rPr>
        <w:t>Från plan till genomförande</w:t>
      </w:r>
    </w:p>
    <w:p w14:paraId="44934039" w14:textId="77777777" w:rsidR="007C11E9" w:rsidRPr="000A3A07" w:rsidRDefault="007C11E9">
      <w:r w:rsidRPr="000A3A07">
        <w:t>I maj 1988 beslutade regeringen att tillkalla en särskild kommitté med up</w:t>
      </w:r>
      <w:r w:rsidRPr="000A3A07">
        <w:t>p</w:t>
      </w:r>
      <w:r w:rsidRPr="000A3A07">
        <w:t>drag att ta fram ett samlat underlag för begränsning av trafikens hälso- och miljöeffekter i storstadsområdena (dir. 1988:20). Kommittén konstaterade att det fordras ett samordnat agerande från kommuner, landsting, länsstyrelser och andra myndigheter för att få bukt med storstädernas trafik- och mi</w:t>
      </w:r>
      <w:r w:rsidRPr="000A3A07">
        <w:t>l</w:t>
      </w:r>
      <w:r w:rsidRPr="000A3A07">
        <w:t>jöproblem (SOU 1990:16). Mot denna bakgrund beslutade regeringen att tillkalla tre förhandlare med uppdrag att med berörda parter komma överens om åtgärder för att förbättra trafiksituationen i Stockholmsregione</w:t>
      </w:r>
      <w:r w:rsidRPr="000A3A07">
        <w:t>n, Göt</w:t>
      </w:r>
      <w:r w:rsidRPr="000A3A07">
        <w:t>e</w:t>
      </w:r>
      <w:r w:rsidRPr="000A3A07">
        <w:t>borgsregionen och Malmöreg</w:t>
      </w:r>
      <w:r w:rsidRPr="000A3A07">
        <w:t>i</w:t>
      </w:r>
      <w:r w:rsidRPr="000A3A07">
        <w:t xml:space="preserve">onen. </w:t>
      </w:r>
    </w:p>
    <w:p w14:paraId="6013A2BF" w14:textId="77777777" w:rsidR="007C11E9" w:rsidRPr="000A3A07" w:rsidRDefault="007C11E9">
      <w:pPr>
        <w:pStyle w:val="Normaltindrag"/>
      </w:pPr>
      <w:r w:rsidRPr="000A3A07">
        <w:t>Parterna i Stockholmsregionen träffade en preliminär överenskommelse i januari 1991. Överenskommelsen, det s.k. Dennispaketet, omfattade invest</w:t>
      </w:r>
      <w:r w:rsidRPr="000A3A07">
        <w:t>e</w:t>
      </w:r>
      <w:r w:rsidRPr="000A3A07">
        <w:t>ringar i kollektivtrafiksystemet och vägtrafiksystemet. Bl.a. planerades en ringled runt Stockholms innerstad, där Södra länken ingick som en del. E</w:t>
      </w:r>
      <w:r w:rsidRPr="000A3A07">
        <w:t>n</w:t>
      </w:r>
      <w:r w:rsidRPr="000A3A07">
        <w:t>ligt överenskommelsen skulle vägprojekten finansieras med avgifter på bi</w:t>
      </w:r>
      <w:r w:rsidRPr="000A3A07">
        <w:t>l</w:t>
      </w:r>
      <w:r w:rsidRPr="000A3A07">
        <w:t>trafiken (prop. 1990/91:87, bet. 1990/91:TU24, rskr. 1990/91:286). På up</w:t>
      </w:r>
      <w:r w:rsidRPr="000A3A07">
        <w:t>p</w:t>
      </w:r>
      <w:r w:rsidRPr="000A3A07">
        <w:t xml:space="preserve">drag av regeringen utformade Vägverket ett förslag till avgiftssystem för väg- och gatutrafiken. </w:t>
      </w:r>
    </w:p>
    <w:p w14:paraId="6C5763A2" w14:textId="77777777" w:rsidR="007C11E9" w:rsidRPr="000A3A07" w:rsidRDefault="007C11E9">
      <w:pPr>
        <w:pStyle w:val="Normaltindrag"/>
      </w:pPr>
      <w:r w:rsidRPr="000A3A07">
        <w:t>De förhandlande parterna enades i september 1992 om en slutlig överen</w:t>
      </w:r>
      <w:r w:rsidRPr="000A3A07">
        <w:t>s</w:t>
      </w:r>
      <w:r w:rsidRPr="000A3A07">
        <w:t>kommelse om trafik och miljö i Stockholmsregionen (Dennis II). Överen</w:t>
      </w:r>
      <w:r w:rsidRPr="000A3A07">
        <w:t>s</w:t>
      </w:r>
      <w:r w:rsidRPr="000A3A07">
        <w:t>kommelsen omfattade bl.a. investeringar i trafikleder om ca 18 200 miljoner kronor räknat i den prisnivå som rådde i januari 1992. Parterna räknade med att behöva ta ut tullar från år 1996 fram till år 2025 för att återbetala invest</w:t>
      </w:r>
      <w:r w:rsidRPr="000A3A07">
        <w:t>e</w:t>
      </w:r>
      <w:r w:rsidRPr="000A3A07">
        <w:t>ringarna. I överenskommelsen förutsattes att staten ställer ut lånegarantier till Vägverket för upplåning av investeringsmedel för utbyggnad av vägproje</w:t>
      </w:r>
      <w:r w:rsidRPr="000A3A07">
        <w:t>k</w:t>
      </w:r>
      <w:r w:rsidRPr="000A3A07">
        <w:t>ten (prop. 1992/93:100).</w:t>
      </w:r>
    </w:p>
    <w:p w14:paraId="6F962D6B" w14:textId="77777777" w:rsidR="007C11E9" w:rsidRPr="000A3A07" w:rsidRDefault="007C11E9">
      <w:pPr>
        <w:pStyle w:val="Normaltindrag"/>
      </w:pPr>
      <w:r w:rsidRPr="000A3A07">
        <w:t>Riksdagen beslutade om lånegar</w:t>
      </w:r>
      <w:r w:rsidRPr="000A3A07">
        <w:t>antier som, i väntan på att parternas fö</w:t>
      </w:r>
      <w:r w:rsidRPr="000A3A07">
        <w:t>r</w:t>
      </w:r>
      <w:r w:rsidRPr="000A3A07">
        <w:t>slag till bilavgifter skulle granskas närmare, begränsades till att omfatta förberedelsearbetena (prop. 1992/93:132, bet. 1992/93:TU11, rskr. 152). Vägverket reviderade parternas beräkningar av biltullarna 1993. Beräknin</w:t>
      </w:r>
      <w:r w:rsidRPr="000A3A07">
        <w:t>g</w:t>
      </w:r>
      <w:r w:rsidRPr="000A3A07">
        <w:t>arna visade att intäkterna skulle bli lägre och kostnaderna högre än vad som hade förutsatts i överenskommelsen. Intäktsminskningen berodde på mindre trafik. Kostnadsökningen berodde på standardhöjande åtgärder och tidigare oful</w:t>
      </w:r>
      <w:r w:rsidRPr="000A3A07">
        <w:t>l</w:t>
      </w:r>
      <w:r w:rsidRPr="000A3A07">
        <w:t xml:space="preserve">ständigt kalkylerade </w:t>
      </w:r>
      <w:r w:rsidRPr="000A3A07">
        <w:t xml:space="preserve">utgifter (prop. 1993/94:86). </w:t>
      </w:r>
    </w:p>
    <w:p w14:paraId="6F594D8A" w14:textId="77777777" w:rsidR="007C11E9" w:rsidRPr="000A3A07" w:rsidRDefault="007C11E9">
      <w:pPr>
        <w:pStyle w:val="Normaltindrag"/>
      </w:pPr>
      <w:r w:rsidRPr="000A3A07">
        <w:t>Riksdagen beslutade våren 1994 om ytterligare lånegarantier. Riksdagen konstaterade samtidigt att en förutsättning för investeringarna är att möjli</w:t>
      </w:r>
      <w:r w:rsidRPr="000A3A07">
        <w:t>g</w:t>
      </w:r>
      <w:r w:rsidRPr="000A3A07">
        <w:t>heter finns att kunna införa avgifter på väg- och gatutrafiken. För vägtullar krävdes ny lagstiftning. Regeringen meddelade att man hade för avsikt att komma med förslag till lag om vägtullar under våren 1995 (prop. 1993/94:86, bet. 1993/94:TU24, rskr. 1993/94:247)</w:t>
      </w:r>
    </w:p>
    <w:p w14:paraId="5000A815" w14:textId="77777777" w:rsidR="007C11E9" w:rsidRPr="000A3A07" w:rsidRDefault="007C11E9">
      <w:pPr>
        <w:pStyle w:val="Normaltindrag"/>
      </w:pPr>
      <w:r w:rsidRPr="000A3A07">
        <w:t>Våren 1995 beslutade riksdagen om ytterligare garantier. Riksdagen utt</w:t>
      </w:r>
      <w:r w:rsidRPr="000A3A07">
        <w:t>a</w:t>
      </w:r>
      <w:r w:rsidRPr="000A3A07">
        <w:t>lade också att regeringen bör redovisa en hållbar modell för hur planerade investeringar kan genomföras i för statsfinanserna kontrollerbara former. I december 1996 uttalade regeringen att en hållbar regional finansiering av Dennisöverenskommelsen måste säkerställas för att staten ska fortsätta att bidra med resurser (prop. 1996/97:53).</w:t>
      </w:r>
    </w:p>
    <w:p w14:paraId="443D1EB2" w14:textId="77777777" w:rsidR="007C11E9" w:rsidRPr="000A3A07" w:rsidRDefault="007C11E9">
      <w:pPr>
        <w:pStyle w:val="Normaltindrag"/>
      </w:pPr>
      <w:r w:rsidRPr="000A3A07">
        <w:t>I början av 1997 anmälde regeringen att det inte fanns parlamentariskt stöd i riksdagen för införandet av vägtullar i Stockholm. Regeringen ansåg att det föreslagna vägtull</w:t>
      </w:r>
      <w:r w:rsidRPr="000A3A07">
        <w:t>ssystemet var ologiskt utformat och kunde ge oönskade geografiska och fördelningspolitiska effekter. Även önskemål om en mer miljöinriktad trafiklösning motiverade en förändring av Dennisöverensko</w:t>
      </w:r>
      <w:r w:rsidRPr="000A3A07">
        <w:t>m</w:t>
      </w:r>
      <w:r w:rsidRPr="000A3A07">
        <w:t>melsen. Vissa vägprojekt föreslogs utgå ur överenskommelsen. Övriga pr</w:t>
      </w:r>
      <w:r w:rsidRPr="000A3A07">
        <w:t>o</w:t>
      </w:r>
      <w:r w:rsidRPr="000A3A07">
        <w:t xml:space="preserve">jekt föreslogs finansieras av regionen. Projekten ingick inte i de statliga planerna och behövde därför en alternativ finansiering (prop. 1996/97:150 och 160). </w:t>
      </w:r>
    </w:p>
    <w:p w14:paraId="77CF702C" w14:textId="77777777" w:rsidR="007C11E9" w:rsidRPr="000A3A07" w:rsidRDefault="007C11E9">
      <w:pPr>
        <w:pStyle w:val="Normaltindrag"/>
      </w:pPr>
      <w:r w:rsidRPr="000A3A07">
        <w:t>Regeringen konstaterade dock att regionen inte hade möjlighet att finansi</w:t>
      </w:r>
      <w:r w:rsidRPr="000A3A07">
        <w:t>e</w:t>
      </w:r>
      <w:r w:rsidRPr="000A3A07">
        <w:t>ra de projekt som kvarstod i överenskommelsen. Kommunikationsdepart</w:t>
      </w:r>
      <w:r w:rsidRPr="000A3A07">
        <w:t>e</w:t>
      </w:r>
      <w:r w:rsidRPr="000A3A07">
        <w:t>mentet inbjöd därför i oktober 1997 företrädare för Stockholms stad, Nacka kommun och Stockholms läns landsting till överläggningar om trafiklösnin</w:t>
      </w:r>
      <w:r w:rsidRPr="000A3A07">
        <w:t>g</w:t>
      </w:r>
      <w:r w:rsidRPr="000A3A07">
        <w:t xml:space="preserve">arna i Stockholmsregionen (prop. 1997/98:123). I december 1997 tecknade Stockholms stad, Stockholms läns landsting och staten en överenskommelse om finansiering av Årstabron och Södra länken m.m. </w:t>
      </w:r>
    </w:p>
    <w:p w14:paraId="6C0F3C32" w14:textId="77777777" w:rsidR="007C11E9" w:rsidRPr="000A3A07" w:rsidRDefault="007C11E9">
      <w:pPr>
        <w:pStyle w:val="Normaltindrag"/>
      </w:pPr>
      <w:r w:rsidRPr="000A3A07">
        <w:t>Våren 1998 beslutade riksdagen att inte genomföra det planerade vägtull</w:t>
      </w:r>
      <w:r w:rsidRPr="000A3A07">
        <w:t>s</w:t>
      </w:r>
      <w:r w:rsidRPr="000A3A07">
        <w:t xml:space="preserve">systemet i Stockholmsregionen. Riksdagen beslutade också i enlighet med överenskommelsen att Årstabron samfinansieras med Stockholms läns landsting och Södra länken samfinansieras med Stockholms stad (prop. 1996/97:160, prop. 1997/98:1, prop. 1997/98:123, bet. 1997/98:TU5, rskr. 1997/98:213). </w:t>
      </w:r>
    </w:p>
    <w:p w14:paraId="1F853FE1" w14:textId="77777777" w:rsidR="007C11E9" w:rsidRPr="000A3A07" w:rsidRDefault="007C11E9">
      <w:pPr>
        <w:pStyle w:val="Normaltindrag"/>
      </w:pPr>
      <w:r w:rsidRPr="000A3A07">
        <w:t>Utbyggnaden av Södra länken påbörjades 1997. Enligt Vägverkets planer ska Södra länkens huvudtunnlar öppna för trafik i slutet av år 2003. Hela Södra länken beräknas vara klar i slutet av år 2004.</w:t>
      </w:r>
    </w:p>
    <w:p w14:paraId="55F05C00" w14:textId="77777777" w:rsidR="007C11E9" w:rsidRPr="000A3A07" w:rsidRDefault="007C11E9">
      <w:pPr>
        <w:rPr>
          <w:b/>
          <w:i/>
        </w:rPr>
      </w:pPr>
      <w:r w:rsidRPr="000A3A07">
        <w:rPr>
          <w:b/>
          <w:i/>
        </w:rPr>
        <w:t>Kvaliteten på de samhällsekonomiska beräkningarna</w:t>
      </w:r>
    </w:p>
    <w:p w14:paraId="01064DDC" w14:textId="77777777" w:rsidR="007C11E9" w:rsidRPr="000A3A07" w:rsidRDefault="007C11E9">
      <w:r w:rsidRPr="000A3A07">
        <w:t>Den slutliga Dennisöverenskommelsen undertecknades i september 1992. Den första mer genomarbetade samhällsekonomiska kalkylen kom två år senare, i maj 1994. Tre konsultföretag genomförde kalkylen på uppdrag av Vägverket, Banverket, Stockholms läns landsting, Stockholms stad och Storstockholms lokaltrafik. Enligt kalkylen var Dennispaketet totalt sett en samhäll</w:t>
      </w:r>
      <w:r w:rsidRPr="000A3A07">
        <w:t>s</w:t>
      </w:r>
      <w:r w:rsidRPr="000A3A07">
        <w:t>ekonomiskt lönsam investering.</w:t>
      </w:r>
    </w:p>
    <w:p w14:paraId="69E5ACF0" w14:textId="77777777" w:rsidR="007C11E9" w:rsidRPr="000A3A07" w:rsidRDefault="007C11E9">
      <w:pPr>
        <w:pStyle w:val="Normaltindrag"/>
      </w:pPr>
      <w:r w:rsidRPr="000A3A07">
        <w:t>Därefter gjorde två konsultföretag var sin samhällsekonomisk kalkyl av Södra länken 1996 respektive 1998. Professor Jan Owen Jansson har på revisorernas up</w:t>
      </w:r>
      <w:r w:rsidRPr="000A3A07">
        <w:t>p</w:t>
      </w:r>
      <w:r w:rsidRPr="000A3A07">
        <w:t xml:space="preserve">drag granskat dessa beräkningar. </w:t>
      </w:r>
    </w:p>
    <w:p w14:paraId="2B285FFC" w14:textId="77777777" w:rsidR="007C11E9" w:rsidRPr="000A3A07" w:rsidRDefault="007C11E9">
      <w:pPr>
        <w:pStyle w:val="Normaltindrag"/>
      </w:pPr>
      <w:r w:rsidRPr="000A3A07">
        <w:t xml:space="preserve">Den första kalkylen gjordes av konsultföretaget Inregia på uppdrag av Stockholms stads finanskontor (Inregia 1996 b). Kalkylen visade att Södra länken inte var ett samhällsekonomiskt lönsamt projekt. </w:t>
      </w:r>
    </w:p>
    <w:p w14:paraId="46F721F6" w14:textId="77777777" w:rsidR="007C11E9" w:rsidRPr="000A3A07" w:rsidRDefault="007C11E9">
      <w:pPr>
        <w:pStyle w:val="Normaltindrag"/>
      </w:pPr>
      <w:r w:rsidRPr="000A3A07">
        <w:t>Efter det att planerna på att genomföra hela Dennispaketet övergivits gjo</w:t>
      </w:r>
      <w:r w:rsidRPr="000A3A07">
        <w:t>r</w:t>
      </w:r>
      <w:r w:rsidRPr="000A3A07">
        <w:t>de konsultföretaget Transek på uppdrag av Vägverket region Stockholm en ny kalkyl av Södra länken, som var ett av de projekt som kvarstod från öve</w:t>
      </w:r>
      <w:r w:rsidRPr="000A3A07">
        <w:t>r</w:t>
      </w:r>
      <w:r w:rsidRPr="000A3A07">
        <w:t>enskommelsen (Transek 1998). Även denna kalkyl visade att Södra länken är ett samhäll</w:t>
      </w:r>
      <w:r w:rsidRPr="000A3A07">
        <w:t>s</w:t>
      </w:r>
      <w:r w:rsidRPr="000A3A07">
        <w:t xml:space="preserve">ekonomiskt olönsamt projekt. </w:t>
      </w:r>
    </w:p>
    <w:p w14:paraId="11DEA4ED" w14:textId="77777777" w:rsidR="007C11E9" w:rsidRPr="000A3A07" w:rsidRDefault="007C11E9">
      <w:pPr>
        <w:pStyle w:val="Normaltindrag"/>
      </w:pPr>
      <w:r w:rsidRPr="000A3A07">
        <w:t>Jansson konstaterar att Södra länkens olönsamhet är en konsekvens av de höga byggkostnaderna. Det faktum att Södra länken i huvudsak byggs som en tunnel medför att byggkostnaderna blir flera gånger högre än om motsv</w:t>
      </w:r>
      <w:r w:rsidRPr="000A3A07">
        <w:t>a</w:t>
      </w:r>
      <w:r w:rsidRPr="000A3A07">
        <w:t>ra</w:t>
      </w:r>
      <w:r w:rsidRPr="000A3A07">
        <w:t>n</w:t>
      </w:r>
      <w:r w:rsidRPr="000A3A07">
        <w:t xml:space="preserve">de led hade anlagts i markplanet. </w:t>
      </w:r>
    </w:p>
    <w:p w14:paraId="2569C14F" w14:textId="77777777" w:rsidR="007C11E9" w:rsidRPr="000A3A07" w:rsidRDefault="007C11E9">
      <w:pPr>
        <w:pStyle w:val="Normaltindrag"/>
      </w:pPr>
      <w:r w:rsidRPr="000A3A07">
        <w:t>Inregia räknar med att projektets kostnader överstiger nyttoeffekterna med ca 13 900 miljoner kronor. Projektets nettonuvärdekvot uppgår enligt berä</w:t>
      </w:r>
      <w:r w:rsidRPr="000A3A07">
        <w:t>k</w:t>
      </w:r>
      <w:r w:rsidRPr="000A3A07">
        <w:t>ningarna till –0,89, vilket betyder att samhället beräknas få tillbaka 11 öre för varje investerad krona. Transek räknar med att kostnaderna överstiger nytt</w:t>
      </w:r>
      <w:r w:rsidRPr="000A3A07">
        <w:t>o</w:t>
      </w:r>
      <w:r w:rsidRPr="000A3A07">
        <w:t>effekterna med ca 4 000 miljoner kronor. Projektets nettonuvärdekvot uppgår enligt beräkningarna till –0,39, vilket betyder att samhället beräknas få til</w:t>
      </w:r>
      <w:r w:rsidRPr="000A3A07">
        <w:t>l</w:t>
      </w:r>
      <w:r w:rsidRPr="000A3A07">
        <w:t xml:space="preserve">baka 61 öre för varje investerad krona (se tabell 11). </w:t>
      </w:r>
    </w:p>
    <w:p w14:paraId="6529C9CA" w14:textId="77777777" w:rsidR="007C11E9" w:rsidRPr="000A3A07" w:rsidRDefault="007C11E9">
      <w:pPr>
        <w:pStyle w:val="Normaltindrag"/>
      </w:pPr>
    </w:p>
    <w:p w14:paraId="0F2F3F46" w14:textId="77777777" w:rsidR="007C11E9" w:rsidRPr="000A3A07" w:rsidRDefault="007C11E9">
      <w:pPr>
        <w:pStyle w:val="Tabellrubrik1"/>
      </w:pPr>
      <w:r w:rsidRPr="000A3A07">
        <w:br w:type="page"/>
        <w:t>Tabell 11. Samhällsekonomiska kalkyler för Södra länken*</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771"/>
        <w:gridCol w:w="1984"/>
        <w:gridCol w:w="1985"/>
      </w:tblGrid>
      <w:tr w:rsidR="00000000" w:rsidRPr="000A3A07" w14:paraId="1B11B14A" w14:textId="77777777">
        <w:tblPrEx>
          <w:tblCellMar>
            <w:top w:w="0" w:type="dxa"/>
            <w:bottom w:w="0" w:type="dxa"/>
          </w:tblCellMar>
        </w:tblPrEx>
        <w:tc>
          <w:tcPr>
            <w:tcW w:w="1771" w:type="dxa"/>
            <w:tcBorders>
              <w:bottom w:val="single" w:sz="6" w:space="0" w:color="000000"/>
            </w:tcBorders>
            <w:shd w:val="pct30" w:color="FFFF00" w:fill="FFFFFF"/>
          </w:tcPr>
          <w:p w14:paraId="229B21B2" w14:textId="77777777" w:rsidR="007C11E9" w:rsidRPr="000A3A07" w:rsidRDefault="007C11E9">
            <w:pPr>
              <w:spacing w:before="0"/>
              <w:jc w:val="left"/>
              <w:rPr>
                <w:b/>
              </w:rPr>
            </w:pPr>
            <w:r w:rsidRPr="000A3A07">
              <w:rPr>
                <w:b/>
              </w:rPr>
              <w:t xml:space="preserve">Kostnad/nytta </w:t>
            </w:r>
          </w:p>
        </w:tc>
        <w:tc>
          <w:tcPr>
            <w:tcW w:w="1984" w:type="dxa"/>
            <w:tcBorders>
              <w:bottom w:val="single" w:sz="6" w:space="0" w:color="000000"/>
            </w:tcBorders>
            <w:shd w:val="pct30" w:color="FFFF00" w:fill="FFFFFF"/>
          </w:tcPr>
          <w:p w14:paraId="34686528" w14:textId="77777777" w:rsidR="007C11E9" w:rsidRPr="000A3A07" w:rsidRDefault="007C11E9">
            <w:pPr>
              <w:spacing w:before="0"/>
              <w:jc w:val="left"/>
              <w:rPr>
                <w:b/>
              </w:rPr>
            </w:pPr>
            <w:r w:rsidRPr="000A3A07">
              <w:rPr>
                <w:b/>
              </w:rPr>
              <w:t xml:space="preserve">Nuvärde, </w:t>
            </w:r>
          </w:p>
          <w:p w14:paraId="23FD91EA" w14:textId="77777777" w:rsidR="007C11E9" w:rsidRPr="000A3A07" w:rsidRDefault="007C11E9">
            <w:pPr>
              <w:spacing w:before="0"/>
              <w:jc w:val="left"/>
              <w:rPr>
                <w:b/>
              </w:rPr>
            </w:pPr>
            <w:r w:rsidRPr="000A3A07">
              <w:rPr>
                <w:b/>
              </w:rPr>
              <w:t>miljoner kronor</w:t>
            </w:r>
          </w:p>
          <w:p w14:paraId="51D38471" w14:textId="77777777" w:rsidR="007C11E9" w:rsidRPr="000A3A07" w:rsidRDefault="007C11E9">
            <w:pPr>
              <w:spacing w:before="0"/>
              <w:jc w:val="left"/>
              <w:rPr>
                <w:b/>
              </w:rPr>
            </w:pPr>
            <w:r w:rsidRPr="000A3A07">
              <w:rPr>
                <w:b/>
              </w:rPr>
              <w:t>enligt Inregias kalkyl</w:t>
            </w:r>
          </w:p>
        </w:tc>
        <w:tc>
          <w:tcPr>
            <w:tcW w:w="1985" w:type="dxa"/>
            <w:tcBorders>
              <w:bottom w:val="single" w:sz="6" w:space="0" w:color="000000"/>
            </w:tcBorders>
            <w:shd w:val="pct30" w:color="FFFF00" w:fill="FFFFFF"/>
          </w:tcPr>
          <w:p w14:paraId="3A8CB300" w14:textId="77777777" w:rsidR="007C11E9" w:rsidRPr="000A3A07" w:rsidRDefault="007C11E9">
            <w:pPr>
              <w:spacing w:before="0"/>
              <w:jc w:val="left"/>
              <w:rPr>
                <w:b/>
              </w:rPr>
            </w:pPr>
            <w:r w:rsidRPr="000A3A07">
              <w:rPr>
                <w:b/>
              </w:rPr>
              <w:t xml:space="preserve">Nuvärde, </w:t>
            </w:r>
          </w:p>
          <w:p w14:paraId="42BBD992" w14:textId="77777777" w:rsidR="007C11E9" w:rsidRPr="000A3A07" w:rsidRDefault="007C11E9">
            <w:pPr>
              <w:spacing w:before="0"/>
              <w:jc w:val="left"/>
              <w:rPr>
                <w:b/>
              </w:rPr>
            </w:pPr>
            <w:r w:rsidRPr="000A3A07">
              <w:rPr>
                <w:b/>
              </w:rPr>
              <w:t>miljoner kronor</w:t>
            </w:r>
          </w:p>
          <w:p w14:paraId="3B969653" w14:textId="77777777" w:rsidR="007C11E9" w:rsidRPr="000A3A07" w:rsidRDefault="007C11E9">
            <w:pPr>
              <w:spacing w:before="0"/>
              <w:jc w:val="left"/>
              <w:rPr>
                <w:b/>
              </w:rPr>
            </w:pPr>
            <w:r w:rsidRPr="000A3A07">
              <w:rPr>
                <w:b/>
              </w:rPr>
              <w:t>enligt Transeks ka</w:t>
            </w:r>
            <w:r w:rsidRPr="000A3A07">
              <w:rPr>
                <w:b/>
              </w:rPr>
              <w:t>l</w:t>
            </w:r>
            <w:r w:rsidRPr="000A3A07">
              <w:rPr>
                <w:b/>
              </w:rPr>
              <w:t>kyl</w:t>
            </w:r>
          </w:p>
        </w:tc>
      </w:tr>
      <w:tr w:rsidR="00000000" w:rsidRPr="000A3A07" w14:paraId="57B0DE42" w14:textId="77777777">
        <w:tblPrEx>
          <w:tblCellMar>
            <w:top w:w="0" w:type="dxa"/>
            <w:bottom w:w="0" w:type="dxa"/>
          </w:tblCellMar>
        </w:tblPrEx>
        <w:tc>
          <w:tcPr>
            <w:tcW w:w="1771" w:type="dxa"/>
            <w:tcBorders>
              <w:top w:val="nil"/>
            </w:tcBorders>
          </w:tcPr>
          <w:p w14:paraId="10CB3422" w14:textId="77777777" w:rsidR="007C11E9" w:rsidRPr="000A3A07" w:rsidRDefault="007C11E9">
            <w:pPr>
              <w:spacing w:before="0"/>
              <w:jc w:val="left"/>
            </w:pPr>
            <w:r w:rsidRPr="000A3A07">
              <w:t>Investering</w:t>
            </w:r>
          </w:p>
        </w:tc>
        <w:tc>
          <w:tcPr>
            <w:tcW w:w="1984" w:type="dxa"/>
            <w:tcBorders>
              <w:top w:val="nil"/>
            </w:tcBorders>
          </w:tcPr>
          <w:p w14:paraId="5E9BC46E" w14:textId="77777777" w:rsidR="007C11E9" w:rsidRPr="000A3A07" w:rsidRDefault="007C11E9">
            <w:pPr>
              <w:spacing w:before="0"/>
              <w:jc w:val="right"/>
            </w:pPr>
            <w:r w:rsidRPr="000A3A07">
              <w:t>13 844</w:t>
            </w:r>
          </w:p>
        </w:tc>
        <w:tc>
          <w:tcPr>
            <w:tcW w:w="1985" w:type="dxa"/>
            <w:tcBorders>
              <w:top w:val="nil"/>
            </w:tcBorders>
          </w:tcPr>
          <w:p w14:paraId="18CBA620" w14:textId="77777777" w:rsidR="007C11E9" w:rsidRPr="000A3A07" w:rsidRDefault="007C11E9">
            <w:pPr>
              <w:spacing w:before="0"/>
              <w:jc w:val="right"/>
            </w:pPr>
            <w:r w:rsidRPr="000A3A07">
              <w:t>8 980</w:t>
            </w:r>
          </w:p>
        </w:tc>
      </w:tr>
      <w:tr w:rsidR="00000000" w:rsidRPr="000A3A07" w14:paraId="6851DE6C" w14:textId="77777777">
        <w:tblPrEx>
          <w:tblCellMar>
            <w:top w:w="0" w:type="dxa"/>
            <w:bottom w:w="0" w:type="dxa"/>
          </w:tblCellMar>
        </w:tblPrEx>
        <w:tc>
          <w:tcPr>
            <w:tcW w:w="1771" w:type="dxa"/>
            <w:tcBorders>
              <w:bottom w:val="nil"/>
            </w:tcBorders>
          </w:tcPr>
          <w:p w14:paraId="374B7281" w14:textId="77777777" w:rsidR="007C11E9" w:rsidRPr="000A3A07" w:rsidRDefault="007C11E9">
            <w:pPr>
              <w:spacing w:before="0"/>
              <w:jc w:val="left"/>
            </w:pPr>
            <w:r w:rsidRPr="000A3A07">
              <w:t>Drift och underhåll</w:t>
            </w:r>
          </w:p>
        </w:tc>
        <w:tc>
          <w:tcPr>
            <w:tcW w:w="1984" w:type="dxa"/>
            <w:tcBorders>
              <w:bottom w:val="nil"/>
            </w:tcBorders>
          </w:tcPr>
          <w:p w14:paraId="6474813F" w14:textId="77777777" w:rsidR="007C11E9" w:rsidRPr="000A3A07" w:rsidRDefault="007C11E9">
            <w:pPr>
              <w:spacing w:before="0"/>
              <w:jc w:val="right"/>
            </w:pPr>
            <w:r w:rsidRPr="000A3A07">
              <w:t>1 753</w:t>
            </w:r>
          </w:p>
        </w:tc>
        <w:tc>
          <w:tcPr>
            <w:tcW w:w="1985" w:type="dxa"/>
            <w:tcBorders>
              <w:bottom w:val="nil"/>
            </w:tcBorders>
          </w:tcPr>
          <w:p w14:paraId="648F4B8A" w14:textId="77777777" w:rsidR="007C11E9" w:rsidRPr="000A3A07" w:rsidRDefault="007C11E9">
            <w:pPr>
              <w:spacing w:before="0"/>
              <w:jc w:val="right"/>
            </w:pPr>
            <w:r w:rsidRPr="000A3A07">
              <w:t>1 200</w:t>
            </w:r>
          </w:p>
        </w:tc>
      </w:tr>
      <w:tr w:rsidR="00000000" w:rsidRPr="000A3A07" w14:paraId="006D417C" w14:textId="77777777">
        <w:tblPrEx>
          <w:tblCellMar>
            <w:top w:w="0" w:type="dxa"/>
            <w:bottom w:w="0" w:type="dxa"/>
          </w:tblCellMar>
        </w:tblPrEx>
        <w:tc>
          <w:tcPr>
            <w:tcW w:w="1771" w:type="dxa"/>
            <w:tcBorders>
              <w:top w:val="single" w:sz="4" w:space="0" w:color="auto"/>
              <w:bottom w:val="single" w:sz="4" w:space="0" w:color="auto"/>
            </w:tcBorders>
          </w:tcPr>
          <w:p w14:paraId="27CEC7A7" w14:textId="77777777" w:rsidR="007C11E9" w:rsidRPr="000A3A07" w:rsidRDefault="007C11E9">
            <w:pPr>
              <w:spacing w:before="0"/>
              <w:jc w:val="left"/>
              <w:rPr>
                <w:i/>
              </w:rPr>
            </w:pPr>
            <w:r w:rsidRPr="000A3A07">
              <w:rPr>
                <w:i/>
              </w:rPr>
              <w:t>Summa kostnad (1)</w:t>
            </w:r>
          </w:p>
        </w:tc>
        <w:tc>
          <w:tcPr>
            <w:tcW w:w="1984" w:type="dxa"/>
            <w:tcBorders>
              <w:top w:val="single" w:sz="4" w:space="0" w:color="auto"/>
              <w:bottom w:val="single" w:sz="4" w:space="0" w:color="auto"/>
            </w:tcBorders>
          </w:tcPr>
          <w:p w14:paraId="42CE1328" w14:textId="77777777" w:rsidR="007C11E9" w:rsidRPr="000A3A07" w:rsidRDefault="007C11E9">
            <w:pPr>
              <w:spacing w:before="0"/>
              <w:jc w:val="right"/>
              <w:rPr>
                <w:i/>
              </w:rPr>
            </w:pPr>
            <w:r w:rsidRPr="000A3A07">
              <w:rPr>
                <w:i/>
              </w:rPr>
              <w:t>15 597</w:t>
            </w:r>
          </w:p>
        </w:tc>
        <w:tc>
          <w:tcPr>
            <w:tcW w:w="1985" w:type="dxa"/>
            <w:tcBorders>
              <w:top w:val="single" w:sz="4" w:space="0" w:color="auto"/>
              <w:bottom w:val="single" w:sz="4" w:space="0" w:color="auto"/>
            </w:tcBorders>
          </w:tcPr>
          <w:p w14:paraId="76C1B5ED" w14:textId="77777777" w:rsidR="007C11E9" w:rsidRPr="000A3A07" w:rsidRDefault="007C11E9">
            <w:pPr>
              <w:spacing w:before="0"/>
              <w:jc w:val="right"/>
              <w:rPr>
                <w:i/>
              </w:rPr>
            </w:pPr>
            <w:r w:rsidRPr="000A3A07">
              <w:rPr>
                <w:i/>
              </w:rPr>
              <w:t>10 180</w:t>
            </w:r>
          </w:p>
        </w:tc>
      </w:tr>
      <w:tr w:rsidR="00000000" w:rsidRPr="000A3A07" w14:paraId="283BA1D4" w14:textId="77777777">
        <w:tblPrEx>
          <w:tblCellMar>
            <w:top w:w="0" w:type="dxa"/>
            <w:bottom w:w="0" w:type="dxa"/>
          </w:tblCellMar>
        </w:tblPrEx>
        <w:tc>
          <w:tcPr>
            <w:tcW w:w="1771" w:type="dxa"/>
            <w:tcBorders>
              <w:top w:val="nil"/>
            </w:tcBorders>
          </w:tcPr>
          <w:p w14:paraId="7A75D33D" w14:textId="77777777" w:rsidR="007C11E9" w:rsidRPr="000A3A07" w:rsidRDefault="007C11E9">
            <w:pPr>
              <w:spacing w:before="0"/>
              <w:jc w:val="left"/>
            </w:pPr>
            <w:r w:rsidRPr="000A3A07">
              <w:t>Restid</w:t>
            </w:r>
          </w:p>
        </w:tc>
        <w:tc>
          <w:tcPr>
            <w:tcW w:w="1984" w:type="dxa"/>
            <w:tcBorders>
              <w:top w:val="nil"/>
            </w:tcBorders>
          </w:tcPr>
          <w:p w14:paraId="1535B6E9" w14:textId="77777777" w:rsidR="007C11E9" w:rsidRPr="000A3A07" w:rsidRDefault="007C11E9">
            <w:pPr>
              <w:spacing w:before="0"/>
              <w:jc w:val="right"/>
            </w:pPr>
            <w:r w:rsidRPr="000A3A07">
              <w:t>+2 686</w:t>
            </w:r>
          </w:p>
        </w:tc>
        <w:tc>
          <w:tcPr>
            <w:tcW w:w="1985" w:type="dxa"/>
            <w:tcBorders>
              <w:top w:val="nil"/>
            </w:tcBorders>
          </w:tcPr>
          <w:p w14:paraId="48B6CF4D" w14:textId="77777777" w:rsidR="007C11E9" w:rsidRPr="000A3A07" w:rsidRDefault="007C11E9">
            <w:pPr>
              <w:spacing w:before="0"/>
              <w:jc w:val="right"/>
            </w:pPr>
            <w:r w:rsidRPr="000A3A07">
              <w:t>+3 960</w:t>
            </w:r>
          </w:p>
        </w:tc>
      </w:tr>
      <w:tr w:rsidR="00000000" w:rsidRPr="000A3A07" w14:paraId="0303C9C2" w14:textId="77777777">
        <w:tblPrEx>
          <w:tblCellMar>
            <w:top w:w="0" w:type="dxa"/>
            <w:bottom w:w="0" w:type="dxa"/>
          </w:tblCellMar>
        </w:tblPrEx>
        <w:tc>
          <w:tcPr>
            <w:tcW w:w="1771" w:type="dxa"/>
          </w:tcPr>
          <w:p w14:paraId="12BC083A" w14:textId="77777777" w:rsidR="007C11E9" w:rsidRPr="000A3A07" w:rsidRDefault="007C11E9">
            <w:pPr>
              <w:spacing w:before="0"/>
              <w:jc w:val="left"/>
            </w:pPr>
            <w:r w:rsidRPr="000A3A07">
              <w:t>Godstid</w:t>
            </w:r>
          </w:p>
        </w:tc>
        <w:tc>
          <w:tcPr>
            <w:tcW w:w="1984" w:type="dxa"/>
          </w:tcPr>
          <w:p w14:paraId="5294541D" w14:textId="77777777" w:rsidR="007C11E9" w:rsidRPr="000A3A07" w:rsidRDefault="007C11E9">
            <w:pPr>
              <w:spacing w:before="0"/>
              <w:jc w:val="right"/>
            </w:pPr>
          </w:p>
        </w:tc>
        <w:tc>
          <w:tcPr>
            <w:tcW w:w="1985" w:type="dxa"/>
          </w:tcPr>
          <w:p w14:paraId="1F6BBB79" w14:textId="77777777" w:rsidR="007C11E9" w:rsidRPr="000A3A07" w:rsidRDefault="007C11E9">
            <w:pPr>
              <w:spacing w:before="0"/>
              <w:jc w:val="right"/>
            </w:pPr>
            <w:r w:rsidRPr="000A3A07">
              <w:t>+170</w:t>
            </w:r>
          </w:p>
        </w:tc>
      </w:tr>
      <w:tr w:rsidR="00000000" w:rsidRPr="000A3A07" w14:paraId="21DE89D1" w14:textId="77777777">
        <w:tblPrEx>
          <w:tblCellMar>
            <w:top w:w="0" w:type="dxa"/>
            <w:bottom w:w="0" w:type="dxa"/>
          </w:tblCellMar>
        </w:tblPrEx>
        <w:tc>
          <w:tcPr>
            <w:tcW w:w="1771" w:type="dxa"/>
          </w:tcPr>
          <w:p w14:paraId="435FBED0" w14:textId="77777777" w:rsidR="007C11E9" w:rsidRPr="000A3A07" w:rsidRDefault="007C11E9">
            <w:pPr>
              <w:spacing w:before="0"/>
              <w:jc w:val="left"/>
            </w:pPr>
            <w:r w:rsidRPr="000A3A07">
              <w:t>Fordonskostnad</w:t>
            </w:r>
          </w:p>
        </w:tc>
        <w:tc>
          <w:tcPr>
            <w:tcW w:w="1984" w:type="dxa"/>
          </w:tcPr>
          <w:p w14:paraId="4B281944" w14:textId="77777777" w:rsidR="007C11E9" w:rsidRPr="000A3A07" w:rsidRDefault="007C11E9">
            <w:pPr>
              <w:spacing w:before="0"/>
              <w:jc w:val="right"/>
            </w:pPr>
            <w:r w:rsidRPr="000A3A07">
              <w:t xml:space="preserve"> </w:t>
            </w:r>
          </w:p>
        </w:tc>
        <w:tc>
          <w:tcPr>
            <w:tcW w:w="1985" w:type="dxa"/>
          </w:tcPr>
          <w:p w14:paraId="5C5E1F2B" w14:textId="77777777" w:rsidR="007C11E9" w:rsidRPr="000A3A07" w:rsidRDefault="007C11E9">
            <w:pPr>
              <w:spacing w:before="0"/>
              <w:jc w:val="right"/>
            </w:pPr>
            <w:r w:rsidRPr="000A3A07">
              <w:t xml:space="preserve">-440 </w:t>
            </w:r>
          </w:p>
        </w:tc>
      </w:tr>
      <w:tr w:rsidR="00000000" w:rsidRPr="000A3A07" w14:paraId="5126CE07" w14:textId="77777777">
        <w:tblPrEx>
          <w:tblCellMar>
            <w:top w:w="0" w:type="dxa"/>
            <w:bottom w:w="0" w:type="dxa"/>
          </w:tblCellMar>
        </w:tblPrEx>
        <w:tc>
          <w:tcPr>
            <w:tcW w:w="1771" w:type="dxa"/>
          </w:tcPr>
          <w:p w14:paraId="7159DE8E" w14:textId="77777777" w:rsidR="007C11E9" w:rsidRPr="000A3A07" w:rsidRDefault="007C11E9">
            <w:pPr>
              <w:spacing w:before="0"/>
              <w:jc w:val="left"/>
            </w:pPr>
            <w:r w:rsidRPr="000A3A07">
              <w:t>Olyckseffekter</w:t>
            </w:r>
          </w:p>
        </w:tc>
        <w:tc>
          <w:tcPr>
            <w:tcW w:w="1984" w:type="dxa"/>
          </w:tcPr>
          <w:p w14:paraId="1FBBE04E" w14:textId="77777777" w:rsidR="007C11E9" w:rsidRPr="000A3A07" w:rsidRDefault="007C11E9">
            <w:pPr>
              <w:spacing w:before="0"/>
              <w:jc w:val="right"/>
            </w:pPr>
            <w:r w:rsidRPr="000A3A07">
              <w:t>-255</w:t>
            </w:r>
          </w:p>
        </w:tc>
        <w:tc>
          <w:tcPr>
            <w:tcW w:w="1985" w:type="dxa"/>
          </w:tcPr>
          <w:p w14:paraId="0598C76A" w14:textId="77777777" w:rsidR="007C11E9" w:rsidRPr="000A3A07" w:rsidRDefault="007C11E9">
            <w:pPr>
              <w:spacing w:before="0"/>
              <w:jc w:val="right"/>
            </w:pPr>
            <w:r w:rsidRPr="000A3A07">
              <w:t>+1 800</w:t>
            </w:r>
          </w:p>
        </w:tc>
      </w:tr>
      <w:tr w:rsidR="00000000" w:rsidRPr="000A3A07" w14:paraId="36228814" w14:textId="77777777">
        <w:tblPrEx>
          <w:tblCellMar>
            <w:top w:w="0" w:type="dxa"/>
            <w:bottom w:w="0" w:type="dxa"/>
          </w:tblCellMar>
        </w:tblPrEx>
        <w:tc>
          <w:tcPr>
            <w:tcW w:w="1771" w:type="dxa"/>
          </w:tcPr>
          <w:p w14:paraId="58BAB5F0" w14:textId="77777777" w:rsidR="007C11E9" w:rsidRPr="000A3A07" w:rsidRDefault="007C11E9">
            <w:pPr>
              <w:spacing w:before="0"/>
              <w:jc w:val="left"/>
            </w:pPr>
            <w:r w:rsidRPr="000A3A07">
              <w:t>Trafikavlastning genom tunnel</w:t>
            </w:r>
          </w:p>
        </w:tc>
        <w:tc>
          <w:tcPr>
            <w:tcW w:w="1984" w:type="dxa"/>
          </w:tcPr>
          <w:p w14:paraId="0DE29866" w14:textId="77777777" w:rsidR="007C11E9" w:rsidRPr="000A3A07" w:rsidRDefault="007C11E9">
            <w:pPr>
              <w:spacing w:before="0"/>
              <w:jc w:val="right"/>
            </w:pPr>
          </w:p>
        </w:tc>
        <w:tc>
          <w:tcPr>
            <w:tcW w:w="1985" w:type="dxa"/>
          </w:tcPr>
          <w:p w14:paraId="48FD3D39" w14:textId="77777777" w:rsidR="007C11E9" w:rsidRPr="000A3A07" w:rsidRDefault="007C11E9">
            <w:pPr>
              <w:spacing w:before="0"/>
              <w:jc w:val="right"/>
            </w:pPr>
            <w:r w:rsidRPr="000A3A07">
              <w:t>+350</w:t>
            </w:r>
          </w:p>
        </w:tc>
      </w:tr>
      <w:tr w:rsidR="00000000" w:rsidRPr="000A3A07" w14:paraId="6D1FC80E" w14:textId="77777777">
        <w:tblPrEx>
          <w:tblCellMar>
            <w:top w:w="0" w:type="dxa"/>
            <w:bottom w:w="0" w:type="dxa"/>
          </w:tblCellMar>
        </w:tblPrEx>
        <w:tc>
          <w:tcPr>
            <w:tcW w:w="1771" w:type="dxa"/>
          </w:tcPr>
          <w:p w14:paraId="65CB2EF8" w14:textId="77777777" w:rsidR="007C11E9" w:rsidRPr="000A3A07" w:rsidRDefault="007C11E9">
            <w:pPr>
              <w:spacing w:before="0"/>
              <w:jc w:val="left"/>
            </w:pPr>
            <w:r w:rsidRPr="000A3A07">
              <w:t>Buller</w:t>
            </w:r>
          </w:p>
        </w:tc>
        <w:tc>
          <w:tcPr>
            <w:tcW w:w="1984" w:type="dxa"/>
          </w:tcPr>
          <w:p w14:paraId="3ED5D9C7" w14:textId="77777777" w:rsidR="007C11E9" w:rsidRPr="000A3A07" w:rsidRDefault="007C11E9">
            <w:pPr>
              <w:spacing w:before="0"/>
              <w:jc w:val="right"/>
            </w:pPr>
            <w:r w:rsidRPr="000A3A07">
              <w:t>+50</w:t>
            </w:r>
          </w:p>
        </w:tc>
        <w:tc>
          <w:tcPr>
            <w:tcW w:w="1985" w:type="dxa"/>
          </w:tcPr>
          <w:p w14:paraId="2D108089" w14:textId="77777777" w:rsidR="007C11E9" w:rsidRPr="000A3A07" w:rsidRDefault="007C11E9">
            <w:pPr>
              <w:spacing w:before="0"/>
              <w:jc w:val="right"/>
            </w:pPr>
            <w:r w:rsidRPr="000A3A07">
              <w:t>+100</w:t>
            </w:r>
          </w:p>
        </w:tc>
      </w:tr>
      <w:tr w:rsidR="00000000" w:rsidRPr="000A3A07" w14:paraId="46ABABFE" w14:textId="77777777">
        <w:tblPrEx>
          <w:tblCellMar>
            <w:top w:w="0" w:type="dxa"/>
            <w:bottom w:w="0" w:type="dxa"/>
          </w:tblCellMar>
        </w:tblPrEx>
        <w:tc>
          <w:tcPr>
            <w:tcW w:w="1771" w:type="dxa"/>
            <w:tcBorders>
              <w:bottom w:val="nil"/>
            </w:tcBorders>
          </w:tcPr>
          <w:p w14:paraId="774ABB71" w14:textId="77777777" w:rsidR="007C11E9" w:rsidRPr="000A3A07" w:rsidRDefault="007C11E9">
            <w:pPr>
              <w:spacing w:before="0"/>
              <w:jc w:val="left"/>
            </w:pPr>
            <w:r w:rsidRPr="000A3A07">
              <w:t>Avgaser</w:t>
            </w:r>
          </w:p>
        </w:tc>
        <w:tc>
          <w:tcPr>
            <w:tcW w:w="1984" w:type="dxa"/>
            <w:tcBorders>
              <w:bottom w:val="nil"/>
            </w:tcBorders>
          </w:tcPr>
          <w:p w14:paraId="0905CFB8" w14:textId="77777777" w:rsidR="007C11E9" w:rsidRPr="000A3A07" w:rsidRDefault="007C11E9">
            <w:pPr>
              <w:spacing w:before="0"/>
              <w:jc w:val="right"/>
            </w:pPr>
            <w:r w:rsidRPr="000A3A07">
              <w:t>-745</w:t>
            </w:r>
          </w:p>
        </w:tc>
        <w:tc>
          <w:tcPr>
            <w:tcW w:w="1985" w:type="dxa"/>
            <w:tcBorders>
              <w:bottom w:val="nil"/>
            </w:tcBorders>
          </w:tcPr>
          <w:p w14:paraId="3EFE8E73" w14:textId="77777777" w:rsidR="007C11E9" w:rsidRPr="000A3A07" w:rsidRDefault="007C11E9">
            <w:pPr>
              <w:spacing w:before="0"/>
              <w:jc w:val="right"/>
            </w:pPr>
            <w:r w:rsidRPr="000A3A07">
              <w:t>+210</w:t>
            </w:r>
          </w:p>
        </w:tc>
      </w:tr>
      <w:tr w:rsidR="00000000" w:rsidRPr="000A3A07" w14:paraId="186C318A" w14:textId="77777777">
        <w:tblPrEx>
          <w:tblCellMar>
            <w:top w:w="0" w:type="dxa"/>
            <w:bottom w:w="0" w:type="dxa"/>
          </w:tblCellMar>
        </w:tblPrEx>
        <w:tc>
          <w:tcPr>
            <w:tcW w:w="1771" w:type="dxa"/>
            <w:tcBorders>
              <w:top w:val="single" w:sz="4" w:space="0" w:color="auto"/>
              <w:bottom w:val="nil"/>
            </w:tcBorders>
          </w:tcPr>
          <w:p w14:paraId="42F1FD6C" w14:textId="77777777" w:rsidR="007C11E9" w:rsidRPr="000A3A07" w:rsidRDefault="007C11E9">
            <w:pPr>
              <w:spacing w:before="0"/>
              <w:jc w:val="left"/>
              <w:rPr>
                <w:i/>
              </w:rPr>
            </w:pPr>
            <w:r w:rsidRPr="000A3A07">
              <w:rPr>
                <w:i/>
              </w:rPr>
              <w:t>Summa nytta (2)</w:t>
            </w:r>
          </w:p>
        </w:tc>
        <w:tc>
          <w:tcPr>
            <w:tcW w:w="1984" w:type="dxa"/>
            <w:tcBorders>
              <w:top w:val="single" w:sz="4" w:space="0" w:color="auto"/>
              <w:bottom w:val="nil"/>
            </w:tcBorders>
          </w:tcPr>
          <w:p w14:paraId="58940361" w14:textId="77777777" w:rsidR="007C11E9" w:rsidRPr="000A3A07" w:rsidRDefault="007C11E9">
            <w:pPr>
              <w:spacing w:before="0"/>
              <w:jc w:val="right"/>
              <w:rPr>
                <w:i/>
              </w:rPr>
            </w:pPr>
            <w:r w:rsidRPr="000A3A07">
              <w:rPr>
                <w:i/>
              </w:rPr>
              <w:t>+1 706</w:t>
            </w:r>
          </w:p>
        </w:tc>
        <w:tc>
          <w:tcPr>
            <w:tcW w:w="1985" w:type="dxa"/>
            <w:tcBorders>
              <w:top w:val="single" w:sz="4" w:space="0" w:color="auto"/>
              <w:bottom w:val="nil"/>
            </w:tcBorders>
          </w:tcPr>
          <w:p w14:paraId="415296B3" w14:textId="77777777" w:rsidR="007C11E9" w:rsidRPr="000A3A07" w:rsidRDefault="007C11E9">
            <w:pPr>
              <w:spacing w:before="0"/>
              <w:jc w:val="right"/>
              <w:rPr>
                <w:i/>
              </w:rPr>
            </w:pPr>
            <w:r w:rsidRPr="000A3A07">
              <w:rPr>
                <w:i/>
              </w:rPr>
              <w:t>+6 150</w:t>
            </w:r>
          </w:p>
        </w:tc>
      </w:tr>
      <w:tr w:rsidR="00000000" w:rsidRPr="000A3A07" w14:paraId="7E8D7FC7" w14:textId="77777777">
        <w:tblPrEx>
          <w:tblCellMar>
            <w:top w:w="0" w:type="dxa"/>
            <w:bottom w:w="0" w:type="dxa"/>
          </w:tblCellMar>
        </w:tblPrEx>
        <w:tc>
          <w:tcPr>
            <w:tcW w:w="1771" w:type="dxa"/>
            <w:tcBorders>
              <w:top w:val="single" w:sz="4" w:space="0" w:color="auto"/>
              <w:bottom w:val="single" w:sz="4" w:space="0" w:color="auto"/>
            </w:tcBorders>
          </w:tcPr>
          <w:p w14:paraId="09B52CD0" w14:textId="77777777" w:rsidR="007C11E9" w:rsidRPr="000A3A07" w:rsidRDefault="007C11E9">
            <w:pPr>
              <w:spacing w:before="0"/>
              <w:jc w:val="left"/>
              <w:rPr>
                <w:i/>
              </w:rPr>
            </w:pPr>
            <w:r w:rsidRPr="000A3A07">
              <w:rPr>
                <w:i/>
              </w:rPr>
              <w:t>Nytta minus kostnad (2–1)</w:t>
            </w:r>
          </w:p>
        </w:tc>
        <w:tc>
          <w:tcPr>
            <w:tcW w:w="1984" w:type="dxa"/>
            <w:tcBorders>
              <w:top w:val="single" w:sz="4" w:space="0" w:color="auto"/>
              <w:bottom w:val="single" w:sz="4" w:space="0" w:color="auto"/>
            </w:tcBorders>
          </w:tcPr>
          <w:p w14:paraId="0684EB74" w14:textId="77777777" w:rsidR="007C11E9" w:rsidRPr="000A3A07" w:rsidRDefault="007C11E9">
            <w:pPr>
              <w:spacing w:before="0"/>
              <w:jc w:val="right"/>
              <w:rPr>
                <w:i/>
              </w:rPr>
            </w:pPr>
            <w:r w:rsidRPr="000A3A07">
              <w:rPr>
                <w:i/>
              </w:rPr>
              <w:t>-13 891</w:t>
            </w:r>
          </w:p>
        </w:tc>
        <w:tc>
          <w:tcPr>
            <w:tcW w:w="1985" w:type="dxa"/>
            <w:tcBorders>
              <w:top w:val="single" w:sz="4" w:space="0" w:color="auto"/>
              <w:bottom w:val="single" w:sz="4" w:space="0" w:color="auto"/>
            </w:tcBorders>
          </w:tcPr>
          <w:p w14:paraId="344963FC" w14:textId="77777777" w:rsidR="007C11E9" w:rsidRPr="000A3A07" w:rsidRDefault="007C11E9">
            <w:pPr>
              <w:spacing w:before="0"/>
              <w:jc w:val="right"/>
              <w:rPr>
                <w:i/>
              </w:rPr>
            </w:pPr>
            <w:r w:rsidRPr="000A3A07">
              <w:rPr>
                <w:i/>
              </w:rPr>
              <w:t>-4 030</w:t>
            </w:r>
          </w:p>
        </w:tc>
      </w:tr>
      <w:tr w:rsidR="00000000" w:rsidRPr="000A3A07" w14:paraId="3DFD57F0" w14:textId="77777777">
        <w:tblPrEx>
          <w:tblCellMar>
            <w:top w:w="0" w:type="dxa"/>
            <w:bottom w:w="0" w:type="dxa"/>
          </w:tblCellMar>
        </w:tblPrEx>
        <w:tc>
          <w:tcPr>
            <w:tcW w:w="1771" w:type="dxa"/>
            <w:tcBorders>
              <w:top w:val="nil"/>
            </w:tcBorders>
          </w:tcPr>
          <w:p w14:paraId="156BEF34" w14:textId="77777777" w:rsidR="007C11E9" w:rsidRPr="000A3A07" w:rsidRDefault="007C11E9">
            <w:pPr>
              <w:spacing w:before="0"/>
              <w:jc w:val="left"/>
              <w:rPr>
                <w:i/>
              </w:rPr>
            </w:pPr>
            <w:r w:rsidRPr="000A3A07">
              <w:rPr>
                <w:b/>
              </w:rPr>
              <w:t xml:space="preserve">Nettonuvärdekvot </w:t>
            </w:r>
            <w:r w:rsidRPr="000A3A07">
              <w:rPr>
                <w:i/>
              </w:rPr>
              <w:t>((2–1)/1)</w:t>
            </w:r>
          </w:p>
        </w:tc>
        <w:tc>
          <w:tcPr>
            <w:tcW w:w="1984" w:type="dxa"/>
            <w:tcBorders>
              <w:top w:val="nil"/>
            </w:tcBorders>
          </w:tcPr>
          <w:p w14:paraId="68C465BF" w14:textId="77777777" w:rsidR="007C11E9" w:rsidRPr="000A3A07" w:rsidRDefault="007C11E9">
            <w:pPr>
              <w:spacing w:before="0"/>
              <w:jc w:val="right"/>
              <w:rPr>
                <w:b/>
              </w:rPr>
            </w:pPr>
            <w:r w:rsidRPr="000A3A07">
              <w:rPr>
                <w:b/>
              </w:rPr>
              <w:t>-0,89</w:t>
            </w:r>
          </w:p>
        </w:tc>
        <w:tc>
          <w:tcPr>
            <w:tcW w:w="1985" w:type="dxa"/>
            <w:tcBorders>
              <w:top w:val="nil"/>
            </w:tcBorders>
          </w:tcPr>
          <w:p w14:paraId="518031A5" w14:textId="77777777" w:rsidR="007C11E9" w:rsidRPr="000A3A07" w:rsidRDefault="007C11E9">
            <w:pPr>
              <w:spacing w:before="0"/>
              <w:jc w:val="right"/>
              <w:rPr>
                <w:b/>
              </w:rPr>
            </w:pPr>
            <w:r w:rsidRPr="000A3A07">
              <w:rPr>
                <w:b/>
              </w:rPr>
              <w:t>-0,39</w:t>
            </w:r>
          </w:p>
        </w:tc>
      </w:tr>
    </w:tbl>
    <w:p w14:paraId="3B237997" w14:textId="77777777" w:rsidR="007C11E9" w:rsidRPr="000A3A07" w:rsidRDefault="007C11E9">
      <w:pPr>
        <w:pStyle w:val="Tabell"/>
      </w:pPr>
      <w:r w:rsidRPr="000A3A07">
        <w:t xml:space="preserve">*I Inregias kalkyl är beloppen uttryckta i 1992 års prisnivå. I Transeks kalkyl är beloppen uttryckta i 1997 års prisnivå. Beloppen är därför inte helt jämförbara mellan kalkylerna. </w:t>
      </w:r>
    </w:p>
    <w:p w14:paraId="5AFC62CE" w14:textId="77777777" w:rsidR="007C11E9" w:rsidRPr="000A3A07" w:rsidRDefault="007C11E9">
      <w:pPr>
        <w:pStyle w:val="Tabell"/>
      </w:pPr>
      <w:r w:rsidRPr="000A3A07">
        <w:t>Källa: Jansson 2000</w:t>
      </w:r>
    </w:p>
    <w:p w14:paraId="1F676795" w14:textId="77777777" w:rsidR="007C11E9" w:rsidRPr="000A3A07" w:rsidRDefault="007C11E9">
      <w:pPr>
        <w:pStyle w:val="Tabell"/>
      </w:pPr>
    </w:p>
    <w:p w14:paraId="5CFD8470" w14:textId="77777777" w:rsidR="007C11E9" w:rsidRPr="000A3A07" w:rsidRDefault="007C11E9">
      <w:r w:rsidRPr="000A3A07">
        <w:t>I Inregias kalkyl jämförs två utredningsalternativ med situationen utan i</w:t>
      </w:r>
      <w:r w:rsidRPr="000A3A07">
        <w:t>n</w:t>
      </w:r>
      <w:r w:rsidRPr="000A3A07">
        <w:t>vestering i Södra länken. Det ena alternativet var Södra länken med dagens vägnät utan biltullar. Det andra alternativet var Södra länken med ett delvis utbyggt vägnät med det system för biltullar som ingick i Dennisöveren</w:t>
      </w:r>
      <w:r w:rsidRPr="000A3A07">
        <w:t>s</w:t>
      </w:r>
      <w:r w:rsidRPr="000A3A07">
        <w:t>kommelsen. I tabell 11 redovisas resultatet för det första alternativet. Det andra alternativet gav en nettonuvärdekvot på –0,72, vilket betyder att sa</w:t>
      </w:r>
      <w:r w:rsidRPr="000A3A07">
        <w:t>m</w:t>
      </w:r>
      <w:r w:rsidRPr="000A3A07">
        <w:t>hället beräknas få tillbaka 28 öre för varje investerad krona. I Transeks ka</w:t>
      </w:r>
      <w:r w:rsidRPr="000A3A07">
        <w:t>l</w:t>
      </w:r>
      <w:r w:rsidRPr="000A3A07">
        <w:t>kyl jämförs situationen med Södra länken utan biltullar med</w:t>
      </w:r>
      <w:r w:rsidRPr="000A3A07">
        <w:t xml:space="preserve"> situationen utan Södra länken.</w:t>
      </w:r>
    </w:p>
    <w:p w14:paraId="04CE9734" w14:textId="77777777" w:rsidR="007C11E9" w:rsidRPr="000A3A07" w:rsidRDefault="007C11E9">
      <w:pPr>
        <w:pStyle w:val="Normaltindrag"/>
      </w:pPr>
      <w:r w:rsidRPr="000A3A07">
        <w:t>Jansson konstaterar att Inregias och Transeks kalkyler skiljer sig åt både vad gäller beräknade kostnader och nyttor. Han menar att skillnaden i kalky</w:t>
      </w:r>
      <w:r w:rsidRPr="000A3A07">
        <w:t>l</w:t>
      </w:r>
      <w:r w:rsidRPr="000A3A07">
        <w:t>resultat framför allt beror på att kalkylerna baseras på olika trafikprognoser. Skillnader i effektsamband och skillnader i värderingar av olika effekter förklarar enligt Jansson endast en liten del av skillnaden i kalkylresultaten. Jansson anser att det utifrån konsultföretagens rapporter är svårt att granska beräkningarna av trafikprognoserna, vilket också försvårar en kvalitetsb</w:t>
      </w:r>
      <w:r w:rsidRPr="000A3A07">
        <w:t>e</w:t>
      </w:r>
      <w:r w:rsidRPr="000A3A07">
        <w:t>dömning av kalkyle</w:t>
      </w:r>
      <w:r w:rsidRPr="000A3A07">
        <w:t>r</w:t>
      </w:r>
      <w:r w:rsidRPr="000A3A07">
        <w:t xml:space="preserve">na. </w:t>
      </w:r>
    </w:p>
    <w:p w14:paraId="048B698E" w14:textId="77777777" w:rsidR="007C11E9" w:rsidRPr="000A3A07" w:rsidRDefault="007C11E9">
      <w:pPr>
        <w:pStyle w:val="Normaltindrag"/>
      </w:pPr>
      <w:r w:rsidRPr="000A3A07">
        <w:t>Jansson konstaterar att det inte framgår av rapporterna hur stor del av den beräknade trafikökningen s</w:t>
      </w:r>
      <w:r w:rsidRPr="000A3A07">
        <w:t>om utgörs av nya bilresor och hur stor del som utgörs av en förlängning av existerande resor (trafiken på vägar som Södra länken utgörs till stor del av resor som tidigare var kortare men tog längre tid). Dessa faktorer har betydelse för storleken på bl.a. restidsvinster, olyc</w:t>
      </w:r>
      <w:r w:rsidRPr="000A3A07">
        <w:t>k</w:t>
      </w:r>
      <w:r w:rsidRPr="000A3A07">
        <w:t>s-kostnader och miljöeff</w:t>
      </w:r>
      <w:r w:rsidRPr="000A3A07">
        <w:t>e</w:t>
      </w:r>
      <w:r w:rsidRPr="000A3A07">
        <w:t xml:space="preserve">ker. </w:t>
      </w:r>
    </w:p>
    <w:p w14:paraId="735D20E2" w14:textId="77777777" w:rsidR="007C11E9" w:rsidRPr="000A3A07" w:rsidRDefault="007C11E9">
      <w:pPr>
        <w:pStyle w:val="Normaltindrag"/>
      </w:pPr>
      <w:r w:rsidRPr="000A3A07">
        <w:t>En annan viktig skillnad mellan kalkylerna är hur man har beräknat inve-   steringens nytta. Inregia utgår från nyttan under öppningsåret och förutsätter att den kommer att vara densamma under investerin</w:t>
      </w:r>
      <w:r w:rsidRPr="000A3A07">
        <w:t>gens livslängd. Den totala årliga nyttan beräknas öka i proportion till den ökande trafiken (bl.a. på grund av befolkningsökning och ökat bilinnehav per invånare). Transek har däremot gjort separata trafikberäkningar för år 2005, 2015 och 2030 för att ta hänsyn till effekterna för kvarvarande trafik av den successivt ökande trafiken. Transek antar att trafikökningen orsakar nya trånga sektioner i g</w:t>
      </w:r>
      <w:r w:rsidRPr="000A3A07">
        <w:t>a</w:t>
      </w:r>
      <w:r w:rsidRPr="000A3A07">
        <w:t>tusystemet som gör att nyttan av Södra länken jämfört med situationen utan investeringen ökar med tiden. Janss</w:t>
      </w:r>
      <w:r w:rsidRPr="000A3A07">
        <w:t>on anser att Transeks beräkningar trol</w:t>
      </w:r>
      <w:r w:rsidRPr="000A3A07">
        <w:t>i</w:t>
      </w:r>
      <w:r w:rsidRPr="000A3A07">
        <w:t>gen inte speglar den reella beslutssituationen. Om det visar sig att flaskhalsar i systemet faktiskt uppkommer är det enligt Jansson troligt att andra ännu inte planerade åtgärder vidtas för att lösa problemen. Dessutom menar han att en investering som blir lönsam först i framtiden borde skjutas upp till dess att årsnyttan överstiger den kostnadsbesparing det innebär att vänta med investeringen ytterligare ett år. Jansson drar slutsatsen att Transeks metod kan innebära</w:t>
      </w:r>
      <w:r w:rsidRPr="000A3A07">
        <w:t xml:space="preserve"> att investeringens nytta överska</w:t>
      </w:r>
      <w:r w:rsidRPr="000A3A07">
        <w:t>t</w:t>
      </w:r>
      <w:r w:rsidRPr="000A3A07">
        <w:t xml:space="preserve">tas. </w:t>
      </w:r>
    </w:p>
    <w:p w14:paraId="56C37610" w14:textId="77777777" w:rsidR="007C11E9" w:rsidRPr="000A3A07" w:rsidRDefault="007C11E9">
      <w:pPr>
        <w:pStyle w:val="Normaltindrag"/>
      </w:pPr>
      <w:r w:rsidRPr="000A3A07">
        <w:t>Skillnaden i nuvärde av de beräknade nyttoeffekterna mellan de båda ka</w:t>
      </w:r>
      <w:r w:rsidRPr="000A3A07">
        <w:t>l</w:t>
      </w:r>
      <w:r w:rsidRPr="000A3A07">
        <w:t>kylerna skulle öka om man i båda kalkylerna utgick från samma livslängd på investeringen. Inregia räknar i sin kalkyl med att Södra länkens livslängd är 60 år. Transek räknar med 40 år. Jansson uppskattar att Södra länkens totala nytta enligt Inregias beräkningar med en livslängd på 40 år skulle uppgå till omkring noll. Det är ca 6 000 miljoner kronor mindre än enligt Transeks berä</w:t>
      </w:r>
      <w:r w:rsidRPr="000A3A07">
        <w:t>k</w:t>
      </w:r>
      <w:r w:rsidRPr="000A3A07">
        <w:t>ningar.</w:t>
      </w:r>
    </w:p>
    <w:p w14:paraId="23951650" w14:textId="77777777" w:rsidR="007C11E9" w:rsidRPr="000A3A07" w:rsidRDefault="007C11E9">
      <w:pPr>
        <w:pStyle w:val="Normaltindrag"/>
      </w:pPr>
      <w:r w:rsidRPr="000A3A07">
        <w:t>Södra länkens nyttoeffekter utgörs framför allt av trafikanternas tidsvin</w:t>
      </w:r>
      <w:r w:rsidRPr="000A3A07">
        <w:t>s</w:t>
      </w:r>
      <w:r w:rsidRPr="000A3A07">
        <w:t>ter. Enligt Jansson räknar Inregia med att restiden minskar hälften så mycket som Transek. Det beror på att Inregia räknar med att trafiken runt Södra länken och den totala körlängden ökar i större utsträckning och att hastigh</w:t>
      </w:r>
      <w:r w:rsidRPr="000A3A07">
        <w:t>e</w:t>
      </w:r>
      <w:r w:rsidRPr="000A3A07">
        <w:t>ten ökar i mindre utsträckning än vad Transek förutser. Inregia värderar dock restidsminskningen högre än Transek.</w:t>
      </w:r>
    </w:p>
    <w:p w14:paraId="2985AE04" w14:textId="77777777" w:rsidR="007C11E9" w:rsidRPr="000A3A07" w:rsidRDefault="007C11E9">
      <w:pPr>
        <w:pStyle w:val="Normaltindrag"/>
      </w:pPr>
      <w:r w:rsidRPr="000A3A07">
        <w:t>Inregia och Transek har kommit fram till helt olika resultat av beräknin</w:t>
      </w:r>
      <w:r w:rsidRPr="000A3A07">
        <w:t>g</w:t>
      </w:r>
      <w:r w:rsidRPr="000A3A07">
        <w:t>arna av Södra länkens olyckskostnader. Jansson konstaterar att olyckskos</w:t>
      </w:r>
      <w:r w:rsidRPr="000A3A07">
        <w:t>t</w:t>
      </w:r>
      <w:r w:rsidRPr="000A3A07">
        <w:t>naderna bl.a. beror på trafikmängd (exponering), olycksrisk och skadeföljd. I Inregias kalkyl är den ökade exponeringen den avgörande faktorn för olyc</w:t>
      </w:r>
      <w:r w:rsidRPr="000A3A07">
        <w:t>k</w:t>
      </w:r>
      <w:r w:rsidRPr="000A3A07">
        <w:t xml:space="preserve">s-kostnaderna. Den negativa effekten av den ökade trafikmängden på Södra länken överväger de positiva effekterna av att de mindre vägarna runt Södra länken blir avlastade från trafik. I Transeks kalkyl utgör olyckseffekterna en stor positiv post. Det beror enligt Jansson på att Transek </w:t>
      </w:r>
      <w:r w:rsidRPr="000A3A07">
        <w:t>räknar med att e</w:t>
      </w:r>
      <w:r w:rsidRPr="000A3A07">
        <w:t>x</w:t>
      </w:r>
      <w:r w:rsidRPr="000A3A07">
        <w:t>poneringen inte ökar i samma utsträckning och att Transek tar hänsyn till att Södra länkens utformning (motorvägsstandard) minskar olycksrisken. Jan</w:t>
      </w:r>
      <w:r w:rsidRPr="000A3A07">
        <w:t>s</w:t>
      </w:r>
      <w:r w:rsidRPr="000A3A07">
        <w:t>son menar att Transek dessutom utgår från en orimligt hög nivå på olyc</w:t>
      </w:r>
      <w:r w:rsidRPr="000A3A07">
        <w:t>k</w:t>
      </w:r>
      <w:r w:rsidRPr="000A3A07">
        <w:t>skostnaden, vilket innebär att nyttan av den minskade olyckskostnaden öve</w:t>
      </w:r>
      <w:r w:rsidRPr="000A3A07">
        <w:t>r</w:t>
      </w:r>
      <w:r w:rsidRPr="000A3A07">
        <w:t xml:space="preserve">värderas. </w:t>
      </w:r>
    </w:p>
    <w:p w14:paraId="087196B7" w14:textId="77777777" w:rsidR="007C11E9" w:rsidRPr="000A3A07" w:rsidRDefault="007C11E9">
      <w:pPr>
        <w:pStyle w:val="Normaltindrag"/>
      </w:pPr>
      <w:r w:rsidRPr="000A3A07">
        <w:t>Även de beräknade miljöeffekterna (buller och avgaser) skiljer sig åt me</w:t>
      </w:r>
      <w:r w:rsidRPr="000A3A07">
        <w:t>l</w:t>
      </w:r>
      <w:r w:rsidRPr="000A3A07">
        <w:t>lan kalkylerna. Jansson menar att avgas- och bullerkostnaderna till stor del bestäms av bensinförbrukningen och/eller körsträckan. Därmed blir antaga</w:t>
      </w:r>
      <w:r w:rsidRPr="000A3A07">
        <w:t>n</w:t>
      </w:r>
      <w:r w:rsidRPr="000A3A07">
        <w:t>den om hur Södra länken påverkar bilresornas längd avgörande för berä</w:t>
      </w:r>
      <w:r w:rsidRPr="000A3A07">
        <w:t>k</w:t>
      </w:r>
      <w:r w:rsidRPr="000A3A07">
        <w:t>ningarna. I Inregias kalkyl utgör avgaserna en negativ post, vilket ligger i linje med antagandet att bilresorna blir genomsnittligt längre till följd av Södra länken. Transek räknar med att fyra av fem avgaskomponenter ökar. Den femte komponenten, kolväten, beräknas minska tillräckligt myc</w:t>
      </w:r>
      <w:r w:rsidRPr="000A3A07">
        <w:t>ket för att avgasemissionerna ska bli en positiv konsekvens på nyttosidan. Jansson konstaterar att Södra länkens intrångseffekter inte ingår i kalkyle</w:t>
      </w:r>
      <w:r w:rsidRPr="000A3A07">
        <w:t>r</w:t>
      </w:r>
      <w:r w:rsidRPr="000A3A07">
        <w:t>na.</w:t>
      </w:r>
    </w:p>
    <w:p w14:paraId="08AF93FF" w14:textId="77777777" w:rsidR="007C11E9" w:rsidRPr="000A3A07" w:rsidRDefault="007C11E9">
      <w:pPr>
        <w:pStyle w:val="Normaltindrag"/>
      </w:pPr>
      <w:r w:rsidRPr="000A3A07">
        <w:t>Fordonskostnaderna beror både på trafikarbetet och på hastigheten. Jan</w:t>
      </w:r>
      <w:r w:rsidRPr="000A3A07">
        <w:t>s</w:t>
      </w:r>
      <w:r w:rsidRPr="000A3A07">
        <w:t>son konstaterar att ökade fordonskostnader för existerande trafik inte ingår i Inregias kalkyl, trots att Inregia räknar med att resorna förlängs. Fordon</w:t>
      </w:r>
      <w:r w:rsidRPr="000A3A07">
        <w:t>s</w:t>
      </w:r>
      <w:r w:rsidRPr="000A3A07">
        <w:t>kostnaden antas motsvara nyttan av att trafiken med Södra länken omförd</w:t>
      </w:r>
      <w:r w:rsidRPr="000A3A07">
        <w:t>e</w:t>
      </w:r>
      <w:r w:rsidRPr="000A3A07">
        <w:t>las på vägar med bättre framkomlighet och färre stopp. Eftersom effekterna beräknas ta ut varandra har de uteslutits ur kalkylen. Transek har räknat med att fordonskostnaderna ökar med Södra länken till följd av den beräknade (men i förhållande till Inregia måttliga) trafikökningen, f</w:t>
      </w:r>
      <w:r w:rsidRPr="000A3A07">
        <w:t xml:space="preserve">astslår Jansson. </w:t>
      </w:r>
    </w:p>
    <w:p w14:paraId="52CD42E0" w14:textId="77777777" w:rsidR="007C11E9" w:rsidRPr="000A3A07" w:rsidRDefault="007C11E9">
      <w:pPr>
        <w:pStyle w:val="Normaltindrag"/>
      </w:pPr>
      <w:r w:rsidRPr="000A3A07">
        <w:t>Skillnaden i kostnader beror enligt Jansson dels på kalkyltekniska skilln</w:t>
      </w:r>
      <w:r w:rsidRPr="000A3A07">
        <w:t>a</w:t>
      </w:r>
      <w:r w:rsidRPr="000A3A07">
        <w:t>der, dels på att Inregia räknar med att installationer om 1 miljard kronor måste förnyas vart femtonde år. Jansson konstaterar att Transek inte tycks ha tagit hänsyn till behovet av sådana förnyelser.</w:t>
      </w:r>
    </w:p>
    <w:p w14:paraId="278B6FC8" w14:textId="77777777" w:rsidR="007C11E9" w:rsidRPr="000A3A07" w:rsidRDefault="007C11E9">
      <w:pPr>
        <w:rPr>
          <w:b/>
          <w:i/>
        </w:rPr>
      </w:pPr>
      <w:r w:rsidRPr="000A3A07">
        <w:rPr>
          <w:b/>
          <w:i/>
        </w:rPr>
        <w:t>Synpunkter</w:t>
      </w:r>
    </w:p>
    <w:p w14:paraId="2B4C0E6B" w14:textId="77777777" w:rsidR="007C11E9" w:rsidRPr="000A3A07" w:rsidRDefault="007C11E9">
      <w:r w:rsidRPr="000A3A07">
        <w:rPr>
          <w:i/>
        </w:rPr>
        <w:t xml:space="preserve">SIKA </w:t>
      </w:r>
      <w:r w:rsidRPr="000A3A07">
        <w:t>delar Janssons slutsatser och bedömningar. SIKA påpekar med anle</w:t>
      </w:r>
      <w:r w:rsidRPr="000A3A07">
        <w:t>d</w:t>
      </w:r>
      <w:r w:rsidRPr="000A3A07">
        <w:t>ning av skillnaderna i Inregias och Transeks trafikprognoser att uppdragsg</w:t>
      </w:r>
      <w:r w:rsidRPr="000A3A07">
        <w:t>i</w:t>
      </w:r>
      <w:r w:rsidRPr="000A3A07">
        <w:t>vare och uppdragstagare bör eftersträva att kalkyler görs med gemensamma förutsättningar. SIKA gör bedömningen att bristande dokumentation är ett vanligt problem med prognoser. SIKA anser att SIKA bör ta fram sådana riktlinjer, för att underlätta uppföljning av kalkylerna.</w:t>
      </w:r>
    </w:p>
    <w:p w14:paraId="1FD1F2A5" w14:textId="77777777" w:rsidR="007C11E9" w:rsidRPr="000A3A07" w:rsidRDefault="007C11E9">
      <w:pPr>
        <w:pStyle w:val="Normaltindrag"/>
      </w:pPr>
      <w:r w:rsidRPr="000A3A07">
        <w:t>Institutet konstaterar att varken Inregia eller Transek studerar något reellt alternativ till Södr</w:t>
      </w:r>
      <w:r w:rsidRPr="000A3A07">
        <w:t>a länken. SIKA påpekar också att alternativen är oklara, eftersom politiska ställningstaganden om förutsättningarna för trafiken i Storstockholm (t.ex. biltullar och kollektivtrafikens utbyggnad) påverkar de tänkbara alternativens lö</w:t>
      </w:r>
      <w:r w:rsidRPr="000A3A07">
        <w:t>n</w:t>
      </w:r>
      <w:r w:rsidRPr="000A3A07">
        <w:t>samhet.</w:t>
      </w:r>
    </w:p>
    <w:p w14:paraId="54565A43" w14:textId="77777777" w:rsidR="007C11E9" w:rsidRPr="000A3A07" w:rsidRDefault="007C11E9">
      <w:pPr>
        <w:pStyle w:val="Normaltindrag"/>
      </w:pPr>
      <w:r w:rsidRPr="000A3A07">
        <w:rPr>
          <w:i/>
        </w:rPr>
        <w:t xml:space="preserve">Inregia AB </w:t>
      </w:r>
      <w:r w:rsidRPr="000A3A07">
        <w:t>menar att skillnaden i resultat mellan kalkylerna delvis speglar den osäkerhet som samhällsekonomiska kalkyler är förenad med. Som tid</w:t>
      </w:r>
      <w:r w:rsidRPr="000A3A07">
        <w:t>i</w:t>
      </w:r>
      <w:r w:rsidRPr="000A3A07">
        <w:t>gare nämnts anser Inregia att det behövs metoder för hantering av osäkerh</w:t>
      </w:r>
      <w:r w:rsidRPr="000A3A07">
        <w:t>e</w:t>
      </w:r>
      <w:r w:rsidRPr="000A3A07">
        <w:t>ten i samhällsekonomiska bedömningar. Inregia konstaterar att det kan finnas felaktigheter i båda ka</w:t>
      </w:r>
      <w:r w:rsidRPr="000A3A07">
        <w:t>l</w:t>
      </w:r>
      <w:r w:rsidRPr="000A3A07">
        <w:t>kylerna.</w:t>
      </w:r>
    </w:p>
    <w:p w14:paraId="0FD1B0A2" w14:textId="77777777" w:rsidR="007C11E9" w:rsidRPr="000A3A07" w:rsidRDefault="007C11E9">
      <w:pPr>
        <w:pStyle w:val="Normaltindrag"/>
      </w:pPr>
      <w:r w:rsidRPr="000A3A07">
        <w:rPr>
          <w:i/>
        </w:rPr>
        <w:t>Transek AB</w:t>
      </w:r>
      <w:r w:rsidRPr="000A3A07">
        <w:t xml:space="preserve"> uppger att bolaget utan vetskap om hur Inregia har arbetat har svårt att kommentera skillnaden i resultat mellan kalkylerna. Transek menar att resultatet av samhällsekonomiska kalkyler kan vara svårt att tolka. Bol</w:t>
      </w:r>
      <w:r w:rsidRPr="000A3A07">
        <w:t>a</w:t>
      </w:r>
      <w:r w:rsidRPr="000A3A07">
        <w:t>get avser att diskutera med bl.a. Vägverket och Banverket och berörda for</w:t>
      </w:r>
      <w:r w:rsidRPr="000A3A07">
        <w:t>s</w:t>
      </w:r>
      <w:r w:rsidRPr="000A3A07">
        <w:t>kare hur kalkylresultat kan redovisas bättre och mer lättillgängligt.</w:t>
      </w:r>
    </w:p>
    <w:p w14:paraId="7A71E6BA" w14:textId="77777777" w:rsidR="007C11E9" w:rsidRPr="000A3A07" w:rsidRDefault="007C11E9">
      <w:pPr>
        <w:pStyle w:val="Normaltindrag"/>
      </w:pPr>
      <w:r w:rsidRPr="000A3A07">
        <w:rPr>
          <w:i/>
        </w:rPr>
        <w:t>Vägverket</w:t>
      </w:r>
      <w:r w:rsidRPr="000A3A07">
        <w:t xml:space="preserve"> påpekar att samhällsekonomiska kalkyler är ett av flera underlag som används vid beslut om infrastrukturinvesteringar. I kalkylerna hanteras ett begränsat antal poster som baseras på individens värderingar. Vägverket menar att flera kvalitativa aspekter, som samhällets värdering av att nå mål om tillgänglighet, säkerhet och trygghet och boendemiljö, inte fångas in i kalkylen. Kalkylens resultat måste därför prövas mot politiska mål och vä</w:t>
      </w:r>
      <w:r w:rsidRPr="000A3A07">
        <w:t>r</w:t>
      </w:r>
      <w:r w:rsidRPr="000A3A07">
        <w:t>deringar, menar verket. Verket tillägger att bedömningar av bl.a. be</w:t>
      </w:r>
      <w:r w:rsidRPr="000A3A07">
        <w:t>bygge</w:t>
      </w:r>
      <w:r w:rsidRPr="000A3A07">
        <w:t>l</w:t>
      </w:r>
      <w:r w:rsidRPr="000A3A07">
        <w:t>semönster och regionstruktur också måste vägas samman med kalkylresult</w:t>
      </w:r>
      <w:r w:rsidRPr="000A3A07">
        <w:t>a</w:t>
      </w:r>
      <w:r w:rsidRPr="000A3A07">
        <w:t>tet.</w:t>
      </w:r>
    </w:p>
    <w:p w14:paraId="7EAD7064" w14:textId="77777777" w:rsidR="007C11E9" w:rsidRPr="000A3A07" w:rsidRDefault="007C11E9">
      <w:pPr>
        <w:pStyle w:val="Normaltindrag"/>
      </w:pPr>
      <w:r w:rsidRPr="000A3A07">
        <w:t>Vägverket menar att kalkylerna för Södra länken visar att trafikanalyser och samhällsekonomiska kalkyler liksom andra typer av utvärderingsmetoder är behäftade med osäkerheter. Verket anser att det finns ett behov av att förbättra bedömning och redovisning av osäkerheter i värderingar och pr</w:t>
      </w:r>
      <w:r w:rsidRPr="000A3A07">
        <w:t>o</w:t>
      </w:r>
      <w:r w:rsidRPr="000A3A07">
        <w:t>gnoser.</w:t>
      </w:r>
    </w:p>
    <w:p w14:paraId="5EBDB239" w14:textId="77777777" w:rsidR="007C11E9" w:rsidRPr="000A3A07" w:rsidRDefault="007C11E9">
      <w:pPr>
        <w:pStyle w:val="Normaltindrag"/>
      </w:pPr>
      <w:r w:rsidRPr="000A3A07">
        <w:t xml:space="preserve">Verket delar Janssons kritik beträffande brister i möjligheten att återskapa kalkylens beräkningsförutsättningar. </w:t>
      </w:r>
    </w:p>
    <w:p w14:paraId="2E6B2553" w14:textId="77777777" w:rsidR="007C11E9" w:rsidRPr="000A3A07" w:rsidRDefault="007C11E9">
      <w:pPr>
        <w:pStyle w:val="Normaltindrag"/>
      </w:pPr>
      <w:r w:rsidRPr="000A3A07">
        <w:t>Vägverket anser att Jansson har tagit ställning mot byggandet av Södra länken. Verket menar också att Jansson kraftigt förenklar beskrivningen av den dem</w:t>
      </w:r>
      <w:r w:rsidRPr="000A3A07">
        <w:t>o</w:t>
      </w:r>
      <w:r w:rsidRPr="000A3A07">
        <w:t>kratiska beslutsprocessen.</w:t>
      </w:r>
    </w:p>
    <w:p w14:paraId="5F83BB37" w14:textId="77777777" w:rsidR="007C11E9" w:rsidRPr="000A3A07" w:rsidRDefault="007C11E9">
      <w:pPr>
        <w:pStyle w:val="Normaltindrag"/>
      </w:pPr>
      <w:r w:rsidRPr="000A3A07">
        <w:t>Vägverket framhåller slutligen att verkets strävan är att inför ett invest</w:t>
      </w:r>
      <w:r w:rsidRPr="000A3A07">
        <w:t>e</w:t>
      </w:r>
      <w:r w:rsidRPr="000A3A07">
        <w:t>ringsbeslut utreda alternativa lösningar av trafikproblem, inte bara väginve-  steringar. Lösningen kan bestå av en kombination av åtgärder, som invest</w:t>
      </w:r>
      <w:r w:rsidRPr="000A3A07">
        <w:t>e</w:t>
      </w:r>
      <w:r w:rsidRPr="000A3A07">
        <w:t>ringar, styrmedel och regleringar.</w:t>
      </w:r>
    </w:p>
    <w:p w14:paraId="5BB2138E" w14:textId="77777777" w:rsidR="007C11E9" w:rsidRPr="000A3A07" w:rsidRDefault="007C11E9">
      <w:pPr>
        <w:pStyle w:val="Rubrik2"/>
      </w:pPr>
      <w:bookmarkStart w:id="121" w:name="_Toc496581017"/>
      <w:bookmarkStart w:id="122" w:name="_Toc506340959"/>
      <w:r w:rsidRPr="000A3A07">
        <w:t>Sammanfattande iakttagelser</w:t>
      </w:r>
      <w:bookmarkEnd w:id="121"/>
      <w:bookmarkEnd w:id="122"/>
    </w:p>
    <w:p w14:paraId="59A521F9" w14:textId="77777777" w:rsidR="007C11E9" w:rsidRPr="000A3A07" w:rsidRDefault="007C11E9">
      <w:r w:rsidRPr="000A3A07">
        <w:t>Samhällsekonomiska kalkyler utgör en betydelsefull del av det samlade underlaget för ett beslut om en infrastrukturinvestering. Kalkylerna används för att försöka få en helhetsbild av en investerings alla effekter. Det har i flera sammanhang riktats kritik mot samhällsekonomiska kalkyler. Kritiken har i huvudsak gällt bakomliggande antaganden och den omgivande bere</w:t>
      </w:r>
      <w:r w:rsidRPr="000A3A07">
        <w:t>d</w:t>
      </w:r>
      <w:r w:rsidRPr="000A3A07">
        <w:t xml:space="preserve">ningsprocessen. </w:t>
      </w:r>
    </w:p>
    <w:p w14:paraId="2F15432C" w14:textId="77777777" w:rsidR="007C11E9" w:rsidRPr="000A3A07" w:rsidRDefault="007C11E9">
      <w:pPr>
        <w:pStyle w:val="Normaltindrag"/>
      </w:pPr>
      <w:r w:rsidRPr="000A3A07">
        <w:t>De forskare som på revisorernas uppdrag har granskat underlaget för i</w:t>
      </w:r>
      <w:r w:rsidRPr="000A3A07">
        <w:t>n</w:t>
      </w:r>
      <w:r w:rsidRPr="000A3A07">
        <w:t>vesteringar som finansieras på annat sätt än med anslag konstaterar att det inte finns några principiella felaktigheter i de flesta av beräkningarna. Samt</w:t>
      </w:r>
      <w:r w:rsidRPr="000A3A07">
        <w:t>i</w:t>
      </w:r>
      <w:r w:rsidRPr="000A3A07">
        <w:t>digt konstaterar forskarna att kalkylerna i många fall inte utgör tillfredsstä</w:t>
      </w:r>
      <w:r w:rsidRPr="000A3A07">
        <w:t>l</w:t>
      </w:r>
      <w:r w:rsidRPr="000A3A07">
        <w:t>lande underlag för beslut om en investering. Forskarna kritiserar bl.a. att för få alternativa lösningar studeras i kalkylerna, att beräkningarna redovisas på ett bristfälligt sätt, att prognoserna som kalkylerna bygger på är alltför opt</w:t>
      </w:r>
      <w:r w:rsidRPr="000A3A07">
        <w:t>i</w:t>
      </w:r>
      <w:r w:rsidRPr="000A3A07">
        <w:t>mistiska och att alla effekter inte ing</w:t>
      </w:r>
      <w:r w:rsidRPr="000A3A07">
        <w:t>år i beräkningarna. De synpunkter som inkommit på forskarnas rapporter överensstämmer till stor del med forska</w:t>
      </w:r>
      <w:r w:rsidRPr="000A3A07">
        <w:t>r</w:t>
      </w:r>
      <w:r w:rsidRPr="000A3A07">
        <w:t>nas slutsatser. Nedan redovisas en sammanfattning av de bedömningar och sy</w:t>
      </w:r>
      <w:r w:rsidRPr="000A3A07">
        <w:t>n</w:t>
      </w:r>
      <w:r w:rsidRPr="000A3A07">
        <w:t>punkter som framkommit i revisorernas fallstudier.</w:t>
      </w:r>
    </w:p>
    <w:p w14:paraId="5DBEB02C" w14:textId="77777777" w:rsidR="007C11E9" w:rsidRPr="000A3A07" w:rsidRDefault="007C11E9">
      <w:pPr>
        <w:rPr>
          <w:i/>
        </w:rPr>
      </w:pPr>
      <w:r w:rsidRPr="000A3A07">
        <w:rPr>
          <w:i/>
        </w:rPr>
        <w:t>Kalkylerna avser inte de åtgärder som verkligen vidtas</w:t>
      </w:r>
    </w:p>
    <w:p w14:paraId="777962DF" w14:textId="77777777" w:rsidR="007C11E9" w:rsidRPr="000A3A07" w:rsidRDefault="007C11E9">
      <w:r w:rsidRPr="000A3A07">
        <w:t>En av forskarnas slutsatser är att regering och riksdag fattar beslut om i</w:t>
      </w:r>
      <w:r w:rsidRPr="000A3A07">
        <w:t>n</w:t>
      </w:r>
      <w:r w:rsidRPr="000A3A07">
        <w:t>vesteringar utan att veta om åtgärderna är samhällsekonomiskt lönsamma. Planeringen av en investering är en process som kan pågå i flera år. Kunskap byggs upp och beslut om investeringen och dess utformning tas stegvis. I takt med att ny information tas fram i processen kan projektet förändras och omprövas. Därför är det vanligt att kalkyler tas fram i olika skeden av plan</w:t>
      </w:r>
      <w:r w:rsidRPr="000A3A07">
        <w:t>e</w:t>
      </w:r>
      <w:r w:rsidRPr="000A3A07">
        <w:t>ringen. Forskarna konstaterar att det har förekommit att projekt har förän</w:t>
      </w:r>
      <w:r w:rsidRPr="000A3A07">
        <w:t>d</w:t>
      </w:r>
      <w:r w:rsidRPr="000A3A07">
        <w:t>rats i viktiga delar efter det att de samhällsekonomiska kal</w:t>
      </w:r>
      <w:r w:rsidRPr="000A3A07">
        <w:t>kylerna tagits fram och att kalkylerna inte reviderats med hänsyn till detta. Därmed har den faktiskt utförda åtgärdens samhällsekonomiska lönsamhet inte pr</w:t>
      </w:r>
      <w:r w:rsidRPr="000A3A07">
        <w:t>ö</w:t>
      </w:r>
      <w:r w:rsidRPr="000A3A07">
        <w:t>vats.</w:t>
      </w:r>
    </w:p>
    <w:p w14:paraId="06D2EB84" w14:textId="77777777" w:rsidR="007C11E9" w:rsidRPr="000A3A07" w:rsidRDefault="007C11E9">
      <w:pPr>
        <w:rPr>
          <w:i/>
        </w:rPr>
      </w:pPr>
      <w:r w:rsidRPr="000A3A07">
        <w:rPr>
          <w:i/>
        </w:rPr>
        <w:t>Inget bästa realistiskt alternativ undersöks</w:t>
      </w:r>
    </w:p>
    <w:p w14:paraId="64A1ED02" w14:textId="77777777" w:rsidR="007C11E9" w:rsidRPr="000A3A07" w:rsidRDefault="007C11E9">
      <w:r w:rsidRPr="000A3A07">
        <w:t>Forskarna konstaterar i fallstudierna att effekterna av en föreslagen invest</w:t>
      </w:r>
      <w:r w:rsidRPr="000A3A07">
        <w:t>e</w:t>
      </w:r>
      <w:r w:rsidRPr="000A3A07">
        <w:t>ring jämförs med situationen om ingen åtgärd genomförs. Forskarna anser att denna ansats är rimlig, men menar att det kan vara missvisande om beslut</w:t>
      </w:r>
      <w:r w:rsidRPr="000A3A07">
        <w:t>s</w:t>
      </w:r>
      <w:r w:rsidRPr="000A3A07">
        <w:t xml:space="preserve">situationen framställs som om det bara finns ett enda handlingsalternativ. Forskarna kritiserar att kalkylerna inte omfattar flera alternativa lösningar. Det kan gälla enklare och billigare lösningar, lösningar inom andra trafikslag eller bara alternativa utformningar av den investering som föreslås. </w:t>
      </w:r>
    </w:p>
    <w:p w14:paraId="330E5F90" w14:textId="77777777" w:rsidR="007C11E9" w:rsidRPr="000A3A07" w:rsidRDefault="007C11E9">
      <w:pPr>
        <w:pStyle w:val="Normaltindrag"/>
      </w:pPr>
      <w:r w:rsidRPr="000A3A07">
        <w:t xml:space="preserve">Det har också framkommit synpunkter på att lönsamheten för </w:t>
      </w:r>
      <w:r w:rsidRPr="000A3A07">
        <w:t>en invest</w:t>
      </w:r>
      <w:r w:rsidRPr="000A3A07">
        <w:t>e</w:t>
      </w:r>
      <w:r w:rsidRPr="000A3A07">
        <w:t>ring av denna typ bör jämföras med lönsamheten för andra infrastrukturi</w:t>
      </w:r>
      <w:r w:rsidRPr="000A3A07">
        <w:t>n</w:t>
      </w:r>
      <w:r w:rsidRPr="000A3A07">
        <w:t>vesteringar. En sådan jämförelse kan ge en bild av projektets relativa lö</w:t>
      </w:r>
      <w:r w:rsidRPr="000A3A07">
        <w:t>n</w:t>
      </w:r>
      <w:r w:rsidRPr="000A3A07">
        <w:t xml:space="preserve">samhet. </w:t>
      </w:r>
    </w:p>
    <w:p w14:paraId="4974D820" w14:textId="77777777" w:rsidR="007C11E9" w:rsidRPr="000A3A07" w:rsidRDefault="007C11E9">
      <w:pPr>
        <w:pStyle w:val="Normaltindrag"/>
      </w:pPr>
      <w:r w:rsidRPr="000A3A07">
        <w:t>SIKA konstaterar att analyser av ett realistiskt bästa alternativ utelämnats i samtliga kalkyler som ingår i fallstudierna. SIKA menar att flera av de brister som framkommer i forskarnas rapporter verkar bero på ”bristande intresse i Regeringskansliet för att söka mer effektiva alternativ till de storslagna lö</w:t>
      </w:r>
      <w:r w:rsidRPr="000A3A07">
        <w:t>s</w:t>
      </w:r>
      <w:r w:rsidRPr="000A3A07">
        <w:t>ningar som placerats på dagordningen”. SIKA tillägger att den samordnade inriktningsplaneringen är statsmakternas sätt att undvika alltför snävt fokus på ett tran</w:t>
      </w:r>
      <w:r w:rsidRPr="000A3A07">
        <w:t>s</w:t>
      </w:r>
      <w:r w:rsidRPr="000A3A07">
        <w:t>portslag i planeringen av väg- och järnvägsinvesteringar.</w:t>
      </w:r>
    </w:p>
    <w:p w14:paraId="22942209" w14:textId="77777777" w:rsidR="007C11E9" w:rsidRPr="000A3A07" w:rsidRDefault="007C11E9">
      <w:pPr>
        <w:pStyle w:val="Normaltindrag"/>
      </w:pPr>
      <w:r w:rsidRPr="000A3A07">
        <w:t>Banverket anser i likhet med forskarna att det är olyckligt att större förän</w:t>
      </w:r>
      <w:r w:rsidRPr="000A3A07">
        <w:t>d</w:t>
      </w:r>
      <w:r w:rsidRPr="000A3A07">
        <w:t>ringar i infrastrukturutbudet analyseras med alltför snäv utgångspunkt i ett transportslag och dess infrastruktur. Banverket menar att uppfattningen li</w:t>
      </w:r>
      <w:r w:rsidRPr="000A3A07">
        <w:t>g</w:t>
      </w:r>
      <w:r w:rsidRPr="000A3A07">
        <w:t>ger i linje med ”den transportslagsövergripande ansats som nu präglar tran</w:t>
      </w:r>
      <w:r w:rsidRPr="000A3A07">
        <w:t>s</w:t>
      </w:r>
      <w:r w:rsidRPr="000A3A07">
        <w:t>portpolitiken”. Vägverket framhåller att verket strävar efter att analysera och redovisa alternativa lösningar på trafikproblem. Verket menar att lösningen kan bestå av en kombination av olika åtgärder som investeringar, styrmedel och reglerin</w:t>
      </w:r>
      <w:r w:rsidRPr="000A3A07">
        <w:t>g</w:t>
      </w:r>
      <w:r w:rsidRPr="000A3A07">
        <w:t>ar.</w:t>
      </w:r>
    </w:p>
    <w:p w14:paraId="27EA8804" w14:textId="77777777" w:rsidR="007C11E9" w:rsidRPr="000A3A07" w:rsidRDefault="007C11E9">
      <w:pPr>
        <w:pStyle w:val="Normaltindrag"/>
      </w:pPr>
      <w:r w:rsidRPr="000A3A07">
        <w:t>I en tidigare analys av kvaliteten p</w:t>
      </w:r>
      <w:r w:rsidRPr="000A3A07">
        <w:t>å Vägverkets och Banverkets förslag till tioårsplaner pekade Riksrevisionsverket också på att trafikverken alltför ensidigt inriktade sig på nybyggande och inte analyserade alternativa lö</w:t>
      </w:r>
      <w:r w:rsidRPr="000A3A07">
        <w:t>s</w:t>
      </w:r>
      <w:r w:rsidRPr="000A3A07">
        <w:t>ningar (Riksrev</w:t>
      </w:r>
      <w:r w:rsidRPr="000A3A07">
        <w:t>i</w:t>
      </w:r>
      <w:r w:rsidRPr="000A3A07">
        <w:t>sionsverket 1997 b).</w:t>
      </w:r>
    </w:p>
    <w:p w14:paraId="6B70C5A3" w14:textId="77777777" w:rsidR="007C11E9" w:rsidRPr="000A3A07" w:rsidRDefault="007C11E9">
      <w:pPr>
        <w:rPr>
          <w:i/>
        </w:rPr>
      </w:pPr>
      <w:r w:rsidRPr="000A3A07">
        <w:rPr>
          <w:i/>
        </w:rPr>
        <w:t>Beräkningarna redovisas på ett bristfälligt sätt</w:t>
      </w:r>
    </w:p>
    <w:p w14:paraId="605AE34B" w14:textId="77777777" w:rsidR="007C11E9" w:rsidRPr="000A3A07" w:rsidRDefault="007C11E9">
      <w:r w:rsidRPr="000A3A07">
        <w:t>Forskarna påpekar att det är svårt att återskapa kalkylernas beräkningsföru</w:t>
      </w:r>
      <w:r w:rsidRPr="000A3A07">
        <w:t>t</w:t>
      </w:r>
      <w:r w:rsidRPr="000A3A07">
        <w:t>sättningar. Bristerna gäller framför allt redovisningen av de prognoser för framtida trafik som kalkylerna grundas på. Bristerna medför svårigheter att granska prognosernas rimlighet och kalkylernas kvalitet.</w:t>
      </w:r>
    </w:p>
    <w:p w14:paraId="19CE8F70" w14:textId="77777777" w:rsidR="007C11E9" w:rsidRPr="000A3A07" w:rsidRDefault="007C11E9">
      <w:pPr>
        <w:pStyle w:val="Normaltindrag"/>
      </w:pPr>
      <w:r w:rsidRPr="000A3A07">
        <w:t>SIKA drar på grundval av forskarnas rapporter slutsatsen att institutet bör utforma riktlinjer för krav på dokumentation av prognoser. Med bättre d</w:t>
      </w:r>
      <w:r w:rsidRPr="000A3A07">
        <w:t>o</w:t>
      </w:r>
      <w:r w:rsidRPr="000A3A07">
        <w:t>kumentation skulle en uppföljning av kalkylerna underlättas, menar SIKA. Även Vägverket och konsultföretaget Transek AB kommenterar bristerna i redovi</w:t>
      </w:r>
      <w:r w:rsidRPr="000A3A07">
        <w:t>s</w:t>
      </w:r>
      <w:r w:rsidRPr="000A3A07">
        <w:t>ningen av beräkningsförutsättningarna och av kalkylernas resultat.</w:t>
      </w:r>
    </w:p>
    <w:p w14:paraId="24617157" w14:textId="77777777" w:rsidR="007C11E9" w:rsidRPr="000A3A07" w:rsidRDefault="007C11E9">
      <w:pPr>
        <w:rPr>
          <w:i/>
        </w:rPr>
      </w:pPr>
      <w:r w:rsidRPr="000A3A07">
        <w:rPr>
          <w:i/>
        </w:rPr>
        <w:t>Optimistiska prognoser</w:t>
      </w:r>
    </w:p>
    <w:p w14:paraId="4945CC2E" w14:textId="77777777" w:rsidR="007C11E9" w:rsidRPr="000A3A07" w:rsidRDefault="007C11E9">
      <w:r w:rsidRPr="000A3A07">
        <w:t>Forskarna konstaterar att kalkylerna som ingår i fallstudierna bygger på optimistiska prognoser för framtida trafik. SIKA uppger att institutet i en uppföljning av Banverkets och Vägverkets kalkyler har funnit att järnväg</w:t>
      </w:r>
      <w:r w:rsidRPr="000A3A07">
        <w:t>s</w:t>
      </w:r>
      <w:r w:rsidRPr="000A3A07">
        <w:t>trafiken på färdigställda banor i några fall är långt under den nivå som berä</w:t>
      </w:r>
      <w:r w:rsidRPr="000A3A07">
        <w:t>k</w:t>
      </w:r>
      <w:r w:rsidRPr="000A3A07">
        <w:t>nats i prognoserna. Även Riksrevisionsverket har tidigare observerat att Banve</w:t>
      </w:r>
      <w:r w:rsidRPr="000A3A07">
        <w:t>r</w:t>
      </w:r>
      <w:r w:rsidRPr="000A3A07">
        <w:t>kets prognoser är alltför optimistiska (Riksrevisionsverket 1997 a).</w:t>
      </w:r>
    </w:p>
    <w:p w14:paraId="15B6D5AF" w14:textId="77777777" w:rsidR="007C11E9" w:rsidRPr="000A3A07" w:rsidRDefault="007C11E9">
      <w:pPr>
        <w:pStyle w:val="Normaltindrag"/>
      </w:pPr>
      <w:r w:rsidRPr="000A3A07">
        <w:t>I en av forskarnas rapporter dras slutsatsen att trafikverken inte har til</w:t>
      </w:r>
      <w:r w:rsidRPr="000A3A07">
        <w:t>l</w:t>
      </w:r>
      <w:r w:rsidRPr="000A3A07">
        <w:t>räckliga drivkrafter att följa upp sina prognoser för att utveckla metodiken. SIKA uppger att denna slutsats stämmer överens med institutets iak</w:t>
      </w:r>
      <w:r w:rsidRPr="000A3A07">
        <w:t>t</w:t>
      </w:r>
      <w:r w:rsidRPr="000A3A07">
        <w:t xml:space="preserve">tagelser. </w:t>
      </w:r>
    </w:p>
    <w:p w14:paraId="22304D4E" w14:textId="77777777" w:rsidR="007C11E9" w:rsidRPr="000A3A07" w:rsidRDefault="007C11E9">
      <w:pPr>
        <w:rPr>
          <w:i/>
        </w:rPr>
      </w:pPr>
      <w:r w:rsidRPr="000A3A07">
        <w:rPr>
          <w:i/>
        </w:rPr>
        <w:t>Miljöeffekterna redovisas på ett bristfälligt sätt</w:t>
      </w:r>
    </w:p>
    <w:p w14:paraId="32125BB0" w14:textId="77777777" w:rsidR="007C11E9" w:rsidRPr="000A3A07" w:rsidRDefault="007C11E9">
      <w:r w:rsidRPr="000A3A07">
        <w:t>Av forskarnas rapporter framgår att redovisningen av investeringarnas milj</w:t>
      </w:r>
      <w:r w:rsidRPr="000A3A07">
        <w:t>ö</w:t>
      </w:r>
      <w:r w:rsidRPr="000A3A07">
        <w:t>effekter i kalkylerna är otillräcklig. Vissa effekter ingår över huvud taget inte i kalkylerna. Andra effekter värderas schablonmässigt. Enligt forskarnas bedömning underskattas värdet av de negativa miljöeffekterna i vissa kalk</w:t>
      </w:r>
      <w:r w:rsidRPr="000A3A07">
        <w:t>y</w:t>
      </w:r>
      <w:r w:rsidRPr="000A3A07">
        <w:t>ler.</w:t>
      </w:r>
    </w:p>
    <w:p w14:paraId="05544B2E" w14:textId="77777777" w:rsidR="007C11E9" w:rsidRPr="000A3A07" w:rsidRDefault="007C11E9">
      <w:pPr>
        <w:pStyle w:val="Normaltindrag"/>
      </w:pPr>
      <w:r w:rsidRPr="000A3A07">
        <w:t>SIKA konstaterar att landskaps- och stadsbyggnadseffekter inte kan hant</w:t>
      </w:r>
      <w:r w:rsidRPr="000A3A07">
        <w:t>e</w:t>
      </w:r>
      <w:r w:rsidRPr="000A3A07">
        <w:t>ras i de samhällsekonomiska kalkylerna. Dessa effekter måste i stället hant</w:t>
      </w:r>
      <w:r w:rsidRPr="000A3A07">
        <w:t>e</w:t>
      </w:r>
      <w:r w:rsidRPr="000A3A07">
        <w:t>ras i en politisk beslutsprocess. SIKA anser att det därför finns anledning att utarbeta bättre och mer systematiska konsekvensbeskrivningar.</w:t>
      </w:r>
    </w:p>
    <w:p w14:paraId="0DD4C7D4" w14:textId="77777777" w:rsidR="007C11E9" w:rsidRPr="000A3A07" w:rsidRDefault="007C11E9">
      <w:pPr>
        <w:rPr>
          <w:i/>
        </w:rPr>
      </w:pPr>
      <w:r w:rsidRPr="000A3A07">
        <w:rPr>
          <w:i/>
        </w:rPr>
        <w:t>Osäkerheter i kalkylerna</w:t>
      </w:r>
    </w:p>
    <w:p w14:paraId="3702D89F" w14:textId="77777777" w:rsidR="007C11E9" w:rsidRPr="000A3A07" w:rsidRDefault="007C11E9">
      <w:r w:rsidRPr="000A3A07">
        <w:t xml:space="preserve">Vägverket och konsultföretaget Inregia AB påpekar att utvärderingsmetoder av olika slag, inte minst samhällsekonomiska kalkyler, är osäkra. De anser att det behövs bättre metoder för hantering, redovisning och bedömning av osäkerheter i såväl värderingar som prognoser. </w:t>
      </w:r>
    </w:p>
    <w:p w14:paraId="033D25FB" w14:textId="77777777" w:rsidR="007C11E9" w:rsidRPr="000A3A07" w:rsidRDefault="007C11E9">
      <w:pPr>
        <w:pStyle w:val="Normaltindrag"/>
      </w:pPr>
      <w:r w:rsidRPr="000A3A07">
        <w:t>Tidigare har Riksrevisionsverket kritiserat Vägverket och Banverket för att inte redovisa osäkerheter i beslutsunderlag och planförslag (Riksrev</w:t>
      </w:r>
      <w:r w:rsidRPr="000A3A07">
        <w:t>i</w:t>
      </w:r>
      <w:r w:rsidRPr="000A3A07">
        <w:t>sionsverket 1997 b). SIKA har också konstaterat att osäkerhet och risk inte hanteras på ett tillfredsställande sätt i verkens samhällsekonomiska kalkyler (SIKA 1999).</w:t>
      </w:r>
    </w:p>
    <w:p w14:paraId="5BE6B5F8" w14:textId="77777777" w:rsidR="007C11E9" w:rsidRPr="000A3A07" w:rsidRDefault="007C11E9">
      <w:pPr>
        <w:rPr>
          <w:i/>
        </w:rPr>
      </w:pPr>
      <w:r w:rsidRPr="000A3A07">
        <w:rPr>
          <w:i/>
        </w:rPr>
        <w:t>Projektens lönsamhet överskattas</w:t>
      </w:r>
    </w:p>
    <w:p w14:paraId="3CDFD63E" w14:textId="77777777" w:rsidR="007C11E9" w:rsidRPr="000A3A07" w:rsidRDefault="007C11E9">
      <w:r w:rsidRPr="000A3A07">
        <w:t>Enligt de kalkyler som ingår i fallstudierna är många av de aktuella invest</w:t>
      </w:r>
      <w:r w:rsidRPr="000A3A07">
        <w:t>e</w:t>
      </w:r>
      <w:r w:rsidRPr="000A3A07">
        <w:t>ringarna inte samhällsekonomiskt lönsamma. Forskarnas bedömningar av kalkylerna och kalkylernas brister tyder på att projektens lönsamhet des</w:t>
      </w:r>
      <w:r w:rsidRPr="000A3A07">
        <w:t>s</w:t>
      </w:r>
      <w:r w:rsidRPr="000A3A07">
        <w:t xml:space="preserve">utom har överskattats. Investeringarnas lönsamhet kan alltså vara sämre än vad som framgår av kalkylerna. </w:t>
      </w:r>
    </w:p>
    <w:p w14:paraId="722AEF9F" w14:textId="77777777" w:rsidR="007C11E9" w:rsidRPr="000A3A07" w:rsidRDefault="007C11E9">
      <w:pPr>
        <w:pStyle w:val="Normaltindrag"/>
      </w:pPr>
      <w:r w:rsidRPr="000A3A07">
        <w:t>Denna bedömning görs på grundval av de kalkyler som studerats. Forska</w:t>
      </w:r>
      <w:r w:rsidRPr="000A3A07">
        <w:t>r</w:t>
      </w:r>
      <w:r w:rsidRPr="000A3A07">
        <w:t>na har inte fått i uppdrag att göra en ny bedömning av projektens samhäll</w:t>
      </w:r>
      <w:r w:rsidRPr="000A3A07">
        <w:t>s</w:t>
      </w:r>
      <w:r w:rsidRPr="000A3A07">
        <w:t xml:space="preserve">ekonomiska lönsamhet. </w:t>
      </w:r>
    </w:p>
    <w:p w14:paraId="7437A490" w14:textId="77777777" w:rsidR="007C11E9" w:rsidRPr="000A3A07" w:rsidRDefault="007C11E9">
      <w:pPr>
        <w:pStyle w:val="Normaltindrag"/>
      </w:pPr>
      <w:r w:rsidRPr="000A3A07">
        <w:t>Forskarna ifrågasätter vilken roll de samhällsekonomiska kalkylerna har i beslutsprocessen.</w:t>
      </w:r>
    </w:p>
    <w:p w14:paraId="15B1279E" w14:textId="77777777" w:rsidR="007C11E9" w:rsidRPr="000A3A07" w:rsidRDefault="007C11E9">
      <w:pPr>
        <w:pStyle w:val="Normaltindrag"/>
      </w:pPr>
      <w:r w:rsidRPr="000A3A07">
        <w:t>Riksrevisionsverket har tidigare ifrågasatt om det samhällsekonomiska b</w:t>
      </w:r>
      <w:r w:rsidRPr="000A3A07">
        <w:t>e</w:t>
      </w:r>
      <w:r w:rsidRPr="000A3A07">
        <w:t>slutsunderlaget i Vägverkets och Banverkets ordinarie planeringsprocess används som urvalsinstrument eller för att bekräfta de åtgärder trafikverken vill genomföra (Riksrev</w:t>
      </w:r>
      <w:r w:rsidRPr="000A3A07">
        <w:t>i</w:t>
      </w:r>
      <w:r w:rsidRPr="000A3A07">
        <w:t xml:space="preserve">sionsverket 1997 b). </w:t>
      </w:r>
    </w:p>
    <w:p w14:paraId="4849A340" w14:textId="77777777" w:rsidR="007C11E9" w:rsidRPr="000A3A07" w:rsidRDefault="007C11E9">
      <w:pPr>
        <w:rPr>
          <w:i/>
        </w:rPr>
      </w:pPr>
      <w:r w:rsidRPr="000A3A07">
        <w:rPr>
          <w:i/>
        </w:rPr>
        <w:t>Kalkylerna inte tillräckligt underlag</w:t>
      </w:r>
    </w:p>
    <w:p w14:paraId="4C08B9B2" w14:textId="77777777" w:rsidR="007C11E9" w:rsidRPr="000A3A07" w:rsidRDefault="007C11E9">
      <w:r w:rsidRPr="000A3A07">
        <w:t>SIKA, Vägverket, Region Skåne, Inregia AB och Botniabanegruppen påp</w:t>
      </w:r>
      <w:r w:rsidRPr="000A3A07">
        <w:t>e</w:t>
      </w:r>
      <w:r w:rsidRPr="000A3A07">
        <w:t>kar att vissa avvägningar måste göras utanför kalkylerna vid ställningstaga</w:t>
      </w:r>
      <w:r w:rsidRPr="000A3A07">
        <w:t>n</w:t>
      </w:r>
      <w:r w:rsidRPr="000A3A07">
        <w:t>de till ett projekt, eftersom alla konsekvenser inte kan värderas med kalky</w:t>
      </w:r>
      <w:r w:rsidRPr="000A3A07">
        <w:t>l</w:t>
      </w:r>
      <w:r w:rsidRPr="000A3A07">
        <w:t>metodik. Kalkylresultatet utgör endast en del av det samlade beslutsunderl</w:t>
      </w:r>
      <w:r w:rsidRPr="000A3A07">
        <w:t>a</w:t>
      </w:r>
      <w:r w:rsidRPr="000A3A07">
        <w:t xml:space="preserve">get. </w:t>
      </w:r>
    </w:p>
    <w:p w14:paraId="05C8CDA4" w14:textId="77777777" w:rsidR="007C11E9" w:rsidRPr="000A3A07" w:rsidRDefault="007C11E9">
      <w:pPr>
        <w:pStyle w:val="Normaltindrag"/>
      </w:pPr>
      <w:r w:rsidRPr="000A3A07">
        <w:t>Vägverket menar att resultatet av den samhällsekonomiska kalkylen, som bygger på individens värderingar, måste prövas mot politiska mål och värd</w:t>
      </w:r>
      <w:r w:rsidRPr="000A3A07">
        <w:t>e</w:t>
      </w:r>
      <w:r w:rsidRPr="000A3A07">
        <w:t>ringar. Samhällets värdering av att nå långsiktiga mål om t.ex. tillgänglighet, trygghet och miljö är nyttor som inte fångas i kalkylen, enligt Vägverket. Region Skåne menar att man vid ställningstagande till ett projekt måste göra politiska och strategiska bedömningar av hur samhället ska utformas. Botn</w:t>
      </w:r>
      <w:r w:rsidRPr="000A3A07">
        <w:t>i</w:t>
      </w:r>
      <w:r w:rsidRPr="000A3A07">
        <w:t>a-banegruppen nämner att man vid sidan av kalkylen måste ta hänsyn till e</w:t>
      </w:r>
      <w:r w:rsidRPr="000A3A07">
        <w:t>f</w:t>
      </w:r>
      <w:r w:rsidRPr="000A3A07">
        <w:t>fekter som miljömässig hållbarhet, regional utveckling och ökad tillförlitli</w:t>
      </w:r>
      <w:r w:rsidRPr="000A3A07">
        <w:t>g</w:t>
      </w:r>
      <w:r w:rsidRPr="000A3A07">
        <w:t xml:space="preserve">het i järnvägssystemet. </w:t>
      </w:r>
    </w:p>
    <w:p w14:paraId="0385B63E" w14:textId="77777777" w:rsidR="007C11E9" w:rsidRPr="000A3A07" w:rsidRDefault="007C11E9">
      <w:pPr>
        <w:pStyle w:val="Normaltindrag"/>
      </w:pPr>
      <w:r w:rsidRPr="000A3A07">
        <w:t xml:space="preserve">SIKA gör bedömningen att det </w:t>
      </w:r>
      <w:r w:rsidRPr="000A3A07">
        <w:t>i de analyserade fallen krävs orimligt höga värderingar av de extra effekter som ligger vid sidan av kalkylen för att m</w:t>
      </w:r>
      <w:r w:rsidRPr="000A3A07">
        <w:t>o</w:t>
      </w:r>
      <w:r w:rsidRPr="000A3A07">
        <w:t>tivera lönsamhet.</w:t>
      </w:r>
    </w:p>
    <w:p w14:paraId="3BAD1BB3" w14:textId="77777777" w:rsidR="007C11E9" w:rsidRPr="000A3A07" w:rsidRDefault="007C11E9">
      <w:pPr>
        <w:pStyle w:val="Rubrik1"/>
      </w:pPr>
      <w:r w:rsidRPr="000A3A07">
        <w:br w:type="page"/>
      </w:r>
      <w:bookmarkStart w:id="123" w:name="_Toc496581018"/>
      <w:bookmarkStart w:id="124" w:name="_Toc506340960"/>
      <w:r w:rsidRPr="000A3A07">
        <w:t>Revisorernas överväganden</w:t>
      </w:r>
      <w:bookmarkEnd w:id="123"/>
      <w:bookmarkEnd w:id="124"/>
    </w:p>
    <w:p w14:paraId="7B0C7E30" w14:textId="77777777" w:rsidR="007C11E9" w:rsidRPr="000A3A07" w:rsidRDefault="007C11E9">
      <w:r w:rsidRPr="000A3A07">
        <w:t>Enligt budgetlagens huvudregel ska infrastrukturella investeringar finansi</w:t>
      </w:r>
      <w:r w:rsidRPr="000A3A07">
        <w:t>e</w:t>
      </w:r>
      <w:r w:rsidRPr="000A3A07">
        <w:t>ras med anslag på statsbudgeten. Anslagsfinansiering innebär att investerin</w:t>
      </w:r>
      <w:r w:rsidRPr="000A3A07">
        <w:t>g</w:t>
      </w:r>
      <w:r w:rsidRPr="000A3A07">
        <w:t>en finansieras med statens löpande inkomster. Riksdagen har flera gånger uttalat att anslagsfinansiering ger riksdagen bäst möjlighet till inflytande och överblick. Anslagsfinansiering har setts som särskilt viktig i fråga om stora infrastrukturella invest</w:t>
      </w:r>
      <w:r w:rsidRPr="000A3A07">
        <w:t>e</w:t>
      </w:r>
      <w:r w:rsidRPr="000A3A07">
        <w:t xml:space="preserve">ringar som inte ger monetär avkastning. </w:t>
      </w:r>
    </w:p>
    <w:p w14:paraId="2951E150" w14:textId="77777777" w:rsidR="007C11E9" w:rsidRPr="000A3A07" w:rsidRDefault="007C11E9">
      <w:pPr>
        <w:pStyle w:val="Normaltindrag"/>
      </w:pPr>
      <w:r w:rsidRPr="000A3A07">
        <w:t>Riksdagen har enligt budgetlagen också möjlighet att besluta att en i</w:t>
      </w:r>
      <w:r w:rsidRPr="000A3A07">
        <w:t>n</w:t>
      </w:r>
      <w:r w:rsidRPr="000A3A07">
        <w:t>frastrukturinvestering ska finansieras på annat sätt än med anslag. Denna möjlighet har utnyttjats flera gånger. Riksdag och regering har också vid olika tillfällen förespråkat större inslag av alternativ finansiering. Det finns flera olika finansieringsmöjligheter. Finansieringsformerna motiveras på olika sätt och har olika ekonomiska konsekvenser för staten. I en del fall har flera finansi</w:t>
      </w:r>
      <w:r w:rsidRPr="000A3A07">
        <w:t>e</w:t>
      </w:r>
      <w:r w:rsidRPr="000A3A07">
        <w:t>ringsformer använts för en och samma investering.</w:t>
      </w:r>
    </w:p>
    <w:p w14:paraId="453D86DD" w14:textId="77777777" w:rsidR="007C11E9" w:rsidRPr="000A3A07" w:rsidRDefault="007C11E9">
      <w:pPr>
        <w:pStyle w:val="Normaltindrag"/>
      </w:pPr>
      <w:r w:rsidRPr="000A3A07">
        <w:t>Ett av skälen för att finansiera statliga infrastrukturinvestering</w:t>
      </w:r>
      <w:r w:rsidRPr="000A3A07">
        <w:t>ar med a</w:t>
      </w:r>
      <w:r w:rsidRPr="000A3A07">
        <w:t>n</w:t>
      </w:r>
      <w:r w:rsidRPr="000A3A07">
        <w:t>slag över statsbudgeten, i enlighet med budgetlagens huvudregel, är att beslut om alternativ finansiering i de flesta fall innebär att framtida anslag intecknas för betalning av redan gjorda investeringar. En femtedel av Vägverkets och Banverkets anslag för investeringar i vägar och järnvägar beräknas de nä</w:t>
      </w:r>
      <w:r w:rsidRPr="000A3A07">
        <w:t>r</w:t>
      </w:r>
      <w:r w:rsidRPr="000A3A07">
        <w:t xml:space="preserve">maste åren behöva gå till räntor och amorteringar m.m. för redan beslutade investeringar. Därmed begränsas framtida riksdagars möjlighet att besluta om nya investeringar eller ändrad inriktning </w:t>
      </w:r>
      <w:r w:rsidRPr="000A3A07">
        <w:t>och omfattning av väg- och järnvägsinvesteringarna. Beslut om investeringar i vägar och järnvägar inn</w:t>
      </w:r>
      <w:r w:rsidRPr="000A3A07">
        <w:t>e</w:t>
      </w:r>
      <w:r w:rsidRPr="000A3A07">
        <w:t>bär att framtida anslagsmedel också binds upp för drift och underhåll av anläg</w:t>
      </w:r>
      <w:r w:rsidRPr="000A3A07">
        <w:t>g</w:t>
      </w:r>
      <w:r w:rsidRPr="000A3A07">
        <w:t xml:space="preserve">ningarna, oavsett hur själva investeringarna finansieras. </w:t>
      </w:r>
    </w:p>
    <w:p w14:paraId="646BAD17" w14:textId="77777777" w:rsidR="007C11E9" w:rsidRPr="000A3A07" w:rsidRDefault="007C11E9">
      <w:pPr>
        <w:pStyle w:val="Normaltindrag"/>
      </w:pPr>
      <w:r w:rsidRPr="000A3A07">
        <w:t>Revisorerna konstaterar att beslut om alternativ finansiering kan innebära att en investering vid investeringstillfället inte prövas mot det av riksdagen fastställda utgiftstaket. Därmed blir det möjligt att genomföra fler invest</w:t>
      </w:r>
      <w:r w:rsidRPr="000A3A07">
        <w:t>e</w:t>
      </w:r>
      <w:r w:rsidRPr="000A3A07">
        <w:t>ringar än anslagen, utgiftsramarna och utgiftstaket tillåter. Om det inte görs klart att investeringarna tränger undan resurser för andra ändamål finns risk att infrastruktursektorn får större resurser än riksdagen avsett på bekostnad av övriga sektorer. Dessutom finns risk för att utgiftstaket förlorar sin roll, i den mån det är ett uttryck för en strävan att begränsa de statliga utgi</w:t>
      </w:r>
      <w:r w:rsidRPr="000A3A07">
        <w:t>f</w:t>
      </w:r>
      <w:r w:rsidRPr="000A3A07">
        <w:t>terna.</w:t>
      </w:r>
    </w:p>
    <w:p w14:paraId="11DC3F46" w14:textId="77777777" w:rsidR="007C11E9" w:rsidRPr="000A3A07" w:rsidRDefault="007C11E9">
      <w:pPr>
        <w:pStyle w:val="Normaltindrag"/>
      </w:pPr>
      <w:r w:rsidRPr="000A3A07">
        <w:t xml:space="preserve">Det kan också finnas anledning att utnyttja möjligheten att finansiera en investering på annat sätt än med anslag. </w:t>
      </w:r>
      <w:r w:rsidRPr="000A3A07">
        <w:t>Många av de finansiella restriktioner som begränsar utbyggnaden av väg- och järnvägsnätet gäller inte vid alte</w:t>
      </w:r>
      <w:r w:rsidRPr="000A3A07">
        <w:t>r</w:t>
      </w:r>
      <w:r w:rsidRPr="000A3A07">
        <w:t>nativ finansiering. Lönsamma investeringar kan därmed, om de finansieras på annat sätt än med anslag, genomföras tidigare och därmed skapa sa</w:t>
      </w:r>
      <w:r w:rsidRPr="000A3A07">
        <w:t>m</w:t>
      </w:r>
      <w:r w:rsidRPr="000A3A07">
        <w:t>hällsekonomiska vinster. Detta argument kan emellertid användas även på andra områden där statligt finansierad verksamhet bidrar till en framtida högre tillväxt, t.ex. inom utbildningsområdet. Ett sådant resonemang kan i förlängningen leda till att budgetdisc</w:t>
      </w:r>
      <w:r w:rsidRPr="000A3A07">
        <w:t>iplinen inom olika områden uppluckras, vilket i sin tur kan resultera i underskott i statens bu</w:t>
      </w:r>
      <w:r w:rsidRPr="000A3A07">
        <w:t>d</w:t>
      </w:r>
      <w:r w:rsidRPr="000A3A07">
        <w:t>get.</w:t>
      </w:r>
    </w:p>
    <w:p w14:paraId="497413D5" w14:textId="77777777" w:rsidR="007C11E9" w:rsidRPr="000A3A07" w:rsidRDefault="007C11E9">
      <w:pPr>
        <w:pStyle w:val="Normaltindrag"/>
      </w:pPr>
      <w:r w:rsidRPr="000A3A07">
        <w:t xml:space="preserve">Alternativ finansiering kan underlätta planeringen av enskilda projekt och ge en bättre bild av investeringarnas kostnad och kvarstående värde. Vissa finansieringsformer kan dessutom vara förenade med effektivitetsvinster. Effektivitetsvinsterna kan erhållas bl.a. genom riskfördelning och utnyttjande av den privata sektorns kommersiella kompetens. </w:t>
      </w:r>
    </w:p>
    <w:p w14:paraId="05299D16" w14:textId="77777777" w:rsidR="007C11E9" w:rsidRPr="000A3A07" w:rsidRDefault="007C11E9">
      <w:pPr>
        <w:pStyle w:val="Normaltindrag"/>
      </w:pPr>
      <w:r w:rsidRPr="000A3A07">
        <w:t>Revisorerna konstaterar att erfarenheten av effekterna av vissa finansi</w:t>
      </w:r>
      <w:r w:rsidRPr="000A3A07">
        <w:t>e</w:t>
      </w:r>
      <w:r w:rsidRPr="000A3A07">
        <w:t>ringsformer och det empiriska stödet för olika argument är begränsat. Rev</w:t>
      </w:r>
      <w:r w:rsidRPr="000A3A07">
        <w:t>i</w:t>
      </w:r>
      <w:r w:rsidRPr="000A3A07">
        <w:t>sorerna ser därför positivt på den utredning som pågår inom Regeringskan-   sliet om alternativ finansiering av infrastrukturinvesteringar. Inom ramen för utredningen ska för- och nackdelar utvärderas utifrån genomförda projekt. Denna kunskap kan bli värdefull inför kommande projekt.</w:t>
      </w:r>
    </w:p>
    <w:p w14:paraId="287C0C24" w14:textId="77777777" w:rsidR="007C11E9" w:rsidRPr="000A3A07" w:rsidRDefault="007C11E9">
      <w:pPr>
        <w:pStyle w:val="Normaltindrag"/>
      </w:pPr>
      <w:r w:rsidRPr="000A3A07">
        <w:t>Revisorerna anser att det är angeläget att investeringar i vägar och järnv</w:t>
      </w:r>
      <w:r w:rsidRPr="000A3A07">
        <w:t>ä</w:t>
      </w:r>
      <w:r w:rsidRPr="000A3A07">
        <w:t>gar genomförs så kostnadseffektivt som möjligt. Revisorerna tar dock inte ställning till i vilken omfattning alternativa finansieringsfo</w:t>
      </w:r>
      <w:r w:rsidRPr="000A3A07">
        <w:t>r</w:t>
      </w:r>
      <w:r w:rsidRPr="000A3A07">
        <w:t xml:space="preserve">mer bör utnyttjas.  </w:t>
      </w:r>
    </w:p>
    <w:p w14:paraId="39EA8EEE" w14:textId="77777777" w:rsidR="007C11E9" w:rsidRPr="000A3A07" w:rsidRDefault="007C11E9">
      <w:pPr>
        <w:pStyle w:val="Normaltindrag"/>
      </w:pPr>
      <w:r w:rsidRPr="000A3A07">
        <w:t>Revisorerna noterar att arbete pågår för att utveckla den ekonomiska sty</w:t>
      </w:r>
      <w:r w:rsidRPr="000A3A07">
        <w:t>r</w:t>
      </w:r>
      <w:r w:rsidRPr="000A3A07">
        <w:t>ningen i staten. Enligt riksdagens riktlinjer för arbetet ska statsbudgeten kunna presenteras i termer av intäkter och kostnader, inbetalningar och u</w:t>
      </w:r>
      <w:r w:rsidRPr="000A3A07">
        <w:t>t</w:t>
      </w:r>
      <w:r w:rsidRPr="000A3A07">
        <w:t>betalningar samt tillgångar och skulder. Dessutom ska kostnadsramar för statlig verksamhet föreslås i statsbudgeten. En övergång till kostnadsmässig budget skulle få stora effekter på hur investeringar redovisas i budgeten.</w:t>
      </w:r>
    </w:p>
    <w:p w14:paraId="767A0FBB" w14:textId="77777777" w:rsidR="007C11E9" w:rsidRPr="000A3A07" w:rsidRDefault="007C11E9">
      <w:pPr>
        <w:pStyle w:val="RubrikUtanNr3"/>
      </w:pPr>
      <w:bookmarkStart w:id="125" w:name="_Toc496581019"/>
      <w:r w:rsidRPr="000A3A07">
        <w:t>Regeringens redovisning av investeringarnas finansiering bör förbättras</w:t>
      </w:r>
      <w:bookmarkEnd w:id="125"/>
      <w:r w:rsidRPr="000A3A07">
        <w:t xml:space="preserve"> </w:t>
      </w:r>
    </w:p>
    <w:p w14:paraId="43BA7FE1" w14:textId="77777777" w:rsidR="007C11E9" w:rsidRPr="000A3A07" w:rsidRDefault="007C11E9">
      <w:r w:rsidRPr="000A3A07">
        <w:t>Riksdagens revisorer konstaterar att många alternativa finansieringsformer är förknippade med risker. Revisorerna vill därför betona betydelsen av att regeringen för riksdagen klargör motiven till valet av finansieringsform vid varje förslag om en investering som ska finansieras på annat sätt än med anslag över statsbudgeten. Regeringen bör redogöra både för de fördelar som man avser att uppnå med valet av finansieringsform och de begränsningar, risker och ekonomiska konsekvenser investeringen för med sig</w:t>
      </w:r>
      <w:r w:rsidRPr="000A3A07">
        <w:t>. Investerin</w:t>
      </w:r>
      <w:r w:rsidRPr="000A3A07">
        <w:t>g</w:t>
      </w:r>
      <w:r w:rsidRPr="000A3A07">
        <w:t>ens inverkan på statsfinanserna bör också klarläggas på ett tydligt sätt. St</w:t>
      </w:r>
      <w:r w:rsidRPr="000A3A07">
        <w:t>a</w:t>
      </w:r>
      <w:r w:rsidRPr="000A3A07">
        <w:t>tens ekonomiska åtaganden bör redovisas sammantaget och fördelat över tiden. Bedömningen av investeringens ekonomiska effekter bör bygga på noggranna beräkningar. Regeringen bör också följa upp genomförda invest</w:t>
      </w:r>
      <w:r w:rsidRPr="000A3A07">
        <w:t>e</w:t>
      </w:r>
      <w:r w:rsidRPr="000A3A07">
        <w:t>ringar och för riksd</w:t>
      </w:r>
      <w:r w:rsidRPr="000A3A07">
        <w:t>a</w:t>
      </w:r>
      <w:r w:rsidRPr="000A3A07">
        <w:t xml:space="preserve">gen redovisa den valda finansieringsformens effekter. </w:t>
      </w:r>
    </w:p>
    <w:p w14:paraId="64C8B9D2" w14:textId="77777777" w:rsidR="007C11E9" w:rsidRPr="000A3A07" w:rsidRDefault="007C11E9">
      <w:pPr>
        <w:pStyle w:val="Normaltindrag"/>
      </w:pPr>
      <w:r w:rsidRPr="000A3A07">
        <w:t>Revisorerna anser att det är angeläget att riksdagen kontinuerligt får en noggrann redovisning av väg- och järnvägsinvesteringarnas lå</w:t>
      </w:r>
      <w:r w:rsidRPr="000A3A07">
        <w:t>ngsiktiga stat</w:t>
      </w:r>
      <w:r w:rsidRPr="000A3A07">
        <w:t>s</w:t>
      </w:r>
      <w:r w:rsidRPr="000A3A07">
        <w:t>finansiella effekter, eftersom de flesta alternativa finansieringsformer medför att statliga medel tas i anspråk i framtiden, t.ex. för återbetalning av lån, för betalning av hyra och för infriande av statliga garantier. Revisorerna konst</w:t>
      </w:r>
      <w:r w:rsidRPr="000A3A07">
        <w:t>a</w:t>
      </w:r>
      <w:r w:rsidRPr="000A3A07">
        <w:t>terar att regeringens samlade redovisning av finansieringen av investeringar i vägar och järnvägar har förbättrats de senaste åren. Fortfarande saknas dock en redogörelse för de finansiella risker som olika projekt är förenade med.</w:t>
      </w:r>
    </w:p>
    <w:p w14:paraId="038D9A63" w14:textId="77777777" w:rsidR="007C11E9" w:rsidRPr="000A3A07" w:rsidRDefault="007C11E9">
      <w:pPr>
        <w:pStyle w:val="RubrikUtanNr3"/>
      </w:pPr>
      <w:bookmarkStart w:id="126" w:name="_Toc496581020"/>
      <w:r w:rsidRPr="000A3A07">
        <w:t>Planeringsprocessen bör se</w:t>
      </w:r>
      <w:r w:rsidRPr="000A3A07">
        <w:t>s över</w:t>
      </w:r>
      <w:bookmarkEnd w:id="126"/>
    </w:p>
    <w:p w14:paraId="6A688D6C" w14:textId="77777777" w:rsidR="007C11E9" w:rsidRPr="000A3A07" w:rsidRDefault="007C11E9">
      <w:r w:rsidRPr="000A3A07">
        <w:t>Riksdagen tar vart fjärde år ställning till inriktningen på infrastrukturinvest</w:t>
      </w:r>
      <w:r w:rsidRPr="000A3A07">
        <w:t>e</w:t>
      </w:r>
      <w:r w:rsidRPr="000A3A07">
        <w:t>ringarna för tio år framöver. Utifrån det statsfinansiella läget beslutar riksd</w:t>
      </w:r>
      <w:r w:rsidRPr="000A3A07">
        <w:t>a</w:t>
      </w:r>
      <w:r w:rsidRPr="000A3A07">
        <w:t>gen om en ekonomisk ram för investeringarna. Inriktningsbeslutet utgör grund för den fortsatta planeringen och den årliga anslagstilldelningen för investeringar i vägar och järnvägar. Riksdagen är inte bunden att anslå de medel som Vägverket och Banverket behöver under kommande budgetår för att finansiera de planerade investeringarna. Vägverkets och Banverkets a</w:t>
      </w:r>
      <w:r w:rsidRPr="000A3A07">
        <w:t>n</w:t>
      </w:r>
      <w:r w:rsidRPr="000A3A07">
        <w:t>slag för år 2000 är exempelvis lägre än den nivå som krävs för att</w:t>
      </w:r>
      <w:r w:rsidRPr="000A3A07">
        <w:t xml:space="preserve"> invest</w:t>
      </w:r>
      <w:r w:rsidRPr="000A3A07">
        <w:t>e</w:t>
      </w:r>
      <w:r w:rsidRPr="000A3A07">
        <w:t xml:space="preserve">ringarna ska kunna genomföras enligt de tioåriga planerna (prop. 1999/2000:1). </w:t>
      </w:r>
    </w:p>
    <w:p w14:paraId="480650AF" w14:textId="77777777" w:rsidR="007C11E9" w:rsidRPr="000A3A07" w:rsidRDefault="007C11E9">
      <w:pPr>
        <w:pStyle w:val="Normaltindrag"/>
      </w:pPr>
      <w:r w:rsidRPr="000A3A07">
        <w:t>Vid urval och prioritering av de investeringar som ligger i Vägverkets och Banverkets tioåriga planer ska samhällsekonomiska bedömningar vara vä</w:t>
      </w:r>
      <w:r w:rsidRPr="000A3A07">
        <w:t>g</w:t>
      </w:r>
      <w:r w:rsidRPr="000A3A07">
        <w:t>ledande. Vägverket och Banverket upprättar sina planer var för sig, utifrån den av riksdagen beslutade ekonomiska ramen. Planerna fastställs av reg</w:t>
      </w:r>
      <w:r w:rsidRPr="000A3A07">
        <w:t>e</w:t>
      </w:r>
      <w:r w:rsidRPr="000A3A07">
        <w:t>ringen.</w:t>
      </w:r>
    </w:p>
    <w:p w14:paraId="35522B5B" w14:textId="77777777" w:rsidR="007C11E9" w:rsidRPr="000A3A07" w:rsidRDefault="007C11E9">
      <w:pPr>
        <w:pStyle w:val="Normaltindrag"/>
      </w:pPr>
      <w:r w:rsidRPr="000A3A07">
        <w:t>Utanför den ram som riksdagen beslutar ligger de investeringar som fina</w:t>
      </w:r>
      <w:r w:rsidRPr="000A3A07">
        <w:t>n</w:t>
      </w:r>
      <w:r w:rsidRPr="000A3A07">
        <w:t>sieras på annat sätt än med anslag över statsbudgeten. Ofta rör det sig om stora projekt som prioriteras utifrån delvis andra kriterier än de som gäller för anslagsfinansierade projekt. Projekt som inte ryms i Vägverkets och Banverkets investeringsplaner kan exempelvis komma till stånd med regi</w:t>
      </w:r>
      <w:r w:rsidRPr="000A3A07">
        <w:t>o</w:t>
      </w:r>
      <w:r w:rsidRPr="000A3A07">
        <w:t>nala medfinansiärer eller om någon annan typ av alternativ finansiering är möjlig.</w:t>
      </w:r>
    </w:p>
    <w:p w14:paraId="2C561D79" w14:textId="77777777" w:rsidR="007C11E9" w:rsidRPr="000A3A07" w:rsidRDefault="007C11E9">
      <w:pPr>
        <w:pStyle w:val="Normaltindrag"/>
      </w:pPr>
      <w:r w:rsidRPr="000A3A07">
        <w:t>Planeringen av de alternativt finansierade investeringarna är projekta</w:t>
      </w:r>
      <w:r w:rsidRPr="000A3A07">
        <w:t>n</w:t>
      </w:r>
      <w:r w:rsidRPr="000A3A07">
        <w:t xml:space="preserve">knuten. Utgångspunkten är inte en ekonomisk planeringsram, utan snarare ett specifikt projekt. Därmed blir prioriteringsgrunderna inte lika klara som för anslagsfinansierade investeringar. </w:t>
      </w:r>
    </w:p>
    <w:p w14:paraId="7EB57582" w14:textId="77777777" w:rsidR="007C11E9" w:rsidRPr="000A3A07" w:rsidRDefault="007C11E9">
      <w:pPr>
        <w:pStyle w:val="Normaltindrag"/>
      </w:pPr>
      <w:r w:rsidRPr="000A3A07">
        <w:t>Stora infrastrukturprojekt kan gynnas av en sådan ordning. Projekt som behandlas av riksdagen i särskild ordning kan gå förbi den prioriteringsor</w:t>
      </w:r>
      <w:r w:rsidRPr="000A3A07">
        <w:t>d</w:t>
      </w:r>
      <w:r w:rsidRPr="000A3A07">
        <w:t>ning som gäller i Vägverkets och Banverkets tioåriga planer för anslagsf</w:t>
      </w:r>
      <w:r w:rsidRPr="000A3A07">
        <w:t>i</w:t>
      </w:r>
      <w:r w:rsidRPr="000A3A07">
        <w:t>nansierade invest</w:t>
      </w:r>
      <w:r w:rsidRPr="000A3A07">
        <w:t>e</w:t>
      </w:r>
      <w:r w:rsidRPr="000A3A07">
        <w:t xml:space="preserve">ringar. </w:t>
      </w:r>
    </w:p>
    <w:p w14:paraId="1269F22B" w14:textId="77777777" w:rsidR="007C11E9" w:rsidRPr="000A3A07" w:rsidRDefault="007C11E9">
      <w:pPr>
        <w:pStyle w:val="Normaltindrag"/>
      </w:pPr>
      <w:r w:rsidRPr="000A3A07">
        <w:t>Alternativa finansieringsformer fungerar som komplement till anslagsf</w:t>
      </w:r>
      <w:r w:rsidRPr="000A3A07">
        <w:t>i</w:t>
      </w:r>
      <w:r w:rsidRPr="000A3A07">
        <w:t>nansiering. Därmed skapas utrymme för tidigareläggning av vissa invest</w:t>
      </w:r>
      <w:r w:rsidRPr="000A3A07">
        <w:t>e</w:t>
      </w:r>
      <w:r w:rsidRPr="000A3A07">
        <w:t>ringar och en expansion av väg- och järnvägssektorn. Alternativa finansi</w:t>
      </w:r>
      <w:r w:rsidRPr="000A3A07">
        <w:t>e</w:t>
      </w:r>
      <w:r w:rsidRPr="000A3A07">
        <w:t>ringsformer skulle också kunna fungera som substitut till anslagsfinansiering.  En given investeringsnivå skulle då kunna upprätthållas med minskade a</w:t>
      </w:r>
      <w:r w:rsidRPr="000A3A07">
        <w:t>n</w:t>
      </w:r>
      <w:r w:rsidRPr="000A3A07">
        <w:t>slag, och statliga medel för väg- och järnvägsinvesteringar skulle kunna överföras till andra utgiftsområden.</w:t>
      </w:r>
    </w:p>
    <w:p w14:paraId="057C0B81" w14:textId="77777777" w:rsidR="007C11E9" w:rsidRPr="000A3A07" w:rsidRDefault="007C11E9">
      <w:pPr>
        <w:pStyle w:val="Normaltindrag"/>
      </w:pPr>
      <w:r w:rsidRPr="000A3A07">
        <w:t>Revisorerna anser att valet av investeringsprojekt bör baseras på samhäll</w:t>
      </w:r>
      <w:r w:rsidRPr="000A3A07">
        <w:t>s</w:t>
      </w:r>
      <w:r w:rsidRPr="000A3A07">
        <w:t>ekonomiska bedömningar med utgångspunkt från de transportpolitiska m</w:t>
      </w:r>
      <w:r w:rsidRPr="000A3A07">
        <w:t>å</w:t>
      </w:r>
      <w:r w:rsidRPr="000A3A07">
        <w:t>len. Om däremot finansieringsformen påverkar prioriteringen av investerin</w:t>
      </w:r>
      <w:r w:rsidRPr="000A3A07">
        <w:t>g</w:t>
      </w:r>
      <w:r w:rsidRPr="000A3A07">
        <w:t>ar finns risk för att projekt med alternativ finansiering tränger undan resurser för samhällsek</w:t>
      </w:r>
      <w:r w:rsidRPr="000A3A07">
        <w:t>o</w:t>
      </w:r>
      <w:r w:rsidRPr="000A3A07">
        <w:t xml:space="preserve">nomiskt mer lönsamma åtgärder. </w:t>
      </w:r>
    </w:p>
    <w:p w14:paraId="02D209F7" w14:textId="77777777" w:rsidR="007C11E9" w:rsidRPr="000A3A07" w:rsidRDefault="007C11E9">
      <w:pPr>
        <w:pStyle w:val="Normaltindrag"/>
      </w:pPr>
      <w:r w:rsidRPr="000A3A07">
        <w:t>Utgiftsområde 22 Kommunikationer utgör endast ett av många utgiftso</w:t>
      </w:r>
      <w:r w:rsidRPr="000A3A07">
        <w:t>m</w:t>
      </w:r>
      <w:r w:rsidRPr="000A3A07">
        <w:t>råden i statsbudgeten. Det är inte självklart att väg- och järnvägsinvesteringar genererar den största nyttan för samhället. Revisorerna anser därför att resu</w:t>
      </w:r>
      <w:r w:rsidRPr="000A3A07">
        <w:t>r</w:t>
      </w:r>
      <w:r w:rsidRPr="000A3A07">
        <w:t>serna bör användas inom de utgiftsområden där de gör störst nytta i vid m</w:t>
      </w:r>
      <w:r w:rsidRPr="000A3A07">
        <w:t>e</w:t>
      </w:r>
      <w:r w:rsidRPr="000A3A07">
        <w:t>ning.</w:t>
      </w:r>
    </w:p>
    <w:p w14:paraId="4ED501C0" w14:textId="77777777" w:rsidR="007C11E9" w:rsidRPr="000A3A07" w:rsidRDefault="007C11E9">
      <w:pPr>
        <w:pStyle w:val="Normaltindrag"/>
      </w:pPr>
      <w:r w:rsidRPr="000A3A07">
        <w:t>Revisorerna anser att det finns anledning att se över planeringsprocessen för investeringar i vägar och järnvägar. Översynen bör ta sikte på en plan</w:t>
      </w:r>
      <w:r w:rsidRPr="000A3A07">
        <w:t>e</w:t>
      </w:r>
      <w:r w:rsidRPr="000A3A07">
        <w:t>ringsmodell där samtliga nationella väg- och järnvägsinvesteringar som finansieras helt eller delvis med statliga medel prövas inbördes oberoende av finansieringsform. Planeringsprocessen bör ge incitament att genomföra de investeringar som bedöms ge den högsta avkastningen när alla effekter vägs in.</w:t>
      </w:r>
    </w:p>
    <w:p w14:paraId="5CB1055B" w14:textId="77777777" w:rsidR="007C11E9" w:rsidRPr="000A3A07" w:rsidRDefault="007C11E9">
      <w:pPr>
        <w:pStyle w:val="Normaltindrag"/>
      </w:pPr>
      <w:r w:rsidRPr="000A3A07">
        <w:t>Revisorerna vill i det här sammanhanget också betona betydelsen av att statens intresse tas tillvara i överenskommelser med samfinansiärer som regionala och privata intresse</w:t>
      </w:r>
      <w:r w:rsidRPr="000A3A07">
        <w:t>n</w:t>
      </w:r>
      <w:r w:rsidRPr="000A3A07">
        <w:t>ter.</w:t>
      </w:r>
    </w:p>
    <w:p w14:paraId="0E276667" w14:textId="77777777" w:rsidR="007C11E9" w:rsidRPr="000A3A07" w:rsidRDefault="007C11E9">
      <w:pPr>
        <w:pStyle w:val="RubrikUtanNr3"/>
        <w:ind w:left="0" w:firstLine="0"/>
        <w:jc w:val="left"/>
      </w:pPr>
      <w:bookmarkStart w:id="127" w:name="_Toc496581021"/>
      <w:r w:rsidRPr="000A3A07">
        <w:t>Det samhällsekonomiska beslutsunderlaget för väg- och järnvägsinvesteringar är bristfälligt och måste utvecklas</w:t>
      </w:r>
      <w:bookmarkEnd w:id="127"/>
      <w:r w:rsidRPr="000A3A07">
        <w:t xml:space="preserve"> </w:t>
      </w:r>
    </w:p>
    <w:p w14:paraId="189037F1" w14:textId="77777777" w:rsidR="007C11E9" w:rsidRPr="000A3A07" w:rsidRDefault="007C11E9">
      <w:r w:rsidRPr="000A3A07">
        <w:t>Av de fallstudier som genomförts inom ramen för revisorernas granskning framgår att det finns betydande brister i det samhällsekonomiska underlaget för besluten om de studerade väg- och järnvägsinvesteringarna. Dessa i</w:t>
      </w:r>
      <w:r w:rsidRPr="000A3A07">
        <w:t>n</w:t>
      </w:r>
      <w:r w:rsidRPr="000A3A07">
        <w:t>vesteringar beräknas kosta sammanlagt nästan 30 miljarder kronor. Revis</w:t>
      </w:r>
      <w:r w:rsidRPr="000A3A07">
        <w:t>o</w:t>
      </w:r>
      <w:r w:rsidRPr="000A3A07">
        <w:t>rerna anser att underlaget är av så bristfällig karaktär att det innebär risk för att beslut fattas som kan medföra samhällsekonomiska förluster på flera miljarder kronor.</w:t>
      </w:r>
    </w:p>
    <w:p w14:paraId="6FBEC6B4" w14:textId="77777777" w:rsidR="007C11E9" w:rsidRPr="000A3A07" w:rsidRDefault="007C11E9">
      <w:pPr>
        <w:pStyle w:val="Normaltindrag"/>
      </w:pPr>
      <w:r w:rsidRPr="000A3A07">
        <w:t>Samhällsekonomiska kalkyler utgör enligt revisorerna en viktig del av det samlade beslutsunderlaget för alla väg- och järnvägsinvesteringar. Det fa</w:t>
      </w:r>
      <w:r w:rsidRPr="000A3A07">
        <w:t>k</w:t>
      </w:r>
      <w:r w:rsidRPr="000A3A07">
        <w:t>tum att en investerings samtliga effekter inte kan beaktas i en kalkyl påverkar enligt revisorernas uppfattning inte kravet på att kalkylerna måste vara av hög kvalitet. Att kraven på ett fullgott beslutsunderlag uppfylls är särskilt viktigt när det gäller projekt av den storlek som ingår i revisorernas grans</w:t>
      </w:r>
      <w:r w:rsidRPr="000A3A07">
        <w:t>k</w:t>
      </w:r>
      <w:r w:rsidRPr="000A3A07">
        <w:t xml:space="preserve">ning. </w:t>
      </w:r>
    </w:p>
    <w:p w14:paraId="04D9E367" w14:textId="77777777" w:rsidR="007C11E9" w:rsidRPr="000A3A07" w:rsidRDefault="007C11E9">
      <w:pPr>
        <w:pStyle w:val="Normaltindrag"/>
      </w:pPr>
      <w:r w:rsidRPr="000A3A07">
        <w:t>Regeringen måste underställa riksdagen förslag om investeringar med a</w:t>
      </w:r>
      <w:r w:rsidRPr="000A3A07">
        <w:t>l</w:t>
      </w:r>
      <w:r w:rsidRPr="000A3A07">
        <w:t>ternativ finansiering. Regeringen ansvarar därmed för att allsidigt beslutsu</w:t>
      </w:r>
      <w:r w:rsidRPr="000A3A07">
        <w:t>n</w:t>
      </w:r>
      <w:r w:rsidRPr="000A3A07">
        <w:t>derlag tas fram för dessa investeringar. Vägverket och Banverket ansvarar för beslutsunderlaget för väg- och järnvägsinvesteringar som ingår i den ordinarie planeringsprocessen. Regeringen har ställt krav på att verken ska bedöma den samhällsekonomiska lönsamheten för varje investering. Revis</w:t>
      </w:r>
      <w:r w:rsidRPr="000A3A07">
        <w:t>o</w:t>
      </w:r>
      <w:r w:rsidRPr="000A3A07">
        <w:t>rerna anser att kraven inte ska vara lägre för de projekt som ligger utanför planeringsprocessen.</w:t>
      </w:r>
    </w:p>
    <w:p w14:paraId="35F58B35" w14:textId="77777777" w:rsidR="007C11E9" w:rsidRPr="000A3A07" w:rsidRDefault="007C11E9">
      <w:pPr>
        <w:pStyle w:val="Normaltindrag"/>
      </w:pPr>
      <w:r w:rsidRPr="000A3A07">
        <w:t>Revisorerna anser att underlaget som ska l</w:t>
      </w:r>
      <w:r w:rsidRPr="000A3A07">
        <w:t>igga till grund för beslut om en väg- eller järnvägsinvestering ska vara informativt och lättillgängligt för både beslutsfattare och övriga medborgare. Fallstudierna visar att redovi</w:t>
      </w:r>
      <w:r w:rsidRPr="000A3A07">
        <w:t>s</w:t>
      </w:r>
      <w:r w:rsidRPr="000A3A07">
        <w:t>ningen av kalkylförutsättningarna och beräkningarna är otydlig och otil</w:t>
      </w:r>
      <w:r w:rsidRPr="000A3A07">
        <w:t>l</w:t>
      </w:r>
      <w:r w:rsidRPr="000A3A07">
        <w:t>räcklig. Detta medför svårigheter både att kontrollera beräkningarnas kvalitet och att följa upp kalkylerna efter det att en investering har genomförts. For</w:t>
      </w:r>
      <w:r w:rsidRPr="000A3A07">
        <w:t>s</w:t>
      </w:r>
      <w:r w:rsidRPr="000A3A07">
        <w:t>karna har också funnit metodmässiga brister. De prognoser som kalkylerna bygger på tenderar att vara</w:t>
      </w:r>
      <w:r w:rsidRPr="000A3A07">
        <w:t xml:space="preserve"> alltför optimistiska. De osäkerheter som berä</w:t>
      </w:r>
      <w:r w:rsidRPr="000A3A07">
        <w:t>k</w:t>
      </w:r>
      <w:r w:rsidRPr="000A3A07">
        <w:t>ningarna är förenade med hanteras och redovisas på ett bristfälligt sätt. De</w:t>
      </w:r>
      <w:r w:rsidRPr="000A3A07">
        <w:t>t</w:t>
      </w:r>
      <w:r w:rsidRPr="000A3A07">
        <w:t xml:space="preserve">samma gäller för investeringarnas miljöeffekter, både de som uppkommer under byggtiden och de mer långsiktiga miljöeffekterna. </w:t>
      </w:r>
    </w:p>
    <w:p w14:paraId="27EA5137" w14:textId="77777777" w:rsidR="007C11E9" w:rsidRPr="000A3A07" w:rsidRDefault="007C11E9">
      <w:pPr>
        <w:pStyle w:val="Normaltindrag"/>
      </w:pPr>
      <w:r w:rsidRPr="000A3A07">
        <w:t>Revisorerna anser att samtliga realistiska handlingsalternativ bör redovisas i kalkylerna. Av fallstudierna framgår dock att de samhällsekonomiska ka</w:t>
      </w:r>
      <w:r w:rsidRPr="000A3A07">
        <w:t>l</w:t>
      </w:r>
      <w:r w:rsidRPr="000A3A07">
        <w:t>kylerna för en tilltänkt investering sällan inkluderar jämförelser med reali</w:t>
      </w:r>
      <w:r w:rsidRPr="000A3A07">
        <w:t>s</w:t>
      </w:r>
      <w:r w:rsidRPr="000A3A07">
        <w:t>tiska alternativ. Effekterna av en planerad investering jämförs endast med situationen om ingen åtgärd genomförs. I de flesta fall torde det vara missv</w:t>
      </w:r>
      <w:r w:rsidRPr="000A3A07">
        <w:t>i</w:t>
      </w:r>
      <w:r w:rsidRPr="000A3A07">
        <w:t xml:space="preserve">sande att framställa beslutssituationen som om det inte finns någon alternativ  investering. </w:t>
      </w:r>
    </w:p>
    <w:p w14:paraId="633A601A" w14:textId="77777777" w:rsidR="007C11E9" w:rsidRPr="000A3A07" w:rsidRDefault="007C11E9">
      <w:pPr>
        <w:pStyle w:val="Normaltindrag"/>
      </w:pPr>
      <w:r w:rsidRPr="000A3A07">
        <w:t>Revisorerna anser att ett beslutsunderlag bör vara aktuellt vid beslutstil</w:t>
      </w:r>
      <w:r w:rsidRPr="000A3A07">
        <w:t>l</w:t>
      </w:r>
      <w:r w:rsidRPr="000A3A07">
        <w:t xml:space="preserve">fället. I fallstudierna konstaterar forskarna att kalkyler för vissa projekt inte uppdateras trots att viktiga förutsättningar för beräkningarna ändras. Det kan vara att trafikprognoser revideras, att jämförelsealternativ blir inaktuella och att utformningen av ett projekt ändras. </w:t>
      </w:r>
    </w:p>
    <w:p w14:paraId="5185BD54" w14:textId="77777777" w:rsidR="007C11E9" w:rsidRPr="000A3A07" w:rsidRDefault="007C11E9">
      <w:pPr>
        <w:pStyle w:val="Normaltindrag"/>
      </w:pPr>
      <w:r w:rsidRPr="000A3A07">
        <w:t>Revisorerna föreslår att tydliga krav på dokumentering av beräkningsföru</w:t>
      </w:r>
      <w:r w:rsidRPr="000A3A07">
        <w:t>t</w:t>
      </w:r>
      <w:r w:rsidRPr="000A3A07">
        <w:t>sättningar och beräkningar tas fram. En bra redovisning underlättar jämföre</w:t>
      </w:r>
      <w:r w:rsidRPr="000A3A07">
        <w:t>l</w:t>
      </w:r>
      <w:r w:rsidRPr="000A3A07">
        <w:t>ser mellan kalkyler och uppföljningar av beräkningarna samt tydliggör eventuella osäkerheter och brister i kalkylerna. Revisorerna anser också att regeringen bör tillse att en kraftfull insats görs för att komma till rätta med de metodmässiga brister som fra</w:t>
      </w:r>
      <w:r w:rsidRPr="000A3A07">
        <w:t>m</w:t>
      </w:r>
      <w:r w:rsidRPr="000A3A07">
        <w:t>kommit.</w:t>
      </w:r>
    </w:p>
    <w:p w14:paraId="12BD3156" w14:textId="77777777" w:rsidR="007C11E9" w:rsidRPr="000A3A07" w:rsidRDefault="007C11E9">
      <w:pPr>
        <w:pStyle w:val="Normaltindrag"/>
      </w:pPr>
      <w:r w:rsidRPr="000A3A07">
        <w:t>Revisorerna betonar betydelsen av att överväga olika alternativa lösningar och ompröva ett projekt under planeringsprocessens gång i takt med att ny information framkom</w:t>
      </w:r>
      <w:r w:rsidRPr="000A3A07">
        <w:t>mer. Revisorerna menar att redovisningen av flera alternativa lösningar i kalkylerna kan bidra till att göra berednings- och b</w:t>
      </w:r>
      <w:r w:rsidRPr="000A3A07">
        <w:t>e</w:t>
      </w:r>
      <w:r w:rsidRPr="000A3A07">
        <w:t>slutsprocessen öppnare och mer transparent samtidigt som den slutliga lö</w:t>
      </w:r>
      <w:r w:rsidRPr="000A3A07">
        <w:t>s</w:t>
      </w:r>
      <w:r w:rsidRPr="000A3A07">
        <w:t>ningen kan bli mer genomtänkt och bättre förankrad. Revisorerna anser därför att minst ett realistiskt handlingsalternativ bör ingå i en samhällsek</w:t>
      </w:r>
      <w:r w:rsidRPr="000A3A07">
        <w:t>o</w:t>
      </w:r>
      <w:r w:rsidRPr="000A3A07">
        <w:t>nomisk kalkyl.</w:t>
      </w:r>
    </w:p>
    <w:p w14:paraId="7F1A6058" w14:textId="77777777" w:rsidR="007C11E9" w:rsidRPr="000A3A07" w:rsidRDefault="007C11E9">
      <w:pPr>
        <w:pStyle w:val="Normaltindrag"/>
      </w:pPr>
      <w:r w:rsidRPr="000A3A07">
        <w:t>Revisorerna understryker betydelsen av att aktuellt underlag finns framt</w:t>
      </w:r>
      <w:r w:rsidRPr="000A3A07">
        <w:t>a</w:t>
      </w:r>
      <w:r w:rsidRPr="000A3A07">
        <w:t>get vid beslut om en investering. I annat fall finns det anledning att ifråg</w:t>
      </w:r>
      <w:r w:rsidRPr="000A3A07">
        <w:t>a</w:t>
      </w:r>
      <w:r w:rsidRPr="000A3A07">
        <w:t xml:space="preserve">sätta kalkylernas betydelse i planeringsprocessen. </w:t>
      </w:r>
    </w:p>
    <w:p w14:paraId="31EF0156" w14:textId="77777777" w:rsidR="007C11E9" w:rsidRPr="000A3A07" w:rsidRDefault="007C11E9">
      <w:pPr>
        <w:pStyle w:val="Normaltindrag"/>
      </w:pPr>
      <w:r w:rsidRPr="000A3A07">
        <w:t>Samhällsekonomiska bedömningar kan användas för att systematisera och strukturera alla samhällsekonomiska effekter. De effekter som inte kan kvantifieras eller värderas kan beskrivas i kvalitativa termer. Revisorerna menar att det är viktigt att en investerings alla effekter redovisas samlat, för att underlätta en bedömning av effekterna. Revisorerna anser också att reg</w:t>
      </w:r>
      <w:r w:rsidRPr="000A3A07">
        <w:t>e</w:t>
      </w:r>
      <w:r w:rsidRPr="000A3A07">
        <w:t>ringen för riksdagen bör motivera och tydligt redovisa sina förslag till e</w:t>
      </w:r>
      <w:r w:rsidRPr="000A3A07">
        <w:t>n</w:t>
      </w:r>
      <w:r w:rsidRPr="000A3A07">
        <w:t xml:space="preserve">skilda väg- och järnvägsinvesteringar.  </w:t>
      </w:r>
    </w:p>
    <w:p w14:paraId="39131357" w14:textId="77777777" w:rsidR="007C11E9" w:rsidRPr="000A3A07" w:rsidRDefault="007C11E9">
      <w:pPr>
        <w:pStyle w:val="Normaltindrag"/>
      </w:pPr>
      <w:r w:rsidRPr="000A3A07">
        <w:t>I samband med den översyn av planeringsprocessen som revisorerna för</w:t>
      </w:r>
      <w:r w:rsidRPr="000A3A07">
        <w:t>e</w:t>
      </w:r>
      <w:r w:rsidRPr="000A3A07">
        <w:t>slår bör även kraven på utformningen av det samhällsekonomiska beslutsu</w:t>
      </w:r>
      <w:r w:rsidRPr="000A3A07">
        <w:t>n</w:t>
      </w:r>
      <w:r w:rsidRPr="000A3A07">
        <w:t>derlaget för infrastrukturinvesteringar övervägas. Därvid bör även klargöras vilken roll myndigheter som Vägverket, Banverket och SIKA ska ha i plan</w:t>
      </w:r>
      <w:r w:rsidRPr="000A3A07">
        <w:t>e</w:t>
      </w:r>
      <w:r w:rsidRPr="000A3A07">
        <w:t>ringen av de infrastrukturprojekt som ligger utanför den ordinarie plan</w:t>
      </w:r>
      <w:r w:rsidRPr="000A3A07">
        <w:t>e</w:t>
      </w:r>
      <w:r w:rsidRPr="000A3A07">
        <w:t>ringsprocessen. Syftet bör vara att tillförsäkra att ett sektorsövergripande beslutsunderlag av hög kvalitet alltid tas fram.</w:t>
      </w:r>
    </w:p>
    <w:p w14:paraId="2BD9B4F1" w14:textId="77777777" w:rsidR="007C11E9" w:rsidRPr="000A3A07" w:rsidRDefault="007C11E9">
      <w:pPr>
        <w:pStyle w:val="RubrikUtanNr"/>
      </w:pPr>
      <w:r w:rsidRPr="000A3A07">
        <w:br w:type="page"/>
      </w:r>
      <w:bookmarkStart w:id="128" w:name="_Toc496581022"/>
      <w:bookmarkStart w:id="129" w:name="_Toc506340961"/>
      <w:r w:rsidRPr="000A3A07">
        <w:t>Referenser</w:t>
      </w:r>
      <w:bookmarkEnd w:id="128"/>
      <w:bookmarkEnd w:id="129"/>
    </w:p>
    <w:p w14:paraId="59FF4E33" w14:textId="77777777" w:rsidR="007C11E9" w:rsidRPr="000A3A07" w:rsidRDefault="007C11E9">
      <w:pPr>
        <w:tabs>
          <w:tab w:val="left" w:pos="284"/>
        </w:tabs>
      </w:pPr>
      <w:r w:rsidRPr="000A3A07">
        <w:t xml:space="preserve">Banverket 1989, </w:t>
      </w:r>
      <w:r w:rsidRPr="000A3A07">
        <w:rPr>
          <w:i/>
        </w:rPr>
        <w:t>Treårsplan 1990/91–1992/93 Verksamhetsåren 1991–1993</w:t>
      </w:r>
      <w:r w:rsidRPr="000A3A07">
        <w:t>,</w:t>
      </w:r>
      <w:r w:rsidRPr="000A3A07">
        <w:tab/>
        <w:t>1989-08-17.</w:t>
      </w:r>
    </w:p>
    <w:p w14:paraId="3267F3C3" w14:textId="77777777" w:rsidR="007C11E9" w:rsidRPr="000A3A07" w:rsidRDefault="007C11E9">
      <w:pPr>
        <w:tabs>
          <w:tab w:val="left" w:pos="284"/>
        </w:tabs>
      </w:pPr>
      <w:r w:rsidRPr="000A3A07">
        <w:t xml:space="preserve">Banverket 1990 a, </w:t>
      </w:r>
      <w:r w:rsidRPr="000A3A07">
        <w:rPr>
          <w:i/>
        </w:rPr>
        <w:t>Arlandabanan – förslag till finansieringsmodell m.m.</w:t>
      </w:r>
      <w:r w:rsidRPr="000A3A07">
        <w:t>,</w:t>
      </w:r>
      <w:r w:rsidRPr="000A3A07">
        <w:tab/>
        <w:t>1990-06-28.</w:t>
      </w:r>
    </w:p>
    <w:p w14:paraId="58FF55A2" w14:textId="77777777" w:rsidR="007C11E9" w:rsidRPr="000A3A07" w:rsidRDefault="007C11E9">
      <w:r w:rsidRPr="000A3A07">
        <w:t>Banverket 1990 b, Skrivelse till regeringen, GDA 90-744/51, 1990-12-18.</w:t>
      </w:r>
    </w:p>
    <w:p w14:paraId="568500DE" w14:textId="77777777" w:rsidR="007C11E9" w:rsidRPr="000A3A07" w:rsidRDefault="007C11E9">
      <w:pPr>
        <w:tabs>
          <w:tab w:val="left" w:pos="284"/>
        </w:tabs>
      </w:pPr>
      <w:r w:rsidRPr="000A3A07">
        <w:t xml:space="preserve">Banverket 1993, </w:t>
      </w:r>
      <w:r w:rsidRPr="000A3A07">
        <w:rPr>
          <w:i/>
        </w:rPr>
        <w:t>Arlandabanan – Rapport om samhällsekonomi och miljö-</w:t>
      </w:r>
      <w:r w:rsidRPr="000A3A07">
        <w:rPr>
          <w:i/>
        </w:rPr>
        <w:tab/>
        <w:t xml:space="preserve">konsekvenser vid utbyggnad av en nordlig järnvägsanslutning till </w:t>
      </w:r>
      <w:r w:rsidRPr="000A3A07">
        <w:rPr>
          <w:i/>
        </w:rPr>
        <w:tab/>
        <w:t>Arla</w:t>
      </w:r>
      <w:r w:rsidRPr="000A3A07">
        <w:rPr>
          <w:i/>
        </w:rPr>
        <w:t>n</w:t>
      </w:r>
      <w:r w:rsidRPr="000A3A07">
        <w:rPr>
          <w:i/>
        </w:rPr>
        <w:t>da</w:t>
      </w:r>
      <w:r w:rsidRPr="000A3A07">
        <w:t>, 1993-03-29.</w:t>
      </w:r>
    </w:p>
    <w:p w14:paraId="477F1665" w14:textId="77777777" w:rsidR="007C11E9" w:rsidRPr="000A3A07" w:rsidRDefault="007C11E9">
      <w:pPr>
        <w:tabs>
          <w:tab w:val="left" w:pos="284"/>
        </w:tabs>
      </w:pPr>
      <w:r w:rsidRPr="000A3A07">
        <w:t xml:space="preserve">Banverket 1994, </w:t>
      </w:r>
      <w:r w:rsidRPr="000A3A07">
        <w:rPr>
          <w:i/>
        </w:rPr>
        <w:t>Stomnätsplan 1994–2003</w:t>
      </w:r>
      <w:r w:rsidRPr="000A3A07">
        <w:t>, BV/P 1994:5, 1994-03-24.</w:t>
      </w:r>
    </w:p>
    <w:p w14:paraId="718B010C" w14:textId="77777777" w:rsidR="007C11E9" w:rsidRPr="000A3A07" w:rsidRDefault="007C11E9">
      <w:pPr>
        <w:tabs>
          <w:tab w:val="left" w:pos="284"/>
        </w:tabs>
      </w:pPr>
      <w:r w:rsidRPr="000A3A07">
        <w:t xml:space="preserve">Banverket 1996 a, </w:t>
      </w:r>
      <w:r w:rsidRPr="000A3A07">
        <w:rPr>
          <w:i/>
        </w:rPr>
        <w:t>Remiss av utredningar om en Citytunnel i Malmö</w:t>
      </w:r>
      <w:r w:rsidRPr="000A3A07">
        <w:t>, GD96-</w:t>
      </w:r>
      <w:r w:rsidRPr="000A3A07">
        <w:tab/>
        <w:t>1709/35, 1996-08-27.</w:t>
      </w:r>
    </w:p>
    <w:p w14:paraId="7CB419D3" w14:textId="77777777" w:rsidR="007C11E9" w:rsidRPr="000A3A07" w:rsidRDefault="007C11E9">
      <w:pPr>
        <w:tabs>
          <w:tab w:val="left" w:pos="284"/>
        </w:tabs>
      </w:pPr>
      <w:r w:rsidRPr="000A3A07">
        <w:t xml:space="preserve">Banverket 1996 b, </w:t>
      </w:r>
      <w:r w:rsidRPr="000A3A07">
        <w:rPr>
          <w:i/>
        </w:rPr>
        <w:t>Botniabanan – ett lönsamt projekt</w:t>
      </w:r>
      <w:r w:rsidRPr="000A3A07">
        <w:t xml:space="preserve">, En samhällsekonomisk </w:t>
      </w:r>
      <w:r w:rsidRPr="000A3A07">
        <w:tab/>
        <w:t>analys, Banverket norra regionen, RNP 1996:4.</w:t>
      </w:r>
    </w:p>
    <w:p w14:paraId="244FA638" w14:textId="77777777" w:rsidR="007C11E9" w:rsidRPr="000A3A07" w:rsidRDefault="007C11E9">
      <w:pPr>
        <w:tabs>
          <w:tab w:val="left" w:pos="284"/>
        </w:tabs>
      </w:pPr>
      <w:r w:rsidRPr="000A3A07">
        <w:t xml:space="preserve">Banverket 1998 a, </w:t>
      </w:r>
      <w:r w:rsidRPr="000A3A07">
        <w:rPr>
          <w:i/>
        </w:rPr>
        <w:t>Objekt med delfinansiering i upprättad stomnätsplan</w:t>
      </w:r>
      <w:r w:rsidRPr="000A3A07">
        <w:t xml:space="preserve"> </w:t>
      </w:r>
      <w:r w:rsidRPr="000A3A07">
        <w:tab/>
      </w:r>
      <w:r w:rsidRPr="000A3A07">
        <w:rPr>
          <w:i/>
        </w:rPr>
        <w:t>1998–2007</w:t>
      </w:r>
      <w:r w:rsidRPr="000A3A07">
        <w:t>, Brev till Kommunikationsdepartementet, 1998-04-06.</w:t>
      </w:r>
    </w:p>
    <w:p w14:paraId="1EA881D8" w14:textId="77777777" w:rsidR="007C11E9" w:rsidRPr="000A3A07" w:rsidRDefault="007C11E9">
      <w:r w:rsidRPr="000A3A07">
        <w:t xml:space="preserve">Banverket 1998 b, </w:t>
      </w:r>
      <w:r w:rsidRPr="000A3A07">
        <w:rPr>
          <w:i/>
        </w:rPr>
        <w:t>Stomnätsplan 1998–2007</w:t>
      </w:r>
      <w:r w:rsidRPr="000A3A07">
        <w:t>, 1998-03-06.</w:t>
      </w:r>
    </w:p>
    <w:p w14:paraId="418A0A98" w14:textId="77777777" w:rsidR="007C11E9" w:rsidRPr="000A3A07" w:rsidRDefault="007C11E9">
      <w:pPr>
        <w:tabs>
          <w:tab w:val="left" w:pos="284"/>
        </w:tabs>
      </w:pPr>
      <w:r w:rsidRPr="000A3A07">
        <w:t xml:space="preserve">Banverket 1999, </w:t>
      </w:r>
      <w:r w:rsidRPr="000A3A07">
        <w:rPr>
          <w:i/>
        </w:rPr>
        <w:t>Årsredovisning 1998</w:t>
      </w:r>
      <w:r w:rsidRPr="000A3A07">
        <w:t>.</w:t>
      </w:r>
    </w:p>
    <w:p w14:paraId="67C53BDD" w14:textId="77777777" w:rsidR="007C11E9" w:rsidRPr="000A3A07" w:rsidRDefault="007C11E9">
      <w:r w:rsidRPr="000A3A07">
        <w:t xml:space="preserve">Banverket 2000, </w:t>
      </w:r>
      <w:r w:rsidRPr="000A3A07">
        <w:rPr>
          <w:i/>
        </w:rPr>
        <w:t>Årsredovisning 1999</w:t>
      </w:r>
      <w:r w:rsidRPr="000A3A07">
        <w:t>.</w:t>
      </w:r>
    </w:p>
    <w:p w14:paraId="1496748A" w14:textId="77777777" w:rsidR="007C11E9" w:rsidRPr="000A3A07" w:rsidRDefault="007C11E9">
      <w:pPr>
        <w:tabs>
          <w:tab w:val="left" w:pos="284"/>
        </w:tabs>
      </w:pPr>
      <w:r w:rsidRPr="000A3A07">
        <w:t xml:space="preserve">Bruzelius, N. 1999, </w:t>
      </w:r>
      <w:r w:rsidRPr="000A3A07">
        <w:rPr>
          <w:i/>
        </w:rPr>
        <w:t>Nya metoder för finansiering av vägar. En vision för</w:t>
      </w:r>
      <w:r w:rsidRPr="000A3A07">
        <w:rPr>
          <w:i/>
        </w:rPr>
        <w:tab/>
        <w:t>2000-talet och det första steget</w:t>
      </w:r>
      <w:r w:rsidRPr="000A3A07">
        <w:t xml:space="preserve">, Kommunikationsforskningsberedningen, </w:t>
      </w:r>
      <w:r w:rsidRPr="000A3A07">
        <w:tab/>
        <w:t>Transportpolitik i fokus, Nr 1.</w:t>
      </w:r>
    </w:p>
    <w:p w14:paraId="6B019125" w14:textId="77777777" w:rsidR="007C11E9" w:rsidRPr="000A3A07" w:rsidRDefault="007C11E9">
      <w:r w:rsidRPr="000A3A07">
        <w:t>DN 2000-05-11, ”Biltull kan lösa trafikinfarkten”.</w:t>
      </w:r>
    </w:p>
    <w:p w14:paraId="362A2F6E" w14:textId="77777777" w:rsidR="007C11E9" w:rsidRPr="000A3A07" w:rsidRDefault="007C11E9">
      <w:pPr>
        <w:tabs>
          <w:tab w:val="left" w:pos="284"/>
        </w:tabs>
      </w:pPr>
      <w:r w:rsidRPr="000A3A07">
        <w:t xml:space="preserve">Ekonomistyrningsverket 1999, </w:t>
      </w:r>
      <w:r w:rsidRPr="000A3A07">
        <w:rPr>
          <w:i/>
        </w:rPr>
        <w:t>Remissvar: Förstudie om alternativ finansie-</w:t>
      </w:r>
      <w:r w:rsidRPr="000A3A07">
        <w:rPr>
          <w:i/>
        </w:rPr>
        <w:tab/>
        <w:t>ring av statliga infrastrukturanläggningar</w:t>
      </w:r>
      <w:r w:rsidRPr="000A3A07">
        <w:t>, 32-1143/1998, 1999-02-23.</w:t>
      </w:r>
    </w:p>
    <w:p w14:paraId="0B6A5386" w14:textId="77777777" w:rsidR="007C11E9" w:rsidRPr="000A3A07" w:rsidRDefault="007C11E9">
      <w:pPr>
        <w:tabs>
          <w:tab w:val="left" w:pos="284"/>
        </w:tabs>
      </w:pPr>
      <w:r w:rsidRPr="000A3A07">
        <w:t xml:space="preserve">Hultkrantz, L. 2000, </w:t>
      </w:r>
      <w:r w:rsidRPr="000A3A07">
        <w:rPr>
          <w:i/>
        </w:rPr>
        <w:t xml:space="preserve">Beslutsunderlaget för Arlandabanan: en granskning av </w:t>
      </w:r>
      <w:r w:rsidRPr="000A3A07">
        <w:rPr>
          <w:i/>
        </w:rPr>
        <w:tab/>
        <w:t>de samhällsekonomiska bedömningarna</w:t>
      </w:r>
      <w:r w:rsidRPr="000A3A07">
        <w:t>, Rapport till Riksdagens reviso-</w:t>
      </w:r>
      <w:r w:rsidRPr="000A3A07">
        <w:tab/>
        <w:t>rer.</w:t>
      </w:r>
    </w:p>
    <w:p w14:paraId="0912F6E0" w14:textId="77777777" w:rsidR="007C11E9" w:rsidRPr="000A3A07" w:rsidRDefault="007C11E9">
      <w:pPr>
        <w:tabs>
          <w:tab w:val="left" w:pos="284"/>
        </w:tabs>
      </w:pPr>
      <w:r w:rsidRPr="000A3A07">
        <w:t>Huvudavtal den 27 februari 1997 om genomförande och finansiering av en</w:t>
      </w:r>
      <w:r w:rsidRPr="000A3A07">
        <w:tab/>
        <w:t>Citytunnel i Malmö för persontrafik med järnväg.</w:t>
      </w:r>
    </w:p>
    <w:p w14:paraId="3795B5E2" w14:textId="77777777" w:rsidR="007C11E9" w:rsidRPr="000A3A07" w:rsidRDefault="007C11E9">
      <w:r w:rsidRPr="000A3A07">
        <w:t>Huvudavtal den 27 november 1997 om byggande av Botniabanan.</w:t>
      </w:r>
    </w:p>
    <w:p w14:paraId="056F7606" w14:textId="77777777" w:rsidR="007C11E9" w:rsidRPr="000A3A07" w:rsidRDefault="007C11E9">
      <w:pPr>
        <w:tabs>
          <w:tab w:val="left" w:pos="284"/>
        </w:tabs>
      </w:pPr>
      <w:r w:rsidRPr="000A3A07">
        <w:t xml:space="preserve">Jansson, J. O. 2000, </w:t>
      </w:r>
      <w:r w:rsidRPr="000A3A07">
        <w:rPr>
          <w:i/>
        </w:rPr>
        <w:t xml:space="preserve">Granskning av de samhällsekonomiska kalkylerna för </w:t>
      </w:r>
      <w:r w:rsidRPr="000A3A07">
        <w:rPr>
          <w:i/>
        </w:rPr>
        <w:tab/>
        <w:t>Södra länken presenterade i Inregia (1996) och Transek (1998)</w:t>
      </w:r>
      <w:r w:rsidRPr="000A3A07">
        <w:t xml:space="preserve">, Rapport </w:t>
      </w:r>
      <w:r w:rsidRPr="000A3A07">
        <w:tab/>
        <w:t>till Riksdagens revisorer.</w:t>
      </w:r>
    </w:p>
    <w:p w14:paraId="200F6C45" w14:textId="77777777" w:rsidR="007C11E9" w:rsidRPr="000A3A07" w:rsidRDefault="007C11E9">
      <w:pPr>
        <w:tabs>
          <w:tab w:val="left" w:pos="284"/>
        </w:tabs>
      </w:pPr>
      <w:r w:rsidRPr="000A3A07">
        <w:t xml:space="preserve">Johansson, P-O. 2000, </w:t>
      </w:r>
      <w:r w:rsidRPr="000A3A07">
        <w:rPr>
          <w:i/>
        </w:rPr>
        <w:t xml:space="preserve">Botniautredningens samhällsekonomiska analys. En </w:t>
      </w:r>
      <w:r w:rsidRPr="000A3A07">
        <w:rPr>
          <w:i/>
        </w:rPr>
        <w:tab/>
        <w:t xml:space="preserve">granskning, </w:t>
      </w:r>
      <w:r w:rsidRPr="000A3A07">
        <w:t>Rapport till Riksdagens revisorer</w:t>
      </w:r>
      <w:r w:rsidRPr="000A3A07">
        <w:rPr>
          <w:i/>
        </w:rPr>
        <w:t>.</w:t>
      </w:r>
    </w:p>
    <w:p w14:paraId="0AB94D5D" w14:textId="77777777" w:rsidR="007C11E9" w:rsidRPr="000A3A07" w:rsidRDefault="007C11E9">
      <w:pPr>
        <w:tabs>
          <w:tab w:val="left" w:pos="284"/>
        </w:tabs>
      </w:pPr>
      <w:r w:rsidRPr="000A3A07">
        <w:br w:type="page"/>
        <w:t>Kommunikationsdepartementet 1998, Två centrala frågor och svar om lång-</w:t>
      </w:r>
      <w:r w:rsidRPr="000A3A07">
        <w:tab/>
        <w:t>siktsplaner för infrastrukturplaner, PM 1998-10-13.</w:t>
      </w:r>
    </w:p>
    <w:p w14:paraId="01D9A867" w14:textId="77777777" w:rsidR="007C11E9" w:rsidRPr="000A3A07" w:rsidRDefault="007C11E9">
      <w:pPr>
        <w:tabs>
          <w:tab w:val="left" w:pos="284"/>
        </w:tabs>
      </w:pPr>
      <w:r w:rsidRPr="000A3A07">
        <w:t xml:space="preserve">Nilsson, J-E. 2000, </w:t>
      </w:r>
      <w:r w:rsidRPr="000A3A07">
        <w:rPr>
          <w:i/>
        </w:rPr>
        <w:t>Citytunneln; beslutsprocess och beslutsunderlag</w:t>
      </w:r>
      <w:r w:rsidRPr="000A3A07">
        <w:t>, Utred-</w:t>
      </w:r>
      <w:r w:rsidRPr="000A3A07">
        <w:tab/>
        <w:t>ningsuppdrag för Riksdagens revisorer.</w:t>
      </w:r>
    </w:p>
    <w:p w14:paraId="161E3310" w14:textId="77777777" w:rsidR="007C11E9" w:rsidRPr="000A3A07" w:rsidRDefault="007C11E9">
      <w:pPr>
        <w:tabs>
          <w:tab w:val="left" w:pos="284"/>
        </w:tabs>
      </w:pPr>
      <w:r w:rsidRPr="000A3A07">
        <w:t xml:space="preserve">Näringsdepartementet 2000, </w:t>
      </w:r>
      <w:r w:rsidRPr="000A3A07">
        <w:rPr>
          <w:i/>
        </w:rPr>
        <w:t>Utredning om alternativ finansiering av infra-</w:t>
      </w:r>
      <w:r w:rsidRPr="000A3A07">
        <w:rPr>
          <w:i/>
        </w:rPr>
        <w:tab/>
        <w:t>struktur</w:t>
      </w:r>
      <w:r w:rsidRPr="000A3A07">
        <w:t>, PM 2000-02-22, bilaga till protokoll § 1 den 22 februari 2000.</w:t>
      </w:r>
    </w:p>
    <w:p w14:paraId="1F99B6C5" w14:textId="77777777" w:rsidR="007C11E9" w:rsidRPr="000A3A07" w:rsidRDefault="007C11E9">
      <w:pPr>
        <w:tabs>
          <w:tab w:val="left" w:pos="284"/>
        </w:tabs>
      </w:pPr>
      <w:r w:rsidRPr="000A3A07">
        <w:t xml:space="preserve">Riksdagens revisorer 1999, </w:t>
      </w:r>
      <w:r w:rsidRPr="000A3A07">
        <w:rPr>
          <w:i/>
        </w:rPr>
        <w:t>Statliga kreditgarantier – kontrollen över riskta-</w:t>
      </w:r>
      <w:r w:rsidRPr="000A3A07">
        <w:rPr>
          <w:i/>
        </w:rPr>
        <w:tab/>
        <w:t>gandet</w:t>
      </w:r>
      <w:r w:rsidRPr="000A3A07">
        <w:t>, rapport 1999/2000:1.</w:t>
      </w:r>
    </w:p>
    <w:p w14:paraId="670578C2" w14:textId="77777777" w:rsidR="007C11E9" w:rsidRPr="000A3A07" w:rsidRDefault="007C11E9">
      <w:pPr>
        <w:tabs>
          <w:tab w:val="left" w:pos="284"/>
        </w:tabs>
      </w:pPr>
      <w:r w:rsidRPr="000A3A07">
        <w:t xml:space="preserve">Riksdagens revisorer 2000 a, </w:t>
      </w:r>
      <w:r w:rsidRPr="000A3A07">
        <w:rPr>
          <w:i/>
        </w:rPr>
        <w:t xml:space="preserve">Statliga kreditgarantier. </w:t>
      </w:r>
      <w:r w:rsidRPr="000A3A07">
        <w:t xml:space="preserve">Förslag till riksdagen </w:t>
      </w:r>
      <w:r w:rsidRPr="000A3A07">
        <w:tab/>
        <w:t>1999/2000:RR8.</w:t>
      </w:r>
    </w:p>
    <w:p w14:paraId="57F69878" w14:textId="77777777" w:rsidR="007C11E9" w:rsidRPr="000A3A07" w:rsidRDefault="007C11E9">
      <w:pPr>
        <w:pStyle w:val="Sidfot"/>
        <w:tabs>
          <w:tab w:val="clear" w:pos="4703"/>
          <w:tab w:val="clear" w:pos="9406"/>
          <w:tab w:val="left" w:pos="284"/>
        </w:tabs>
      </w:pPr>
      <w:r w:rsidRPr="000A3A07">
        <w:t xml:space="preserve">Riksdagens revisorer 2000 b, </w:t>
      </w:r>
      <w:r w:rsidRPr="000A3A07">
        <w:rPr>
          <w:i/>
        </w:rPr>
        <w:t>Bemyndiganden – med utgångspunkt i försva-</w:t>
      </w:r>
      <w:r w:rsidRPr="000A3A07">
        <w:rPr>
          <w:i/>
        </w:rPr>
        <w:tab/>
        <w:t>ret</w:t>
      </w:r>
      <w:r w:rsidRPr="000A3A07">
        <w:t>, rapport 1999/2000:8.</w:t>
      </w:r>
    </w:p>
    <w:p w14:paraId="2A442650" w14:textId="77777777" w:rsidR="007C11E9" w:rsidRPr="000A3A07" w:rsidRDefault="007C11E9">
      <w:r w:rsidRPr="000A3A07">
        <w:t xml:space="preserve">Riksgäldskontoret 1999 a, </w:t>
      </w:r>
      <w:r w:rsidRPr="000A3A07">
        <w:rPr>
          <w:i/>
        </w:rPr>
        <w:t>Årsrapport 1998</w:t>
      </w:r>
      <w:r w:rsidRPr="000A3A07">
        <w:t>.</w:t>
      </w:r>
    </w:p>
    <w:p w14:paraId="137E8210" w14:textId="77777777" w:rsidR="007C11E9" w:rsidRPr="000A3A07" w:rsidRDefault="007C11E9">
      <w:pPr>
        <w:pStyle w:val="Sidfot"/>
        <w:tabs>
          <w:tab w:val="clear" w:pos="4703"/>
          <w:tab w:val="clear" w:pos="9406"/>
          <w:tab w:val="left" w:pos="284"/>
        </w:tabs>
      </w:pPr>
      <w:r w:rsidRPr="000A3A07">
        <w:t xml:space="preserve">Riksgäldskontoret 1999 b, </w:t>
      </w:r>
      <w:r w:rsidRPr="000A3A07">
        <w:rPr>
          <w:i/>
        </w:rPr>
        <w:t>Yttrande 1999-02-26, Förstudie om alternativ</w:t>
      </w:r>
      <w:r w:rsidRPr="000A3A07">
        <w:rPr>
          <w:i/>
        </w:rPr>
        <w:tab/>
        <w:t xml:space="preserve"> finansiering av statliga infrastrukturanläggningar</w:t>
      </w:r>
      <w:r w:rsidRPr="000A3A07">
        <w:t>, Dnr 1998/3612.</w:t>
      </w:r>
    </w:p>
    <w:p w14:paraId="77505FB9" w14:textId="77777777" w:rsidR="007C11E9" w:rsidRPr="000A3A07" w:rsidRDefault="007C11E9">
      <w:pPr>
        <w:pStyle w:val="Sidfot"/>
        <w:tabs>
          <w:tab w:val="clear" w:pos="4703"/>
          <w:tab w:val="clear" w:pos="9406"/>
          <w:tab w:val="left" w:pos="284"/>
        </w:tabs>
      </w:pPr>
      <w:r w:rsidRPr="000A3A07">
        <w:t xml:space="preserve">Riksgäldskontoret 2000 a, </w:t>
      </w:r>
      <w:r w:rsidRPr="000A3A07">
        <w:rPr>
          <w:i/>
        </w:rPr>
        <w:t>Årsrapport 1999</w:t>
      </w:r>
      <w:r w:rsidRPr="000A3A07">
        <w:t>.</w:t>
      </w:r>
    </w:p>
    <w:p w14:paraId="61753A16" w14:textId="77777777" w:rsidR="007C11E9" w:rsidRPr="000A3A07" w:rsidRDefault="007C11E9">
      <w:pPr>
        <w:pStyle w:val="Sidfot"/>
        <w:tabs>
          <w:tab w:val="clear" w:pos="4703"/>
          <w:tab w:val="clear" w:pos="9406"/>
          <w:tab w:val="left" w:pos="284"/>
        </w:tabs>
      </w:pPr>
      <w:r w:rsidRPr="000A3A07">
        <w:t xml:space="preserve">Riksgäldskontoret 2000 b, </w:t>
      </w:r>
      <w:r w:rsidRPr="000A3A07">
        <w:rPr>
          <w:i/>
        </w:rPr>
        <w:t>Garanti- och kreditrapport</w:t>
      </w:r>
      <w:r w:rsidRPr="000A3A07">
        <w:t>, Dnr 00/111, 2000-08-</w:t>
      </w:r>
      <w:r w:rsidRPr="000A3A07">
        <w:tab/>
        <w:t>09.</w:t>
      </w:r>
    </w:p>
    <w:p w14:paraId="69423DD3" w14:textId="77777777" w:rsidR="007C11E9" w:rsidRPr="000A3A07" w:rsidRDefault="007C11E9">
      <w:pPr>
        <w:pStyle w:val="Sidfot"/>
        <w:tabs>
          <w:tab w:val="clear" w:pos="4703"/>
          <w:tab w:val="clear" w:pos="9406"/>
          <w:tab w:val="left" w:pos="284"/>
        </w:tabs>
      </w:pPr>
      <w:r w:rsidRPr="000A3A07">
        <w:t xml:space="preserve">Riksrevisionsverket 1994, </w:t>
      </w:r>
      <w:r w:rsidRPr="000A3A07">
        <w:rPr>
          <w:i/>
        </w:rPr>
        <w:t>Infrastrukturinvesteringar – en kostnadsjämförel-</w:t>
      </w:r>
      <w:r w:rsidRPr="000A3A07">
        <w:rPr>
          <w:i/>
        </w:rPr>
        <w:tab/>
        <w:t>se mellan plan och utfall i 15 större projekt inom Vägverket och Banver-</w:t>
      </w:r>
      <w:r w:rsidRPr="000A3A07">
        <w:rPr>
          <w:i/>
        </w:rPr>
        <w:tab/>
        <w:t>ket</w:t>
      </w:r>
      <w:r w:rsidRPr="000A3A07">
        <w:t>, RRV 1994:23.</w:t>
      </w:r>
    </w:p>
    <w:p w14:paraId="2D4AADB5" w14:textId="77777777" w:rsidR="007C11E9" w:rsidRPr="000A3A07" w:rsidRDefault="007C11E9">
      <w:pPr>
        <w:pStyle w:val="Sidfot"/>
        <w:tabs>
          <w:tab w:val="clear" w:pos="4703"/>
          <w:tab w:val="clear" w:pos="9406"/>
          <w:tab w:val="left" w:pos="284"/>
        </w:tabs>
      </w:pPr>
      <w:r w:rsidRPr="000A3A07">
        <w:t xml:space="preserve">Riksrevisionsverket 1995, </w:t>
      </w:r>
      <w:r w:rsidRPr="000A3A07">
        <w:rPr>
          <w:i/>
        </w:rPr>
        <w:t>Upphandlingen av Arlandabanan – regeringsupp-</w:t>
      </w:r>
      <w:r w:rsidRPr="000A3A07">
        <w:rPr>
          <w:i/>
        </w:rPr>
        <w:tab/>
        <w:t>drag</w:t>
      </w:r>
      <w:r w:rsidRPr="000A3A07">
        <w:t>, RRV 1995:43.</w:t>
      </w:r>
    </w:p>
    <w:p w14:paraId="24F6BB5E" w14:textId="77777777" w:rsidR="007C11E9" w:rsidRPr="000A3A07" w:rsidRDefault="007C11E9">
      <w:pPr>
        <w:pStyle w:val="Sidfot"/>
        <w:tabs>
          <w:tab w:val="clear" w:pos="4703"/>
          <w:tab w:val="clear" w:pos="9406"/>
          <w:tab w:val="left" w:pos="284"/>
        </w:tabs>
      </w:pPr>
      <w:r w:rsidRPr="000A3A07">
        <w:t xml:space="preserve">Riksrevisionsverket 1997 a, </w:t>
      </w:r>
      <w:r w:rsidRPr="000A3A07">
        <w:rPr>
          <w:i/>
        </w:rPr>
        <w:t>Banverkets bedömningar av framtida järnvägs-</w:t>
      </w:r>
      <w:r w:rsidRPr="000A3A07">
        <w:rPr>
          <w:i/>
        </w:rPr>
        <w:tab/>
        <w:t>trafik</w:t>
      </w:r>
      <w:r w:rsidRPr="000A3A07">
        <w:t>, RRV 1997:32.</w:t>
      </w:r>
    </w:p>
    <w:p w14:paraId="287ECAFC" w14:textId="77777777" w:rsidR="007C11E9" w:rsidRPr="000A3A07" w:rsidRDefault="007C11E9">
      <w:pPr>
        <w:pStyle w:val="Sidfot"/>
        <w:tabs>
          <w:tab w:val="clear" w:pos="4703"/>
          <w:tab w:val="clear" w:pos="9406"/>
          <w:tab w:val="left" w:pos="284"/>
        </w:tabs>
      </w:pPr>
      <w:r w:rsidRPr="000A3A07">
        <w:t xml:space="preserve">Riksrevisionsverket 1997 b, </w:t>
      </w:r>
      <w:r w:rsidRPr="000A3A07">
        <w:rPr>
          <w:i/>
        </w:rPr>
        <w:t xml:space="preserve">Vägverkets, Banverkets och länens förslag till </w:t>
      </w:r>
      <w:r w:rsidRPr="000A3A07">
        <w:rPr>
          <w:i/>
        </w:rPr>
        <w:tab/>
        <w:t xml:space="preserve">infrastrukturinvesteringar åren 1998–2007 – en kvalitetsbedömning av </w:t>
      </w:r>
      <w:r w:rsidRPr="000A3A07">
        <w:rPr>
          <w:i/>
        </w:rPr>
        <w:tab/>
        <w:t>beslutsunderlaget</w:t>
      </w:r>
      <w:r w:rsidRPr="000A3A07">
        <w:t>, RRV 1997:60.</w:t>
      </w:r>
    </w:p>
    <w:p w14:paraId="233DE41D" w14:textId="77777777" w:rsidR="007C11E9" w:rsidRPr="000A3A07" w:rsidRDefault="007C11E9">
      <w:pPr>
        <w:pStyle w:val="Sidfot"/>
        <w:tabs>
          <w:tab w:val="clear" w:pos="4703"/>
          <w:tab w:val="clear" w:pos="9406"/>
          <w:tab w:val="left" w:pos="284"/>
        </w:tabs>
      </w:pPr>
      <w:r w:rsidRPr="000A3A07">
        <w:t xml:space="preserve">SAMPLAN 1995, </w:t>
      </w:r>
      <w:r w:rsidRPr="000A3A07">
        <w:rPr>
          <w:i/>
        </w:rPr>
        <w:t xml:space="preserve">Översyn av samhällsekonomiska kalkylvärden för den </w:t>
      </w:r>
      <w:r w:rsidRPr="000A3A07">
        <w:rPr>
          <w:i/>
        </w:rPr>
        <w:tab/>
        <w:t>nationella trafikplaneringen 1994–1998</w:t>
      </w:r>
      <w:r w:rsidRPr="000A3A07">
        <w:t>, Rapport 1995:13.</w:t>
      </w:r>
    </w:p>
    <w:p w14:paraId="1864F9B7" w14:textId="77777777" w:rsidR="007C11E9" w:rsidRPr="000A3A07" w:rsidRDefault="007C11E9">
      <w:pPr>
        <w:tabs>
          <w:tab w:val="left" w:pos="284"/>
        </w:tabs>
      </w:pPr>
      <w:r w:rsidRPr="000A3A07">
        <w:t xml:space="preserve">SAMPLAN 1999, </w:t>
      </w:r>
      <w:r w:rsidRPr="000A3A07">
        <w:rPr>
          <w:i/>
        </w:rPr>
        <w:t>Strategisk analys, Slutrapportering av regeringsuppdrag</w:t>
      </w:r>
      <w:r w:rsidRPr="000A3A07">
        <w:rPr>
          <w:i/>
        </w:rPr>
        <w:tab/>
        <w:t>om inriktningen av infrastrukturplaneringen för perioden 2002–2011</w:t>
      </w:r>
      <w:r w:rsidRPr="000A3A07">
        <w:t xml:space="preserve">, </w:t>
      </w:r>
      <w:r w:rsidRPr="000A3A07">
        <w:tab/>
        <w:t>Ra</w:t>
      </w:r>
      <w:r w:rsidRPr="000A3A07">
        <w:t>p</w:t>
      </w:r>
      <w:r w:rsidRPr="000A3A07">
        <w:t>port 1999:2</w:t>
      </w:r>
    </w:p>
    <w:p w14:paraId="74CC9866" w14:textId="77777777" w:rsidR="007C11E9" w:rsidRPr="000A3A07" w:rsidRDefault="007C11E9">
      <w:r w:rsidRPr="000A3A07">
        <w:t xml:space="preserve">SIKA 1996, </w:t>
      </w:r>
      <w:r w:rsidRPr="000A3A07">
        <w:rPr>
          <w:i/>
        </w:rPr>
        <w:t>Botniabanan – en samhällsekonomisk bedömning</w:t>
      </w:r>
      <w:r w:rsidRPr="000A3A07">
        <w:t>, nr 1996:1.</w:t>
      </w:r>
    </w:p>
    <w:p w14:paraId="67FF86BA" w14:textId="77777777" w:rsidR="007C11E9" w:rsidRPr="000A3A07" w:rsidRDefault="007C11E9">
      <w:pPr>
        <w:tabs>
          <w:tab w:val="left" w:pos="284"/>
        </w:tabs>
      </w:pPr>
      <w:r w:rsidRPr="000A3A07">
        <w:t xml:space="preserve">SIKA 1998, </w:t>
      </w:r>
      <w:r w:rsidRPr="000A3A07">
        <w:rPr>
          <w:i/>
        </w:rPr>
        <w:t>Lägesanalys, En första rapport om inriktningen av planeringen</w:t>
      </w:r>
      <w:r w:rsidRPr="000A3A07">
        <w:rPr>
          <w:i/>
        </w:rPr>
        <w:tab/>
        <w:t xml:space="preserve"> för transportinfrastrukturen 2002–2011</w:t>
      </w:r>
      <w:r w:rsidRPr="000A3A07">
        <w:t>, Rapport 1998:8.</w:t>
      </w:r>
    </w:p>
    <w:p w14:paraId="50E06935" w14:textId="77777777" w:rsidR="007C11E9" w:rsidRPr="000A3A07" w:rsidRDefault="007C11E9">
      <w:pPr>
        <w:tabs>
          <w:tab w:val="left" w:pos="284"/>
        </w:tabs>
      </w:pPr>
      <w:r w:rsidRPr="000A3A07">
        <w:t xml:space="preserve">SIKA 1999, </w:t>
      </w:r>
      <w:r w:rsidRPr="000A3A07">
        <w:rPr>
          <w:i/>
        </w:rPr>
        <w:t>Översyn av samhällsekonomiska kalkylprinciper och kalkylvär-</w:t>
      </w:r>
      <w:r w:rsidRPr="000A3A07">
        <w:rPr>
          <w:i/>
        </w:rPr>
        <w:tab/>
        <w:t>den på transportområdet</w:t>
      </w:r>
      <w:r w:rsidRPr="000A3A07">
        <w:t>, ASEK, Rapport 1999:6.</w:t>
      </w:r>
    </w:p>
    <w:p w14:paraId="4C30F5B6" w14:textId="77777777" w:rsidR="007C11E9" w:rsidRPr="000A3A07" w:rsidRDefault="007C11E9">
      <w:r w:rsidRPr="000A3A07">
        <w:t xml:space="preserve">SIKA 2000, </w:t>
      </w:r>
      <w:r w:rsidRPr="000A3A07">
        <w:rPr>
          <w:i/>
        </w:rPr>
        <w:t>ASEK kalkylvärden i sammanfattning</w:t>
      </w:r>
      <w:r w:rsidRPr="000A3A07">
        <w:t>, ASEK, Rapport 2000:3.</w:t>
      </w:r>
    </w:p>
    <w:p w14:paraId="0D4F30B2" w14:textId="77777777" w:rsidR="007C11E9" w:rsidRPr="000A3A07" w:rsidRDefault="007C11E9">
      <w:pPr>
        <w:tabs>
          <w:tab w:val="left" w:pos="284"/>
        </w:tabs>
      </w:pPr>
      <w:r w:rsidRPr="000A3A07">
        <w:t xml:space="preserve">SOU 1992:114, </w:t>
      </w:r>
      <w:r w:rsidRPr="000A3A07">
        <w:rPr>
          <w:i/>
        </w:rPr>
        <w:t xml:space="preserve">Malmöregionens trafiksystem, Överenskommelse om </w:t>
      </w:r>
      <w:r w:rsidRPr="000A3A07">
        <w:rPr>
          <w:i/>
        </w:rPr>
        <w:tab/>
        <w:t xml:space="preserve">åtgärder i trafikens infrastruktur, </w:t>
      </w:r>
      <w:r w:rsidRPr="000A3A07">
        <w:t>Slutbetänkande av Malmöhusförhand-</w:t>
      </w:r>
      <w:r w:rsidRPr="000A3A07">
        <w:tab/>
        <w:t>linga</w:t>
      </w:r>
      <w:r w:rsidRPr="000A3A07">
        <w:t>r</w:t>
      </w:r>
      <w:r w:rsidRPr="000A3A07">
        <w:t>na</w:t>
      </w:r>
      <w:r w:rsidRPr="000A3A07">
        <w:rPr>
          <w:i/>
        </w:rPr>
        <w:t>.</w:t>
      </w:r>
    </w:p>
    <w:p w14:paraId="320BCD85" w14:textId="77777777" w:rsidR="007C11E9" w:rsidRPr="000A3A07" w:rsidRDefault="007C11E9">
      <w:pPr>
        <w:tabs>
          <w:tab w:val="left" w:pos="284"/>
        </w:tabs>
      </w:pPr>
      <w:r w:rsidRPr="000A3A07">
        <w:t xml:space="preserve">SOU 1994:78, </w:t>
      </w:r>
      <w:r w:rsidRPr="000A3A07">
        <w:rPr>
          <w:i/>
        </w:rPr>
        <w:t>Citytunneln i Malmö</w:t>
      </w:r>
      <w:r w:rsidRPr="000A3A07">
        <w:t>, Betänkande av utredningen med upp</w:t>
      </w:r>
      <w:r w:rsidRPr="000A3A07">
        <w:tab/>
        <w:t xml:space="preserve">drag att lämna förslag till genomförande och finansiering av en eventuell </w:t>
      </w:r>
      <w:r w:rsidRPr="000A3A07">
        <w:tab/>
        <w:t>Citytu</w:t>
      </w:r>
      <w:r w:rsidRPr="000A3A07">
        <w:t>n</w:t>
      </w:r>
      <w:r w:rsidRPr="000A3A07">
        <w:t xml:space="preserve">nel i Malmö. </w:t>
      </w:r>
    </w:p>
    <w:p w14:paraId="09D82B48" w14:textId="77777777" w:rsidR="007C11E9" w:rsidRPr="000A3A07" w:rsidRDefault="007C11E9">
      <w:pPr>
        <w:tabs>
          <w:tab w:val="left" w:pos="284"/>
        </w:tabs>
      </w:pPr>
      <w:r w:rsidRPr="000A3A07">
        <w:t xml:space="preserve">SOU 1996:14, </w:t>
      </w:r>
      <w:r w:rsidRPr="000A3A07">
        <w:rPr>
          <w:i/>
        </w:rPr>
        <w:t>Budgetlag – regeringens befogenheter på finansmaktens om-</w:t>
      </w:r>
      <w:r w:rsidRPr="000A3A07">
        <w:rPr>
          <w:i/>
        </w:rPr>
        <w:tab/>
        <w:t>råde</w:t>
      </w:r>
      <w:r w:rsidRPr="000A3A07">
        <w:t>, Betänkande av Budgetlagsutredningen.</w:t>
      </w:r>
    </w:p>
    <w:p w14:paraId="450112F7" w14:textId="77777777" w:rsidR="007C11E9" w:rsidRPr="000A3A07" w:rsidRDefault="007C11E9">
      <w:pPr>
        <w:tabs>
          <w:tab w:val="left" w:pos="284"/>
        </w:tabs>
      </w:pPr>
      <w:r w:rsidRPr="000A3A07">
        <w:t xml:space="preserve">SOU 1996:95, </w:t>
      </w:r>
      <w:r w:rsidRPr="000A3A07">
        <w:rPr>
          <w:i/>
        </w:rPr>
        <w:t>Botniabanan</w:t>
      </w:r>
      <w:r w:rsidRPr="000A3A07">
        <w:t xml:space="preserve">, Betänkande av utredningen om Botniabanan. </w:t>
      </w:r>
    </w:p>
    <w:p w14:paraId="55417535" w14:textId="77777777" w:rsidR="007C11E9" w:rsidRPr="000A3A07" w:rsidRDefault="007C11E9">
      <w:pPr>
        <w:tabs>
          <w:tab w:val="left" w:pos="284"/>
        </w:tabs>
      </w:pPr>
      <w:r w:rsidRPr="000A3A07">
        <w:t xml:space="preserve">Statens revisionsverk 2000, </w:t>
      </w:r>
      <w:r w:rsidRPr="000A3A07">
        <w:rPr>
          <w:i/>
        </w:rPr>
        <w:t xml:space="preserve">Förbättrande av Lahtisvägen med en ny modell </w:t>
      </w:r>
      <w:r w:rsidRPr="000A3A07">
        <w:rPr>
          <w:i/>
        </w:rPr>
        <w:tab/>
        <w:t xml:space="preserve">för finansieringen, </w:t>
      </w:r>
      <w:r w:rsidRPr="000A3A07">
        <w:t>Publikation nr 3/2000, Dnr 667/54/99</w:t>
      </w:r>
      <w:r w:rsidRPr="000A3A07">
        <w:rPr>
          <w:i/>
        </w:rPr>
        <w:t>.</w:t>
      </w:r>
    </w:p>
    <w:p w14:paraId="4B3A462C" w14:textId="77777777" w:rsidR="007C11E9" w:rsidRPr="000A3A07" w:rsidRDefault="007C11E9">
      <w:pPr>
        <w:tabs>
          <w:tab w:val="left" w:pos="284"/>
        </w:tabs>
      </w:pPr>
      <w:r w:rsidRPr="000A3A07">
        <w:t xml:space="preserve">Statskontoret 1998, </w:t>
      </w:r>
      <w:r w:rsidRPr="000A3A07">
        <w:rPr>
          <w:i/>
        </w:rPr>
        <w:t>Privatfinansiering genom partnerskap</w:t>
      </w:r>
      <w:r w:rsidRPr="000A3A07">
        <w:t>, 1998:12.</w:t>
      </w:r>
    </w:p>
    <w:p w14:paraId="15A2F09C" w14:textId="77777777" w:rsidR="007C11E9" w:rsidRPr="000A3A07" w:rsidRDefault="007C11E9">
      <w:pPr>
        <w:tabs>
          <w:tab w:val="left" w:pos="284"/>
        </w:tabs>
      </w:pPr>
      <w:r w:rsidRPr="000A3A07">
        <w:t xml:space="preserve">SVEDAB 1996, </w:t>
      </w:r>
      <w:r w:rsidRPr="000A3A07">
        <w:rPr>
          <w:i/>
        </w:rPr>
        <w:t xml:space="preserve">På väg till Öresund, Öresundsförbindelsen och de svenska </w:t>
      </w:r>
      <w:r w:rsidRPr="000A3A07">
        <w:rPr>
          <w:i/>
        </w:rPr>
        <w:tab/>
        <w:t>landanslutningarna</w:t>
      </w:r>
      <w:r w:rsidRPr="000A3A07">
        <w:t>, december 1996.</w:t>
      </w:r>
    </w:p>
    <w:p w14:paraId="26F5565B" w14:textId="77777777" w:rsidR="007C11E9" w:rsidRPr="000A3A07" w:rsidRDefault="007C11E9">
      <w:r w:rsidRPr="000A3A07">
        <w:t xml:space="preserve">SVEDAB 2000, </w:t>
      </w:r>
      <w:r w:rsidRPr="000A3A07">
        <w:rPr>
          <w:i/>
        </w:rPr>
        <w:t>Årsredovisning 1999</w:t>
      </w:r>
      <w:r w:rsidRPr="000A3A07">
        <w:t>.</w:t>
      </w:r>
    </w:p>
    <w:p w14:paraId="2CFEB80D" w14:textId="77777777" w:rsidR="007C11E9" w:rsidRPr="000A3A07" w:rsidRDefault="007C11E9">
      <w:pPr>
        <w:tabs>
          <w:tab w:val="left" w:pos="284"/>
        </w:tabs>
      </w:pPr>
      <w:r w:rsidRPr="000A3A07">
        <w:t xml:space="preserve">Svenska Naturskyddsföreningen 1999, </w:t>
      </w:r>
      <w:r w:rsidRPr="000A3A07">
        <w:rPr>
          <w:i/>
        </w:rPr>
        <w:t xml:space="preserve">Angående trafikutskottets hearing </w:t>
      </w:r>
      <w:r w:rsidRPr="000A3A07">
        <w:rPr>
          <w:i/>
        </w:rPr>
        <w:tab/>
        <w:t>om PPP</w:t>
      </w:r>
      <w:r w:rsidRPr="000A3A07">
        <w:t xml:space="preserve">, Brev till ledamöterna i riksdagens trafik- och finansutskott, </w:t>
      </w:r>
      <w:r w:rsidRPr="000A3A07">
        <w:tab/>
        <w:t>1999-10-12.</w:t>
      </w:r>
    </w:p>
    <w:p w14:paraId="42E7A024" w14:textId="77777777" w:rsidR="007C11E9" w:rsidRPr="000A3A07" w:rsidRDefault="007C11E9">
      <w:pPr>
        <w:tabs>
          <w:tab w:val="left" w:pos="284"/>
        </w:tabs>
      </w:pPr>
      <w:r w:rsidRPr="000A3A07">
        <w:t xml:space="preserve">VESTA 1998, </w:t>
      </w:r>
      <w:r w:rsidRPr="000A3A07">
        <w:rPr>
          <w:i/>
        </w:rPr>
        <w:t>Hur ska statliga investeringar budgeteras och styras?</w:t>
      </w:r>
      <w:r w:rsidRPr="000A3A07">
        <w:t>, nr 5</w:t>
      </w:r>
      <w:r w:rsidRPr="000A3A07">
        <w:tab/>
        <w:t>1998.</w:t>
      </w:r>
    </w:p>
    <w:p w14:paraId="4AF7619D" w14:textId="77777777" w:rsidR="007C11E9" w:rsidRPr="000A3A07" w:rsidRDefault="007C11E9">
      <w:pPr>
        <w:tabs>
          <w:tab w:val="left" w:pos="284"/>
        </w:tabs>
      </w:pPr>
      <w:r w:rsidRPr="000A3A07">
        <w:t xml:space="preserve">Väginvest 1999, </w:t>
      </w:r>
      <w:r w:rsidRPr="000A3A07">
        <w:rPr>
          <w:i/>
        </w:rPr>
        <w:t>Vägverkets Investeringsaktiebolag Väginvest (publ.), Års-</w:t>
      </w:r>
      <w:r w:rsidRPr="000A3A07">
        <w:rPr>
          <w:i/>
        </w:rPr>
        <w:tab/>
        <w:t>redovisning 1998</w:t>
      </w:r>
      <w:r w:rsidRPr="000A3A07">
        <w:t>.</w:t>
      </w:r>
    </w:p>
    <w:p w14:paraId="0F68AA64" w14:textId="77777777" w:rsidR="007C11E9" w:rsidRPr="000A3A07" w:rsidRDefault="007C11E9">
      <w:pPr>
        <w:tabs>
          <w:tab w:val="left" w:pos="284"/>
        </w:tabs>
      </w:pPr>
      <w:r w:rsidRPr="000A3A07">
        <w:t xml:space="preserve">Vägverket 1998, </w:t>
      </w:r>
      <w:r w:rsidRPr="000A3A07">
        <w:rPr>
          <w:i/>
        </w:rPr>
        <w:t>Nationell plan för vägtransportsystemet 1998–2007, För-</w:t>
      </w:r>
      <w:r w:rsidRPr="000A3A07">
        <w:rPr>
          <w:i/>
        </w:rPr>
        <w:tab/>
        <w:t>slag</w:t>
      </w:r>
      <w:r w:rsidRPr="000A3A07">
        <w:t>.</w:t>
      </w:r>
    </w:p>
    <w:p w14:paraId="3D5D7673" w14:textId="77777777" w:rsidR="007C11E9" w:rsidRPr="000A3A07" w:rsidRDefault="007C11E9">
      <w:pPr>
        <w:tabs>
          <w:tab w:val="left" w:pos="284"/>
        </w:tabs>
      </w:pPr>
      <w:r w:rsidRPr="000A3A07">
        <w:t xml:space="preserve">Vägverket 1999 a, </w:t>
      </w:r>
      <w:r w:rsidRPr="000A3A07">
        <w:rPr>
          <w:i/>
        </w:rPr>
        <w:t>Alternativ till anslagsfinansiering av väginvesteringar</w:t>
      </w:r>
      <w:r w:rsidRPr="000A3A07">
        <w:rPr>
          <w:i/>
        </w:rPr>
        <w:tab/>
        <w:t xml:space="preserve"> med direktavskrivning</w:t>
      </w:r>
      <w:r w:rsidRPr="000A3A07">
        <w:t>, 98-12-15, rev. 99-01-04.</w:t>
      </w:r>
    </w:p>
    <w:p w14:paraId="4595F57D" w14:textId="77777777" w:rsidR="007C11E9" w:rsidRPr="000A3A07" w:rsidRDefault="007C11E9">
      <w:pPr>
        <w:tabs>
          <w:tab w:val="left" w:pos="284"/>
        </w:tabs>
      </w:pPr>
      <w:r w:rsidRPr="000A3A07">
        <w:t xml:space="preserve">Vägverket 1999 b, </w:t>
      </w:r>
      <w:r w:rsidRPr="000A3A07">
        <w:rPr>
          <w:i/>
        </w:rPr>
        <w:t>Årsredovisning 98</w:t>
      </w:r>
      <w:r w:rsidRPr="000A3A07">
        <w:t>, Publikation 1999:33.</w:t>
      </w:r>
    </w:p>
    <w:p w14:paraId="24F7A2D7" w14:textId="77777777" w:rsidR="007C11E9" w:rsidRPr="000A3A07" w:rsidRDefault="007C11E9">
      <w:r w:rsidRPr="000A3A07">
        <w:t xml:space="preserve">Vägverket 2000, </w:t>
      </w:r>
      <w:r w:rsidRPr="000A3A07">
        <w:rPr>
          <w:i/>
        </w:rPr>
        <w:t>Årsredovisning 99</w:t>
      </w:r>
      <w:r w:rsidRPr="000A3A07">
        <w:t>, Publikation 2000:21.</w:t>
      </w:r>
    </w:p>
    <w:p w14:paraId="4B2ED132" w14:textId="77777777" w:rsidR="007C11E9" w:rsidRPr="000A3A07" w:rsidRDefault="007C11E9">
      <w:r w:rsidRPr="000A3A07">
        <w:t xml:space="preserve">Øresundsbro Konsortiet, </w:t>
      </w:r>
      <w:r w:rsidRPr="000A3A07">
        <w:rPr>
          <w:i/>
        </w:rPr>
        <w:t>Årsredovisning 1999</w:t>
      </w:r>
      <w:r w:rsidRPr="000A3A07">
        <w:t>.</w:t>
      </w:r>
    </w:p>
    <w:p w14:paraId="5E1C42C1" w14:textId="77777777" w:rsidR="007C11E9" w:rsidRPr="000A3A07" w:rsidRDefault="007C11E9">
      <w:pPr>
        <w:pStyle w:val="Normaltindrag"/>
      </w:pPr>
    </w:p>
    <w:p w14:paraId="7D39CCE9" w14:textId="77777777" w:rsidR="007C11E9" w:rsidRPr="000A3A07" w:rsidRDefault="007C11E9">
      <w:pPr>
        <w:pStyle w:val="RubrikUtanNr"/>
        <w:sectPr w:rsidR="00000000" w:rsidRPr="000A3A07">
          <w:headerReference w:type="default" r:id="rId33"/>
          <w:footerReference w:type="default" r:id="rId34"/>
          <w:footnotePr>
            <w:numRestart w:val="eachSect"/>
          </w:footnotePr>
          <w:endnotePr>
            <w:numRestart w:val="eachSect"/>
          </w:endnotePr>
          <w:pgSz w:w="11906" w:h="16838" w:code="9"/>
          <w:pgMar w:top="567" w:right="4876" w:bottom="4508" w:left="1134" w:header="0" w:footer="0" w:gutter="0"/>
          <w:cols w:space="397"/>
          <w:titlePg/>
        </w:sectPr>
      </w:pPr>
    </w:p>
    <w:p w14:paraId="2D770EF1" w14:textId="77777777" w:rsidR="007C11E9" w:rsidRPr="000A3A07" w:rsidRDefault="007C11E9">
      <w:pPr>
        <w:pStyle w:val="RubrikUtanNr"/>
      </w:pPr>
      <w:bookmarkStart w:id="130" w:name="_Toc496581023"/>
      <w:bookmarkStart w:id="131" w:name="_Toc506340962"/>
      <w:r w:rsidRPr="000A3A07">
        <w:t>Appendix: Statsbudgeten och statens investeringar</w:t>
      </w:r>
      <w:bookmarkEnd w:id="130"/>
      <w:bookmarkEnd w:id="131"/>
    </w:p>
    <w:p w14:paraId="4B84F69C" w14:textId="77777777" w:rsidR="007C11E9" w:rsidRPr="000A3A07" w:rsidRDefault="007C11E9">
      <w:pPr>
        <w:pStyle w:val="RubrikUtanNr2"/>
        <w:spacing w:before="120"/>
      </w:pPr>
      <w:bookmarkStart w:id="132" w:name="_Toc496581024"/>
      <w:bookmarkStart w:id="133" w:name="_Toc506340963"/>
      <w:r w:rsidRPr="000A3A07">
        <w:t>Bakgrund</w:t>
      </w:r>
      <w:bookmarkEnd w:id="132"/>
      <w:bookmarkEnd w:id="133"/>
    </w:p>
    <w:p w14:paraId="46F5AE51" w14:textId="77777777" w:rsidR="007C11E9" w:rsidRPr="000A3A07" w:rsidRDefault="007C11E9">
      <w:r w:rsidRPr="000A3A07">
        <w:t>Som framgår av granskningsrapporten skall infrastrukturinvesteringar enligt budgetlagen finansieras med anslagsmedel och i sin helhet belasta statsbu</w:t>
      </w:r>
      <w:r w:rsidRPr="000A3A07">
        <w:t>d</w:t>
      </w:r>
      <w:r w:rsidRPr="000A3A07">
        <w:t>getens utgiftssida under samma period investeringen äger rum. Sta</w:t>
      </w:r>
      <w:r w:rsidRPr="000A3A07">
        <w:softHyphen/>
      </w:r>
      <w:r w:rsidRPr="000A3A07">
        <w:softHyphen/>
        <w:t>tens i</w:t>
      </w:r>
      <w:r w:rsidRPr="000A3A07">
        <w:t>n</w:t>
      </w:r>
      <w:r w:rsidRPr="000A3A07">
        <w:t xml:space="preserve">vesteringar begränsas därmed av utgiftstaket. Men i de fall riksdagen beslutar att bevilja lånefinansiering belastas i stället budgeten när lånen betalas, vilket begränsar utrymmet för framtida investeringar inom en given utgiftsram. </w:t>
      </w:r>
    </w:p>
    <w:p w14:paraId="5A2D25A0" w14:textId="77777777" w:rsidR="007C11E9" w:rsidRPr="000A3A07" w:rsidRDefault="007C11E9">
      <w:pPr>
        <w:pStyle w:val="Normaltindrag"/>
      </w:pPr>
      <w:r w:rsidRPr="000A3A07">
        <w:t>Principerna för hur statens investeringar redovisas i statsbudgeten har skiftat genom åren. Förutom att informationen till riksdagen därmed sett olika ut har detta även medfört att de av riksdagen uppst</w:t>
      </w:r>
      <w:r w:rsidRPr="000A3A07">
        <w:t>ällda budgetrestri</w:t>
      </w:r>
      <w:r w:rsidRPr="000A3A07">
        <w:t>k</w:t>
      </w:r>
      <w:r w:rsidRPr="000A3A07">
        <w:t>tionerna, t.ex. mål för budgetsaldot, i olika grad varit begränsande för o</w:t>
      </w:r>
      <w:r w:rsidRPr="000A3A07">
        <w:t>m</w:t>
      </w:r>
      <w:r w:rsidRPr="000A3A07">
        <w:t>fattningen på åtminstone delar av de statliga investeringarna. Mellan 1937 och 1980 var statsbudgeten uppdelad i en drift- och en kapitalbudget, vilket var ett principiellt annorlunda sätt att redovisa statens investeringar än d</w:t>
      </w:r>
      <w:r w:rsidRPr="000A3A07">
        <w:t>a</w:t>
      </w:r>
      <w:r w:rsidRPr="000A3A07">
        <w:t>gens. För närvarande utreds frågan om en övergång till en kostnadsmässig statsbudget, vilket skulle innebära en ny princip för redovisning och styrning av statens invest</w:t>
      </w:r>
      <w:r w:rsidRPr="000A3A07">
        <w:t>e</w:t>
      </w:r>
      <w:r w:rsidRPr="000A3A07">
        <w:t xml:space="preserve">ringar. </w:t>
      </w:r>
    </w:p>
    <w:p w14:paraId="110960EA" w14:textId="77777777" w:rsidR="007C11E9" w:rsidRPr="000A3A07" w:rsidRDefault="007C11E9">
      <w:pPr>
        <w:pStyle w:val="Normaltindrag"/>
      </w:pPr>
      <w:r w:rsidRPr="000A3A07">
        <w:t>Syftet med</w:t>
      </w:r>
      <w:r w:rsidRPr="000A3A07">
        <w:t xml:space="preserve"> denna PM är att kortfattat redogöra för hur statens investeringar redovisades i systemet med drift- och kapitalbudget samt något om vad en kostnadsmässig budget skulle medföra. Den inleds med några principiella aspekter på redovisningen av investeringar. </w:t>
      </w:r>
    </w:p>
    <w:p w14:paraId="2FD7B92A" w14:textId="77777777" w:rsidR="007C11E9" w:rsidRPr="000A3A07" w:rsidRDefault="007C11E9">
      <w:pPr>
        <w:pStyle w:val="RubrikUtanNr2"/>
      </w:pPr>
      <w:bookmarkStart w:id="134" w:name="_Toc496581025"/>
      <w:bookmarkStart w:id="135" w:name="_Toc506340964"/>
      <w:r w:rsidRPr="000A3A07">
        <w:t>Principiellt om investeringar och statsbudget</w:t>
      </w:r>
      <w:bookmarkEnd w:id="134"/>
      <w:bookmarkEnd w:id="135"/>
    </w:p>
    <w:p w14:paraId="01E75707" w14:textId="77777777" w:rsidR="007C11E9" w:rsidRPr="000A3A07" w:rsidRDefault="007C11E9">
      <w:pPr>
        <w:pStyle w:val="RubrikUtanNr3"/>
        <w:spacing w:before="123"/>
      </w:pPr>
      <w:bookmarkStart w:id="136" w:name="_Toc496581026"/>
      <w:r w:rsidRPr="000A3A07">
        <w:t>Tre aspekter på investeringar</w:t>
      </w:r>
      <w:bookmarkEnd w:id="136"/>
    </w:p>
    <w:p w14:paraId="2302680F" w14:textId="77777777" w:rsidR="007C11E9" w:rsidRPr="000A3A07" w:rsidRDefault="007C11E9">
      <w:r w:rsidRPr="000A3A07">
        <w:t xml:space="preserve">Det finns tre aspekter på varje investering, vare sig den är privat eller statlig. </w:t>
      </w:r>
    </w:p>
    <w:p w14:paraId="2E5EC9FD" w14:textId="77777777" w:rsidR="007C11E9" w:rsidRPr="000A3A07" w:rsidRDefault="007C11E9">
      <w:pPr>
        <w:pStyle w:val="Normaltindrag"/>
      </w:pPr>
      <w:r w:rsidRPr="000A3A07">
        <w:t xml:space="preserve">För det första är en investering liktydig med en </w:t>
      </w:r>
      <w:r w:rsidRPr="000A3A07">
        <w:rPr>
          <w:i/>
        </w:rPr>
        <w:t>förmögenhetsuppbyggnad</w:t>
      </w:r>
      <w:r w:rsidRPr="000A3A07">
        <w:t>. Den anläggning som blir resultatet av investeringen är i bruk under flera år och ger någon form av avkastning. Den representerar därmed ett värde för ägaren. Vad gäller statliga investeringar kan avkastningen vara direkt, som vid avgifts</w:t>
      </w:r>
      <w:r w:rsidRPr="000A3A07">
        <w:softHyphen/>
        <w:t>finansiering av broar. Men normalt är avkastningen inte direkt knuten till investeringen utan mer indirekt, t.ex. att vägar och järnvägar b</w:t>
      </w:r>
      <w:r w:rsidRPr="000A3A07">
        <w:t>i</w:t>
      </w:r>
      <w:r w:rsidRPr="000A3A07">
        <w:t>drar till högre ekonomisk tillväxt eller bättre regional balans som tillmäts ett värde. Till</w:t>
      </w:r>
      <w:r w:rsidRPr="000A3A07">
        <w:softHyphen/>
        <w:t>gångarnas värde k</w:t>
      </w:r>
      <w:r w:rsidRPr="000A3A07">
        <w:t>an vara reellt genom att de går att avyttra till en annan ägare, men ofta är värdet fiktivt om anläggningen endast kan användas i en viss statlig ver</w:t>
      </w:r>
      <w:r w:rsidRPr="000A3A07">
        <w:t>k</w:t>
      </w:r>
      <w:r w:rsidRPr="000A3A07">
        <w:t>samhet.</w:t>
      </w:r>
    </w:p>
    <w:p w14:paraId="0577C4C8" w14:textId="77777777" w:rsidR="007C11E9" w:rsidRPr="000A3A07" w:rsidRDefault="007C11E9">
      <w:pPr>
        <w:pStyle w:val="Normaltindrag"/>
      </w:pPr>
      <w:r w:rsidRPr="000A3A07">
        <w:t xml:space="preserve">För det andra innebär varje investering ett </w:t>
      </w:r>
      <w:r w:rsidRPr="000A3A07">
        <w:rPr>
          <w:i/>
        </w:rPr>
        <w:t>ianspråktagande av resurser</w:t>
      </w:r>
      <w:r w:rsidRPr="000A3A07">
        <w:t>, i form av arbetskraft, material etc. Dessa resurser har normalt en alternativa</w:t>
      </w:r>
      <w:r w:rsidRPr="000A3A07">
        <w:t>n</w:t>
      </w:r>
      <w:r w:rsidRPr="000A3A07">
        <w:t>vändning, dvs. investeringen har ett pris i termer av produktion som går förlorad någon annanstans i ekonomin. Vidare påverkar investeringen den samlade aktiviteten i ekonomin och har därmed betydelse för arbetslöshet och inflation. Stabiliseringspolitiken har ofta använt statliga investeringar som ett instrument för att utjämna konjunktursvängningarna.</w:t>
      </w:r>
    </w:p>
    <w:p w14:paraId="5EC4E646" w14:textId="77777777" w:rsidR="007C11E9" w:rsidRPr="000A3A07" w:rsidRDefault="007C11E9">
      <w:pPr>
        <w:pStyle w:val="Normaltindrag"/>
      </w:pPr>
      <w:r w:rsidRPr="000A3A07">
        <w:t xml:space="preserve">För det tredje har varje investering </w:t>
      </w:r>
      <w:r w:rsidRPr="000A3A07">
        <w:rPr>
          <w:i/>
        </w:rPr>
        <w:t>finansiella konsekvenser</w:t>
      </w:r>
      <w:r w:rsidRPr="000A3A07">
        <w:t>, dvs. den fö</w:t>
      </w:r>
      <w:r w:rsidRPr="000A3A07">
        <w:t>r</w:t>
      </w:r>
      <w:r w:rsidRPr="000A3A07">
        <w:t>anleder betalningsflöden. När i tiden utgifter och inkomster uppkommer påverkas av hur investeringen finansieras - med löpande inkomster under invest</w:t>
      </w:r>
      <w:r w:rsidRPr="000A3A07">
        <w:t>e</w:t>
      </w:r>
      <w:r w:rsidRPr="000A3A07">
        <w:t>rings</w:t>
      </w:r>
      <w:r w:rsidRPr="000A3A07">
        <w:softHyphen/>
        <w:t xml:space="preserve">perioden, med minskade finansiella tillgångar eller med lån. </w:t>
      </w:r>
    </w:p>
    <w:p w14:paraId="42C2FF6B" w14:textId="77777777" w:rsidR="007C11E9" w:rsidRPr="000A3A07" w:rsidRDefault="007C11E9">
      <w:pPr>
        <w:pStyle w:val="RubrikUtanNr3"/>
      </w:pPr>
      <w:bookmarkStart w:id="137" w:name="_Toc496581027"/>
      <w:r w:rsidRPr="000A3A07">
        <w:t>Redovisning av investeringar på statsbudgeten</w:t>
      </w:r>
      <w:bookmarkEnd w:id="137"/>
    </w:p>
    <w:p w14:paraId="4DCD8C9A" w14:textId="77777777" w:rsidR="007C11E9" w:rsidRPr="000A3A07" w:rsidRDefault="007C11E9">
      <w:r w:rsidRPr="000A3A07">
        <w:t>De förändringar som ägt rum vad gäller redovisningen av statliga invest</w:t>
      </w:r>
      <w:r w:rsidRPr="000A3A07">
        <w:t>e</w:t>
      </w:r>
      <w:r w:rsidRPr="000A3A07">
        <w:t>ringar i statsbudgeten har i hög grad hängt samman med förskjutningar i synen på vilken av de tre ovan nämnda aspekterna på investeringar som under olika sk</w:t>
      </w:r>
      <w:r w:rsidRPr="000A3A07">
        <w:t>e</w:t>
      </w:r>
      <w:r w:rsidRPr="000A3A07">
        <w:t>den har tillmätts störst betydelse.</w:t>
      </w:r>
    </w:p>
    <w:p w14:paraId="6197DCE4" w14:textId="77777777" w:rsidR="007C11E9" w:rsidRPr="000A3A07" w:rsidRDefault="007C11E9">
      <w:pPr>
        <w:pStyle w:val="Normaltindrag"/>
      </w:pPr>
      <w:r w:rsidRPr="000A3A07">
        <w:t>Statsbudgeten skall ge information om hur statens medel avses att anvä</w:t>
      </w:r>
      <w:r w:rsidRPr="000A3A07">
        <w:t>n</w:t>
      </w:r>
      <w:r w:rsidRPr="000A3A07">
        <w:t>das under budgetåret. Men samtidigt är statsbudgeten ett styrinstrument för den ekonomiska politiken, vilket tar sig uttryck i mål för eller restriktioner på cen</w:t>
      </w:r>
      <w:r w:rsidRPr="000A3A07">
        <w:t>t</w:t>
      </w:r>
      <w:r w:rsidRPr="000A3A07">
        <w:t>rala budgetvariabler, som budgetsaldot, statsskulden eller de samlade ut</w:t>
      </w:r>
      <w:r w:rsidRPr="000A3A07">
        <w:softHyphen/>
        <w:t xml:space="preserve">gifterna. Redovisningen av de statliga investeringarna kan bedömas ur båda dessa aspekter. Men det avgörande för omfattningen på och utläggningen  i tiden av investeringar är hur de påverkar budgetmålen. </w:t>
      </w:r>
    </w:p>
    <w:p w14:paraId="1A01F4B7" w14:textId="77777777" w:rsidR="007C11E9" w:rsidRPr="000A3A07" w:rsidRDefault="007C11E9">
      <w:pPr>
        <w:pStyle w:val="Normaltindrag"/>
      </w:pPr>
      <w:r w:rsidRPr="000A3A07">
        <w:t>Om tonvikten läggs på investeringarnas förmögenhetsaspekt, så att bu</w:t>
      </w:r>
      <w:r w:rsidRPr="000A3A07">
        <w:t>d</w:t>
      </w:r>
      <w:r w:rsidRPr="000A3A07">
        <w:t>geten skall utvisa förändringen i statens förmögenhet, skall de statliga inves</w:t>
      </w:r>
      <w:r w:rsidRPr="000A3A07">
        <w:softHyphen/>
        <w:t>teringarna redovisas på ett sådant sätt att själva investeringen inte belastar budgetmålet, t.ex. budgetsaldot eller utgiftstaket. I ett förmögenhetsperspe</w:t>
      </w:r>
      <w:r w:rsidRPr="000A3A07">
        <w:t>k</w:t>
      </w:r>
      <w:r w:rsidRPr="000A3A07">
        <w:t>tiv innebär en investering inte någon förbrukning av tillgångar, utan den bidrar i sig till att öka statens förmögenhet i reala tillgångar. En statlig i</w:t>
      </w:r>
      <w:r w:rsidRPr="000A3A07">
        <w:t>n</w:t>
      </w:r>
      <w:r w:rsidRPr="000A3A07">
        <w:t>vestering som finansieras med skattemedel, dvs. med löpande inkomster, medför en ökad statlig nettoförmögenhet och skall dä</w:t>
      </w:r>
      <w:r w:rsidRPr="000A3A07">
        <w:t>rmed bidra positivt till budgetmålen. Om finansieringen sker genom upplåning eller med minskade finansiella tillgångar är investeringen i princip neutral för statens förmöge</w:t>
      </w:r>
      <w:r w:rsidRPr="000A3A07">
        <w:t>n</w:t>
      </w:r>
      <w:r w:rsidRPr="000A3A07">
        <w:t>hetsställning – en ökad real förmögenhet motsvaras av ökad finansiell skuld (eller minskade finans</w:t>
      </w:r>
      <w:r w:rsidRPr="000A3A07">
        <w:t>i</w:t>
      </w:r>
      <w:r w:rsidRPr="000A3A07">
        <w:t xml:space="preserve">ella tillgångar). </w:t>
      </w:r>
    </w:p>
    <w:p w14:paraId="5815DACF" w14:textId="77777777" w:rsidR="007C11E9" w:rsidRPr="000A3A07" w:rsidRDefault="007C11E9">
      <w:pPr>
        <w:pStyle w:val="Normaltindrag"/>
      </w:pPr>
      <w:r w:rsidRPr="000A3A07">
        <w:t>Avskrivningar – värdeminskningar på historiska investeringar – skall dä</w:t>
      </w:r>
      <w:r w:rsidRPr="000A3A07">
        <w:t>r</w:t>
      </w:r>
      <w:r w:rsidRPr="000A3A07">
        <w:t>emot belasta budgeten, eftersom dessa ju reducerar statens förmögenhet. Amortering av eventuella lån skall då inte samtidigt tas upp som utgift. A</w:t>
      </w:r>
      <w:r w:rsidRPr="000A3A07">
        <w:t>v</w:t>
      </w:r>
      <w:r w:rsidRPr="000A3A07">
        <w:t xml:space="preserve">skrivningarna skapar, givet ett saldomål, ett finansiellt utrymme som kan användas till endera amortering eller ersättningsinvesteringar som håller förmögenheten oförändrad. Utgiftsräntor på lån upptagna för att finansiera investeringar bidrar däremot till att reducera förmögenheten och skall tas upp på budgetens utgiftssida.  </w:t>
      </w:r>
    </w:p>
    <w:p w14:paraId="5978183B" w14:textId="77777777" w:rsidR="007C11E9" w:rsidRPr="000A3A07" w:rsidRDefault="007C11E9">
      <w:pPr>
        <w:pStyle w:val="Normaltindrag"/>
      </w:pPr>
      <w:r w:rsidRPr="000A3A07">
        <w:t>Om tyngdpunkten i stället läggs vi</w:t>
      </w:r>
      <w:r w:rsidRPr="000A3A07">
        <w:t>d investeringarnas resursanspråk, så att budgeten skall utvisa hur de statliga investeringarna påverkar efterfrågan i ekonomin, bör alla statligt beslutade investeringar redovisas på ett sådant sätt att de begränsas av de budgetpolitiska målen. Om t.ex. budgetpolitiken styrs av budgetsaldot skall investeringarna i sin helhet belasta detta saldo, ober</w:t>
      </w:r>
      <w:r w:rsidRPr="000A3A07">
        <w:t>o</w:t>
      </w:r>
      <w:r w:rsidRPr="000A3A07">
        <w:t>ende av hur de finansieras. Om exempelvis stabiliseringspolitiken syftar till att strama åt ekonomin för att undvika överhettning, kan inte statliga invest</w:t>
      </w:r>
      <w:r w:rsidRPr="000A3A07">
        <w:t>e</w:t>
      </w:r>
      <w:r w:rsidRPr="000A3A07">
        <w:t>rin</w:t>
      </w:r>
      <w:r w:rsidRPr="000A3A07">
        <w:t xml:space="preserve">gar ligga utanför statsbudgeten. </w:t>
      </w:r>
    </w:p>
    <w:p w14:paraId="6F4671E3" w14:textId="77777777" w:rsidR="007C11E9" w:rsidRPr="000A3A07" w:rsidRDefault="007C11E9">
      <w:pPr>
        <w:pStyle w:val="Normaltindrag"/>
      </w:pPr>
      <w:r w:rsidRPr="000A3A07">
        <w:t>I dagens budgetsystem är det de finansiella aspekterna som är utgång</w:t>
      </w:r>
      <w:r w:rsidRPr="000A3A07">
        <w:t>s</w:t>
      </w:r>
      <w:r w:rsidRPr="000A3A07">
        <w:t>punkt för budgetredovisningen. Som framgår av rapporten är budgetko</w:t>
      </w:r>
      <w:r w:rsidRPr="000A3A07">
        <w:t>n</w:t>
      </w:r>
      <w:r w:rsidRPr="000A3A07">
        <w:t>sekvense</w:t>
      </w:r>
      <w:r w:rsidRPr="000A3A07">
        <w:t>r</w:t>
      </w:r>
      <w:r w:rsidRPr="000A3A07">
        <w:t xml:space="preserve">na av en statlig investering avhängig av hur den finansieras: </w:t>
      </w:r>
    </w:p>
    <w:p w14:paraId="7C8C053A" w14:textId="77777777" w:rsidR="007C11E9" w:rsidRPr="000A3A07" w:rsidRDefault="007C11E9">
      <w:pPr>
        <w:numPr>
          <w:ilvl w:val="0"/>
          <w:numId w:val="35"/>
        </w:numPr>
      </w:pPr>
      <w:r w:rsidRPr="000A3A07">
        <w:t>En anslagsfinansierad investering redovisas utgiftsmässigt, dvs. hela i</w:t>
      </w:r>
      <w:r w:rsidRPr="000A3A07">
        <w:t>n</w:t>
      </w:r>
      <w:r w:rsidRPr="000A3A07">
        <w:t xml:space="preserve">vesteringsbeloppet redovisas på budgetens utgiftssida när investeringen äger rum. </w:t>
      </w:r>
    </w:p>
    <w:p w14:paraId="22B17457" w14:textId="77777777" w:rsidR="007C11E9" w:rsidRPr="000A3A07" w:rsidRDefault="007C11E9">
      <w:pPr>
        <w:numPr>
          <w:ilvl w:val="0"/>
          <w:numId w:val="35"/>
        </w:numPr>
      </w:pPr>
      <w:r w:rsidRPr="000A3A07">
        <w:t>När investeringen finansieras med lån i Riksgäldskontoret redovisas räntor och amorteringar på lånet under anslag på budgetens utgiftssida. Lånet belastar dock budgetsaldot när det tas upp. Budgetsaldot är definitionsmä</w:t>
      </w:r>
      <w:r w:rsidRPr="000A3A07">
        <w:t>s</w:t>
      </w:r>
      <w:r w:rsidRPr="000A3A07">
        <w:t>sigt lika med statens lånebehov. Budgetens utgiftsräntor motsvaras av räntor på statssku</w:t>
      </w:r>
      <w:r w:rsidRPr="000A3A07">
        <w:t>l</w:t>
      </w:r>
      <w:r w:rsidRPr="000A3A07">
        <w:t>den.</w:t>
      </w:r>
    </w:p>
    <w:p w14:paraId="0CC8E13C" w14:textId="77777777" w:rsidR="007C11E9" w:rsidRPr="000A3A07" w:rsidRDefault="007C11E9">
      <w:pPr>
        <w:numPr>
          <w:ilvl w:val="0"/>
          <w:numId w:val="35"/>
        </w:numPr>
      </w:pPr>
      <w:r w:rsidRPr="000A3A07">
        <w:t>Lånefinansiering på marknaden genom statligt ägda bolag belastar budg</w:t>
      </w:r>
      <w:r w:rsidRPr="000A3A07">
        <w:t>e</w:t>
      </w:r>
      <w:r w:rsidRPr="000A3A07">
        <w:t>tens utgiftssida genom bidrag till bolaget att täcka räntor och amort</w:t>
      </w:r>
      <w:r w:rsidRPr="000A3A07">
        <w:t>e</w:t>
      </w:r>
      <w:r w:rsidRPr="000A3A07">
        <w:t>ringar.</w:t>
      </w:r>
    </w:p>
    <w:p w14:paraId="1175740C" w14:textId="77777777" w:rsidR="007C11E9" w:rsidRPr="000A3A07" w:rsidRDefault="007C11E9">
      <w:r w:rsidRPr="000A3A07">
        <w:t xml:space="preserve">Idag styrs budgetpolitiken av utgiftstaken, som sätter en ram för budgetens utgifter vid sidan av räntor. Anslagsfinansierade investeringar begränsas således av utgiftstaket. Lånefinansiering i Riksgäldskontoret medför däremot att investeringen inte begränsas av utgiftstaket. </w:t>
      </w:r>
    </w:p>
    <w:p w14:paraId="61F19B24" w14:textId="77777777" w:rsidR="007C11E9" w:rsidRPr="000A3A07" w:rsidRDefault="007C11E9">
      <w:pPr>
        <w:pStyle w:val="Normaltindrag"/>
      </w:pPr>
      <w:r w:rsidRPr="000A3A07">
        <w:t>Budgeten styrs även av saldomålet, definierat som ett överskott i den ko</w:t>
      </w:r>
      <w:r w:rsidRPr="000A3A07">
        <w:t>n</w:t>
      </w:r>
      <w:r w:rsidRPr="000A3A07">
        <w:t>soliderade offentliga sektorns finansiella sparande på motsvarande 2 procent av BNP sett över en konjunkturcykel. Ur detta går att härleda ett krav på statens finansiella sparande. Både anslags- och lånefinansiering i Riksgäld</w:t>
      </w:r>
      <w:r w:rsidRPr="000A3A07">
        <w:t>s</w:t>
      </w:r>
      <w:r w:rsidRPr="000A3A07">
        <w:t>kontoret har negativ effekt på statens finansiella sparande och saldomålet sätter således en restriktion på investeringarna. Finansiellt sparande är eme</w:t>
      </w:r>
      <w:r w:rsidRPr="000A3A07">
        <w:t>l</w:t>
      </w:r>
      <w:r w:rsidRPr="000A3A07">
        <w:t>lertid inte detsamma som budgetsaldot, utan är ett nationalräkenskapsmässigt begrepp. Detta har viss betydelse. Om exempelvis state</w:t>
      </w:r>
      <w:r w:rsidRPr="000A3A07">
        <w:t>n säljer aktier för att finansiera reala investeringar blir effekten neutral på budgetsaldot, men däremot belastats det finansiella sparandet. Om staten ger stöd till ett bolag genom att tillskjuta riskkapital utgör detta en utgift på budgeten, men bela</w:t>
      </w:r>
      <w:r w:rsidRPr="000A3A07">
        <w:t>s</w:t>
      </w:r>
      <w:r w:rsidRPr="000A3A07">
        <w:t>tar inte det finansiella sparandet och begränsas därför inte av sa</w:t>
      </w:r>
      <w:r w:rsidRPr="000A3A07">
        <w:t>l</w:t>
      </w:r>
      <w:r w:rsidRPr="000A3A07">
        <w:t xml:space="preserve">domålet.  </w:t>
      </w:r>
    </w:p>
    <w:p w14:paraId="0CD9A96B" w14:textId="77777777" w:rsidR="007C11E9" w:rsidRPr="000A3A07" w:rsidRDefault="007C11E9">
      <w:pPr>
        <w:pStyle w:val="RubrikUtanNr2"/>
      </w:pPr>
      <w:bookmarkStart w:id="138" w:name="_Toc496581028"/>
      <w:bookmarkStart w:id="139" w:name="_Toc506340965"/>
      <w:r w:rsidRPr="000A3A07">
        <w:t>Drift- och kapitalbudget</w:t>
      </w:r>
      <w:bookmarkEnd w:id="138"/>
      <w:bookmarkEnd w:id="139"/>
    </w:p>
    <w:p w14:paraId="15453295" w14:textId="77777777" w:rsidR="007C11E9" w:rsidRPr="000A3A07" w:rsidRDefault="007C11E9">
      <w:r w:rsidRPr="000A3A07">
        <w:t>När principerna för statsbudgeten, eller riksstaten som den då kallades, fas</w:t>
      </w:r>
      <w:r w:rsidRPr="000A3A07">
        <w:t>t</w:t>
      </w:r>
      <w:r w:rsidRPr="000A3A07">
        <w:t>ställdes 1911 var det förmögenhetsperspektivet som var utgångspunkten. Riksstatens saldo skulle utvisa förändringen i statens nettoförmögenhet. Vid sidan av finansiella tillgångar och skulder inkluderades i statens förmögenhet även s.k. produktivt kapital. Det senare definierades som sådana tillgångar som var i statens ägo och gav en reell avkastning, vilket innebar en avkas</w:t>
      </w:r>
      <w:r w:rsidRPr="000A3A07">
        <w:t>t</w:t>
      </w:r>
      <w:r w:rsidRPr="000A3A07">
        <w:t>ning i pengar. Reala tillgångar som inte var förenade med avkastning i pen</w:t>
      </w:r>
      <w:r w:rsidRPr="000A3A07">
        <w:t>g</w:t>
      </w:r>
      <w:r w:rsidRPr="000A3A07">
        <w:t>ar, t.ex. vägar, räknades således inte till det produktiva</w:t>
      </w:r>
      <w:r w:rsidRPr="000A3A07">
        <w:t xml:space="preserve"> kapitalet. </w:t>
      </w:r>
    </w:p>
    <w:p w14:paraId="1AB24743" w14:textId="77777777" w:rsidR="007C11E9" w:rsidRPr="000A3A07" w:rsidRDefault="007C11E9">
      <w:pPr>
        <w:pStyle w:val="Normaltindrag"/>
      </w:pPr>
      <w:r w:rsidRPr="000A3A07">
        <w:t>Riksstaten byggde på förutsättningen att löpande inkomster och utgifter alltid skulle balansera och budgetsaldot skulle utvisa skillnaden mellan st</w:t>
      </w:r>
      <w:r w:rsidRPr="000A3A07">
        <w:t>a</w:t>
      </w:r>
      <w:r w:rsidRPr="000A3A07">
        <w:t>tens upplåning och ökningen i produktivt kapital, dvs. förändringen i nett</w:t>
      </w:r>
      <w:r w:rsidRPr="000A3A07">
        <w:t>o</w:t>
      </w:r>
      <w:r w:rsidRPr="000A3A07">
        <w:t>förmögenhet. Om investeringarna i produktivt kapital översteg upplåningen ökade statens nettoförmögenhet och riksstaten visade ett överskott. Detta var ett uttryck för vad som i dag kallas budgetpolitikens ”golden rule” – att inte låna till löpande utgifter utan endast till investeringar.</w:t>
      </w:r>
    </w:p>
    <w:p w14:paraId="4464939B" w14:textId="77777777" w:rsidR="007C11E9" w:rsidRPr="000A3A07" w:rsidRDefault="007C11E9">
      <w:pPr>
        <w:pStyle w:val="Normaltindrag"/>
      </w:pPr>
      <w:r w:rsidRPr="000A3A07">
        <w:t>Statens förmögenhet redovisades i s.k. kapitalfonder. Varje affärsverk hade en fond, som angav dess förmögenhetsvärde. Det fanns vidare kapitalfon</w:t>
      </w:r>
      <w:r w:rsidRPr="000A3A07">
        <w:t xml:space="preserve">der för statens utlåning t.ex. studielån eller egnahemslån. </w:t>
      </w:r>
    </w:p>
    <w:p w14:paraId="617F78F9" w14:textId="77777777" w:rsidR="007C11E9" w:rsidRPr="000A3A07" w:rsidRDefault="007C11E9">
      <w:pPr>
        <w:pStyle w:val="Normaltindrag"/>
      </w:pPr>
      <w:r w:rsidRPr="000A3A07">
        <w:t>År 1937 delades statsbudgeten upp i en drift- och en kapitalbudget. Up</w:t>
      </w:r>
      <w:r w:rsidRPr="000A3A07">
        <w:t>p</w:t>
      </w:r>
      <w:r w:rsidRPr="000A3A07">
        <w:t>delningen innebar egentligen inte något fundamentalt nytt, det var fortfara</w:t>
      </w:r>
      <w:r w:rsidRPr="000A3A07">
        <w:t>n</w:t>
      </w:r>
      <w:r w:rsidRPr="000A3A07">
        <w:t>de den statliga förmögenhetsförändringen som stod i centrum för redovi</w:t>
      </w:r>
      <w:r w:rsidRPr="000A3A07">
        <w:t>s</w:t>
      </w:r>
      <w:r w:rsidRPr="000A3A07">
        <w:t>ningen på statsbudgeten. Bakgrunden till uppdelningen var bl.a. den nya syn på ekonomisk politik som utvecklades under 1930-talet och som innebar att staten aktivt skulle påverka efterfrågan i ekonomin genom en under- eller överbalansering av budgeten. Det blev därmed inte längre självklart att l</w:t>
      </w:r>
      <w:r w:rsidRPr="000A3A07">
        <w:t>ö</w:t>
      </w:r>
      <w:r w:rsidRPr="000A3A07">
        <w:t>pande inkomster och utgifter skulle balansera varje enskilt år. Öv</w:t>
      </w:r>
      <w:r w:rsidRPr="000A3A07">
        <w:t>er en längre period skulle dock utgifter och inkomster överensstämma och statens nett</w:t>
      </w:r>
      <w:r w:rsidRPr="000A3A07">
        <w:t>o</w:t>
      </w:r>
      <w:r w:rsidRPr="000A3A07">
        <w:t xml:space="preserve">förmögenhet inte minska. </w:t>
      </w:r>
    </w:p>
    <w:p w14:paraId="7250D639" w14:textId="77777777" w:rsidR="007C11E9" w:rsidRPr="000A3A07" w:rsidRDefault="007C11E9">
      <w:pPr>
        <w:pStyle w:val="Normaltindrag"/>
      </w:pPr>
      <w:r w:rsidRPr="000A3A07">
        <w:t>Driftbudgeten upptog på inkomstsidan ”egentliga” inkomster, främst ska</w:t>
      </w:r>
      <w:r w:rsidRPr="000A3A07">
        <w:t>t</w:t>
      </w:r>
      <w:r w:rsidRPr="000A3A07">
        <w:t>ter och avgifter, samt inkomster från statens kapitalfonder. De senare inn</w:t>
      </w:r>
      <w:r w:rsidRPr="000A3A07">
        <w:t>e</w:t>
      </w:r>
      <w:r w:rsidRPr="000A3A07">
        <w:t>fattade bl.a. inleveranser från statens affärsverk och återbetalning av lån som staten givit (studielån, egnahemslån). På utgiftssidan upptogs ”egentliga” statsutgifter fördelade på anslag, dvs. löpande utgifter för statens verksamhet, transfereringar samt statsskuldräntor. Till de löpande utgifterna hörde även investeringar i icke-produktivt kapital, t.ex. vägar. Även vissa investeringar i t.ex. affärsve</w:t>
      </w:r>
      <w:r w:rsidRPr="000A3A07">
        <w:t>r</w:t>
      </w:r>
      <w:r w:rsidRPr="000A3A07">
        <w:t>ken redovisades över driftb</w:t>
      </w:r>
      <w:r w:rsidRPr="000A3A07">
        <w:t xml:space="preserve">udgeten. </w:t>
      </w:r>
    </w:p>
    <w:p w14:paraId="22374CE2" w14:textId="77777777" w:rsidR="007C11E9" w:rsidRPr="000A3A07" w:rsidRDefault="007C11E9">
      <w:pPr>
        <w:pStyle w:val="Normaltindrag"/>
      </w:pPr>
      <w:r w:rsidRPr="000A3A07">
        <w:t>Kapitalbudgeten upptog på utgiftssidan nettoinvesteringarna i kapitalfo</w:t>
      </w:r>
      <w:r w:rsidRPr="000A3A07">
        <w:t>n</w:t>
      </w:r>
      <w:r w:rsidRPr="000A3A07">
        <w:t>derna, sammantaget ökningen i statens reala och finansiella tillgångar. Ö</w:t>
      </w:r>
      <w:r w:rsidRPr="000A3A07">
        <w:t>k</w:t>
      </w:r>
      <w:r w:rsidRPr="000A3A07">
        <w:t>ningen i produktivt kapital bestod av bruttoinvesteringarna minus avskri</w:t>
      </w:r>
      <w:r w:rsidRPr="000A3A07">
        <w:t>v</w:t>
      </w:r>
      <w:r w:rsidRPr="000A3A07">
        <w:t>ningar. Denna ökning motbokades på inkomstsidan med lånemedel, dvs. så mycket som kunde lånas upp utan att försvaga statens nettoförmögenhet. Kapitalbudgeten var definitionsmässigt alltid i balans. Ibland användes dock ett saldobegrepp om kapitalbudgeten, som då definierades som skillnaden mellan bruttoinvesterin</w:t>
      </w:r>
      <w:r w:rsidRPr="000A3A07">
        <w:t>g</w:t>
      </w:r>
      <w:r w:rsidRPr="000A3A07">
        <w:t>ar och upplåning.</w:t>
      </w:r>
    </w:p>
    <w:p w14:paraId="3E8D3D76" w14:textId="77777777" w:rsidR="007C11E9" w:rsidRPr="000A3A07" w:rsidRDefault="007C11E9">
      <w:pPr>
        <w:pStyle w:val="Normaltindrag"/>
      </w:pPr>
      <w:r w:rsidRPr="000A3A07">
        <w:t>Till kapitalbudgeten hörde s. k</w:t>
      </w:r>
      <w:r w:rsidRPr="000A3A07">
        <w:t>. investeringsstater för de olika kapitalfo</w:t>
      </w:r>
      <w:r w:rsidRPr="000A3A07">
        <w:t>n</w:t>
      </w:r>
      <w:r w:rsidRPr="000A3A07">
        <w:t xml:space="preserve">derna. Investeringsstaterna visade statens investeringar fördelade på olika områden och hur dessa investeringar finansierades. </w:t>
      </w:r>
    </w:p>
    <w:p w14:paraId="4B7BBD05" w14:textId="77777777" w:rsidR="007C11E9" w:rsidRPr="000A3A07" w:rsidRDefault="007C11E9">
      <w:pPr>
        <w:pStyle w:val="Normaltindrag"/>
      </w:pPr>
      <w:r w:rsidRPr="000A3A07">
        <w:t>Hur de statliga investeringarna redovisades i systemet med drift- och k</w:t>
      </w:r>
      <w:r w:rsidRPr="000A3A07">
        <w:t>a</w:t>
      </w:r>
      <w:r w:rsidRPr="000A3A07">
        <w:t xml:space="preserve">pitalbudget kan illustreras med riksstaten för budgetåret 1967/68. Statens investeringar redovisades där under rubriken ”Förslag till investeringsstater för budgetåret”, som exemplifieras nedan.  </w:t>
      </w:r>
    </w:p>
    <w:p w14:paraId="650F4AE5" w14:textId="77777777" w:rsidR="007C11E9" w:rsidRPr="000A3A07" w:rsidRDefault="007C11E9">
      <w:pPr>
        <w:rPr>
          <w:b/>
        </w:rPr>
      </w:pPr>
      <w:r w:rsidRPr="000A3A07">
        <w:br w:type="page"/>
      </w:r>
      <w:r w:rsidRPr="000A3A07">
        <w:rPr>
          <w:b/>
        </w:rPr>
        <w:t>INVESTERINGSSTAT FÖR BUDGETÅRET 1967/68</w:t>
      </w:r>
    </w:p>
    <w:p w14:paraId="16B92A7B" w14:textId="77777777" w:rsidR="007C11E9" w:rsidRPr="000A3A07" w:rsidRDefault="007C11E9">
      <w:pPr>
        <w:pStyle w:val="Normaltindrag"/>
      </w:pPr>
    </w:p>
    <w:p w14:paraId="589F6AC0" w14:textId="77777777" w:rsidR="007C11E9" w:rsidRPr="000A3A07" w:rsidRDefault="007C11E9">
      <w:pPr>
        <w:spacing w:before="0"/>
        <w:rPr>
          <w:sz w:val="20"/>
        </w:rPr>
      </w:pPr>
      <w:r w:rsidRPr="000A3A07">
        <w:t>I.</w:t>
      </w:r>
      <w:r w:rsidRPr="000A3A07">
        <w:tab/>
        <w:t>Statens affärsverksfonder</w:t>
      </w:r>
    </w:p>
    <w:p w14:paraId="76CF3F2F" w14:textId="77777777" w:rsidR="007C11E9" w:rsidRPr="000A3A07" w:rsidRDefault="007C11E9">
      <w:pPr>
        <w:spacing w:before="0"/>
        <w:rPr>
          <w:sz w:val="20"/>
        </w:rPr>
      </w:pPr>
      <w:r w:rsidRPr="000A3A07">
        <w:rPr>
          <w:sz w:val="20"/>
        </w:rPr>
        <w:tab/>
        <w:t xml:space="preserve">A </w:t>
      </w:r>
      <w:r w:rsidRPr="000A3A07">
        <w:rPr>
          <w:sz w:val="20"/>
        </w:rPr>
        <w:tab/>
        <w:t>Försvarets fabriksverks fond</w:t>
      </w:r>
    </w:p>
    <w:p w14:paraId="07B7DC73" w14:textId="77777777" w:rsidR="007C11E9" w:rsidRPr="000A3A07" w:rsidRDefault="007C11E9">
      <w:pPr>
        <w:spacing w:before="0"/>
      </w:pPr>
      <w:r w:rsidRPr="000A3A07">
        <w:tab/>
        <w:t>........</w:t>
      </w:r>
    </w:p>
    <w:p w14:paraId="3390CA52" w14:textId="77777777" w:rsidR="007C11E9" w:rsidRPr="000A3A07" w:rsidRDefault="007C11E9">
      <w:pPr>
        <w:spacing w:before="0"/>
        <w:rPr>
          <w:sz w:val="20"/>
        </w:rPr>
      </w:pPr>
      <w:r w:rsidRPr="000A3A07">
        <w:rPr>
          <w:sz w:val="20"/>
        </w:rPr>
        <w:tab/>
        <w:t xml:space="preserve">B </w:t>
      </w:r>
      <w:r w:rsidRPr="000A3A07">
        <w:rPr>
          <w:sz w:val="20"/>
        </w:rPr>
        <w:tab/>
        <w:t>Postverkets fond</w:t>
      </w:r>
    </w:p>
    <w:p w14:paraId="54AE7B83" w14:textId="77777777" w:rsidR="007C11E9" w:rsidRPr="000A3A07" w:rsidRDefault="007C11E9">
      <w:pPr>
        <w:spacing w:before="0"/>
      </w:pPr>
      <w:r w:rsidRPr="000A3A07">
        <w:tab/>
        <w:t>........</w:t>
      </w:r>
    </w:p>
    <w:p w14:paraId="44C5349F" w14:textId="77777777" w:rsidR="007C11E9" w:rsidRPr="000A3A07" w:rsidRDefault="007C11E9">
      <w:pPr>
        <w:spacing w:before="0"/>
        <w:rPr>
          <w:sz w:val="20"/>
        </w:rPr>
      </w:pPr>
      <w:r w:rsidRPr="000A3A07">
        <w:rPr>
          <w:sz w:val="20"/>
        </w:rPr>
        <w:tab/>
        <w:t xml:space="preserve">C </w:t>
      </w:r>
      <w:r w:rsidRPr="000A3A07">
        <w:rPr>
          <w:sz w:val="20"/>
        </w:rPr>
        <w:tab/>
        <w:t>Televerkets fond</w:t>
      </w:r>
    </w:p>
    <w:p w14:paraId="5C807E0B" w14:textId="77777777" w:rsidR="007C11E9" w:rsidRPr="000A3A07" w:rsidRDefault="007C11E9">
      <w:pPr>
        <w:spacing w:before="0"/>
        <w:rPr>
          <w:sz w:val="20"/>
        </w:rPr>
      </w:pPr>
      <w:r w:rsidRPr="000A3A07">
        <w:rPr>
          <w:sz w:val="20"/>
        </w:rPr>
        <w:tab/>
        <w:t>……</w:t>
      </w:r>
    </w:p>
    <w:p w14:paraId="4870545F" w14:textId="77777777" w:rsidR="007C11E9" w:rsidRPr="000A3A07" w:rsidRDefault="007C11E9">
      <w:pPr>
        <w:spacing w:before="0"/>
        <w:rPr>
          <w:sz w:val="20"/>
        </w:rPr>
      </w:pPr>
      <w:r w:rsidRPr="000A3A07">
        <w:rPr>
          <w:sz w:val="20"/>
        </w:rPr>
        <w:tab/>
        <w:t xml:space="preserve">D </w:t>
      </w:r>
      <w:r w:rsidRPr="000A3A07">
        <w:rPr>
          <w:sz w:val="20"/>
        </w:rPr>
        <w:tab/>
        <w:t>Statens järnvägars fond</w:t>
      </w:r>
    </w:p>
    <w:p w14:paraId="18619B54" w14:textId="77777777" w:rsidR="007C11E9" w:rsidRPr="000A3A07" w:rsidRDefault="007C11E9">
      <w:pPr>
        <w:spacing w:before="0"/>
        <w:rPr>
          <w:sz w:val="20"/>
        </w:rPr>
      </w:pPr>
      <w:r w:rsidRPr="000A3A07">
        <w:rPr>
          <w:sz w:val="20"/>
        </w:rPr>
        <w:tab/>
        <w:t>milj kr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09"/>
        <w:gridCol w:w="1701"/>
        <w:gridCol w:w="850"/>
      </w:tblGrid>
      <w:tr w:rsidR="00000000" w:rsidRPr="000A3A07" w14:paraId="0A2C9D74" w14:textId="77777777">
        <w:tblPrEx>
          <w:tblCellMar>
            <w:top w:w="0" w:type="dxa"/>
            <w:bottom w:w="0" w:type="dxa"/>
          </w:tblCellMar>
        </w:tblPrEx>
        <w:trPr>
          <w:trHeight w:val="607"/>
        </w:trPr>
        <w:tc>
          <w:tcPr>
            <w:tcW w:w="1843" w:type="dxa"/>
            <w:tcBorders>
              <w:top w:val="single" w:sz="4" w:space="0" w:color="auto"/>
              <w:left w:val="nil"/>
              <w:bottom w:val="nil"/>
              <w:right w:val="nil"/>
            </w:tcBorders>
          </w:tcPr>
          <w:p w14:paraId="73909EAF" w14:textId="77777777" w:rsidR="007C11E9" w:rsidRPr="000A3A07" w:rsidRDefault="007C11E9">
            <w:pPr>
              <w:spacing w:before="0" w:line="240" w:lineRule="auto"/>
              <w:jc w:val="left"/>
              <w:rPr>
                <w:sz w:val="20"/>
              </w:rPr>
            </w:pPr>
            <w:r w:rsidRPr="000A3A07">
              <w:rPr>
                <w:sz w:val="20"/>
              </w:rPr>
              <w:t>Avskrivningar i fonden</w:t>
            </w:r>
          </w:p>
        </w:tc>
        <w:tc>
          <w:tcPr>
            <w:tcW w:w="709" w:type="dxa"/>
            <w:tcBorders>
              <w:top w:val="single" w:sz="4" w:space="0" w:color="auto"/>
              <w:left w:val="nil"/>
              <w:bottom w:val="nil"/>
            </w:tcBorders>
          </w:tcPr>
          <w:p w14:paraId="0E24901F" w14:textId="77777777" w:rsidR="007C11E9" w:rsidRPr="000A3A07" w:rsidRDefault="007C11E9">
            <w:pPr>
              <w:spacing w:before="0"/>
              <w:jc w:val="right"/>
              <w:rPr>
                <w:sz w:val="20"/>
              </w:rPr>
            </w:pPr>
          </w:p>
          <w:p w14:paraId="2BB9A225" w14:textId="77777777" w:rsidR="007C11E9" w:rsidRPr="000A3A07" w:rsidRDefault="007C11E9">
            <w:pPr>
              <w:spacing w:before="0" w:line="240" w:lineRule="auto"/>
              <w:jc w:val="right"/>
              <w:rPr>
                <w:sz w:val="20"/>
              </w:rPr>
            </w:pPr>
            <w:r w:rsidRPr="000A3A07">
              <w:rPr>
                <w:sz w:val="20"/>
              </w:rPr>
              <w:t>255</w:t>
            </w:r>
          </w:p>
        </w:tc>
        <w:tc>
          <w:tcPr>
            <w:tcW w:w="1701" w:type="dxa"/>
            <w:tcBorders>
              <w:top w:val="single" w:sz="4" w:space="0" w:color="auto"/>
              <w:bottom w:val="nil"/>
              <w:right w:val="nil"/>
            </w:tcBorders>
          </w:tcPr>
          <w:p w14:paraId="0B8E37B7" w14:textId="77777777" w:rsidR="007C11E9" w:rsidRPr="000A3A07" w:rsidRDefault="007C11E9">
            <w:pPr>
              <w:spacing w:before="0"/>
              <w:rPr>
                <w:b/>
                <w:sz w:val="20"/>
              </w:rPr>
            </w:pPr>
            <w:r w:rsidRPr="000A3A07">
              <w:rPr>
                <w:b/>
                <w:sz w:val="20"/>
              </w:rPr>
              <w:t>Investeringsa</w:t>
            </w:r>
            <w:r w:rsidRPr="000A3A07">
              <w:rPr>
                <w:b/>
                <w:sz w:val="20"/>
              </w:rPr>
              <w:t>n</w:t>
            </w:r>
            <w:r w:rsidRPr="000A3A07">
              <w:rPr>
                <w:b/>
                <w:sz w:val="20"/>
              </w:rPr>
              <w:t>slag</w:t>
            </w:r>
          </w:p>
        </w:tc>
        <w:tc>
          <w:tcPr>
            <w:tcW w:w="850" w:type="dxa"/>
            <w:tcBorders>
              <w:top w:val="single" w:sz="4" w:space="0" w:color="auto"/>
              <w:left w:val="nil"/>
              <w:bottom w:val="nil"/>
              <w:right w:val="nil"/>
            </w:tcBorders>
          </w:tcPr>
          <w:p w14:paraId="69FC2BE3" w14:textId="77777777" w:rsidR="007C11E9" w:rsidRPr="000A3A07" w:rsidRDefault="007C11E9">
            <w:pPr>
              <w:spacing w:before="0"/>
              <w:jc w:val="right"/>
              <w:rPr>
                <w:b/>
                <w:sz w:val="20"/>
              </w:rPr>
            </w:pPr>
            <w:r w:rsidRPr="000A3A07">
              <w:rPr>
                <w:b/>
                <w:sz w:val="20"/>
              </w:rPr>
              <w:t>428</w:t>
            </w:r>
          </w:p>
        </w:tc>
      </w:tr>
      <w:tr w:rsidR="00000000" w:rsidRPr="000A3A07" w14:paraId="4825B16C" w14:textId="77777777">
        <w:tblPrEx>
          <w:tblCellMar>
            <w:top w:w="0" w:type="dxa"/>
            <w:bottom w:w="0" w:type="dxa"/>
          </w:tblCellMar>
        </w:tblPrEx>
        <w:trPr>
          <w:trHeight w:val="711"/>
        </w:trPr>
        <w:tc>
          <w:tcPr>
            <w:tcW w:w="1843" w:type="dxa"/>
            <w:tcBorders>
              <w:top w:val="nil"/>
              <w:left w:val="nil"/>
              <w:bottom w:val="nil"/>
              <w:right w:val="nil"/>
            </w:tcBorders>
          </w:tcPr>
          <w:p w14:paraId="6CA11386" w14:textId="77777777" w:rsidR="007C11E9" w:rsidRPr="000A3A07" w:rsidRDefault="007C11E9">
            <w:pPr>
              <w:spacing w:before="0"/>
              <w:jc w:val="left"/>
              <w:rPr>
                <w:sz w:val="20"/>
              </w:rPr>
            </w:pPr>
            <w:r w:rsidRPr="000A3A07">
              <w:rPr>
                <w:sz w:val="20"/>
              </w:rPr>
              <w:t>Avskrivningar i driftbudgeten</w:t>
            </w:r>
          </w:p>
        </w:tc>
        <w:tc>
          <w:tcPr>
            <w:tcW w:w="709" w:type="dxa"/>
            <w:tcBorders>
              <w:top w:val="nil"/>
              <w:left w:val="nil"/>
              <w:bottom w:val="nil"/>
            </w:tcBorders>
          </w:tcPr>
          <w:p w14:paraId="7A76F835" w14:textId="77777777" w:rsidR="007C11E9" w:rsidRPr="000A3A07" w:rsidRDefault="007C11E9">
            <w:pPr>
              <w:spacing w:before="0"/>
              <w:jc w:val="right"/>
              <w:rPr>
                <w:sz w:val="20"/>
              </w:rPr>
            </w:pPr>
          </w:p>
          <w:p w14:paraId="411D0543" w14:textId="77777777" w:rsidR="007C11E9" w:rsidRPr="000A3A07" w:rsidRDefault="007C11E9">
            <w:pPr>
              <w:spacing w:before="0"/>
              <w:jc w:val="right"/>
              <w:rPr>
                <w:sz w:val="20"/>
              </w:rPr>
            </w:pPr>
            <w:r w:rsidRPr="000A3A07">
              <w:rPr>
                <w:sz w:val="20"/>
              </w:rPr>
              <w:t>12</w:t>
            </w:r>
          </w:p>
        </w:tc>
        <w:tc>
          <w:tcPr>
            <w:tcW w:w="1701" w:type="dxa"/>
            <w:tcBorders>
              <w:top w:val="nil"/>
              <w:bottom w:val="nil"/>
              <w:right w:val="nil"/>
            </w:tcBorders>
          </w:tcPr>
          <w:p w14:paraId="115FA67F" w14:textId="77777777" w:rsidR="007C11E9" w:rsidRPr="000A3A07" w:rsidRDefault="007C11E9">
            <w:pPr>
              <w:spacing w:before="0"/>
              <w:rPr>
                <w:sz w:val="20"/>
              </w:rPr>
            </w:pPr>
          </w:p>
        </w:tc>
        <w:tc>
          <w:tcPr>
            <w:tcW w:w="850" w:type="dxa"/>
            <w:tcBorders>
              <w:top w:val="nil"/>
              <w:left w:val="nil"/>
              <w:bottom w:val="nil"/>
              <w:right w:val="nil"/>
            </w:tcBorders>
          </w:tcPr>
          <w:p w14:paraId="1D8310BC" w14:textId="77777777" w:rsidR="007C11E9" w:rsidRPr="000A3A07" w:rsidRDefault="007C11E9">
            <w:pPr>
              <w:spacing w:before="0"/>
              <w:jc w:val="right"/>
              <w:rPr>
                <w:sz w:val="20"/>
              </w:rPr>
            </w:pPr>
          </w:p>
        </w:tc>
      </w:tr>
      <w:tr w:rsidR="00000000" w:rsidRPr="000A3A07" w14:paraId="4CB2D740" w14:textId="77777777">
        <w:tblPrEx>
          <w:tblCellMar>
            <w:top w:w="0" w:type="dxa"/>
            <w:bottom w:w="0" w:type="dxa"/>
          </w:tblCellMar>
        </w:tblPrEx>
        <w:trPr>
          <w:trHeight w:val="435"/>
        </w:trPr>
        <w:tc>
          <w:tcPr>
            <w:tcW w:w="1843" w:type="dxa"/>
            <w:tcBorders>
              <w:top w:val="nil"/>
              <w:left w:val="nil"/>
              <w:bottom w:val="nil"/>
              <w:right w:val="nil"/>
            </w:tcBorders>
          </w:tcPr>
          <w:p w14:paraId="69144DC1" w14:textId="77777777" w:rsidR="007C11E9" w:rsidRPr="000A3A07" w:rsidRDefault="007C11E9">
            <w:pPr>
              <w:spacing w:before="0"/>
              <w:jc w:val="left"/>
              <w:rPr>
                <w:sz w:val="20"/>
              </w:rPr>
            </w:pPr>
            <w:r w:rsidRPr="000A3A07">
              <w:rPr>
                <w:sz w:val="20"/>
              </w:rPr>
              <w:t>Övriga kapitalm</w:t>
            </w:r>
            <w:r w:rsidRPr="000A3A07">
              <w:rPr>
                <w:sz w:val="20"/>
              </w:rPr>
              <w:t>e</w:t>
            </w:r>
            <w:r w:rsidRPr="000A3A07">
              <w:rPr>
                <w:sz w:val="20"/>
              </w:rPr>
              <w:t>del</w:t>
            </w:r>
          </w:p>
        </w:tc>
        <w:tc>
          <w:tcPr>
            <w:tcW w:w="709" w:type="dxa"/>
            <w:tcBorders>
              <w:top w:val="nil"/>
              <w:left w:val="nil"/>
              <w:bottom w:val="nil"/>
            </w:tcBorders>
          </w:tcPr>
          <w:p w14:paraId="4AF7D6EE" w14:textId="77777777" w:rsidR="007C11E9" w:rsidRPr="000A3A07" w:rsidRDefault="007C11E9">
            <w:pPr>
              <w:spacing w:before="0"/>
              <w:jc w:val="right"/>
              <w:rPr>
                <w:sz w:val="20"/>
              </w:rPr>
            </w:pPr>
            <w:r w:rsidRPr="000A3A07">
              <w:rPr>
                <w:sz w:val="20"/>
              </w:rPr>
              <w:t>6</w:t>
            </w:r>
          </w:p>
        </w:tc>
        <w:tc>
          <w:tcPr>
            <w:tcW w:w="1701" w:type="dxa"/>
            <w:tcBorders>
              <w:top w:val="nil"/>
              <w:bottom w:val="nil"/>
              <w:right w:val="nil"/>
            </w:tcBorders>
          </w:tcPr>
          <w:p w14:paraId="20FD3EEE" w14:textId="77777777" w:rsidR="007C11E9" w:rsidRPr="000A3A07" w:rsidRDefault="007C11E9">
            <w:pPr>
              <w:spacing w:before="0"/>
              <w:rPr>
                <w:sz w:val="20"/>
              </w:rPr>
            </w:pPr>
          </w:p>
        </w:tc>
        <w:tc>
          <w:tcPr>
            <w:tcW w:w="850" w:type="dxa"/>
            <w:tcBorders>
              <w:top w:val="nil"/>
              <w:left w:val="nil"/>
              <w:bottom w:val="nil"/>
              <w:right w:val="nil"/>
            </w:tcBorders>
          </w:tcPr>
          <w:p w14:paraId="2E63FB77" w14:textId="77777777" w:rsidR="007C11E9" w:rsidRPr="000A3A07" w:rsidRDefault="007C11E9">
            <w:pPr>
              <w:spacing w:before="0"/>
              <w:jc w:val="right"/>
              <w:rPr>
                <w:sz w:val="20"/>
              </w:rPr>
            </w:pPr>
          </w:p>
        </w:tc>
      </w:tr>
      <w:tr w:rsidR="00000000" w:rsidRPr="000A3A07" w14:paraId="62F973D6" w14:textId="77777777">
        <w:tblPrEx>
          <w:tblCellMar>
            <w:top w:w="0" w:type="dxa"/>
            <w:bottom w:w="0" w:type="dxa"/>
          </w:tblCellMar>
        </w:tblPrEx>
        <w:trPr>
          <w:trHeight w:val="120"/>
        </w:trPr>
        <w:tc>
          <w:tcPr>
            <w:tcW w:w="1843" w:type="dxa"/>
            <w:tcBorders>
              <w:top w:val="nil"/>
              <w:left w:val="nil"/>
              <w:bottom w:val="nil"/>
              <w:right w:val="nil"/>
            </w:tcBorders>
          </w:tcPr>
          <w:p w14:paraId="03F895FC" w14:textId="77777777" w:rsidR="007C11E9" w:rsidRPr="000A3A07" w:rsidRDefault="007C11E9">
            <w:pPr>
              <w:spacing w:before="0"/>
              <w:jc w:val="left"/>
              <w:rPr>
                <w:sz w:val="20"/>
              </w:rPr>
            </w:pPr>
            <w:r w:rsidRPr="000A3A07">
              <w:rPr>
                <w:sz w:val="20"/>
              </w:rPr>
              <w:t>Investeringsbemy</w:t>
            </w:r>
            <w:r w:rsidRPr="000A3A07">
              <w:rPr>
                <w:sz w:val="20"/>
              </w:rPr>
              <w:t>n</w:t>
            </w:r>
            <w:r w:rsidRPr="000A3A07">
              <w:rPr>
                <w:sz w:val="20"/>
              </w:rPr>
              <w:t>digande</w:t>
            </w:r>
          </w:p>
        </w:tc>
        <w:tc>
          <w:tcPr>
            <w:tcW w:w="709" w:type="dxa"/>
            <w:tcBorders>
              <w:top w:val="nil"/>
              <w:left w:val="nil"/>
              <w:bottom w:val="nil"/>
            </w:tcBorders>
          </w:tcPr>
          <w:p w14:paraId="729E8EF4" w14:textId="77777777" w:rsidR="007C11E9" w:rsidRPr="000A3A07" w:rsidRDefault="007C11E9">
            <w:pPr>
              <w:spacing w:before="0"/>
              <w:jc w:val="right"/>
              <w:rPr>
                <w:sz w:val="20"/>
              </w:rPr>
            </w:pPr>
          </w:p>
          <w:p w14:paraId="47DF1F80" w14:textId="77777777" w:rsidR="007C11E9" w:rsidRPr="000A3A07" w:rsidRDefault="007C11E9">
            <w:pPr>
              <w:spacing w:before="0"/>
              <w:jc w:val="right"/>
              <w:rPr>
                <w:sz w:val="20"/>
              </w:rPr>
            </w:pPr>
            <w:r w:rsidRPr="000A3A07">
              <w:rPr>
                <w:sz w:val="20"/>
              </w:rPr>
              <w:t>156</w:t>
            </w:r>
          </w:p>
        </w:tc>
        <w:tc>
          <w:tcPr>
            <w:tcW w:w="1701" w:type="dxa"/>
            <w:tcBorders>
              <w:top w:val="nil"/>
              <w:bottom w:val="nil"/>
              <w:right w:val="nil"/>
            </w:tcBorders>
          </w:tcPr>
          <w:p w14:paraId="55C84AE3" w14:textId="77777777" w:rsidR="007C11E9" w:rsidRPr="000A3A07" w:rsidRDefault="007C11E9">
            <w:pPr>
              <w:spacing w:before="0"/>
              <w:rPr>
                <w:sz w:val="20"/>
              </w:rPr>
            </w:pPr>
          </w:p>
        </w:tc>
        <w:tc>
          <w:tcPr>
            <w:tcW w:w="850" w:type="dxa"/>
            <w:tcBorders>
              <w:top w:val="nil"/>
              <w:left w:val="nil"/>
              <w:bottom w:val="nil"/>
              <w:right w:val="nil"/>
            </w:tcBorders>
          </w:tcPr>
          <w:p w14:paraId="7FEDDB0D" w14:textId="77777777" w:rsidR="007C11E9" w:rsidRPr="000A3A07" w:rsidRDefault="007C11E9">
            <w:pPr>
              <w:spacing w:before="0"/>
              <w:jc w:val="right"/>
              <w:rPr>
                <w:sz w:val="20"/>
              </w:rPr>
            </w:pPr>
          </w:p>
        </w:tc>
      </w:tr>
      <w:tr w:rsidR="00000000" w:rsidRPr="000A3A07" w14:paraId="3E91BB75" w14:textId="77777777">
        <w:tblPrEx>
          <w:tblCellMar>
            <w:top w:w="0" w:type="dxa"/>
            <w:bottom w:w="0" w:type="dxa"/>
          </w:tblCellMar>
        </w:tblPrEx>
        <w:trPr>
          <w:trHeight w:val="513"/>
        </w:trPr>
        <w:tc>
          <w:tcPr>
            <w:tcW w:w="1843" w:type="dxa"/>
            <w:tcBorders>
              <w:top w:val="nil"/>
              <w:left w:val="nil"/>
              <w:bottom w:val="nil"/>
              <w:right w:val="nil"/>
            </w:tcBorders>
          </w:tcPr>
          <w:p w14:paraId="16DDCB29" w14:textId="77777777" w:rsidR="007C11E9" w:rsidRPr="000A3A07" w:rsidRDefault="007C11E9">
            <w:pPr>
              <w:spacing w:before="0"/>
              <w:jc w:val="left"/>
              <w:rPr>
                <w:b/>
                <w:sz w:val="20"/>
              </w:rPr>
            </w:pPr>
          </w:p>
          <w:p w14:paraId="55C7A561" w14:textId="77777777" w:rsidR="007C11E9" w:rsidRPr="000A3A07" w:rsidRDefault="007C11E9">
            <w:pPr>
              <w:spacing w:before="0" w:line="240" w:lineRule="auto"/>
              <w:jc w:val="left"/>
              <w:rPr>
                <w:b/>
                <w:sz w:val="20"/>
              </w:rPr>
            </w:pPr>
            <w:r w:rsidRPr="000A3A07">
              <w:rPr>
                <w:b/>
                <w:sz w:val="20"/>
              </w:rPr>
              <w:t>Summa</w:t>
            </w:r>
          </w:p>
        </w:tc>
        <w:tc>
          <w:tcPr>
            <w:tcW w:w="709" w:type="dxa"/>
            <w:tcBorders>
              <w:top w:val="nil"/>
              <w:left w:val="nil"/>
              <w:bottom w:val="nil"/>
            </w:tcBorders>
          </w:tcPr>
          <w:p w14:paraId="672070FF" w14:textId="77777777" w:rsidR="007C11E9" w:rsidRPr="000A3A07" w:rsidRDefault="007C11E9">
            <w:pPr>
              <w:spacing w:before="0"/>
              <w:jc w:val="right"/>
              <w:rPr>
                <w:b/>
              </w:rPr>
            </w:pPr>
          </w:p>
          <w:p w14:paraId="629BE304" w14:textId="77777777" w:rsidR="007C11E9" w:rsidRPr="000A3A07" w:rsidRDefault="007C11E9">
            <w:pPr>
              <w:spacing w:before="0"/>
              <w:jc w:val="right"/>
              <w:rPr>
                <w:b/>
                <w:sz w:val="20"/>
              </w:rPr>
            </w:pPr>
            <w:r w:rsidRPr="000A3A07">
              <w:rPr>
                <w:b/>
              </w:rPr>
              <w:t>428</w:t>
            </w:r>
          </w:p>
        </w:tc>
        <w:tc>
          <w:tcPr>
            <w:tcW w:w="1701" w:type="dxa"/>
            <w:tcBorders>
              <w:top w:val="nil"/>
              <w:bottom w:val="nil"/>
              <w:right w:val="nil"/>
            </w:tcBorders>
          </w:tcPr>
          <w:p w14:paraId="1160FE60" w14:textId="77777777" w:rsidR="007C11E9" w:rsidRPr="000A3A07" w:rsidRDefault="007C11E9">
            <w:pPr>
              <w:spacing w:before="0"/>
              <w:rPr>
                <w:sz w:val="20"/>
              </w:rPr>
            </w:pPr>
          </w:p>
        </w:tc>
        <w:tc>
          <w:tcPr>
            <w:tcW w:w="850" w:type="dxa"/>
            <w:tcBorders>
              <w:top w:val="nil"/>
              <w:left w:val="nil"/>
              <w:bottom w:val="nil"/>
              <w:right w:val="nil"/>
            </w:tcBorders>
          </w:tcPr>
          <w:p w14:paraId="510B6E42" w14:textId="77777777" w:rsidR="007C11E9" w:rsidRPr="000A3A07" w:rsidRDefault="007C11E9">
            <w:pPr>
              <w:spacing w:before="0"/>
              <w:jc w:val="right"/>
              <w:rPr>
                <w:sz w:val="20"/>
              </w:rPr>
            </w:pPr>
          </w:p>
        </w:tc>
      </w:tr>
    </w:tbl>
    <w:p w14:paraId="77D15D67" w14:textId="77777777" w:rsidR="007C11E9" w:rsidRPr="000A3A07" w:rsidRDefault="007C11E9">
      <w:pPr>
        <w:spacing w:before="0"/>
        <w:rPr>
          <w:sz w:val="20"/>
        </w:rPr>
      </w:pPr>
    </w:p>
    <w:p w14:paraId="35F939D2" w14:textId="77777777" w:rsidR="007C11E9" w:rsidRPr="000A3A07" w:rsidRDefault="007C11E9">
      <w:pPr>
        <w:spacing w:before="0"/>
        <w:rPr>
          <w:sz w:val="20"/>
        </w:rPr>
      </w:pPr>
      <w:r w:rsidRPr="000A3A07">
        <w:rPr>
          <w:sz w:val="20"/>
        </w:rPr>
        <w:t xml:space="preserve">II. </w:t>
      </w:r>
      <w:r w:rsidRPr="000A3A07">
        <w:rPr>
          <w:sz w:val="20"/>
        </w:rPr>
        <w:tab/>
        <w:t>Statens allmänna fastighetsfond</w:t>
      </w:r>
    </w:p>
    <w:p w14:paraId="352BFB71" w14:textId="77777777" w:rsidR="007C11E9" w:rsidRPr="000A3A07" w:rsidRDefault="007C11E9">
      <w:pPr>
        <w:spacing w:before="0"/>
        <w:rPr>
          <w:sz w:val="20"/>
        </w:rPr>
      </w:pPr>
      <w:r w:rsidRPr="000A3A07">
        <w:rPr>
          <w:sz w:val="20"/>
        </w:rPr>
        <w:t>.......</w:t>
      </w:r>
    </w:p>
    <w:p w14:paraId="7359E2D5" w14:textId="77777777" w:rsidR="007C11E9" w:rsidRPr="000A3A07" w:rsidRDefault="007C11E9">
      <w:pPr>
        <w:spacing w:before="0"/>
        <w:rPr>
          <w:sz w:val="20"/>
        </w:rPr>
      </w:pPr>
      <w:r w:rsidRPr="000A3A07">
        <w:rPr>
          <w:sz w:val="20"/>
        </w:rPr>
        <w:t xml:space="preserve">III. </w:t>
      </w:r>
      <w:r w:rsidRPr="000A3A07">
        <w:rPr>
          <w:sz w:val="20"/>
        </w:rPr>
        <w:tab/>
        <w:t>Försvarets fastighetsfond</w:t>
      </w:r>
    </w:p>
    <w:p w14:paraId="5A5FFBD7" w14:textId="77777777" w:rsidR="007C11E9" w:rsidRPr="000A3A07" w:rsidRDefault="007C11E9">
      <w:pPr>
        <w:spacing w:before="0"/>
        <w:rPr>
          <w:sz w:val="20"/>
        </w:rPr>
      </w:pPr>
      <w:r w:rsidRPr="000A3A07">
        <w:rPr>
          <w:sz w:val="20"/>
        </w:rPr>
        <w:t>….</w:t>
      </w:r>
    </w:p>
    <w:p w14:paraId="2F4D47B0" w14:textId="77777777" w:rsidR="007C11E9" w:rsidRPr="000A3A07" w:rsidRDefault="007C11E9">
      <w:pPr>
        <w:spacing w:before="0"/>
        <w:rPr>
          <w:sz w:val="20"/>
        </w:rPr>
      </w:pPr>
      <w:r w:rsidRPr="000A3A07">
        <w:rPr>
          <w:sz w:val="20"/>
        </w:rPr>
        <w:t xml:space="preserve">IV. </w:t>
      </w:r>
      <w:r w:rsidRPr="000A3A07">
        <w:rPr>
          <w:sz w:val="20"/>
        </w:rPr>
        <w:tab/>
        <w:t>Statens utlåningsfonder</w:t>
      </w:r>
    </w:p>
    <w:p w14:paraId="42C409F2" w14:textId="77777777" w:rsidR="007C11E9" w:rsidRPr="000A3A07" w:rsidRDefault="007C11E9">
      <w:pPr>
        <w:rPr>
          <w:sz w:val="20"/>
        </w:rPr>
      </w:pPr>
      <w:r w:rsidRPr="000A3A07">
        <w:rPr>
          <w:sz w:val="20"/>
        </w:rPr>
        <w:tab/>
        <w:t>Studiemedelsfonden</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09"/>
        <w:gridCol w:w="1701"/>
        <w:gridCol w:w="708"/>
      </w:tblGrid>
      <w:tr w:rsidR="00000000" w:rsidRPr="000A3A07" w14:paraId="46B561B6" w14:textId="77777777">
        <w:tblPrEx>
          <w:tblCellMar>
            <w:top w:w="0" w:type="dxa"/>
            <w:bottom w:w="0" w:type="dxa"/>
          </w:tblCellMar>
        </w:tblPrEx>
        <w:tc>
          <w:tcPr>
            <w:tcW w:w="1985" w:type="dxa"/>
            <w:tcBorders>
              <w:left w:val="nil"/>
              <w:bottom w:val="nil"/>
              <w:right w:val="nil"/>
            </w:tcBorders>
          </w:tcPr>
          <w:p w14:paraId="75BE6F0A" w14:textId="77777777" w:rsidR="007C11E9" w:rsidRPr="000A3A07" w:rsidRDefault="007C11E9">
            <w:pPr>
              <w:rPr>
                <w:sz w:val="20"/>
              </w:rPr>
            </w:pPr>
            <w:r w:rsidRPr="000A3A07">
              <w:rPr>
                <w:sz w:val="20"/>
              </w:rPr>
              <w:t>Investeringsbemynd</w:t>
            </w:r>
            <w:r w:rsidRPr="000A3A07">
              <w:rPr>
                <w:sz w:val="20"/>
              </w:rPr>
              <w:t>i</w:t>
            </w:r>
            <w:r w:rsidRPr="000A3A07">
              <w:rPr>
                <w:sz w:val="20"/>
              </w:rPr>
              <w:t>gande</w:t>
            </w:r>
          </w:p>
        </w:tc>
        <w:tc>
          <w:tcPr>
            <w:tcW w:w="709" w:type="dxa"/>
            <w:tcBorders>
              <w:left w:val="nil"/>
              <w:bottom w:val="nil"/>
            </w:tcBorders>
          </w:tcPr>
          <w:p w14:paraId="25B6C294" w14:textId="77777777" w:rsidR="007C11E9" w:rsidRPr="000A3A07" w:rsidRDefault="007C11E9">
            <w:pPr>
              <w:jc w:val="right"/>
              <w:rPr>
                <w:sz w:val="20"/>
              </w:rPr>
            </w:pPr>
            <w:r w:rsidRPr="000A3A07">
              <w:rPr>
                <w:sz w:val="20"/>
              </w:rPr>
              <w:t>405</w:t>
            </w:r>
          </w:p>
        </w:tc>
        <w:tc>
          <w:tcPr>
            <w:tcW w:w="1701" w:type="dxa"/>
            <w:tcBorders>
              <w:bottom w:val="nil"/>
              <w:right w:val="nil"/>
            </w:tcBorders>
          </w:tcPr>
          <w:p w14:paraId="6F5369A0" w14:textId="77777777" w:rsidR="007C11E9" w:rsidRPr="000A3A07" w:rsidRDefault="007C11E9">
            <w:pPr>
              <w:rPr>
                <w:sz w:val="20"/>
              </w:rPr>
            </w:pPr>
            <w:r w:rsidRPr="000A3A07">
              <w:rPr>
                <w:sz w:val="20"/>
              </w:rPr>
              <w:t>Investeringsanslag</w:t>
            </w:r>
          </w:p>
        </w:tc>
        <w:tc>
          <w:tcPr>
            <w:tcW w:w="708" w:type="dxa"/>
            <w:tcBorders>
              <w:left w:val="nil"/>
              <w:bottom w:val="nil"/>
              <w:right w:val="nil"/>
            </w:tcBorders>
          </w:tcPr>
          <w:p w14:paraId="6E08125D" w14:textId="77777777" w:rsidR="007C11E9" w:rsidRPr="000A3A07" w:rsidRDefault="007C11E9">
            <w:pPr>
              <w:jc w:val="right"/>
              <w:rPr>
                <w:sz w:val="20"/>
              </w:rPr>
            </w:pPr>
            <w:r w:rsidRPr="000A3A07">
              <w:rPr>
                <w:sz w:val="20"/>
              </w:rPr>
              <w:t>405</w:t>
            </w:r>
          </w:p>
        </w:tc>
      </w:tr>
    </w:tbl>
    <w:p w14:paraId="37725A8F" w14:textId="77777777" w:rsidR="007C11E9" w:rsidRPr="000A3A07" w:rsidRDefault="007C11E9">
      <w:pPr>
        <w:spacing w:before="0"/>
      </w:pPr>
      <w:r w:rsidRPr="000A3A07">
        <w:tab/>
        <w:t>.....</w:t>
      </w:r>
    </w:p>
    <w:p w14:paraId="3908F8D1" w14:textId="77777777" w:rsidR="007C11E9" w:rsidRPr="000A3A07" w:rsidRDefault="007C11E9">
      <w:pPr>
        <w:pStyle w:val="Normaltindrag"/>
      </w:pPr>
      <w:r w:rsidRPr="000A3A07">
        <w:tab/>
      </w:r>
      <w:r w:rsidRPr="000A3A07">
        <w:rPr>
          <w:sz w:val="20"/>
        </w:rPr>
        <w:t>Lånefonden för bostadsbyggande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993"/>
        <w:gridCol w:w="1701"/>
        <w:gridCol w:w="708"/>
      </w:tblGrid>
      <w:tr w:rsidR="00000000" w:rsidRPr="000A3A07" w14:paraId="74D234DA" w14:textId="77777777">
        <w:tblPrEx>
          <w:tblCellMar>
            <w:top w:w="0" w:type="dxa"/>
            <w:bottom w:w="0" w:type="dxa"/>
          </w:tblCellMar>
        </w:tblPrEx>
        <w:trPr>
          <w:trHeight w:val="719"/>
        </w:trPr>
        <w:tc>
          <w:tcPr>
            <w:tcW w:w="1701" w:type="dxa"/>
            <w:tcBorders>
              <w:left w:val="nil"/>
              <w:bottom w:val="nil"/>
              <w:right w:val="nil"/>
            </w:tcBorders>
          </w:tcPr>
          <w:p w14:paraId="283E2DBD" w14:textId="77777777" w:rsidR="007C11E9" w:rsidRPr="000A3A07" w:rsidRDefault="007C11E9">
            <w:pPr>
              <w:pStyle w:val="Normaltindrag"/>
              <w:ind w:firstLine="0"/>
            </w:pPr>
            <w:r w:rsidRPr="000A3A07">
              <w:t>Avskrivningsmedel från driftbudgeten</w:t>
            </w:r>
          </w:p>
        </w:tc>
        <w:tc>
          <w:tcPr>
            <w:tcW w:w="993" w:type="dxa"/>
            <w:tcBorders>
              <w:left w:val="nil"/>
              <w:bottom w:val="nil"/>
            </w:tcBorders>
          </w:tcPr>
          <w:p w14:paraId="746D6DE5" w14:textId="77777777" w:rsidR="007C11E9" w:rsidRPr="000A3A07" w:rsidRDefault="007C11E9">
            <w:pPr>
              <w:pStyle w:val="Normaltindrag"/>
              <w:ind w:firstLine="0"/>
              <w:jc w:val="right"/>
            </w:pPr>
          </w:p>
          <w:p w14:paraId="251DD9E9" w14:textId="77777777" w:rsidR="007C11E9" w:rsidRPr="000A3A07" w:rsidRDefault="007C11E9">
            <w:pPr>
              <w:pStyle w:val="Normaltindrag"/>
              <w:ind w:firstLine="0"/>
              <w:jc w:val="right"/>
            </w:pPr>
            <w:r w:rsidRPr="000A3A07">
              <w:t>398</w:t>
            </w:r>
          </w:p>
        </w:tc>
        <w:tc>
          <w:tcPr>
            <w:tcW w:w="1701" w:type="dxa"/>
            <w:tcBorders>
              <w:bottom w:val="nil"/>
              <w:right w:val="nil"/>
            </w:tcBorders>
          </w:tcPr>
          <w:p w14:paraId="053D92E5" w14:textId="77777777" w:rsidR="007C11E9" w:rsidRPr="000A3A07" w:rsidRDefault="007C11E9">
            <w:pPr>
              <w:pStyle w:val="Normaltindrag"/>
              <w:ind w:firstLine="0"/>
              <w:rPr>
                <w:b/>
              </w:rPr>
            </w:pPr>
            <w:r w:rsidRPr="000A3A07">
              <w:rPr>
                <w:b/>
              </w:rPr>
              <w:t>Investerings</w:t>
            </w:r>
            <w:r w:rsidRPr="000A3A07">
              <w:rPr>
                <w:b/>
              </w:rPr>
              <w:softHyphen/>
            </w:r>
            <w:r w:rsidRPr="000A3A07">
              <w:rPr>
                <w:b/>
              </w:rPr>
              <w:softHyphen/>
              <w:t>a</w:t>
            </w:r>
            <w:r w:rsidRPr="000A3A07">
              <w:rPr>
                <w:b/>
              </w:rPr>
              <w:t>n</w:t>
            </w:r>
            <w:r w:rsidRPr="000A3A07">
              <w:rPr>
                <w:b/>
              </w:rPr>
              <w:t>slag</w:t>
            </w:r>
          </w:p>
        </w:tc>
        <w:tc>
          <w:tcPr>
            <w:tcW w:w="708" w:type="dxa"/>
            <w:tcBorders>
              <w:left w:val="nil"/>
              <w:bottom w:val="nil"/>
              <w:right w:val="nil"/>
            </w:tcBorders>
          </w:tcPr>
          <w:p w14:paraId="2639071A" w14:textId="77777777" w:rsidR="007C11E9" w:rsidRPr="000A3A07" w:rsidRDefault="007C11E9">
            <w:pPr>
              <w:pStyle w:val="Normaltindrag"/>
              <w:ind w:firstLine="0"/>
              <w:jc w:val="right"/>
              <w:rPr>
                <w:b/>
              </w:rPr>
            </w:pPr>
            <w:r w:rsidRPr="000A3A07">
              <w:rPr>
                <w:b/>
              </w:rPr>
              <w:t>1 310</w:t>
            </w:r>
          </w:p>
        </w:tc>
      </w:tr>
      <w:tr w:rsidR="00000000" w:rsidRPr="000A3A07" w14:paraId="1002C122" w14:textId="77777777">
        <w:tblPrEx>
          <w:tblCellMar>
            <w:top w:w="0" w:type="dxa"/>
            <w:bottom w:w="0" w:type="dxa"/>
          </w:tblCellMar>
        </w:tblPrEx>
        <w:tc>
          <w:tcPr>
            <w:tcW w:w="1701" w:type="dxa"/>
            <w:tcBorders>
              <w:top w:val="nil"/>
              <w:left w:val="nil"/>
              <w:bottom w:val="nil"/>
              <w:right w:val="nil"/>
            </w:tcBorders>
          </w:tcPr>
          <w:p w14:paraId="3F42892E" w14:textId="77777777" w:rsidR="007C11E9" w:rsidRPr="000A3A07" w:rsidRDefault="007C11E9">
            <w:pPr>
              <w:pStyle w:val="Normaltindrag"/>
              <w:ind w:firstLine="0"/>
            </w:pPr>
            <w:r w:rsidRPr="000A3A07">
              <w:t>Investeringsbemy</w:t>
            </w:r>
            <w:r w:rsidRPr="000A3A07">
              <w:t>n</w:t>
            </w:r>
            <w:r w:rsidRPr="000A3A07">
              <w:t>digande</w:t>
            </w:r>
          </w:p>
        </w:tc>
        <w:tc>
          <w:tcPr>
            <w:tcW w:w="993" w:type="dxa"/>
            <w:tcBorders>
              <w:top w:val="nil"/>
              <w:left w:val="nil"/>
              <w:bottom w:val="nil"/>
            </w:tcBorders>
          </w:tcPr>
          <w:p w14:paraId="76957875" w14:textId="77777777" w:rsidR="007C11E9" w:rsidRPr="000A3A07" w:rsidRDefault="007C11E9">
            <w:pPr>
              <w:pStyle w:val="Normaltindrag"/>
              <w:ind w:firstLine="0"/>
              <w:jc w:val="right"/>
            </w:pPr>
          </w:p>
          <w:p w14:paraId="5F3B1D08" w14:textId="77777777" w:rsidR="007C11E9" w:rsidRPr="000A3A07" w:rsidRDefault="007C11E9">
            <w:pPr>
              <w:pStyle w:val="Normaltindrag"/>
              <w:ind w:firstLine="0"/>
              <w:jc w:val="right"/>
            </w:pPr>
            <w:r w:rsidRPr="000A3A07">
              <w:t>912</w:t>
            </w:r>
          </w:p>
        </w:tc>
        <w:tc>
          <w:tcPr>
            <w:tcW w:w="1701" w:type="dxa"/>
            <w:tcBorders>
              <w:top w:val="nil"/>
              <w:bottom w:val="nil"/>
              <w:right w:val="nil"/>
            </w:tcBorders>
          </w:tcPr>
          <w:p w14:paraId="79D5B7E9" w14:textId="77777777" w:rsidR="007C11E9" w:rsidRPr="000A3A07" w:rsidRDefault="007C11E9">
            <w:pPr>
              <w:pStyle w:val="Normaltindrag"/>
              <w:ind w:firstLine="0"/>
            </w:pPr>
          </w:p>
        </w:tc>
        <w:tc>
          <w:tcPr>
            <w:tcW w:w="708" w:type="dxa"/>
            <w:tcBorders>
              <w:top w:val="nil"/>
              <w:left w:val="nil"/>
              <w:bottom w:val="nil"/>
              <w:right w:val="nil"/>
            </w:tcBorders>
          </w:tcPr>
          <w:p w14:paraId="16FD5717" w14:textId="77777777" w:rsidR="007C11E9" w:rsidRPr="000A3A07" w:rsidRDefault="007C11E9">
            <w:pPr>
              <w:pStyle w:val="Normaltindrag"/>
              <w:ind w:firstLine="0"/>
            </w:pPr>
          </w:p>
        </w:tc>
      </w:tr>
      <w:tr w:rsidR="00000000" w:rsidRPr="000A3A07" w14:paraId="376A6DA6" w14:textId="77777777">
        <w:tblPrEx>
          <w:tblCellMar>
            <w:top w:w="0" w:type="dxa"/>
            <w:bottom w:w="0" w:type="dxa"/>
          </w:tblCellMar>
        </w:tblPrEx>
        <w:tc>
          <w:tcPr>
            <w:tcW w:w="1701" w:type="dxa"/>
            <w:tcBorders>
              <w:top w:val="nil"/>
              <w:left w:val="nil"/>
              <w:bottom w:val="nil"/>
              <w:right w:val="nil"/>
            </w:tcBorders>
          </w:tcPr>
          <w:p w14:paraId="54B7FC88" w14:textId="77777777" w:rsidR="007C11E9" w:rsidRPr="000A3A07" w:rsidRDefault="007C11E9">
            <w:pPr>
              <w:pStyle w:val="Normaltindrag"/>
              <w:ind w:firstLine="0"/>
              <w:rPr>
                <w:b/>
              </w:rPr>
            </w:pPr>
          </w:p>
          <w:p w14:paraId="315FDCAD" w14:textId="77777777" w:rsidR="007C11E9" w:rsidRPr="000A3A07" w:rsidRDefault="007C11E9">
            <w:pPr>
              <w:pStyle w:val="Normaltindrag"/>
              <w:ind w:firstLine="0"/>
              <w:rPr>
                <w:b/>
              </w:rPr>
            </w:pPr>
            <w:r w:rsidRPr="000A3A07">
              <w:rPr>
                <w:b/>
              </w:rPr>
              <w:t>Summa</w:t>
            </w:r>
          </w:p>
        </w:tc>
        <w:tc>
          <w:tcPr>
            <w:tcW w:w="993" w:type="dxa"/>
            <w:tcBorders>
              <w:top w:val="nil"/>
              <w:left w:val="nil"/>
              <w:bottom w:val="nil"/>
            </w:tcBorders>
          </w:tcPr>
          <w:p w14:paraId="45A1A892" w14:textId="77777777" w:rsidR="007C11E9" w:rsidRPr="000A3A07" w:rsidRDefault="007C11E9">
            <w:pPr>
              <w:pStyle w:val="Normaltindrag"/>
              <w:ind w:firstLine="0"/>
              <w:jc w:val="right"/>
              <w:rPr>
                <w:b/>
              </w:rPr>
            </w:pPr>
          </w:p>
          <w:p w14:paraId="65CCCD11" w14:textId="77777777" w:rsidR="007C11E9" w:rsidRPr="000A3A07" w:rsidRDefault="007C11E9">
            <w:pPr>
              <w:pStyle w:val="Normaltindrag"/>
              <w:ind w:firstLine="0"/>
              <w:jc w:val="right"/>
              <w:rPr>
                <w:b/>
              </w:rPr>
            </w:pPr>
            <w:r w:rsidRPr="000A3A07">
              <w:rPr>
                <w:b/>
              </w:rPr>
              <w:t>1 310</w:t>
            </w:r>
          </w:p>
        </w:tc>
        <w:tc>
          <w:tcPr>
            <w:tcW w:w="1701" w:type="dxa"/>
            <w:tcBorders>
              <w:top w:val="nil"/>
              <w:bottom w:val="nil"/>
              <w:right w:val="nil"/>
            </w:tcBorders>
          </w:tcPr>
          <w:p w14:paraId="7CE3F1D2" w14:textId="77777777" w:rsidR="007C11E9" w:rsidRPr="000A3A07" w:rsidRDefault="007C11E9">
            <w:pPr>
              <w:pStyle w:val="Normaltindrag"/>
              <w:ind w:firstLine="0"/>
            </w:pPr>
          </w:p>
        </w:tc>
        <w:tc>
          <w:tcPr>
            <w:tcW w:w="708" w:type="dxa"/>
            <w:tcBorders>
              <w:top w:val="nil"/>
              <w:left w:val="nil"/>
              <w:bottom w:val="nil"/>
              <w:right w:val="nil"/>
            </w:tcBorders>
          </w:tcPr>
          <w:p w14:paraId="4FC0EDAA" w14:textId="77777777" w:rsidR="007C11E9" w:rsidRPr="000A3A07" w:rsidRDefault="007C11E9">
            <w:pPr>
              <w:pStyle w:val="Normaltindrag"/>
              <w:ind w:firstLine="0"/>
            </w:pPr>
          </w:p>
        </w:tc>
      </w:tr>
    </w:tbl>
    <w:p w14:paraId="08FD3972" w14:textId="77777777" w:rsidR="007C11E9" w:rsidRPr="000A3A07" w:rsidRDefault="007C11E9">
      <w:pPr>
        <w:pStyle w:val="Normaltindrag"/>
      </w:pPr>
    </w:p>
    <w:p w14:paraId="75919078" w14:textId="77777777" w:rsidR="007C11E9" w:rsidRPr="000A3A07" w:rsidRDefault="007C11E9">
      <w:pPr>
        <w:rPr>
          <w:sz w:val="20"/>
        </w:rPr>
      </w:pPr>
      <w:r w:rsidRPr="000A3A07">
        <w:rPr>
          <w:sz w:val="20"/>
        </w:rPr>
        <w:tab/>
        <w:t>……….</w:t>
      </w:r>
    </w:p>
    <w:p w14:paraId="6C60456D" w14:textId="77777777" w:rsidR="007C11E9" w:rsidRPr="000A3A07" w:rsidRDefault="007C11E9">
      <w:pPr>
        <w:rPr>
          <w:b/>
        </w:rPr>
      </w:pPr>
      <w:r w:rsidRPr="000A3A07">
        <w:rPr>
          <w:sz w:val="20"/>
        </w:rPr>
        <w:br w:type="page"/>
      </w:r>
      <w:r w:rsidRPr="000A3A07">
        <w:tab/>
      </w:r>
      <w:r w:rsidRPr="000A3A07">
        <w:rPr>
          <w:b/>
        </w:rPr>
        <w:t>SUMMA INVESTERINGSFONDER</w:t>
      </w:r>
    </w:p>
    <w:p w14:paraId="44544DED" w14:textId="77777777" w:rsidR="007C11E9" w:rsidRPr="000A3A07" w:rsidRDefault="007C11E9">
      <w:pPr>
        <w:spacing w:before="0"/>
      </w:pPr>
      <w:r w:rsidRPr="000A3A07">
        <w:tab/>
        <w:t>milj kr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09"/>
        <w:gridCol w:w="1701"/>
        <w:gridCol w:w="708"/>
      </w:tblGrid>
      <w:tr w:rsidR="00000000" w:rsidRPr="000A3A07" w14:paraId="4E74BC30" w14:textId="77777777">
        <w:tblPrEx>
          <w:tblCellMar>
            <w:top w:w="0" w:type="dxa"/>
            <w:bottom w:w="0" w:type="dxa"/>
          </w:tblCellMar>
        </w:tblPrEx>
        <w:trPr>
          <w:trHeight w:val="284"/>
        </w:trPr>
        <w:tc>
          <w:tcPr>
            <w:tcW w:w="1985" w:type="dxa"/>
            <w:tcBorders>
              <w:left w:val="nil"/>
              <w:bottom w:val="nil"/>
              <w:right w:val="nil"/>
            </w:tcBorders>
          </w:tcPr>
          <w:p w14:paraId="713E4327" w14:textId="77777777" w:rsidR="007C11E9" w:rsidRPr="000A3A07" w:rsidRDefault="007C11E9">
            <w:pPr>
              <w:spacing w:line="240" w:lineRule="auto"/>
            </w:pPr>
          </w:p>
          <w:p w14:paraId="7CA328FF" w14:textId="77777777" w:rsidR="007C11E9" w:rsidRPr="000A3A07" w:rsidRDefault="007C11E9">
            <w:pPr>
              <w:spacing w:line="240" w:lineRule="auto"/>
            </w:pPr>
            <w:r w:rsidRPr="000A3A07">
              <w:t>Avskrivningsmedel</w:t>
            </w:r>
          </w:p>
        </w:tc>
        <w:tc>
          <w:tcPr>
            <w:tcW w:w="709" w:type="dxa"/>
            <w:tcBorders>
              <w:left w:val="nil"/>
              <w:bottom w:val="nil"/>
            </w:tcBorders>
          </w:tcPr>
          <w:p w14:paraId="1A68CC54" w14:textId="77777777" w:rsidR="007C11E9" w:rsidRPr="000A3A07" w:rsidRDefault="007C11E9">
            <w:pPr>
              <w:rPr>
                <w:sz w:val="20"/>
              </w:rPr>
            </w:pPr>
          </w:p>
        </w:tc>
        <w:tc>
          <w:tcPr>
            <w:tcW w:w="1701" w:type="dxa"/>
            <w:tcBorders>
              <w:bottom w:val="nil"/>
              <w:right w:val="nil"/>
            </w:tcBorders>
          </w:tcPr>
          <w:p w14:paraId="41737893" w14:textId="77777777" w:rsidR="007C11E9" w:rsidRPr="000A3A07" w:rsidRDefault="007C11E9">
            <w:pPr>
              <w:rPr>
                <w:b/>
                <w:sz w:val="20"/>
              </w:rPr>
            </w:pPr>
            <w:r w:rsidRPr="000A3A07">
              <w:rPr>
                <w:b/>
                <w:sz w:val="20"/>
              </w:rPr>
              <w:t>Investeringsa</w:t>
            </w:r>
            <w:r w:rsidRPr="000A3A07">
              <w:rPr>
                <w:b/>
                <w:sz w:val="20"/>
              </w:rPr>
              <w:t>n</w:t>
            </w:r>
            <w:r w:rsidRPr="000A3A07">
              <w:rPr>
                <w:b/>
                <w:sz w:val="20"/>
              </w:rPr>
              <w:t>slag</w:t>
            </w:r>
          </w:p>
        </w:tc>
        <w:tc>
          <w:tcPr>
            <w:tcW w:w="708" w:type="dxa"/>
            <w:tcBorders>
              <w:left w:val="nil"/>
              <w:bottom w:val="nil"/>
              <w:right w:val="nil"/>
            </w:tcBorders>
          </w:tcPr>
          <w:p w14:paraId="05E572E0" w14:textId="77777777" w:rsidR="007C11E9" w:rsidRPr="000A3A07" w:rsidRDefault="007C11E9">
            <w:pPr>
              <w:tabs>
                <w:tab w:val="left" w:pos="1176"/>
              </w:tabs>
              <w:jc w:val="right"/>
              <w:rPr>
                <w:b/>
                <w:sz w:val="20"/>
              </w:rPr>
            </w:pPr>
            <w:r w:rsidRPr="000A3A07">
              <w:rPr>
                <w:b/>
                <w:sz w:val="20"/>
              </w:rPr>
              <w:t>4 615</w:t>
            </w:r>
          </w:p>
        </w:tc>
      </w:tr>
      <w:tr w:rsidR="00000000" w:rsidRPr="000A3A07" w14:paraId="2759BBEF" w14:textId="77777777">
        <w:tblPrEx>
          <w:tblCellMar>
            <w:top w:w="0" w:type="dxa"/>
            <w:bottom w:w="0" w:type="dxa"/>
          </w:tblCellMar>
        </w:tblPrEx>
        <w:trPr>
          <w:trHeight w:val="284"/>
        </w:trPr>
        <w:tc>
          <w:tcPr>
            <w:tcW w:w="1985" w:type="dxa"/>
            <w:tcBorders>
              <w:top w:val="nil"/>
              <w:left w:val="nil"/>
              <w:bottom w:val="nil"/>
              <w:right w:val="nil"/>
            </w:tcBorders>
          </w:tcPr>
          <w:p w14:paraId="6F645BD8" w14:textId="77777777" w:rsidR="007C11E9" w:rsidRPr="000A3A07" w:rsidRDefault="007C11E9">
            <w:pPr>
              <w:rPr>
                <w:sz w:val="20"/>
              </w:rPr>
            </w:pPr>
            <w:r w:rsidRPr="000A3A07">
              <w:rPr>
                <w:sz w:val="20"/>
              </w:rPr>
              <w:t xml:space="preserve">    från driftbudget</w:t>
            </w:r>
          </w:p>
        </w:tc>
        <w:tc>
          <w:tcPr>
            <w:tcW w:w="709" w:type="dxa"/>
            <w:tcBorders>
              <w:top w:val="nil"/>
              <w:left w:val="nil"/>
              <w:bottom w:val="nil"/>
            </w:tcBorders>
          </w:tcPr>
          <w:p w14:paraId="78246893" w14:textId="77777777" w:rsidR="007C11E9" w:rsidRPr="000A3A07" w:rsidRDefault="007C11E9">
            <w:pPr>
              <w:jc w:val="right"/>
              <w:rPr>
                <w:sz w:val="20"/>
              </w:rPr>
            </w:pPr>
            <w:r w:rsidRPr="000A3A07">
              <w:rPr>
                <w:sz w:val="20"/>
              </w:rPr>
              <w:t>1 141</w:t>
            </w:r>
          </w:p>
        </w:tc>
        <w:tc>
          <w:tcPr>
            <w:tcW w:w="1701" w:type="dxa"/>
            <w:tcBorders>
              <w:top w:val="nil"/>
              <w:bottom w:val="nil"/>
              <w:right w:val="nil"/>
            </w:tcBorders>
          </w:tcPr>
          <w:p w14:paraId="27CCBA07" w14:textId="77777777" w:rsidR="007C11E9" w:rsidRPr="000A3A07" w:rsidRDefault="007C11E9">
            <w:pPr>
              <w:rPr>
                <w:b/>
                <w:sz w:val="20"/>
              </w:rPr>
            </w:pPr>
          </w:p>
        </w:tc>
        <w:tc>
          <w:tcPr>
            <w:tcW w:w="708" w:type="dxa"/>
            <w:tcBorders>
              <w:top w:val="nil"/>
              <w:left w:val="nil"/>
              <w:bottom w:val="nil"/>
              <w:right w:val="nil"/>
            </w:tcBorders>
          </w:tcPr>
          <w:p w14:paraId="7409644C" w14:textId="77777777" w:rsidR="007C11E9" w:rsidRPr="000A3A07" w:rsidRDefault="007C11E9">
            <w:pPr>
              <w:tabs>
                <w:tab w:val="left" w:pos="1176"/>
              </w:tabs>
              <w:jc w:val="right"/>
              <w:rPr>
                <w:b/>
                <w:sz w:val="20"/>
              </w:rPr>
            </w:pPr>
          </w:p>
        </w:tc>
      </w:tr>
      <w:tr w:rsidR="00000000" w:rsidRPr="000A3A07" w14:paraId="0901EF2A" w14:textId="77777777">
        <w:tblPrEx>
          <w:tblCellMar>
            <w:top w:w="0" w:type="dxa"/>
            <w:bottom w:w="0" w:type="dxa"/>
          </w:tblCellMar>
        </w:tblPrEx>
        <w:trPr>
          <w:trHeight w:val="284"/>
        </w:trPr>
        <w:tc>
          <w:tcPr>
            <w:tcW w:w="1985" w:type="dxa"/>
            <w:tcBorders>
              <w:top w:val="nil"/>
              <w:left w:val="nil"/>
              <w:bottom w:val="nil"/>
              <w:right w:val="nil"/>
            </w:tcBorders>
          </w:tcPr>
          <w:p w14:paraId="388B9146" w14:textId="77777777" w:rsidR="007C11E9" w:rsidRPr="000A3A07" w:rsidRDefault="007C11E9">
            <w:pPr>
              <w:rPr>
                <w:sz w:val="20"/>
              </w:rPr>
            </w:pPr>
            <w:r w:rsidRPr="000A3A07">
              <w:rPr>
                <w:sz w:val="20"/>
              </w:rPr>
              <w:t xml:space="preserve">    inom fonden</w:t>
            </w:r>
          </w:p>
        </w:tc>
        <w:tc>
          <w:tcPr>
            <w:tcW w:w="709" w:type="dxa"/>
            <w:tcBorders>
              <w:top w:val="nil"/>
              <w:left w:val="nil"/>
              <w:bottom w:val="nil"/>
            </w:tcBorders>
          </w:tcPr>
          <w:p w14:paraId="5D50EEEA" w14:textId="77777777" w:rsidR="007C11E9" w:rsidRPr="000A3A07" w:rsidRDefault="007C11E9">
            <w:pPr>
              <w:jc w:val="right"/>
              <w:rPr>
                <w:sz w:val="20"/>
              </w:rPr>
            </w:pPr>
            <w:r w:rsidRPr="000A3A07">
              <w:rPr>
                <w:sz w:val="20"/>
              </w:rPr>
              <w:t>1 107</w:t>
            </w:r>
          </w:p>
        </w:tc>
        <w:tc>
          <w:tcPr>
            <w:tcW w:w="1701" w:type="dxa"/>
            <w:tcBorders>
              <w:top w:val="nil"/>
              <w:bottom w:val="nil"/>
              <w:right w:val="nil"/>
            </w:tcBorders>
          </w:tcPr>
          <w:p w14:paraId="04EA619A" w14:textId="77777777" w:rsidR="007C11E9" w:rsidRPr="000A3A07" w:rsidRDefault="007C11E9">
            <w:pPr>
              <w:rPr>
                <w:sz w:val="20"/>
              </w:rPr>
            </w:pPr>
          </w:p>
        </w:tc>
        <w:tc>
          <w:tcPr>
            <w:tcW w:w="708" w:type="dxa"/>
            <w:tcBorders>
              <w:top w:val="nil"/>
              <w:left w:val="nil"/>
              <w:bottom w:val="nil"/>
              <w:right w:val="nil"/>
            </w:tcBorders>
          </w:tcPr>
          <w:p w14:paraId="2EAEF536" w14:textId="77777777" w:rsidR="007C11E9" w:rsidRPr="000A3A07" w:rsidRDefault="007C11E9">
            <w:pPr>
              <w:rPr>
                <w:sz w:val="20"/>
              </w:rPr>
            </w:pPr>
          </w:p>
        </w:tc>
      </w:tr>
      <w:tr w:rsidR="00000000" w:rsidRPr="000A3A07" w14:paraId="3129D770" w14:textId="77777777">
        <w:tblPrEx>
          <w:tblCellMar>
            <w:top w:w="0" w:type="dxa"/>
            <w:bottom w:w="0" w:type="dxa"/>
          </w:tblCellMar>
        </w:tblPrEx>
        <w:trPr>
          <w:trHeight w:val="284"/>
        </w:trPr>
        <w:tc>
          <w:tcPr>
            <w:tcW w:w="1985" w:type="dxa"/>
            <w:tcBorders>
              <w:top w:val="nil"/>
              <w:left w:val="nil"/>
              <w:bottom w:val="nil"/>
              <w:right w:val="nil"/>
            </w:tcBorders>
          </w:tcPr>
          <w:p w14:paraId="2A40C9DE" w14:textId="77777777" w:rsidR="007C11E9" w:rsidRPr="000A3A07" w:rsidRDefault="007C11E9">
            <w:pPr>
              <w:jc w:val="left"/>
              <w:rPr>
                <w:sz w:val="20"/>
              </w:rPr>
            </w:pPr>
            <w:r w:rsidRPr="000A3A07">
              <w:rPr>
                <w:sz w:val="20"/>
              </w:rPr>
              <w:t>Övriga kapitalm</w:t>
            </w:r>
            <w:r w:rsidRPr="000A3A07">
              <w:rPr>
                <w:sz w:val="20"/>
              </w:rPr>
              <w:t>e</w:t>
            </w:r>
            <w:r w:rsidRPr="000A3A07">
              <w:rPr>
                <w:sz w:val="20"/>
              </w:rPr>
              <w:t>del</w:t>
            </w:r>
          </w:p>
        </w:tc>
        <w:tc>
          <w:tcPr>
            <w:tcW w:w="709" w:type="dxa"/>
            <w:tcBorders>
              <w:top w:val="nil"/>
              <w:left w:val="nil"/>
              <w:bottom w:val="nil"/>
            </w:tcBorders>
          </w:tcPr>
          <w:p w14:paraId="128D188D" w14:textId="77777777" w:rsidR="007C11E9" w:rsidRPr="000A3A07" w:rsidRDefault="007C11E9">
            <w:pPr>
              <w:jc w:val="right"/>
              <w:rPr>
                <w:sz w:val="20"/>
              </w:rPr>
            </w:pPr>
            <w:r w:rsidRPr="000A3A07">
              <w:rPr>
                <w:sz w:val="20"/>
              </w:rPr>
              <w:t>78</w:t>
            </w:r>
          </w:p>
        </w:tc>
        <w:tc>
          <w:tcPr>
            <w:tcW w:w="1701" w:type="dxa"/>
            <w:tcBorders>
              <w:top w:val="nil"/>
              <w:bottom w:val="nil"/>
              <w:right w:val="nil"/>
            </w:tcBorders>
          </w:tcPr>
          <w:p w14:paraId="49F396F7" w14:textId="77777777" w:rsidR="007C11E9" w:rsidRPr="000A3A07" w:rsidRDefault="007C11E9">
            <w:pPr>
              <w:rPr>
                <w:sz w:val="20"/>
              </w:rPr>
            </w:pPr>
          </w:p>
        </w:tc>
        <w:tc>
          <w:tcPr>
            <w:tcW w:w="708" w:type="dxa"/>
            <w:tcBorders>
              <w:top w:val="nil"/>
              <w:left w:val="nil"/>
              <w:bottom w:val="nil"/>
              <w:right w:val="nil"/>
            </w:tcBorders>
          </w:tcPr>
          <w:p w14:paraId="20F34EFC" w14:textId="77777777" w:rsidR="007C11E9" w:rsidRPr="000A3A07" w:rsidRDefault="007C11E9">
            <w:pPr>
              <w:rPr>
                <w:sz w:val="20"/>
              </w:rPr>
            </w:pPr>
          </w:p>
        </w:tc>
      </w:tr>
      <w:tr w:rsidR="00000000" w:rsidRPr="000A3A07" w14:paraId="43397F8F" w14:textId="77777777">
        <w:tblPrEx>
          <w:tblCellMar>
            <w:top w:w="0" w:type="dxa"/>
            <w:bottom w:w="0" w:type="dxa"/>
          </w:tblCellMar>
        </w:tblPrEx>
        <w:trPr>
          <w:trHeight w:val="284"/>
        </w:trPr>
        <w:tc>
          <w:tcPr>
            <w:tcW w:w="1985" w:type="dxa"/>
            <w:tcBorders>
              <w:top w:val="nil"/>
              <w:left w:val="nil"/>
              <w:bottom w:val="nil"/>
              <w:right w:val="nil"/>
            </w:tcBorders>
          </w:tcPr>
          <w:p w14:paraId="2D3ABEE0" w14:textId="77777777" w:rsidR="007C11E9" w:rsidRPr="000A3A07" w:rsidRDefault="007C11E9">
            <w:pPr>
              <w:rPr>
                <w:sz w:val="20"/>
              </w:rPr>
            </w:pPr>
            <w:r w:rsidRPr="000A3A07">
              <w:rPr>
                <w:sz w:val="20"/>
              </w:rPr>
              <w:t>Investeringsbemynd</w:t>
            </w:r>
            <w:r w:rsidRPr="000A3A07">
              <w:rPr>
                <w:sz w:val="20"/>
              </w:rPr>
              <w:t>i</w:t>
            </w:r>
            <w:r w:rsidRPr="000A3A07">
              <w:rPr>
                <w:sz w:val="20"/>
              </w:rPr>
              <w:t>gande</w:t>
            </w:r>
          </w:p>
        </w:tc>
        <w:tc>
          <w:tcPr>
            <w:tcW w:w="709" w:type="dxa"/>
            <w:tcBorders>
              <w:top w:val="nil"/>
              <w:left w:val="nil"/>
              <w:bottom w:val="nil"/>
            </w:tcBorders>
          </w:tcPr>
          <w:p w14:paraId="41B97363" w14:textId="77777777" w:rsidR="007C11E9" w:rsidRPr="000A3A07" w:rsidRDefault="007C11E9">
            <w:pPr>
              <w:jc w:val="right"/>
              <w:rPr>
                <w:sz w:val="20"/>
              </w:rPr>
            </w:pPr>
            <w:r w:rsidRPr="000A3A07">
              <w:rPr>
                <w:sz w:val="20"/>
              </w:rPr>
              <w:t>2 289</w:t>
            </w:r>
          </w:p>
        </w:tc>
        <w:tc>
          <w:tcPr>
            <w:tcW w:w="1701" w:type="dxa"/>
            <w:tcBorders>
              <w:top w:val="nil"/>
              <w:bottom w:val="nil"/>
              <w:right w:val="nil"/>
            </w:tcBorders>
          </w:tcPr>
          <w:p w14:paraId="028C78E8" w14:textId="77777777" w:rsidR="007C11E9" w:rsidRPr="000A3A07" w:rsidRDefault="007C11E9">
            <w:pPr>
              <w:rPr>
                <w:sz w:val="20"/>
              </w:rPr>
            </w:pPr>
          </w:p>
        </w:tc>
        <w:tc>
          <w:tcPr>
            <w:tcW w:w="708" w:type="dxa"/>
            <w:tcBorders>
              <w:top w:val="nil"/>
              <w:left w:val="nil"/>
              <w:bottom w:val="nil"/>
              <w:right w:val="nil"/>
            </w:tcBorders>
          </w:tcPr>
          <w:p w14:paraId="62070AE3" w14:textId="77777777" w:rsidR="007C11E9" w:rsidRPr="000A3A07" w:rsidRDefault="007C11E9">
            <w:pPr>
              <w:rPr>
                <w:sz w:val="20"/>
              </w:rPr>
            </w:pPr>
          </w:p>
        </w:tc>
      </w:tr>
      <w:tr w:rsidR="00000000" w:rsidRPr="000A3A07" w14:paraId="75B8AE6E" w14:textId="77777777">
        <w:tblPrEx>
          <w:tblCellMar>
            <w:top w:w="0" w:type="dxa"/>
            <w:bottom w:w="0" w:type="dxa"/>
          </w:tblCellMar>
        </w:tblPrEx>
        <w:trPr>
          <w:trHeight w:val="284"/>
        </w:trPr>
        <w:tc>
          <w:tcPr>
            <w:tcW w:w="1985" w:type="dxa"/>
            <w:tcBorders>
              <w:top w:val="nil"/>
              <w:left w:val="nil"/>
              <w:bottom w:val="nil"/>
              <w:right w:val="nil"/>
            </w:tcBorders>
          </w:tcPr>
          <w:p w14:paraId="0FDF5A4F" w14:textId="77777777" w:rsidR="007C11E9" w:rsidRPr="000A3A07" w:rsidRDefault="007C11E9">
            <w:pPr>
              <w:rPr>
                <w:b/>
                <w:sz w:val="20"/>
              </w:rPr>
            </w:pPr>
            <w:r w:rsidRPr="000A3A07">
              <w:rPr>
                <w:b/>
                <w:sz w:val="20"/>
              </w:rPr>
              <w:t>Summa</w:t>
            </w:r>
          </w:p>
        </w:tc>
        <w:tc>
          <w:tcPr>
            <w:tcW w:w="709" w:type="dxa"/>
            <w:tcBorders>
              <w:top w:val="nil"/>
              <w:left w:val="nil"/>
              <w:bottom w:val="nil"/>
            </w:tcBorders>
          </w:tcPr>
          <w:p w14:paraId="06983583" w14:textId="77777777" w:rsidR="007C11E9" w:rsidRPr="000A3A07" w:rsidRDefault="007C11E9">
            <w:pPr>
              <w:jc w:val="right"/>
              <w:rPr>
                <w:b/>
                <w:sz w:val="20"/>
              </w:rPr>
            </w:pPr>
            <w:r w:rsidRPr="000A3A07">
              <w:rPr>
                <w:b/>
                <w:sz w:val="20"/>
              </w:rPr>
              <w:t>4 615</w:t>
            </w:r>
          </w:p>
        </w:tc>
        <w:tc>
          <w:tcPr>
            <w:tcW w:w="1701" w:type="dxa"/>
            <w:tcBorders>
              <w:top w:val="nil"/>
              <w:bottom w:val="nil"/>
              <w:right w:val="nil"/>
            </w:tcBorders>
          </w:tcPr>
          <w:p w14:paraId="18498788" w14:textId="77777777" w:rsidR="007C11E9" w:rsidRPr="000A3A07" w:rsidRDefault="007C11E9">
            <w:pPr>
              <w:rPr>
                <w:sz w:val="20"/>
              </w:rPr>
            </w:pPr>
          </w:p>
        </w:tc>
        <w:tc>
          <w:tcPr>
            <w:tcW w:w="708" w:type="dxa"/>
            <w:tcBorders>
              <w:top w:val="nil"/>
              <w:left w:val="nil"/>
              <w:bottom w:val="nil"/>
              <w:right w:val="nil"/>
            </w:tcBorders>
          </w:tcPr>
          <w:p w14:paraId="57E134F0" w14:textId="77777777" w:rsidR="007C11E9" w:rsidRPr="000A3A07" w:rsidRDefault="007C11E9">
            <w:pPr>
              <w:rPr>
                <w:sz w:val="20"/>
              </w:rPr>
            </w:pPr>
          </w:p>
        </w:tc>
      </w:tr>
    </w:tbl>
    <w:p w14:paraId="4908AA98" w14:textId="77777777" w:rsidR="007C11E9" w:rsidRPr="000A3A07" w:rsidRDefault="007C11E9"/>
    <w:p w14:paraId="6C857424" w14:textId="77777777" w:rsidR="007C11E9" w:rsidRPr="000A3A07" w:rsidRDefault="007C11E9">
      <w:r w:rsidRPr="000A3A07">
        <w:t>Av investeringsstaten går bl.a. att utläsa att de totala (brutto) investeringarna i järnvägar detta år budgeterades till 428 milj kr. Därav finansierades 255 milj kr med avskrivningar i SJ, dvs. i praktiken genom SJ:s löpande intäkter av biljettförsäljning m.m. Indirekt påverkades budgeten genom att reducera det överskott verket kunde leverera in till statskassan. En mindre del av järnvägsinvesteringarna finansierades direkt över driftbudgeten. Med övriga kapitalmedel avsågs sannolikt inkomster från försälj</w:t>
      </w:r>
      <w:r w:rsidRPr="000A3A07">
        <w:t>ningar. Resterande del av investeringarna, 156 milj kr, föreslogs bli lånefinansierade. Det var detta belopp som togs upp på kapitalbudgeten.</w:t>
      </w:r>
    </w:p>
    <w:p w14:paraId="56C56AA2" w14:textId="77777777" w:rsidR="007C11E9" w:rsidRPr="000A3A07" w:rsidRDefault="007C11E9">
      <w:pPr>
        <w:pStyle w:val="Normaltindrag"/>
      </w:pPr>
      <w:r w:rsidRPr="000A3A07">
        <w:t>Investeringsstaten för studiemedelsfonden visade att staten beräknade låna ut 405 milj kr, vilket betraktades som en investering eftersom utlåningen utgör en fordran för staten. Motsvarande gäller för lånefonden för bostad</w:t>
      </w:r>
      <w:r w:rsidRPr="000A3A07">
        <w:t>s</w:t>
      </w:r>
      <w:r w:rsidRPr="000A3A07">
        <w:t>byggande. I detta system finansierades dock en viss del av utlåningen över driftbu</w:t>
      </w:r>
      <w:r w:rsidRPr="000A3A07">
        <w:t>d</w:t>
      </w:r>
      <w:r w:rsidRPr="000A3A07">
        <w:t xml:space="preserve">geten. </w:t>
      </w:r>
    </w:p>
    <w:p w14:paraId="6E98B5DF" w14:textId="77777777" w:rsidR="007C11E9" w:rsidRPr="000A3A07" w:rsidRDefault="007C11E9">
      <w:pPr>
        <w:pStyle w:val="Normaltindrag"/>
      </w:pPr>
      <w:r w:rsidRPr="000A3A07">
        <w:t>Sammantaget beräknades staten investera för 4, 6 mdr kr. Därav finansi</w:t>
      </w:r>
      <w:r w:rsidRPr="000A3A07">
        <w:t>e</w:t>
      </w:r>
      <w:r w:rsidRPr="000A3A07">
        <w:t xml:space="preserve">rades 1,1 mdkr med löpande inkomster över driftbudgeten och ungefär lika mycket genom avskrivningar främst i de olika affärsverken. Cirka hälften av investeringarna, 2,3 mdkr, budgeterades att bli lånefinansierades. </w:t>
      </w:r>
    </w:p>
    <w:p w14:paraId="738610DD" w14:textId="77777777" w:rsidR="007C11E9" w:rsidRPr="000A3A07" w:rsidRDefault="007C11E9">
      <w:pPr>
        <w:pStyle w:val="Normaltindrag"/>
      </w:pPr>
      <w:r w:rsidRPr="000A3A07">
        <w:t xml:space="preserve">Driftbudgeten för 1967/68 såg i sammandrag ut enligt följande: </w:t>
      </w:r>
    </w:p>
    <w:p w14:paraId="7941DB01" w14:textId="77777777" w:rsidR="007C11E9" w:rsidRPr="000A3A07" w:rsidRDefault="007C11E9">
      <w:pPr>
        <w:pStyle w:val="Rubrik5"/>
        <w:numPr>
          <w:ilvl w:val="0"/>
          <w:numId w:val="164"/>
        </w:numPr>
        <w:jc w:val="both"/>
        <w:rPr>
          <w:b/>
        </w:rPr>
      </w:pPr>
      <w:r w:rsidRPr="000A3A07">
        <w:br w:type="page"/>
      </w:r>
      <w:r w:rsidRPr="000A3A07">
        <w:rPr>
          <w:b/>
        </w:rPr>
        <w:t>DRIFTBUDGET 1967/68</w:t>
      </w:r>
    </w:p>
    <w:p w14:paraId="6E7BA4C7" w14:textId="77777777" w:rsidR="007C11E9" w:rsidRPr="000A3A07" w:rsidRDefault="007C11E9">
      <w:pPr>
        <w:spacing w:before="0"/>
        <w:ind w:left="-902"/>
      </w:pPr>
      <w:r w:rsidRPr="000A3A07">
        <w:rPr>
          <w:sz w:val="20"/>
        </w:rPr>
        <w:tab/>
      </w:r>
      <w:r w:rsidRPr="000A3A07">
        <w:rPr>
          <w:sz w:val="20"/>
        </w:rPr>
        <w:tab/>
        <w:t>milj kr</w:t>
      </w:r>
      <w:r w:rsidRPr="000A3A07">
        <w:rPr>
          <w:sz w:val="20"/>
        </w:rPr>
        <w:tab/>
      </w:r>
      <w:r w:rsidRPr="000A3A07">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09"/>
        <w:gridCol w:w="2551"/>
        <w:gridCol w:w="709"/>
      </w:tblGrid>
      <w:tr w:rsidR="00000000" w:rsidRPr="000A3A07" w14:paraId="3EA8B659" w14:textId="77777777">
        <w:tblPrEx>
          <w:tblCellMar>
            <w:top w:w="0" w:type="dxa"/>
            <w:bottom w:w="0" w:type="dxa"/>
          </w:tblCellMar>
        </w:tblPrEx>
        <w:tc>
          <w:tcPr>
            <w:tcW w:w="1985" w:type="dxa"/>
            <w:tcBorders>
              <w:top w:val="single" w:sz="4" w:space="0" w:color="auto"/>
              <w:left w:val="nil"/>
              <w:bottom w:val="nil"/>
              <w:right w:val="nil"/>
            </w:tcBorders>
          </w:tcPr>
          <w:p w14:paraId="186D6A65" w14:textId="77777777" w:rsidR="007C11E9" w:rsidRPr="000A3A07" w:rsidRDefault="007C11E9">
            <w:pPr>
              <w:jc w:val="left"/>
              <w:rPr>
                <w:b/>
                <w:sz w:val="20"/>
              </w:rPr>
            </w:pPr>
            <w:r w:rsidRPr="000A3A07">
              <w:rPr>
                <w:b/>
                <w:sz w:val="20"/>
              </w:rPr>
              <w:t xml:space="preserve">Skatter, avgifter     m.m. </w:t>
            </w:r>
          </w:p>
          <w:p w14:paraId="38976129" w14:textId="77777777" w:rsidR="007C11E9" w:rsidRPr="000A3A07" w:rsidRDefault="007C11E9">
            <w:pPr>
              <w:jc w:val="left"/>
              <w:rPr>
                <w:b/>
                <w:sz w:val="20"/>
              </w:rPr>
            </w:pPr>
          </w:p>
          <w:p w14:paraId="22772BC7" w14:textId="77777777" w:rsidR="007C11E9" w:rsidRPr="000A3A07" w:rsidRDefault="007C11E9">
            <w:pPr>
              <w:spacing w:before="0"/>
              <w:jc w:val="left"/>
              <w:rPr>
                <w:b/>
                <w:sz w:val="20"/>
              </w:rPr>
            </w:pPr>
            <w:r w:rsidRPr="000A3A07">
              <w:rPr>
                <w:b/>
                <w:sz w:val="20"/>
              </w:rPr>
              <w:t>Inkomster av statens kap</w:t>
            </w:r>
            <w:r w:rsidRPr="000A3A07">
              <w:rPr>
                <w:b/>
                <w:sz w:val="20"/>
              </w:rPr>
              <w:t>i</w:t>
            </w:r>
            <w:r w:rsidRPr="000A3A07">
              <w:rPr>
                <w:b/>
                <w:sz w:val="20"/>
              </w:rPr>
              <w:t>talfonder</w:t>
            </w:r>
          </w:p>
          <w:p w14:paraId="50D72884" w14:textId="77777777" w:rsidR="007C11E9" w:rsidRPr="000A3A07" w:rsidRDefault="007C11E9">
            <w:pPr>
              <w:spacing w:before="0"/>
              <w:jc w:val="left"/>
              <w:rPr>
                <w:sz w:val="20"/>
              </w:rPr>
            </w:pPr>
          </w:p>
          <w:p w14:paraId="693A24C5" w14:textId="77777777" w:rsidR="007C11E9" w:rsidRPr="000A3A07" w:rsidRDefault="007C11E9">
            <w:pPr>
              <w:spacing w:before="0"/>
              <w:jc w:val="left"/>
              <w:rPr>
                <w:sz w:val="20"/>
              </w:rPr>
            </w:pPr>
            <w:r w:rsidRPr="000A3A07">
              <w:rPr>
                <w:sz w:val="20"/>
              </w:rPr>
              <w:t xml:space="preserve">  I  Statens affär</w:t>
            </w:r>
            <w:r w:rsidRPr="000A3A07">
              <w:rPr>
                <w:sz w:val="20"/>
              </w:rPr>
              <w:t>s</w:t>
            </w:r>
            <w:r w:rsidRPr="000A3A07">
              <w:rPr>
                <w:sz w:val="20"/>
              </w:rPr>
              <w:t>-verksfonder</w:t>
            </w:r>
          </w:p>
          <w:p w14:paraId="76A18B14" w14:textId="77777777" w:rsidR="007C11E9" w:rsidRPr="000A3A07" w:rsidRDefault="007C11E9">
            <w:pPr>
              <w:spacing w:before="0"/>
              <w:rPr>
                <w:sz w:val="20"/>
              </w:rPr>
            </w:pPr>
            <w:r w:rsidRPr="000A3A07">
              <w:rPr>
                <w:sz w:val="20"/>
              </w:rPr>
              <w:t xml:space="preserve">     Televerket</w:t>
            </w:r>
          </w:p>
          <w:p w14:paraId="2E618596" w14:textId="77777777" w:rsidR="007C11E9" w:rsidRPr="000A3A07" w:rsidRDefault="007C11E9">
            <w:pPr>
              <w:spacing w:before="0"/>
              <w:rPr>
                <w:sz w:val="20"/>
              </w:rPr>
            </w:pPr>
            <w:r w:rsidRPr="000A3A07">
              <w:rPr>
                <w:sz w:val="20"/>
              </w:rPr>
              <w:t xml:space="preserve">      Statens järnv</w:t>
            </w:r>
            <w:r w:rsidRPr="000A3A07">
              <w:rPr>
                <w:sz w:val="20"/>
              </w:rPr>
              <w:t>ä</w:t>
            </w:r>
            <w:r w:rsidRPr="000A3A07">
              <w:rPr>
                <w:sz w:val="20"/>
              </w:rPr>
              <w:t>gar</w:t>
            </w:r>
          </w:p>
          <w:p w14:paraId="6E4EA721" w14:textId="77777777" w:rsidR="007C11E9" w:rsidRPr="000A3A07" w:rsidRDefault="007C11E9">
            <w:pPr>
              <w:spacing w:before="0"/>
              <w:rPr>
                <w:sz w:val="20"/>
              </w:rPr>
            </w:pPr>
            <w:r w:rsidRPr="000A3A07">
              <w:rPr>
                <w:sz w:val="20"/>
              </w:rPr>
              <w:t xml:space="preserve">      ……</w:t>
            </w:r>
          </w:p>
          <w:p w14:paraId="5A6E7C72" w14:textId="77777777" w:rsidR="007C11E9" w:rsidRPr="000A3A07" w:rsidRDefault="007C11E9">
            <w:pPr>
              <w:spacing w:before="0"/>
              <w:rPr>
                <w:sz w:val="20"/>
              </w:rPr>
            </w:pPr>
            <w:r w:rsidRPr="000A3A07">
              <w:rPr>
                <w:sz w:val="20"/>
              </w:rPr>
              <w:t xml:space="preserve"> II  Riksbanksfo</w:t>
            </w:r>
            <w:r w:rsidRPr="000A3A07">
              <w:rPr>
                <w:sz w:val="20"/>
              </w:rPr>
              <w:t>n</w:t>
            </w:r>
            <w:r w:rsidRPr="000A3A07">
              <w:rPr>
                <w:sz w:val="20"/>
              </w:rPr>
              <w:t>den</w:t>
            </w:r>
          </w:p>
          <w:p w14:paraId="5BA90B23" w14:textId="77777777" w:rsidR="007C11E9" w:rsidRPr="000A3A07" w:rsidRDefault="007C11E9">
            <w:pPr>
              <w:spacing w:before="0"/>
              <w:rPr>
                <w:sz w:val="20"/>
              </w:rPr>
            </w:pPr>
            <w:r w:rsidRPr="000A3A07">
              <w:rPr>
                <w:sz w:val="20"/>
              </w:rPr>
              <w:t xml:space="preserve">      …..</w:t>
            </w:r>
          </w:p>
          <w:p w14:paraId="7F1D22DD" w14:textId="77777777" w:rsidR="007C11E9" w:rsidRPr="000A3A07" w:rsidRDefault="007C11E9">
            <w:pPr>
              <w:spacing w:before="0"/>
              <w:jc w:val="left"/>
              <w:rPr>
                <w:sz w:val="20"/>
              </w:rPr>
            </w:pPr>
            <w:r w:rsidRPr="000A3A07">
              <w:rPr>
                <w:sz w:val="20"/>
              </w:rPr>
              <w:t xml:space="preserve"> V  Statens utlånings-</w:t>
            </w:r>
          </w:p>
          <w:p w14:paraId="1BCF80BB" w14:textId="77777777" w:rsidR="007C11E9" w:rsidRPr="000A3A07" w:rsidRDefault="007C11E9">
            <w:pPr>
              <w:spacing w:before="0"/>
              <w:jc w:val="left"/>
              <w:rPr>
                <w:sz w:val="20"/>
              </w:rPr>
            </w:pPr>
            <w:r w:rsidRPr="000A3A07">
              <w:rPr>
                <w:sz w:val="20"/>
              </w:rPr>
              <w:t xml:space="preserve">      fonder</w:t>
            </w:r>
          </w:p>
          <w:p w14:paraId="028A56EF" w14:textId="77777777" w:rsidR="007C11E9" w:rsidRPr="000A3A07" w:rsidRDefault="007C11E9">
            <w:pPr>
              <w:spacing w:before="0"/>
              <w:ind w:left="340"/>
              <w:jc w:val="left"/>
              <w:rPr>
                <w:sz w:val="20"/>
              </w:rPr>
            </w:pPr>
            <w:r w:rsidRPr="000A3A07">
              <w:rPr>
                <w:sz w:val="20"/>
              </w:rPr>
              <w:t>Studielånefo</w:t>
            </w:r>
            <w:r w:rsidRPr="000A3A07">
              <w:rPr>
                <w:sz w:val="20"/>
              </w:rPr>
              <w:t>n</w:t>
            </w:r>
            <w:r w:rsidRPr="000A3A07">
              <w:rPr>
                <w:sz w:val="20"/>
              </w:rPr>
              <w:t xml:space="preserve">den         </w:t>
            </w:r>
          </w:p>
          <w:p w14:paraId="1035CFDD" w14:textId="77777777" w:rsidR="007C11E9" w:rsidRPr="000A3A07" w:rsidRDefault="007C11E9">
            <w:pPr>
              <w:spacing w:before="0"/>
              <w:ind w:left="340"/>
              <w:jc w:val="left"/>
              <w:rPr>
                <w:sz w:val="20"/>
              </w:rPr>
            </w:pPr>
            <w:r w:rsidRPr="000A3A07">
              <w:rPr>
                <w:sz w:val="20"/>
              </w:rPr>
              <w:t>Lånefonden för bostadsbyggande</w:t>
            </w:r>
          </w:p>
          <w:p w14:paraId="7B741E3C" w14:textId="77777777" w:rsidR="007C11E9" w:rsidRPr="000A3A07" w:rsidRDefault="007C11E9">
            <w:pPr>
              <w:spacing w:before="0"/>
              <w:rPr>
                <w:b/>
              </w:rPr>
            </w:pPr>
          </w:p>
          <w:p w14:paraId="30B8E98C" w14:textId="77777777" w:rsidR="007C11E9" w:rsidRPr="000A3A07" w:rsidRDefault="007C11E9">
            <w:pPr>
              <w:spacing w:before="0"/>
              <w:rPr>
                <w:b/>
              </w:rPr>
            </w:pPr>
            <w:r w:rsidRPr="000A3A07">
              <w:rPr>
                <w:b/>
              </w:rPr>
              <w:t xml:space="preserve">                                  Su</w:t>
            </w:r>
            <w:r w:rsidRPr="000A3A07">
              <w:rPr>
                <w:b/>
              </w:rPr>
              <w:t>m</w:t>
            </w:r>
            <w:r w:rsidRPr="000A3A07">
              <w:rPr>
                <w:b/>
              </w:rPr>
              <w:t>ma inkomster</w:t>
            </w:r>
          </w:p>
        </w:tc>
        <w:tc>
          <w:tcPr>
            <w:tcW w:w="709" w:type="dxa"/>
            <w:tcBorders>
              <w:left w:val="nil"/>
              <w:bottom w:val="nil"/>
            </w:tcBorders>
          </w:tcPr>
          <w:p w14:paraId="40E45C2D" w14:textId="77777777" w:rsidR="007C11E9" w:rsidRPr="000A3A07" w:rsidRDefault="007C11E9">
            <w:pPr>
              <w:jc w:val="right"/>
              <w:rPr>
                <w:b/>
                <w:sz w:val="20"/>
              </w:rPr>
            </w:pPr>
            <w:r w:rsidRPr="000A3A07">
              <w:rPr>
                <w:b/>
                <w:sz w:val="20"/>
              </w:rPr>
              <w:t xml:space="preserve">32 026 </w:t>
            </w:r>
          </w:p>
          <w:p w14:paraId="13B10CA8" w14:textId="77777777" w:rsidR="007C11E9" w:rsidRPr="000A3A07" w:rsidRDefault="007C11E9">
            <w:pPr>
              <w:jc w:val="right"/>
              <w:rPr>
                <w:b/>
                <w:sz w:val="20"/>
              </w:rPr>
            </w:pPr>
          </w:p>
          <w:p w14:paraId="0A3F4880" w14:textId="77777777" w:rsidR="007C11E9" w:rsidRPr="000A3A07" w:rsidRDefault="007C11E9">
            <w:pPr>
              <w:spacing w:before="0"/>
              <w:jc w:val="right"/>
              <w:rPr>
                <w:b/>
                <w:sz w:val="20"/>
              </w:rPr>
            </w:pPr>
            <w:r w:rsidRPr="000A3A07">
              <w:rPr>
                <w:b/>
                <w:sz w:val="20"/>
              </w:rPr>
              <w:t xml:space="preserve"> </w:t>
            </w:r>
          </w:p>
          <w:p w14:paraId="38CD0435" w14:textId="77777777" w:rsidR="007C11E9" w:rsidRPr="000A3A07" w:rsidRDefault="007C11E9">
            <w:pPr>
              <w:spacing w:before="0"/>
              <w:jc w:val="right"/>
              <w:rPr>
                <w:sz w:val="20"/>
              </w:rPr>
            </w:pPr>
            <w:r w:rsidRPr="000A3A07">
              <w:rPr>
                <w:b/>
                <w:sz w:val="20"/>
              </w:rPr>
              <w:t xml:space="preserve"> 1 677</w:t>
            </w:r>
          </w:p>
          <w:p w14:paraId="2C273774" w14:textId="77777777" w:rsidR="007C11E9" w:rsidRPr="000A3A07" w:rsidRDefault="007C11E9">
            <w:pPr>
              <w:spacing w:before="0"/>
              <w:jc w:val="right"/>
              <w:rPr>
                <w:sz w:val="20"/>
              </w:rPr>
            </w:pPr>
          </w:p>
          <w:p w14:paraId="77871A94" w14:textId="77777777" w:rsidR="007C11E9" w:rsidRPr="000A3A07" w:rsidRDefault="007C11E9">
            <w:pPr>
              <w:spacing w:before="0"/>
              <w:jc w:val="right"/>
              <w:rPr>
                <w:sz w:val="20"/>
              </w:rPr>
            </w:pPr>
          </w:p>
          <w:p w14:paraId="15139DDF" w14:textId="77777777" w:rsidR="007C11E9" w:rsidRPr="000A3A07" w:rsidRDefault="007C11E9">
            <w:pPr>
              <w:spacing w:before="0"/>
              <w:jc w:val="right"/>
              <w:rPr>
                <w:sz w:val="20"/>
              </w:rPr>
            </w:pPr>
            <w:r w:rsidRPr="000A3A07">
              <w:rPr>
                <w:sz w:val="20"/>
              </w:rPr>
              <w:t>711</w:t>
            </w:r>
          </w:p>
          <w:p w14:paraId="2C9C4277" w14:textId="77777777" w:rsidR="007C11E9" w:rsidRPr="000A3A07" w:rsidRDefault="007C11E9">
            <w:pPr>
              <w:spacing w:before="0"/>
              <w:jc w:val="right"/>
              <w:rPr>
                <w:sz w:val="20"/>
              </w:rPr>
            </w:pPr>
          </w:p>
          <w:p w14:paraId="01AE8987" w14:textId="77777777" w:rsidR="007C11E9" w:rsidRPr="000A3A07" w:rsidRDefault="007C11E9">
            <w:pPr>
              <w:spacing w:before="0"/>
              <w:jc w:val="right"/>
              <w:rPr>
                <w:sz w:val="20"/>
              </w:rPr>
            </w:pPr>
            <w:r w:rsidRPr="000A3A07">
              <w:rPr>
                <w:sz w:val="20"/>
              </w:rPr>
              <w:t>215</w:t>
            </w:r>
          </w:p>
          <w:p w14:paraId="1FDEBFA9" w14:textId="77777777" w:rsidR="007C11E9" w:rsidRPr="000A3A07" w:rsidRDefault="007C11E9">
            <w:pPr>
              <w:spacing w:before="0"/>
              <w:jc w:val="right"/>
              <w:rPr>
                <w:sz w:val="20"/>
              </w:rPr>
            </w:pPr>
            <w:r w:rsidRPr="000A3A07">
              <w:rPr>
                <w:sz w:val="20"/>
              </w:rPr>
              <w:t>119</w:t>
            </w:r>
          </w:p>
          <w:p w14:paraId="3F6B720A" w14:textId="77777777" w:rsidR="007C11E9" w:rsidRPr="000A3A07" w:rsidRDefault="007C11E9">
            <w:pPr>
              <w:spacing w:before="0"/>
              <w:jc w:val="right"/>
              <w:rPr>
                <w:sz w:val="20"/>
              </w:rPr>
            </w:pPr>
          </w:p>
          <w:p w14:paraId="1802CA98" w14:textId="77777777" w:rsidR="007C11E9" w:rsidRPr="000A3A07" w:rsidRDefault="007C11E9">
            <w:pPr>
              <w:spacing w:before="0"/>
              <w:jc w:val="right"/>
              <w:rPr>
                <w:sz w:val="20"/>
              </w:rPr>
            </w:pPr>
            <w:r w:rsidRPr="000A3A07">
              <w:rPr>
                <w:sz w:val="20"/>
              </w:rPr>
              <w:t xml:space="preserve">150 </w:t>
            </w:r>
          </w:p>
          <w:p w14:paraId="3E22DE58" w14:textId="77777777" w:rsidR="007C11E9" w:rsidRPr="000A3A07" w:rsidRDefault="007C11E9">
            <w:pPr>
              <w:spacing w:before="0"/>
              <w:jc w:val="right"/>
              <w:rPr>
                <w:sz w:val="20"/>
              </w:rPr>
            </w:pPr>
          </w:p>
          <w:p w14:paraId="5AB8A77D" w14:textId="77777777" w:rsidR="007C11E9" w:rsidRPr="000A3A07" w:rsidRDefault="007C11E9">
            <w:pPr>
              <w:spacing w:before="0"/>
              <w:jc w:val="right"/>
              <w:rPr>
                <w:sz w:val="20"/>
              </w:rPr>
            </w:pPr>
            <w:r w:rsidRPr="000A3A07">
              <w:rPr>
                <w:sz w:val="20"/>
              </w:rPr>
              <w:t xml:space="preserve">497 </w:t>
            </w:r>
          </w:p>
          <w:p w14:paraId="78FE5839" w14:textId="77777777" w:rsidR="007C11E9" w:rsidRPr="000A3A07" w:rsidRDefault="007C11E9">
            <w:pPr>
              <w:spacing w:before="0"/>
              <w:jc w:val="right"/>
              <w:rPr>
                <w:sz w:val="20"/>
              </w:rPr>
            </w:pPr>
          </w:p>
          <w:p w14:paraId="508B7F89" w14:textId="77777777" w:rsidR="007C11E9" w:rsidRPr="000A3A07" w:rsidRDefault="007C11E9">
            <w:pPr>
              <w:spacing w:before="0"/>
              <w:jc w:val="right"/>
              <w:rPr>
                <w:sz w:val="20"/>
              </w:rPr>
            </w:pPr>
          </w:p>
          <w:p w14:paraId="12A89C4A" w14:textId="77777777" w:rsidR="007C11E9" w:rsidRPr="000A3A07" w:rsidRDefault="007C11E9">
            <w:pPr>
              <w:spacing w:before="0"/>
              <w:jc w:val="right"/>
              <w:rPr>
                <w:sz w:val="20"/>
              </w:rPr>
            </w:pPr>
            <w:r w:rsidRPr="000A3A07">
              <w:rPr>
                <w:sz w:val="20"/>
              </w:rPr>
              <w:t>1</w:t>
            </w:r>
          </w:p>
          <w:p w14:paraId="69807D79" w14:textId="77777777" w:rsidR="007C11E9" w:rsidRPr="000A3A07" w:rsidRDefault="007C11E9">
            <w:pPr>
              <w:spacing w:before="0"/>
              <w:jc w:val="right"/>
              <w:rPr>
                <w:sz w:val="20"/>
              </w:rPr>
            </w:pPr>
          </w:p>
          <w:p w14:paraId="015A8CD0" w14:textId="77777777" w:rsidR="007C11E9" w:rsidRPr="000A3A07" w:rsidRDefault="007C11E9">
            <w:pPr>
              <w:spacing w:before="0"/>
              <w:jc w:val="right"/>
              <w:rPr>
                <w:sz w:val="20"/>
              </w:rPr>
            </w:pPr>
            <w:r w:rsidRPr="000A3A07">
              <w:rPr>
                <w:sz w:val="20"/>
              </w:rPr>
              <w:t>460</w:t>
            </w:r>
          </w:p>
          <w:p w14:paraId="09D8B2BA" w14:textId="77777777" w:rsidR="007C11E9" w:rsidRPr="000A3A07" w:rsidRDefault="007C11E9">
            <w:pPr>
              <w:pStyle w:val="Normaltindrag"/>
            </w:pPr>
          </w:p>
          <w:p w14:paraId="594D2EA9" w14:textId="77777777" w:rsidR="007C11E9" w:rsidRPr="000A3A07" w:rsidRDefault="007C11E9">
            <w:pPr>
              <w:spacing w:before="0"/>
              <w:jc w:val="right"/>
              <w:rPr>
                <w:b/>
                <w:sz w:val="20"/>
              </w:rPr>
            </w:pPr>
            <w:r w:rsidRPr="000A3A07">
              <w:rPr>
                <w:b/>
                <w:sz w:val="20"/>
              </w:rPr>
              <w:t>33 702</w:t>
            </w:r>
          </w:p>
        </w:tc>
        <w:tc>
          <w:tcPr>
            <w:tcW w:w="2551" w:type="dxa"/>
            <w:tcBorders>
              <w:bottom w:val="nil"/>
              <w:right w:val="nil"/>
            </w:tcBorders>
          </w:tcPr>
          <w:p w14:paraId="0103EB5E" w14:textId="77777777" w:rsidR="007C11E9" w:rsidRPr="000A3A07" w:rsidRDefault="007C11E9">
            <w:pPr>
              <w:rPr>
                <w:b/>
              </w:rPr>
            </w:pPr>
            <w:r w:rsidRPr="000A3A07">
              <w:rPr>
                <w:b/>
              </w:rPr>
              <w:t>Egentliga statsutgifter</w:t>
            </w:r>
          </w:p>
          <w:p w14:paraId="0E692867" w14:textId="77777777" w:rsidR="007C11E9" w:rsidRPr="000A3A07" w:rsidRDefault="007C11E9">
            <w:pPr>
              <w:pStyle w:val="Normaltindrag"/>
            </w:pPr>
          </w:p>
          <w:p w14:paraId="733FB42F" w14:textId="77777777" w:rsidR="007C11E9" w:rsidRPr="000A3A07" w:rsidRDefault="007C11E9">
            <w:pPr>
              <w:spacing w:before="0"/>
              <w:jc w:val="left"/>
              <w:rPr>
                <w:sz w:val="20"/>
              </w:rPr>
            </w:pPr>
            <w:r w:rsidRPr="000A3A07">
              <w:rPr>
                <w:sz w:val="20"/>
              </w:rPr>
              <w:t xml:space="preserve">  I  Kung Hov- och slotts</w:t>
            </w:r>
          </w:p>
          <w:p w14:paraId="6DF06053" w14:textId="77777777" w:rsidR="007C11E9" w:rsidRPr="000A3A07" w:rsidRDefault="007C11E9">
            <w:pPr>
              <w:spacing w:before="0"/>
              <w:jc w:val="left"/>
              <w:rPr>
                <w:sz w:val="20"/>
              </w:rPr>
            </w:pPr>
            <w:r w:rsidRPr="000A3A07">
              <w:rPr>
                <w:sz w:val="20"/>
              </w:rPr>
              <w:t xml:space="preserve">      st</w:t>
            </w:r>
            <w:r w:rsidRPr="000A3A07">
              <w:rPr>
                <w:sz w:val="20"/>
              </w:rPr>
              <w:t>a</w:t>
            </w:r>
            <w:r w:rsidRPr="000A3A07">
              <w:rPr>
                <w:sz w:val="20"/>
              </w:rPr>
              <w:t>terna</w:t>
            </w:r>
          </w:p>
          <w:p w14:paraId="39AC524E" w14:textId="77777777" w:rsidR="007C11E9" w:rsidRPr="000A3A07" w:rsidRDefault="007C11E9">
            <w:pPr>
              <w:spacing w:before="0"/>
              <w:rPr>
                <w:sz w:val="20"/>
              </w:rPr>
            </w:pPr>
            <w:r w:rsidRPr="000A3A07">
              <w:rPr>
                <w:sz w:val="20"/>
              </w:rPr>
              <w:t xml:space="preserve"> II  Justitiedepartementet</w:t>
            </w:r>
          </w:p>
          <w:p w14:paraId="22DE4172" w14:textId="77777777" w:rsidR="007C11E9" w:rsidRPr="000A3A07" w:rsidRDefault="007C11E9">
            <w:pPr>
              <w:spacing w:before="0"/>
              <w:rPr>
                <w:sz w:val="20"/>
              </w:rPr>
            </w:pPr>
            <w:r w:rsidRPr="000A3A07">
              <w:rPr>
                <w:sz w:val="20"/>
              </w:rPr>
              <w:t xml:space="preserve">    …..</w:t>
            </w:r>
          </w:p>
          <w:p w14:paraId="4381745A" w14:textId="77777777" w:rsidR="007C11E9" w:rsidRPr="000A3A07" w:rsidRDefault="007C11E9">
            <w:pPr>
              <w:spacing w:before="0"/>
              <w:rPr>
                <w:sz w:val="20"/>
              </w:rPr>
            </w:pPr>
            <w:r w:rsidRPr="000A3A07">
              <w:rPr>
                <w:sz w:val="20"/>
              </w:rPr>
              <w:t>VI  Kommunikationsdep</w:t>
            </w:r>
          </w:p>
          <w:p w14:paraId="5859748A" w14:textId="77777777" w:rsidR="007C11E9" w:rsidRPr="000A3A07" w:rsidRDefault="007C11E9">
            <w:pPr>
              <w:spacing w:before="0"/>
              <w:rPr>
                <w:sz w:val="20"/>
              </w:rPr>
            </w:pPr>
            <w:r w:rsidRPr="000A3A07">
              <w:rPr>
                <w:sz w:val="20"/>
              </w:rPr>
              <w:t xml:space="preserve">         ……..</w:t>
            </w:r>
          </w:p>
          <w:p w14:paraId="7AD8B5C9" w14:textId="77777777" w:rsidR="007C11E9" w:rsidRPr="000A3A07" w:rsidRDefault="007C11E9">
            <w:pPr>
              <w:spacing w:before="0" w:line="240" w:lineRule="auto"/>
              <w:ind w:left="340"/>
              <w:jc w:val="left"/>
              <w:rPr>
                <w:sz w:val="20"/>
              </w:rPr>
            </w:pPr>
            <w:r w:rsidRPr="000A3A07">
              <w:rPr>
                <w:sz w:val="20"/>
              </w:rPr>
              <w:t>anslag B5 Vägbyggandet</w:t>
            </w:r>
          </w:p>
          <w:p w14:paraId="66C2D02F" w14:textId="77777777" w:rsidR="007C11E9" w:rsidRPr="000A3A07" w:rsidRDefault="007C11E9">
            <w:pPr>
              <w:spacing w:before="0" w:line="240" w:lineRule="auto"/>
              <w:ind w:left="340"/>
              <w:jc w:val="left"/>
              <w:rPr>
                <w:sz w:val="20"/>
              </w:rPr>
            </w:pPr>
            <w:r w:rsidRPr="000A3A07">
              <w:rPr>
                <w:sz w:val="20"/>
              </w:rPr>
              <w:t>anslag B7 Bidrag till byg</w:t>
            </w:r>
            <w:r w:rsidRPr="000A3A07">
              <w:rPr>
                <w:sz w:val="20"/>
              </w:rPr>
              <w:softHyphen/>
              <w:t>g</w:t>
            </w:r>
            <w:r w:rsidRPr="000A3A07">
              <w:rPr>
                <w:sz w:val="20"/>
              </w:rPr>
              <w:softHyphen/>
              <w:t>ande av vägar</w:t>
            </w:r>
          </w:p>
          <w:p w14:paraId="5AB99821" w14:textId="77777777" w:rsidR="007C11E9" w:rsidRPr="000A3A07" w:rsidRDefault="007C11E9">
            <w:pPr>
              <w:spacing w:before="0"/>
              <w:rPr>
                <w:sz w:val="20"/>
              </w:rPr>
            </w:pPr>
            <w:r w:rsidRPr="000A3A07">
              <w:rPr>
                <w:sz w:val="20"/>
              </w:rPr>
              <w:t xml:space="preserve">     ……..</w:t>
            </w:r>
          </w:p>
          <w:p w14:paraId="1D0E09E6" w14:textId="77777777" w:rsidR="007C11E9" w:rsidRPr="000A3A07" w:rsidRDefault="007C11E9">
            <w:pPr>
              <w:spacing w:before="0"/>
              <w:rPr>
                <w:sz w:val="20"/>
              </w:rPr>
            </w:pPr>
          </w:p>
          <w:p w14:paraId="3E9E8336" w14:textId="77777777" w:rsidR="007C11E9" w:rsidRPr="000A3A07" w:rsidRDefault="007C11E9">
            <w:pPr>
              <w:spacing w:before="0" w:line="240" w:lineRule="auto"/>
              <w:jc w:val="left"/>
              <w:rPr>
                <w:b/>
              </w:rPr>
            </w:pPr>
            <w:r w:rsidRPr="000A3A07">
              <w:rPr>
                <w:b/>
              </w:rPr>
              <w:t>Utgifter för statens kapita</w:t>
            </w:r>
            <w:r w:rsidRPr="000A3A07">
              <w:rPr>
                <w:b/>
              </w:rPr>
              <w:t>l</w:t>
            </w:r>
            <w:r w:rsidRPr="000A3A07">
              <w:rPr>
                <w:b/>
              </w:rPr>
              <w:t>fonder</w:t>
            </w:r>
          </w:p>
          <w:p w14:paraId="621C9378" w14:textId="77777777" w:rsidR="007C11E9" w:rsidRPr="000A3A07" w:rsidRDefault="007C11E9">
            <w:pPr>
              <w:spacing w:before="0"/>
              <w:rPr>
                <w:sz w:val="20"/>
              </w:rPr>
            </w:pPr>
            <w:r w:rsidRPr="000A3A07">
              <w:rPr>
                <w:sz w:val="20"/>
              </w:rPr>
              <w:t xml:space="preserve"> I   Riksgäldsfonden</w:t>
            </w:r>
          </w:p>
          <w:p w14:paraId="7D524F29" w14:textId="77777777" w:rsidR="007C11E9" w:rsidRPr="000A3A07" w:rsidRDefault="007C11E9">
            <w:pPr>
              <w:spacing w:before="0"/>
              <w:rPr>
                <w:sz w:val="20"/>
              </w:rPr>
            </w:pPr>
            <w:r w:rsidRPr="000A3A07">
              <w:rPr>
                <w:sz w:val="20"/>
              </w:rPr>
              <w:t>II   Avskrivningar av k</w:t>
            </w:r>
            <w:r w:rsidRPr="000A3A07">
              <w:rPr>
                <w:sz w:val="20"/>
              </w:rPr>
              <w:t>a</w:t>
            </w:r>
            <w:r w:rsidRPr="000A3A07">
              <w:rPr>
                <w:sz w:val="20"/>
              </w:rPr>
              <w:t xml:space="preserve">pital- </w:t>
            </w:r>
          </w:p>
          <w:p w14:paraId="59B3DFAA" w14:textId="77777777" w:rsidR="007C11E9" w:rsidRPr="000A3A07" w:rsidRDefault="007C11E9">
            <w:pPr>
              <w:spacing w:before="0"/>
              <w:rPr>
                <w:sz w:val="20"/>
              </w:rPr>
            </w:pPr>
            <w:r w:rsidRPr="000A3A07">
              <w:rPr>
                <w:sz w:val="20"/>
              </w:rPr>
              <w:t xml:space="preserve">      investeringar</w:t>
            </w:r>
          </w:p>
          <w:p w14:paraId="64985BB1" w14:textId="77777777" w:rsidR="007C11E9" w:rsidRPr="000A3A07" w:rsidRDefault="007C11E9">
            <w:pPr>
              <w:spacing w:before="0"/>
              <w:rPr>
                <w:sz w:val="20"/>
              </w:rPr>
            </w:pPr>
            <w:r w:rsidRPr="000A3A07">
              <w:rPr>
                <w:sz w:val="20"/>
              </w:rPr>
              <w:t xml:space="preserve">               - Statens järnvägar</w:t>
            </w:r>
          </w:p>
          <w:p w14:paraId="44027476" w14:textId="77777777" w:rsidR="007C11E9" w:rsidRPr="000A3A07" w:rsidRDefault="007C11E9">
            <w:pPr>
              <w:spacing w:before="0"/>
            </w:pPr>
            <w:r w:rsidRPr="000A3A07">
              <w:t xml:space="preserve"> ........................</w:t>
            </w:r>
          </w:p>
          <w:p w14:paraId="2D3AA092" w14:textId="77777777" w:rsidR="007C11E9" w:rsidRPr="000A3A07" w:rsidRDefault="007C11E9">
            <w:pPr>
              <w:spacing w:before="0"/>
              <w:rPr>
                <w:b/>
              </w:rPr>
            </w:pPr>
            <w:r w:rsidRPr="000A3A07">
              <w:rPr>
                <w:b/>
              </w:rPr>
              <w:t>Summa utgifter</w:t>
            </w:r>
          </w:p>
          <w:p w14:paraId="3D2EC261" w14:textId="77777777" w:rsidR="007C11E9" w:rsidRPr="000A3A07" w:rsidRDefault="007C11E9">
            <w:pPr>
              <w:spacing w:before="0"/>
            </w:pPr>
          </w:p>
          <w:p w14:paraId="45E3C5B3" w14:textId="77777777" w:rsidR="007C11E9" w:rsidRPr="000A3A07" w:rsidRDefault="007C11E9">
            <w:pPr>
              <w:spacing w:before="0"/>
              <w:rPr>
                <w:b/>
                <w:sz w:val="20"/>
              </w:rPr>
            </w:pPr>
            <w:r w:rsidRPr="000A3A07">
              <w:rPr>
                <w:b/>
              </w:rPr>
              <w:t>Beräknat överskott</w:t>
            </w:r>
          </w:p>
        </w:tc>
        <w:tc>
          <w:tcPr>
            <w:tcW w:w="709" w:type="dxa"/>
            <w:tcBorders>
              <w:left w:val="nil"/>
              <w:bottom w:val="nil"/>
              <w:right w:val="nil"/>
            </w:tcBorders>
          </w:tcPr>
          <w:p w14:paraId="4E244249" w14:textId="77777777" w:rsidR="007C11E9" w:rsidRPr="000A3A07" w:rsidRDefault="007C11E9">
            <w:pPr>
              <w:jc w:val="right"/>
              <w:rPr>
                <w:b/>
                <w:sz w:val="20"/>
              </w:rPr>
            </w:pPr>
            <w:r w:rsidRPr="000A3A07">
              <w:rPr>
                <w:b/>
                <w:sz w:val="20"/>
              </w:rPr>
              <w:t>30 351</w:t>
            </w:r>
          </w:p>
          <w:p w14:paraId="600FD7B0" w14:textId="77777777" w:rsidR="007C11E9" w:rsidRPr="000A3A07" w:rsidRDefault="007C11E9">
            <w:pPr>
              <w:spacing w:before="0"/>
              <w:jc w:val="right"/>
              <w:rPr>
                <w:sz w:val="20"/>
              </w:rPr>
            </w:pPr>
          </w:p>
          <w:p w14:paraId="5AD26DBA" w14:textId="77777777" w:rsidR="007C11E9" w:rsidRPr="000A3A07" w:rsidRDefault="007C11E9">
            <w:pPr>
              <w:spacing w:before="0"/>
              <w:jc w:val="right"/>
              <w:rPr>
                <w:sz w:val="20"/>
              </w:rPr>
            </w:pPr>
          </w:p>
          <w:p w14:paraId="55C85CE6" w14:textId="77777777" w:rsidR="007C11E9" w:rsidRPr="000A3A07" w:rsidRDefault="007C11E9">
            <w:pPr>
              <w:spacing w:before="0"/>
              <w:jc w:val="right"/>
              <w:rPr>
                <w:sz w:val="20"/>
              </w:rPr>
            </w:pPr>
            <w:r w:rsidRPr="000A3A07">
              <w:rPr>
                <w:sz w:val="20"/>
              </w:rPr>
              <w:t>7</w:t>
            </w:r>
          </w:p>
          <w:p w14:paraId="02A0C5B7" w14:textId="77777777" w:rsidR="007C11E9" w:rsidRPr="000A3A07" w:rsidRDefault="007C11E9">
            <w:pPr>
              <w:spacing w:before="0"/>
              <w:jc w:val="right"/>
              <w:rPr>
                <w:sz w:val="20"/>
              </w:rPr>
            </w:pPr>
            <w:r w:rsidRPr="000A3A07">
              <w:rPr>
                <w:sz w:val="20"/>
              </w:rPr>
              <w:t>1 090</w:t>
            </w:r>
          </w:p>
          <w:p w14:paraId="6CCDAF01" w14:textId="77777777" w:rsidR="007C11E9" w:rsidRPr="000A3A07" w:rsidRDefault="007C11E9">
            <w:pPr>
              <w:spacing w:before="0"/>
              <w:jc w:val="right"/>
              <w:rPr>
                <w:sz w:val="20"/>
              </w:rPr>
            </w:pPr>
          </w:p>
          <w:p w14:paraId="29BFBC0B" w14:textId="77777777" w:rsidR="007C11E9" w:rsidRPr="000A3A07" w:rsidRDefault="007C11E9">
            <w:pPr>
              <w:spacing w:before="0"/>
              <w:jc w:val="right"/>
              <w:rPr>
                <w:sz w:val="20"/>
              </w:rPr>
            </w:pPr>
            <w:r w:rsidRPr="000A3A07">
              <w:rPr>
                <w:sz w:val="20"/>
              </w:rPr>
              <w:t>2 442</w:t>
            </w:r>
          </w:p>
          <w:p w14:paraId="3B9DB429" w14:textId="77777777" w:rsidR="007C11E9" w:rsidRPr="000A3A07" w:rsidRDefault="007C11E9">
            <w:pPr>
              <w:spacing w:before="0"/>
              <w:jc w:val="right"/>
              <w:rPr>
                <w:sz w:val="20"/>
              </w:rPr>
            </w:pPr>
          </w:p>
          <w:p w14:paraId="2C154B48" w14:textId="77777777" w:rsidR="007C11E9" w:rsidRPr="000A3A07" w:rsidRDefault="007C11E9">
            <w:pPr>
              <w:spacing w:before="0"/>
              <w:jc w:val="right"/>
              <w:rPr>
                <w:sz w:val="20"/>
              </w:rPr>
            </w:pPr>
            <w:r w:rsidRPr="000A3A07">
              <w:rPr>
                <w:sz w:val="20"/>
              </w:rPr>
              <w:t>655</w:t>
            </w:r>
          </w:p>
          <w:p w14:paraId="47F5E073" w14:textId="77777777" w:rsidR="007C11E9" w:rsidRPr="000A3A07" w:rsidRDefault="007C11E9">
            <w:pPr>
              <w:spacing w:before="0"/>
              <w:jc w:val="right"/>
              <w:rPr>
                <w:sz w:val="20"/>
              </w:rPr>
            </w:pPr>
            <w:r w:rsidRPr="000A3A07">
              <w:rPr>
                <w:sz w:val="20"/>
              </w:rPr>
              <w:t>270</w:t>
            </w:r>
          </w:p>
          <w:p w14:paraId="3EB066B5" w14:textId="77777777" w:rsidR="007C11E9" w:rsidRPr="000A3A07" w:rsidRDefault="007C11E9">
            <w:pPr>
              <w:spacing w:before="0"/>
              <w:jc w:val="right"/>
              <w:rPr>
                <w:sz w:val="20"/>
              </w:rPr>
            </w:pPr>
          </w:p>
          <w:p w14:paraId="1060F9CF" w14:textId="77777777" w:rsidR="007C11E9" w:rsidRPr="000A3A07" w:rsidRDefault="007C11E9">
            <w:pPr>
              <w:spacing w:before="0"/>
              <w:jc w:val="right"/>
              <w:rPr>
                <w:sz w:val="20"/>
              </w:rPr>
            </w:pPr>
          </w:p>
          <w:p w14:paraId="735C3BAF" w14:textId="77777777" w:rsidR="007C11E9" w:rsidRPr="000A3A07" w:rsidRDefault="007C11E9">
            <w:pPr>
              <w:pStyle w:val="Normaltindrag"/>
            </w:pPr>
          </w:p>
          <w:p w14:paraId="346A9F56" w14:textId="77777777" w:rsidR="007C11E9" w:rsidRPr="000A3A07" w:rsidRDefault="007C11E9">
            <w:pPr>
              <w:spacing w:before="0" w:line="240" w:lineRule="auto"/>
              <w:jc w:val="right"/>
              <w:rPr>
                <w:b/>
                <w:sz w:val="20"/>
              </w:rPr>
            </w:pPr>
            <w:r w:rsidRPr="000A3A07">
              <w:rPr>
                <w:b/>
                <w:sz w:val="20"/>
              </w:rPr>
              <w:t>2 167</w:t>
            </w:r>
          </w:p>
          <w:p w14:paraId="796F7C55" w14:textId="77777777" w:rsidR="007C11E9" w:rsidRPr="000A3A07" w:rsidRDefault="007C11E9">
            <w:pPr>
              <w:spacing w:before="0"/>
              <w:jc w:val="right"/>
              <w:rPr>
                <w:sz w:val="20"/>
              </w:rPr>
            </w:pPr>
            <w:r w:rsidRPr="000A3A07">
              <w:rPr>
                <w:sz w:val="20"/>
              </w:rPr>
              <w:t>1 025</w:t>
            </w:r>
          </w:p>
          <w:p w14:paraId="4501BDC4" w14:textId="77777777" w:rsidR="007C11E9" w:rsidRPr="000A3A07" w:rsidRDefault="007C11E9">
            <w:pPr>
              <w:spacing w:before="0"/>
              <w:jc w:val="right"/>
              <w:rPr>
                <w:sz w:val="20"/>
              </w:rPr>
            </w:pPr>
            <w:r w:rsidRPr="000A3A07">
              <w:rPr>
                <w:sz w:val="20"/>
              </w:rPr>
              <w:t>1 141</w:t>
            </w:r>
          </w:p>
          <w:p w14:paraId="6ED9EFD4" w14:textId="77777777" w:rsidR="007C11E9" w:rsidRPr="000A3A07" w:rsidRDefault="007C11E9">
            <w:pPr>
              <w:spacing w:before="0"/>
              <w:jc w:val="right"/>
              <w:rPr>
                <w:sz w:val="20"/>
              </w:rPr>
            </w:pPr>
          </w:p>
          <w:p w14:paraId="39D279DF" w14:textId="77777777" w:rsidR="007C11E9" w:rsidRPr="000A3A07" w:rsidRDefault="007C11E9">
            <w:pPr>
              <w:spacing w:before="0"/>
              <w:jc w:val="right"/>
              <w:rPr>
                <w:sz w:val="20"/>
              </w:rPr>
            </w:pPr>
            <w:r w:rsidRPr="000A3A07">
              <w:rPr>
                <w:sz w:val="20"/>
              </w:rPr>
              <w:t>12</w:t>
            </w:r>
          </w:p>
          <w:p w14:paraId="5A9A428B" w14:textId="77777777" w:rsidR="007C11E9" w:rsidRPr="000A3A07" w:rsidRDefault="007C11E9">
            <w:pPr>
              <w:pStyle w:val="Normaltindrag"/>
            </w:pPr>
          </w:p>
          <w:p w14:paraId="6AF7A2DD" w14:textId="77777777" w:rsidR="007C11E9" w:rsidRPr="000A3A07" w:rsidRDefault="007C11E9">
            <w:pPr>
              <w:spacing w:before="0" w:line="240" w:lineRule="auto"/>
              <w:jc w:val="right"/>
              <w:rPr>
                <w:b/>
              </w:rPr>
            </w:pPr>
            <w:r w:rsidRPr="000A3A07">
              <w:rPr>
                <w:b/>
              </w:rPr>
              <w:t xml:space="preserve">        32 518</w:t>
            </w:r>
          </w:p>
          <w:p w14:paraId="392FE65B" w14:textId="77777777" w:rsidR="007C11E9" w:rsidRPr="000A3A07" w:rsidRDefault="007C11E9">
            <w:pPr>
              <w:spacing w:before="0"/>
              <w:jc w:val="right"/>
              <w:rPr>
                <w:b/>
                <w:sz w:val="20"/>
              </w:rPr>
            </w:pPr>
            <w:r w:rsidRPr="000A3A07">
              <w:rPr>
                <w:b/>
                <w:sz w:val="20"/>
              </w:rPr>
              <w:t xml:space="preserve"> </w:t>
            </w:r>
          </w:p>
          <w:p w14:paraId="7DA50473" w14:textId="77777777" w:rsidR="007C11E9" w:rsidRPr="000A3A07" w:rsidRDefault="007C11E9">
            <w:pPr>
              <w:spacing w:before="0"/>
              <w:jc w:val="right"/>
              <w:rPr>
                <w:b/>
                <w:sz w:val="20"/>
              </w:rPr>
            </w:pPr>
            <w:r w:rsidRPr="000A3A07">
              <w:rPr>
                <w:b/>
                <w:sz w:val="20"/>
              </w:rPr>
              <w:t xml:space="preserve"> 1 284</w:t>
            </w:r>
          </w:p>
        </w:tc>
      </w:tr>
    </w:tbl>
    <w:p w14:paraId="696856DC" w14:textId="77777777" w:rsidR="007C11E9" w:rsidRPr="000A3A07" w:rsidRDefault="007C11E9">
      <w:r w:rsidRPr="000A3A07">
        <w:t>Driftbudgetens inkomster dominerades av skatteinkomster och andra löpande inkomster. Därutöver beräknades staten få inkomster från kapitalfonderna, bl.a. fonden för Statens järnvägar. Statens utlåningsfonder genererade inkom</w:t>
      </w:r>
      <w:r w:rsidRPr="000A3A07">
        <w:softHyphen/>
        <w:t>ster g</w:t>
      </w:r>
      <w:r w:rsidRPr="000A3A07">
        <w:t>e</w:t>
      </w:r>
      <w:r w:rsidRPr="000A3A07">
        <w:t xml:space="preserve">nom återbetalning av lån som beviljats tidigare år. </w:t>
      </w:r>
    </w:p>
    <w:p w14:paraId="62D930A7" w14:textId="77777777" w:rsidR="007C11E9" w:rsidRPr="000A3A07" w:rsidRDefault="007C11E9">
      <w:pPr>
        <w:pStyle w:val="Normaltindrag"/>
      </w:pPr>
      <w:r w:rsidRPr="000A3A07">
        <w:t>På utgiftssidan gjordes en åtskillnad mellan egentliga statsutgifter och u</w:t>
      </w:r>
      <w:r w:rsidRPr="000A3A07">
        <w:t>t</w:t>
      </w:r>
      <w:r w:rsidRPr="000A3A07">
        <w:t>gifter för kapitalfonderna. De egentliga utgifterna bestod av de olika ansl</w:t>
      </w:r>
      <w:r w:rsidRPr="000A3A07">
        <w:t>a</w:t>
      </w:r>
      <w:r w:rsidRPr="000A3A07">
        <w:t>gen fördelade på departementsområden. Det kan noteras att investeringar i vägar i sin helhet bokfördes under anslag på Kommunikationsdepartementet. Vägar räknades inte som produktivt kapital och vägbyggen fördes således inte över i</w:t>
      </w:r>
      <w:r w:rsidRPr="000A3A07">
        <w:t>n</w:t>
      </w:r>
      <w:r w:rsidRPr="000A3A07">
        <w:t xml:space="preserve">vesteringsstaterna eller kapitalbudgeten. </w:t>
      </w:r>
    </w:p>
    <w:p w14:paraId="412C64BD" w14:textId="77777777" w:rsidR="007C11E9" w:rsidRPr="000A3A07" w:rsidRDefault="007C11E9">
      <w:pPr>
        <w:pStyle w:val="Normaltindrag"/>
      </w:pPr>
      <w:r w:rsidRPr="000A3A07">
        <w:t>Under utgifter för kapitalfonder redovisades bl.a. räntor på statsskulden, som ersättning till Riksgäldsfonden. Den mindre del av SJ:s investeringar som finansi</w:t>
      </w:r>
      <w:r w:rsidRPr="000A3A07">
        <w:t xml:space="preserve">erades direkt över driftsbudgeten, 12 miljoner kr, bokfördes här under rubriken ”Avskrivningar av kapitalinvesteringar”. </w:t>
      </w:r>
    </w:p>
    <w:p w14:paraId="5F2179FB" w14:textId="77777777" w:rsidR="007C11E9" w:rsidRPr="000A3A07" w:rsidRDefault="007C11E9">
      <w:pPr>
        <w:pStyle w:val="Normaltindrag"/>
      </w:pPr>
      <w:r w:rsidRPr="000A3A07">
        <w:t xml:space="preserve">Som framgår visade driftbudgeten detta år ett beräknat överskott. </w:t>
      </w:r>
    </w:p>
    <w:p w14:paraId="22516B6D" w14:textId="77777777" w:rsidR="007C11E9" w:rsidRPr="000A3A07" w:rsidRDefault="007C11E9">
      <w:pPr>
        <w:pStyle w:val="Normaltindrag"/>
      </w:pPr>
      <w:r w:rsidRPr="000A3A07">
        <w:t xml:space="preserve">Riksstatens kapitalbudget för 1967/68 såg ut på följande sätt: </w:t>
      </w:r>
    </w:p>
    <w:p w14:paraId="2892F4E3" w14:textId="77777777" w:rsidR="007C11E9" w:rsidRPr="000A3A07" w:rsidRDefault="007C11E9">
      <w:pPr>
        <w:pStyle w:val="Normaltindrag"/>
      </w:pPr>
    </w:p>
    <w:p w14:paraId="28C97C76" w14:textId="77777777" w:rsidR="007C11E9" w:rsidRPr="000A3A07" w:rsidRDefault="007C11E9">
      <w:pPr>
        <w:pStyle w:val="Normaltindrag"/>
      </w:pPr>
    </w:p>
    <w:p w14:paraId="54B88618" w14:textId="77777777" w:rsidR="007C11E9" w:rsidRPr="000A3A07" w:rsidRDefault="007C11E9">
      <w:pPr>
        <w:pStyle w:val="Normaltindrag"/>
      </w:pPr>
    </w:p>
    <w:p w14:paraId="45FD2EA5" w14:textId="77777777" w:rsidR="007C11E9" w:rsidRPr="000A3A07" w:rsidRDefault="007C11E9">
      <w:pPr>
        <w:pStyle w:val="Normaltindrag"/>
      </w:pPr>
    </w:p>
    <w:p w14:paraId="1CF3474F" w14:textId="77777777" w:rsidR="007C11E9" w:rsidRPr="000A3A07" w:rsidRDefault="007C11E9">
      <w:pPr>
        <w:pStyle w:val="Normaltindrag"/>
      </w:pPr>
    </w:p>
    <w:p w14:paraId="3C037399" w14:textId="77777777" w:rsidR="007C11E9" w:rsidRPr="000A3A07" w:rsidRDefault="007C11E9">
      <w:pPr>
        <w:rPr>
          <w:b/>
        </w:rPr>
      </w:pPr>
      <w:r w:rsidRPr="000A3A07">
        <w:rPr>
          <w:b/>
        </w:rPr>
        <w:t>KAPITALBUDGET 1967/68</w:t>
      </w:r>
    </w:p>
    <w:p w14:paraId="6B767C83" w14:textId="77777777" w:rsidR="007C11E9" w:rsidRPr="000A3A07" w:rsidRDefault="007C11E9">
      <w:pPr>
        <w:spacing w:before="0"/>
        <w:ind w:left="-902"/>
        <w:rPr>
          <w:sz w:val="20"/>
        </w:rPr>
      </w:pPr>
      <w:r w:rsidRPr="000A3A07">
        <w:rPr>
          <w:sz w:val="20"/>
        </w:rPr>
        <w:tab/>
      </w:r>
      <w:r w:rsidRPr="000A3A07">
        <w:rPr>
          <w:sz w:val="20"/>
        </w:rPr>
        <w:tab/>
        <w:t>milj kr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134"/>
        <w:gridCol w:w="2551"/>
        <w:gridCol w:w="709"/>
      </w:tblGrid>
      <w:tr w:rsidR="00000000" w:rsidRPr="000A3A07" w14:paraId="41AA4F5D" w14:textId="77777777">
        <w:tblPrEx>
          <w:tblCellMar>
            <w:top w:w="0" w:type="dxa"/>
            <w:bottom w:w="0" w:type="dxa"/>
          </w:tblCellMar>
        </w:tblPrEx>
        <w:tc>
          <w:tcPr>
            <w:tcW w:w="1418" w:type="dxa"/>
            <w:tcBorders>
              <w:left w:val="nil"/>
              <w:bottom w:val="nil"/>
              <w:right w:val="nil"/>
            </w:tcBorders>
          </w:tcPr>
          <w:p w14:paraId="3B9395D1" w14:textId="77777777" w:rsidR="007C11E9" w:rsidRPr="000A3A07" w:rsidRDefault="007C11E9">
            <w:pPr>
              <w:rPr>
                <w:b/>
              </w:rPr>
            </w:pPr>
            <w:r w:rsidRPr="000A3A07">
              <w:rPr>
                <w:b/>
              </w:rPr>
              <w:t>Lånemedel</w:t>
            </w:r>
          </w:p>
          <w:p w14:paraId="27E73FE1" w14:textId="77777777" w:rsidR="007C11E9" w:rsidRPr="000A3A07" w:rsidRDefault="007C11E9">
            <w:pPr>
              <w:rPr>
                <w:sz w:val="20"/>
              </w:rPr>
            </w:pPr>
          </w:p>
          <w:p w14:paraId="6D8A631E" w14:textId="77777777" w:rsidR="007C11E9" w:rsidRPr="000A3A07" w:rsidRDefault="007C11E9">
            <w:pPr>
              <w:rPr>
                <w:sz w:val="20"/>
              </w:rPr>
            </w:pPr>
          </w:p>
        </w:tc>
        <w:tc>
          <w:tcPr>
            <w:tcW w:w="1134" w:type="dxa"/>
            <w:tcBorders>
              <w:left w:val="nil"/>
              <w:bottom w:val="nil"/>
            </w:tcBorders>
          </w:tcPr>
          <w:p w14:paraId="71096191" w14:textId="77777777" w:rsidR="007C11E9" w:rsidRPr="000A3A07" w:rsidRDefault="007C11E9">
            <w:pPr>
              <w:jc w:val="right"/>
              <w:rPr>
                <w:b/>
                <w:sz w:val="20"/>
              </w:rPr>
            </w:pPr>
            <w:r w:rsidRPr="000A3A07">
              <w:rPr>
                <w:b/>
                <w:sz w:val="20"/>
              </w:rPr>
              <w:t>2 178</w:t>
            </w:r>
          </w:p>
        </w:tc>
        <w:tc>
          <w:tcPr>
            <w:tcW w:w="2551" w:type="dxa"/>
            <w:tcBorders>
              <w:bottom w:val="nil"/>
              <w:right w:val="nil"/>
            </w:tcBorders>
          </w:tcPr>
          <w:p w14:paraId="0FF0F8A1" w14:textId="77777777" w:rsidR="007C11E9" w:rsidRPr="000A3A07" w:rsidRDefault="007C11E9">
            <w:pPr>
              <w:spacing w:before="120" w:line="240" w:lineRule="auto"/>
              <w:rPr>
                <w:sz w:val="20"/>
              </w:rPr>
            </w:pPr>
            <w:r w:rsidRPr="000A3A07">
              <w:rPr>
                <w:sz w:val="20"/>
              </w:rPr>
              <w:t>I   Statens affärsverksfonder</w:t>
            </w:r>
          </w:p>
          <w:p w14:paraId="2A7F0332" w14:textId="77777777" w:rsidR="007C11E9" w:rsidRPr="000A3A07" w:rsidRDefault="007C11E9">
            <w:pPr>
              <w:spacing w:before="0" w:line="240" w:lineRule="auto"/>
              <w:rPr>
                <w:sz w:val="20"/>
              </w:rPr>
            </w:pPr>
            <w:r w:rsidRPr="000A3A07">
              <w:rPr>
                <w:sz w:val="20"/>
              </w:rPr>
              <w:t xml:space="preserve">           Televerkets fond</w:t>
            </w:r>
          </w:p>
          <w:p w14:paraId="65AA4C4F" w14:textId="77777777" w:rsidR="007C11E9" w:rsidRPr="000A3A07" w:rsidRDefault="007C11E9">
            <w:pPr>
              <w:spacing w:before="0" w:line="240" w:lineRule="auto"/>
              <w:jc w:val="left"/>
              <w:rPr>
                <w:sz w:val="20"/>
              </w:rPr>
            </w:pPr>
            <w:r w:rsidRPr="000A3A07">
              <w:rPr>
                <w:sz w:val="20"/>
              </w:rPr>
              <w:t xml:space="preserve">           Statens järnvägars </w:t>
            </w:r>
          </w:p>
          <w:p w14:paraId="513E66EA" w14:textId="77777777" w:rsidR="007C11E9" w:rsidRPr="000A3A07" w:rsidRDefault="007C11E9">
            <w:pPr>
              <w:spacing w:before="0" w:line="240" w:lineRule="auto"/>
              <w:jc w:val="left"/>
              <w:rPr>
                <w:sz w:val="20"/>
              </w:rPr>
            </w:pPr>
            <w:r w:rsidRPr="000A3A07">
              <w:rPr>
                <w:sz w:val="20"/>
              </w:rPr>
              <w:t xml:space="preserve">          fond</w:t>
            </w:r>
          </w:p>
          <w:p w14:paraId="61FEEE48" w14:textId="77777777" w:rsidR="007C11E9" w:rsidRPr="000A3A07" w:rsidRDefault="007C11E9">
            <w:pPr>
              <w:rPr>
                <w:sz w:val="20"/>
              </w:rPr>
            </w:pPr>
            <w:r w:rsidRPr="000A3A07">
              <w:rPr>
                <w:sz w:val="20"/>
              </w:rPr>
              <w:t>II  Statens allm fastighet</w:t>
            </w:r>
            <w:r w:rsidRPr="000A3A07">
              <w:rPr>
                <w:sz w:val="20"/>
              </w:rPr>
              <w:t>s</w:t>
            </w:r>
            <w:r w:rsidRPr="000A3A07">
              <w:rPr>
                <w:sz w:val="20"/>
              </w:rPr>
              <w:t>fond</w:t>
            </w:r>
          </w:p>
          <w:p w14:paraId="0C0820BE" w14:textId="77777777" w:rsidR="007C11E9" w:rsidRPr="000A3A07" w:rsidRDefault="007C11E9">
            <w:pPr>
              <w:rPr>
                <w:sz w:val="20"/>
              </w:rPr>
            </w:pPr>
            <w:r w:rsidRPr="000A3A07">
              <w:rPr>
                <w:sz w:val="20"/>
              </w:rPr>
              <w:t>……..</w:t>
            </w:r>
          </w:p>
          <w:p w14:paraId="2EDCD1AC" w14:textId="77777777" w:rsidR="007C11E9" w:rsidRPr="000A3A07" w:rsidRDefault="007C11E9">
            <w:pPr>
              <w:rPr>
                <w:sz w:val="20"/>
              </w:rPr>
            </w:pPr>
            <w:r w:rsidRPr="000A3A07">
              <w:rPr>
                <w:sz w:val="20"/>
              </w:rPr>
              <w:t>IV Statens utlåningsfonder</w:t>
            </w:r>
          </w:p>
          <w:p w14:paraId="6864733F" w14:textId="77777777" w:rsidR="007C11E9" w:rsidRPr="000A3A07" w:rsidRDefault="007C11E9">
            <w:pPr>
              <w:pStyle w:val="Normaltindrag"/>
              <w:ind w:left="340" w:firstLine="0"/>
            </w:pPr>
            <w:r w:rsidRPr="000A3A07">
              <w:t>Studiemedelsfonden</w:t>
            </w:r>
          </w:p>
          <w:p w14:paraId="70A627D4" w14:textId="77777777" w:rsidR="007C11E9" w:rsidRPr="000A3A07" w:rsidRDefault="007C11E9">
            <w:pPr>
              <w:pStyle w:val="Normaltindrag"/>
              <w:ind w:left="340" w:firstLine="0"/>
              <w:jc w:val="left"/>
            </w:pPr>
            <w:r w:rsidRPr="000A3A07">
              <w:t>Lånefonden för bostad</w:t>
            </w:r>
            <w:r w:rsidRPr="000A3A07">
              <w:t>s</w:t>
            </w:r>
            <w:r w:rsidRPr="000A3A07">
              <w:t>byggande</w:t>
            </w:r>
          </w:p>
          <w:p w14:paraId="3152D818" w14:textId="77777777" w:rsidR="007C11E9" w:rsidRPr="000A3A07" w:rsidRDefault="007C11E9">
            <w:r w:rsidRPr="000A3A07">
              <w:t>V  Fonden för låneunderstöd</w:t>
            </w:r>
          </w:p>
          <w:p w14:paraId="5238CFBC" w14:textId="77777777" w:rsidR="007C11E9" w:rsidRPr="000A3A07" w:rsidRDefault="007C11E9">
            <w:pPr>
              <w:pStyle w:val="Normaltindrag"/>
            </w:pPr>
            <w:r w:rsidRPr="000A3A07">
              <w:t>...............</w:t>
            </w:r>
          </w:p>
          <w:p w14:paraId="68862FEB" w14:textId="77777777" w:rsidR="007C11E9" w:rsidRPr="000A3A07" w:rsidRDefault="007C11E9">
            <w:pPr>
              <w:spacing w:line="240" w:lineRule="auto"/>
              <w:rPr>
                <w:b/>
                <w:sz w:val="20"/>
              </w:rPr>
            </w:pPr>
            <w:r w:rsidRPr="000A3A07">
              <w:rPr>
                <w:b/>
              </w:rPr>
              <w:t>Summa</w:t>
            </w:r>
          </w:p>
        </w:tc>
        <w:tc>
          <w:tcPr>
            <w:tcW w:w="709" w:type="dxa"/>
            <w:tcBorders>
              <w:left w:val="nil"/>
              <w:bottom w:val="nil"/>
              <w:right w:val="nil"/>
            </w:tcBorders>
          </w:tcPr>
          <w:p w14:paraId="7EE9354A" w14:textId="77777777" w:rsidR="007C11E9" w:rsidRPr="000A3A07" w:rsidRDefault="007C11E9">
            <w:pPr>
              <w:jc w:val="right"/>
              <w:rPr>
                <w:sz w:val="20"/>
              </w:rPr>
            </w:pPr>
            <w:r w:rsidRPr="000A3A07">
              <w:rPr>
                <w:sz w:val="20"/>
              </w:rPr>
              <w:t>408</w:t>
            </w:r>
          </w:p>
          <w:p w14:paraId="53AE5FCD" w14:textId="77777777" w:rsidR="007C11E9" w:rsidRPr="000A3A07" w:rsidRDefault="007C11E9">
            <w:pPr>
              <w:spacing w:before="0" w:line="240" w:lineRule="auto"/>
              <w:jc w:val="right"/>
              <w:rPr>
                <w:sz w:val="20"/>
              </w:rPr>
            </w:pPr>
            <w:r w:rsidRPr="000A3A07">
              <w:rPr>
                <w:sz w:val="20"/>
              </w:rPr>
              <w:t>161</w:t>
            </w:r>
          </w:p>
          <w:p w14:paraId="639E287E" w14:textId="77777777" w:rsidR="007C11E9" w:rsidRPr="000A3A07" w:rsidRDefault="007C11E9">
            <w:pPr>
              <w:spacing w:before="0" w:line="240" w:lineRule="auto"/>
              <w:jc w:val="right"/>
              <w:rPr>
                <w:sz w:val="20"/>
              </w:rPr>
            </w:pPr>
          </w:p>
          <w:p w14:paraId="45844EA0" w14:textId="77777777" w:rsidR="007C11E9" w:rsidRPr="000A3A07" w:rsidRDefault="007C11E9">
            <w:pPr>
              <w:spacing w:before="0" w:line="240" w:lineRule="auto"/>
              <w:jc w:val="right"/>
              <w:rPr>
                <w:sz w:val="20"/>
              </w:rPr>
            </w:pPr>
            <w:r w:rsidRPr="000A3A07">
              <w:rPr>
                <w:sz w:val="20"/>
              </w:rPr>
              <w:t>156</w:t>
            </w:r>
          </w:p>
          <w:p w14:paraId="7FC93CB1" w14:textId="77777777" w:rsidR="007C11E9" w:rsidRPr="000A3A07" w:rsidRDefault="007C11E9">
            <w:pPr>
              <w:jc w:val="right"/>
              <w:rPr>
                <w:sz w:val="20"/>
              </w:rPr>
            </w:pPr>
          </w:p>
          <w:p w14:paraId="662A5A12" w14:textId="77777777" w:rsidR="007C11E9" w:rsidRPr="000A3A07" w:rsidRDefault="007C11E9">
            <w:pPr>
              <w:jc w:val="right"/>
              <w:rPr>
                <w:sz w:val="20"/>
              </w:rPr>
            </w:pPr>
          </w:p>
          <w:p w14:paraId="01CE437A" w14:textId="77777777" w:rsidR="007C11E9" w:rsidRPr="000A3A07" w:rsidRDefault="007C11E9">
            <w:pPr>
              <w:jc w:val="right"/>
              <w:rPr>
                <w:sz w:val="20"/>
              </w:rPr>
            </w:pPr>
            <w:r w:rsidRPr="000A3A07">
              <w:rPr>
                <w:sz w:val="20"/>
              </w:rPr>
              <w:t>1 042</w:t>
            </w:r>
          </w:p>
          <w:p w14:paraId="60FF581D" w14:textId="77777777" w:rsidR="007C11E9" w:rsidRPr="000A3A07" w:rsidRDefault="007C11E9">
            <w:pPr>
              <w:pStyle w:val="Normaltindrag"/>
              <w:jc w:val="right"/>
            </w:pPr>
            <w:r w:rsidRPr="000A3A07">
              <w:t xml:space="preserve"> 405</w:t>
            </w:r>
          </w:p>
          <w:p w14:paraId="3EE4449A" w14:textId="77777777" w:rsidR="007C11E9" w:rsidRPr="000A3A07" w:rsidRDefault="007C11E9">
            <w:pPr>
              <w:pStyle w:val="Normaltindrag"/>
              <w:rPr>
                <w:sz w:val="20"/>
              </w:rPr>
            </w:pPr>
          </w:p>
          <w:p w14:paraId="5628A049" w14:textId="77777777" w:rsidR="007C11E9" w:rsidRPr="000A3A07" w:rsidRDefault="007C11E9">
            <w:pPr>
              <w:pStyle w:val="Normaltindrag"/>
              <w:spacing w:line="240" w:lineRule="auto"/>
              <w:ind w:firstLine="0"/>
              <w:jc w:val="right"/>
            </w:pPr>
            <w:r w:rsidRPr="000A3A07">
              <w:rPr>
                <w:sz w:val="20"/>
              </w:rPr>
              <w:t>1 310</w:t>
            </w:r>
          </w:p>
          <w:p w14:paraId="6F99F046" w14:textId="77777777" w:rsidR="007C11E9" w:rsidRPr="000A3A07" w:rsidRDefault="007C11E9">
            <w:pPr>
              <w:jc w:val="right"/>
              <w:rPr>
                <w:sz w:val="20"/>
              </w:rPr>
            </w:pPr>
            <w:r w:rsidRPr="000A3A07">
              <w:rPr>
                <w:sz w:val="20"/>
              </w:rPr>
              <w:t>650</w:t>
            </w:r>
          </w:p>
          <w:p w14:paraId="7FA3B2E0" w14:textId="77777777" w:rsidR="007C11E9" w:rsidRPr="000A3A07" w:rsidRDefault="007C11E9">
            <w:pPr>
              <w:pStyle w:val="Normaltindrag"/>
            </w:pPr>
          </w:p>
          <w:p w14:paraId="4612288C" w14:textId="77777777" w:rsidR="007C11E9" w:rsidRPr="000A3A07" w:rsidRDefault="007C11E9">
            <w:pPr>
              <w:spacing w:line="240" w:lineRule="auto"/>
              <w:jc w:val="right"/>
              <w:rPr>
                <w:b/>
                <w:sz w:val="20"/>
              </w:rPr>
            </w:pPr>
            <w:r w:rsidRPr="000A3A07">
              <w:rPr>
                <w:b/>
                <w:sz w:val="20"/>
              </w:rPr>
              <w:t>2 178</w:t>
            </w:r>
          </w:p>
        </w:tc>
      </w:tr>
    </w:tbl>
    <w:p w14:paraId="3DB367B8" w14:textId="77777777" w:rsidR="007C11E9" w:rsidRPr="000A3A07" w:rsidRDefault="007C11E9">
      <w:r w:rsidRPr="000A3A07">
        <w:t>På kapitalbudgeten bokfördes på utgiftssidan de s.k. investeringsbemynd</w:t>
      </w:r>
      <w:r w:rsidRPr="000A3A07">
        <w:t>i</w:t>
      </w:r>
      <w:r w:rsidRPr="000A3A07">
        <w:t>gandena, som fanns i investeringsstaten. Kapitalbudgetens utgiftssida up</w:t>
      </w:r>
      <w:r w:rsidRPr="000A3A07">
        <w:t>p</w:t>
      </w:r>
      <w:r w:rsidRPr="000A3A07">
        <w:t xml:space="preserve">fattades som ökningen i statens produktiva kapital, som kunde finansieras med lån utan att minska statens förmögenhet. </w:t>
      </w:r>
    </w:p>
    <w:p w14:paraId="269EDBE1" w14:textId="77777777" w:rsidR="007C11E9" w:rsidRPr="000A3A07" w:rsidRDefault="007C11E9">
      <w:pPr>
        <w:pStyle w:val="Normaltindrag"/>
      </w:pPr>
      <w:r w:rsidRPr="000A3A07">
        <w:t>Kapitalbudgeten visade inte statens lånebehov. Eftersom driftbudgeten v</w:t>
      </w:r>
      <w:r w:rsidRPr="000A3A07">
        <w:t>i</w:t>
      </w:r>
      <w:r w:rsidRPr="000A3A07">
        <w:t>sade överskott var statens egentliga lånebehov mindre än vad kapitalbudg</w:t>
      </w:r>
      <w:r w:rsidRPr="000A3A07">
        <w:t>e</w:t>
      </w:r>
      <w:r w:rsidRPr="000A3A07">
        <w:t>ten utv</w:t>
      </w:r>
      <w:r w:rsidRPr="000A3A07">
        <w:t>i</w:t>
      </w:r>
      <w:r w:rsidRPr="000A3A07">
        <w:t>sade. Driftbudgetens överskott innebar att statens förmögenhet be</w:t>
      </w:r>
      <w:r w:rsidRPr="000A3A07">
        <w:softHyphen/>
        <w:t>räknades växa genom att ökningen i det produktiva kapitalet översteg ö</w:t>
      </w:r>
      <w:r w:rsidRPr="000A3A07">
        <w:t>k</w:t>
      </w:r>
      <w:r w:rsidRPr="000A3A07">
        <w:t xml:space="preserve">ningen av statsskulden. </w:t>
      </w:r>
    </w:p>
    <w:p w14:paraId="37661F01" w14:textId="77777777" w:rsidR="007C11E9" w:rsidRPr="000A3A07" w:rsidRDefault="007C11E9">
      <w:pPr>
        <w:pStyle w:val="Normaltindrag"/>
      </w:pPr>
      <w:r w:rsidRPr="000A3A07">
        <w:t>Tanken bakom uppdelningen i drift- och kapitalbudget var att stabilis</w:t>
      </w:r>
      <w:r w:rsidRPr="000A3A07">
        <w:t>e</w:t>
      </w:r>
      <w:r w:rsidRPr="000A3A07">
        <w:t>ringspolitiken skulle bedrivas med driftbudgeten. I lågkonjunktur skulle staten underbalansera, dvs ha underskott i driftbudgeten för att på detta sätt stimulera efterfrågan. Motsatsen skulle gälla i en högkonjunktur. Sett över en hel konjunkturcykel skulle driftsbudgetens saldo vara noll. Investeringarna i produktivt kapital låg utanför driftbudgeten. Om sådana investeringar ägde rum i stabilis</w:t>
      </w:r>
      <w:r w:rsidRPr="000A3A07">
        <w:t>e</w:t>
      </w:r>
      <w:r w:rsidRPr="000A3A07">
        <w:t xml:space="preserve">ringspolitiskt syfte påverkades inte driftbudgetens saldo. </w:t>
      </w:r>
    </w:p>
    <w:p w14:paraId="63C04227" w14:textId="77777777" w:rsidR="007C11E9" w:rsidRPr="000A3A07" w:rsidRDefault="007C11E9">
      <w:pPr>
        <w:pStyle w:val="Normaltindrag"/>
      </w:pPr>
      <w:r w:rsidRPr="000A3A07">
        <w:t>Systemet med drift- och kapitalbudget innebar sålede</w:t>
      </w:r>
      <w:r w:rsidRPr="000A3A07">
        <w:t xml:space="preserve">s: </w:t>
      </w:r>
    </w:p>
    <w:p w14:paraId="61B6B55F" w14:textId="77777777" w:rsidR="007C11E9" w:rsidRPr="000A3A07" w:rsidRDefault="007C11E9">
      <w:pPr>
        <w:numPr>
          <w:ilvl w:val="0"/>
          <w:numId w:val="74"/>
        </w:numPr>
      </w:pPr>
      <w:r w:rsidRPr="000A3A07">
        <w:t xml:space="preserve">att lånefinansiering var det normala för investeringar, men endast i s. k. produktivt kapital, dvs. affärsverkens investeringar </w:t>
      </w:r>
    </w:p>
    <w:p w14:paraId="3958EA3C" w14:textId="77777777" w:rsidR="007C11E9" w:rsidRPr="000A3A07" w:rsidRDefault="007C11E9">
      <w:pPr>
        <w:numPr>
          <w:ilvl w:val="0"/>
          <w:numId w:val="74"/>
        </w:numPr>
      </w:pPr>
      <w:r w:rsidRPr="000A3A07">
        <w:t>att låneräntorna belastade driftbudgeten</w:t>
      </w:r>
    </w:p>
    <w:p w14:paraId="231EC8C7" w14:textId="77777777" w:rsidR="007C11E9" w:rsidRPr="000A3A07" w:rsidRDefault="007C11E9">
      <w:pPr>
        <w:numPr>
          <w:ilvl w:val="0"/>
          <w:numId w:val="74"/>
        </w:numPr>
      </w:pPr>
      <w:r w:rsidRPr="000A3A07">
        <w:t>att avskrivningarna på en investering belastade affärsverkens resultat och därmed indirekt driftbudgeten genom lägre inleveranser samtidigt som a</w:t>
      </w:r>
      <w:r w:rsidRPr="000A3A07">
        <w:t>v</w:t>
      </w:r>
      <w:r w:rsidRPr="000A3A07">
        <w:t>skrivningsmedlen användes till att finansiera i</w:t>
      </w:r>
      <w:r w:rsidRPr="000A3A07">
        <w:t>n</w:t>
      </w:r>
      <w:r w:rsidRPr="000A3A07">
        <w:t xml:space="preserve">vesteringar </w:t>
      </w:r>
    </w:p>
    <w:p w14:paraId="6F0950FC" w14:textId="77777777" w:rsidR="007C11E9" w:rsidRPr="000A3A07" w:rsidRDefault="007C11E9">
      <w:pPr>
        <w:numPr>
          <w:ilvl w:val="0"/>
          <w:numId w:val="74"/>
        </w:numPr>
      </w:pPr>
      <w:r w:rsidRPr="000A3A07">
        <w:t>att anslagsfinansierade investeringar, i t.ex. vägar, bokfördes på i princip samma sätt som i dag, hela utgiften belastade budgeten då investeringen ägde rum och var föremål för budgetrestriktioner.</w:t>
      </w:r>
    </w:p>
    <w:p w14:paraId="5374B374" w14:textId="77777777" w:rsidR="007C11E9" w:rsidRPr="000A3A07" w:rsidRDefault="007C11E9">
      <w:r w:rsidRPr="000A3A07">
        <w:t>Systemet med drift- och kapitalbudget var i bruk fram till budgetåret 1980/81. I praktiken övergavs systemet emellertid redan på slutet av 1950-talet. Bakgrunden var att synen på budgetstyrningen gradvis förändrades under 1950-talet. Statens förmögenhetsutveckling spelade en alltmer unda</w:t>
      </w:r>
      <w:r w:rsidRPr="000A3A07">
        <w:t>n</w:t>
      </w:r>
      <w:r w:rsidRPr="000A3A07">
        <w:t>skymd roll, bl.a. på grund av svårigheterna att värdera statens tillgångar. Vidare menade man att kapitalbudgeten inte gav en heltäckande bild av förändringen i statens förmögenhet. I stället poängterades statens stabilis</w:t>
      </w:r>
      <w:r w:rsidRPr="000A3A07">
        <w:t>e</w:t>
      </w:r>
      <w:r w:rsidRPr="000A3A07">
        <w:t>ringspolitiska roll. Överväganden om statens upplåning borde inte styras utifrån förmögenhetsaspekten utan från stabiliseringspolitiska utgångspun</w:t>
      </w:r>
      <w:r w:rsidRPr="000A3A07">
        <w:t>k</w:t>
      </w:r>
      <w:r w:rsidRPr="000A3A07">
        <w:t>ter. I det perspektivet är det ingen principiell skillnad om staten påverkar efterfrågan genom att t.ex. öka transfereringarna eller bygga fle</w:t>
      </w:r>
      <w:r w:rsidRPr="000A3A07">
        <w:t xml:space="preserve">r vägar, än om staten i stället investerar i t.ex. järnvägar som räknas in i det produktiva kapitalet. </w:t>
      </w:r>
    </w:p>
    <w:p w14:paraId="3F155629" w14:textId="77777777" w:rsidR="007C11E9" w:rsidRPr="000A3A07" w:rsidRDefault="007C11E9">
      <w:pPr>
        <w:pStyle w:val="Normaltindrag"/>
      </w:pPr>
      <w:r w:rsidRPr="000A3A07">
        <w:t>Styrande för finanspolitiken blev därför den s. k. totalbudgetens saldo i stället för driftbudgetens. Totalbudgeten var en sammanslagen drift- och kapitalbudget.  Totalbudgeten fanns först informellt, men fr.o.m. 1966 togs den in i statsverkspropositionerna. För budgetåret 1967/68 såg totalbudgeten ut enligt fö</w:t>
      </w:r>
      <w:r w:rsidRPr="000A3A07">
        <w:t>l</w:t>
      </w:r>
      <w:r w:rsidRPr="000A3A07">
        <w:t xml:space="preserve">jande: </w:t>
      </w:r>
    </w:p>
    <w:p w14:paraId="309747C0" w14:textId="77777777" w:rsidR="007C11E9" w:rsidRPr="000A3A07" w:rsidRDefault="007C11E9">
      <w:pPr>
        <w:rPr>
          <w:b/>
        </w:rPr>
      </w:pPr>
      <w:r w:rsidRPr="000A3A07">
        <w:rPr>
          <w:b/>
        </w:rPr>
        <w:t>TOTALBUDGET 1967/68</w:t>
      </w:r>
    </w:p>
    <w:p w14:paraId="36A856F5" w14:textId="77777777" w:rsidR="007C11E9" w:rsidRPr="000A3A07" w:rsidRDefault="007C11E9">
      <w:pPr>
        <w:spacing w:before="0"/>
        <w:rPr>
          <w:sz w:val="20"/>
        </w:rPr>
      </w:pPr>
      <w:r w:rsidRPr="000A3A07">
        <w:rPr>
          <w:sz w:val="20"/>
        </w:rPr>
        <w:t>milj kr</w:t>
      </w:r>
    </w:p>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850"/>
        <w:gridCol w:w="2268"/>
        <w:gridCol w:w="709"/>
      </w:tblGrid>
      <w:tr w:rsidR="00000000" w:rsidRPr="000A3A07" w14:paraId="52AE54E0" w14:textId="77777777">
        <w:tblPrEx>
          <w:tblCellMar>
            <w:top w:w="0" w:type="dxa"/>
            <w:bottom w:w="0" w:type="dxa"/>
          </w:tblCellMar>
        </w:tblPrEx>
        <w:tc>
          <w:tcPr>
            <w:tcW w:w="2197" w:type="dxa"/>
            <w:tcBorders>
              <w:right w:val="nil"/>
            </w:tcBorders>
          </w:tcPr>
          <w:p w14:paraId="731CD668" w14:textId="77777777" w:rsidR="007C11E9" w:rsidRPr="000A3A07" w:rsidRDefault="007C11E9">
            <w:pPr>
              <w:rPr>
                <w:sz w:val="20"/>
              </w:rPr>
            </w:pPr>
            <w:r w:rsidRPr="000A3A07">
              <w:rPr>
                <w:sz w:val="20"/>
              </w:rPr>
              <w:t>Skatter, avgifter</w:t>
            </w:r>
          </w:p>
          <w:p w14:paraId="345A5914" w14:textId="77777777" w:rsidR="007C11E9" w:rsidRPr="000A3A07" w:rsidRDefault="007C11E9">
            <w:pPr>
              <w:spacing w:before="0" w:line="240" w:lineRule="auto"/>
              <w:jc w:val="left"/>
              <w:rPr>
                <w:sz w:val="20"/>
              </w:rPr>
            </w:pPr>
          </w:p>
          <w:p w14:paraId="09183381" w14:textId="77777777" w:rsidR="007C11E9" w:rsidRPr="000A3A07" w:rsidRDefault="007C11E9">
            <w:pPr>
              <w:spacing w:before="0" w:line="240" w:lineRule="auto"/>
              <w:jc w:val="left"/>
              <w:rPr>
                <w:sz w:val="20"/>
              </w:rPr>
            </w:pPr>
            <w:r w:rsidRPr="000A3A07">
              <w:rPr>
                <w:sz w:val="20"/>
              </w:rPr>
              <w:t>Inkomster av statens kapitalfonder</w:t>
            </w:r>
          </w:p>
          <w:p w14:paraId="007C8A2C" w14:textId="77777777" w:rsidR="007C11E9" w:rsidRPr="000A3A07" w:rsidRDefault="007C11E9">
            <w:pPr>
              <w:spacing w:before="0" w:line="240" w:lineRule="auto"/>
              <w:jc w:val="left"/>
              <w:rPr>
                <w:sz w:val="20"/>
              </w:rPr>
            </w:pPr>
          </w:p>
          <w:p w14:paraId="44CD7733" w14:textId="77777777" w:rsidR="007C11E9" w:rsidRPr="000A3A07" w:rsidRDefault="007C11E9">
            <w:pPr>
              <w:spacing w:before="0" w:line="240" w:lineRule="auto"/>
              <w:jc w:val="left"/>
              <w:rPr>
                <w:sz w:val="20"/>
              </w:rPr>
            </w:pPr>
            <w:r w:rsidRPr="000A3A07">
              <w:rPr>
                <w:sz w:val="20"/>
              </w:rPr>
              <w:t>Avskrivningar inom kapitalfonderna</w:t>
            </w:r>
          </w:p>
          <w:p w14:paraId="1962C8BB" w14:textId="77777777" w:rsidR="007C11E9" w:rsidRPr="000A3A07" w:rsidRDefault="007C11E9">
            <w:pPr>
              <w:spacing w:before="0" w:line="240" w:lineRule="auto"/>
              <w:rPr>
                <w:sz w:val="20"/>
              </w:rPr>
            </w:pPr>
            <w:r w:rsidRPr="000A3A07">
              <w:rPr>
                <w:sz w:val="20"/>
              </w:rPr>
              <w:t xml:space="preserve">       Statens järnvägar</w:t>
            </w:r>
          </w:p>
          <w:p w14:paraId="7DBB6DC5" w14:textId="77777777" w:rsidR="007C11E9" w:rsidRPr="000A3A07" w:rsidRDefault="007C11E9">
            <w:pPr>
              <w:spacing w:before="0" w:line="240" w:lineRule="auto"/>
              <w:rPr>
                <w:sz w:val="20"/>
              </w:rPr>
            </w:pPr>
          </w:p>
          <w:p w14:paraId="1A6F157B" w14:textId="77777777" w:rsidR="007C11E9" w:rsidRPr="000A3A07" w:rsidRDefault="007C11E9">
            <w:pPr>
              <w:spacing w:before="0" w:line="240" w:lineRule="auto"/>
              <w:rPr>
                <w:sz w:val="20"/>
              </w:rPr>
            </w:pPr>
            <w:r w:rsidRPr="000A3A07">
              <w:rPr>
                <w:sz w:val="20"/>
              </w:rPr>
              <w:t>Övriga kapitalmedel</w:t>
            </w:r>
          </w:p>
          <w:p w14:paraId="3297CD5A" w14:textId="77777777" w:rsidR="007C11E9" w:rsidRPr="000A3A07" w:rsidRDefault="007C11E9">
            <w:pPr>
              <w:pStyle w:val="Normaltindrag"/>
              <w:ind w:firstLine="0"/>
            </w:pPr>
          </w:p>
          <w:p w14:paraId="04ADBBFB" w14:textId="77777777" w:rsidR="007C11E9" w:rsidRPr="000A3A07" w:rsidRDefault="007C11E9">
            <w:pPr>
              <w:pStyle w:val="Normaltindrag"/>
              <w:ind w:firstLine="0"/>
            </w:pPr>
          </w:p>
          <w:p w14:paraId="18114E33" w14:textId="77777777" w:rsidR="007C11E9" w:rsidRPr="000A3A07" w:rsidRDefault="007C11E9">
            <w:pPr>
              <w:spacing w:before="0" w:line="240" w:lineRule="auto"/>
              <w:rPr>
                <w:b/>
              </w:rPr>
            </w:pPr>
            <w:r w:rsidRPr="000A3A07">
              <w:rPr>
                <w:b/>
              </w:rPr>
              <w:t>Summa</w:t>
            </w:r>
          </w:p>
          <w:p w14:paraId="6AF1AEFA" w14:textId="77777777" w:rsidR="007C11E9" w:rsidRPr="000A3A07" w:rsidRDefault="007C11E9">
            <w:pPr>
              <w:spacing w:before="0" w:line="240" w:lineRule="auto"/>
              <w:rPr>
                <w:b/>
                <w:sz w:val="20"/>
              </w:rPr>
            </w:pPr>
          </w:p>
          <w:p w14:paraId="54D28C5A" w14:textId="77777777" w:rsidR="007C11E9" w:rsidRPr="000A3A07" w:rsidRDefault="007C11E9">
            <w:pPr>
              <w:spacing w:before="0" w:line="240" w:lineRule="auto"/>
              <w:rPr>
                <w:sz w:val="20"/>
              </w:rPr>
            </w:pPr>
            <w:r w:rsidRPr="000A3A07">
              <w:rPr>
                <w:b/>
                <w:sz w:val="20"/>
              </w:rPr>
              <w:t>Underskott</w:t>
            </w:r>
          </w:p>
        </w:tc>
        <w:tc>
          <w:tcPr>
            <w:tcW w:w="850" w:type="dxa"/>
            <w:tcBorders>
              <w:left w:val="nil"/>
              <w:bottom w:val="nil"/>
            </w:tcBorders>
          </w:tcPr>
          <w:p w14:paraId="2C5F4950" w14:textId="77777777" w:rsidR="007C11E9" w:rsidRPr="000A3A07" w:rsidRDefault="007C11E9">
            <w:pPr>
              <w:spacing w:before="120" w:line="240" w:lineRule="auto"/>
              <w:jc w:val="right"/>
              <w:rPr>
                <w:sz w:val="20"/>
              </w:rPr>
            </w:pPr>
            <w:r w:rsidRPr="000A3A07">
              <w:rPr>
                <w:sz w:val="20"/>
              </w:rPr>
              <w:t>32 025</w:t>
            </w:r>
          </w:p>
          <w:p w14:paraId="5E8C5C20" w14:textId="77777777" w:rsidR="007C11E9" w:rsidRPr="000A3A07" w:rsidRDefault="007C11E9">
            <w:pPr>
              <w:spacing w:before="0" w:line="240" w:lineRule="auto"/>
              <w:jc w:val="right"/>
              <w:rPr>
                <w:sz w:val="20"/>
              </w:rPr>
            </w:pPr>
          </w:p>
          <w:p w14:paraId="49B71E34" w14:textId="77777777" w:rsidR="007C11E9" w:rsidRPr="000A3A07" w:rsidRDefault="007C11E9">
            <w:pPr>
              <w:spacing w:before="0" w:line="240" w:lineRule="auto"/>
              <w:jc w:val="right"/>
              <w:rPr>
                <w:sz w:val="20"/>
              </w:rPr>
            </w:pPr>
          </w:p>
          <w:p w14:paraId="110E7DEC" w14:textId="77777777" w:rsidR="007C11E9" w:rsidRPr="000A3A07" w:rsidRDefault="007C11E9">
            <w:pPr>
              <w:spacing w:before="0" w:line="240" w:lineRule="auto"/>
              <w:jc w:val="right"/>
              <w:rPr>
                <w:sz w:val="20"/>
              </w:rPr>
            </w:pPr>
            <w:r w:rsidRPr="000A3A07">
              <w:rPr>
                <w:sz w:val="20"/>
              </w:rPr>
              <w:t>1 677</w:t>
            </w:r>
          </w:p>
          <w:p w14:paraId="74016FB8" w14:textId="77777777" w:rsidR="007C11E9" w:rsidRPr="000A3A07" w:rsidRDefault="007C11E9">
            <w:pPr>
              <w:spacing w:before="0" w:line="240" w:lineRule="auto"/>
              <w:jc w:val="right"/>
              <w:rPr>
                <w:sz w:val="20"/>
              </w:rPr>
            </w:pPr>
          </w:p>
          <w:p w14:paraId="7627CD64" w14:textId="77777777" w:rsidR="007C11E9" w:rsidRPr="000A3A07" w:rsidRDefault="007C11E9">
            <w:pPr>
              <w:spacing w:before="0" w:line="240" w:lineRule="auto"/>
              <w:jc w:val="right"/>
              <w:rPr>
                <w:sz w:val="20"/>
              </w:rPr>
            </w:pPr>
          </w:p>
          <w:p w14:paraId="6FFF76BA" w14:textId="77777777" w:rsidR="007C11E9" w:rsidRPr="000A3A07" w:rsidRDefault="007C11E9">
            <w:pPr>
              <w:spacing w:before="0" w:line="240" w:lineRule="auto"/>
              <w:jc w:val="right"/>
              <w:rPr>
                <w:sz w:val="20"/>
              </w:rPr>
            </w:pPr>
            <w:r w:rsidRPr="000A3A07">
              <w:rPr>
                <w:sz w:val="20"/>
              </w:rPr>
              <w:t>1 107</w:t>
            </w:r>
          </w:p>
          <w:p w14:paraId="367AB216" w14:textId="77777777" w:rsidR="007C11E9" w:rsidRPr="000A3A07" w:rsidRDefault="007C11E9">
            <w:pPr>
              <w:spacing w:before="0" w:line="240" w:lineRule="auto"/>
              <w:jc w:val="right"/>
              <w:rPr>
                <w:sz w:val="20"/>
              </w:rPr>
            </w:pPr>
            <w:r w:rsidRPr="000A3A07">
              <w:rPr>
                <w:sz w:val="20"/>
              </w:rPr>
              <w:t>255</w:t>
            </w:r>
          </w:p>
          <w:p w14:paraId="1C0EBADB" w14:textId="77777777" w:rsidR="007C11E9" w:rsidRPr="000A3A07" w:rsidRDefault="007C11E9">
            <w:pPr>
              <w:pStyle w:val="Normaltindrag"/>
              <w:spacing w:line="240" w:lineRule="auto"/>
              <w:jc w:val="right"/>
              <w:rPr>
                <w:sz w:val="20"/>
              </w:rPr>
            </w:pPr>
          </w:p>
          <w:p w14:paraId="7C231442" w14:textId="77777777" w:rsidR="007C11E9" w:rsidRPr="000A3A07" w:rsidRDefault="007C11E9">
            <w:pPr>
              <w:pStyle w:val="Normaltindrag"/>
              <w:spacing w:line="240" w:lineRule="auto"/>
              <w:jc w:val="right"/>
            </w:pPr>
            <w:r w:rsidRPr="000A3A07">
              <w:t>78</w:t>
            </w:r>
          </w:p>
          <w:p w14:paraId="68CD2AB9" w14:textId="77777777" w:rsidR="007C11E9" w:rsidRPr="000A3A07" w:rsidRDefault="007C11E9">
            <w:pPr>
              <w:pStyle w:val="Normaltindrag"/>
              <w:spacing w:line="240" w:lineRule="auto"/>
            </w:pPr>
          </w:p>
          <w:p w14:paraId="21ECFA10" w14:textId="77777777" w:rsidR="007C11E9" w:rsidRPr="000A3A07" w:rsidRDefault="007C11E9">
            <w:pPr>
              <w:spacing w:before="0" w:line="240" w:lineRule="auto"/>
              <w:jc w:val="right"/>
              <w:rPr>
                <w:b/>
                <w:sz w:val="20"/>
              </w:rPr>
            </w:pPr>
          </w:p>
          <w:p w14:paraId="1B41FF26" w14:textId="77777777" w:rsidR="007C11E9" w:rsidRPr="000A3A07" w:rsidRDefault="007C11E9">
            <w:pPr>
              <w:spacing w:before="0" w:line="240" w:lineRule="auto"/>
              <w:jc w:val="right"/>
              <w:rPr>
                <w:b/>
                <w:sz w:val="20"/>
              </w:rPr>
            </w:pPr>
            <w:r w:rsidRPr="000A3A07">
              <w:rPr>
                <w:b/>
                <w:sz w:val="20"/>
              </w:rPr>
              <w:t>34 997</w:t>
            </w:r>
          </w:p>
          <w:p w14:paraId="4DE60548" w14:textId="77777777" w:rsidR="007C11E9" w:rsidRPr="000A3A07" w:rsidRDefault="007C11E9">
            <w:pPr>
              <w:pStyle w:val="Normaltindrag"/>
            </w:pPr>
          </w:p>
          <w:p w14:paraId="0C658901" w14:textId="77777777" w:rsidR="007C11E9" w:rsidRPr="000A3A07" w:rsidRDefault="007C11E9">
            <w:pPr>
              <w:spacing w:before="0" w:line="240" w:lineRule="auto"/>
              <w:jc w:val="right"/>
              <w:rPr>
                <w:b/>
                <w:sz w:val="20"/>
              </w:rPr>
            </w:pPr>
            <w:r w:rsidRPr="000A3A07">
              <w:rPr>
                <w:b/>
                <w:sz w:val="20"/>
              </w:rPr>
              <w:t>1 094</w:t>
            </w:r>
          </w:p>
        </w:tc>
        <w:tc>
          <w:tcPr>
            <w:tcW w:w="2268" w:type="dxa"/>
            <w:tcBorders>
              <w:bottom w:val="nil"/>
              <w:right w:val="nil"/>
            </w:tcBorders>
          </w:tcPr>
          <w:p w14:paraId="2E45A9C8" w14:textId="77777777" w:rsidR="007C11E9" w:rsidRPr="000A3A07" w:rsidRDefault="007C11E9">
            <w:pPr>
              <w:spacing w:line="240" w:lineRule="auto"/>
              <w:rPr>
                <w:sz w:val="20"/>
              </w:rPr>
            </w:pPr>
            <w:r w:rsidRPr="000A3A07">
              <w:rPr>
                <w:sz w:val="20"/>
              </w:rPr>
              <w:t>Utgiftsanslag</w:t>
            </w:r>
          </w:p>
          <w:p w14:paraId="418F1CE5" w14:textId="77777777" w:rsidR="007C11E9" w:rsidRPr="000A3A07" w:rsidRDefault="007C11E9">
            <w:pPr>
              <w:numPr>
                <w:ilvl w:val="0"/>
                <w:numId w:val="61"/>
              </w:numPr>
              <w:spacing w:before="0" w:line="240" w:lineRule="auto"/>
              <w:jc w:val="left"/>
              <w:rPr>
                <w:sz w:val="20"/>
              </w:rPr>
            </w:pPr>
            <w:r w:rsidRPr="000A3A07">
              <w:rPr>
                <w:sz w:val="20"/>
              </w:rPr>
              <w:t xml:space="preserve">Kungl Hov- och slottsstaterna </w:t>
            </w:r>
          </w:p>
          <w:p w14:paraId="2A5462B9" w14:textId="77777777" w:rsidR="007C11E9" w:rsidRPr="000A3A07" w:rsidRDefault="007C11E9">
            <w:pPr>
              <w:pStyle w:val="Normaltindrag"/>
            </w:pPr>
          </w:p>
          <w:p w14:paraId="025C0B68" w14:textId="77777777" w:rsidR="007C11E9" w:rsidRPr="000A3A07" w:rsidRDefault="007C11E9">
            <w:pPr>
              <w:numPr>
                <w:ilvl w:val="0"/>
                <w:numId w:val="61"/>
              </w:numPr>
              <w:spacing w:before="0" w:line="240" w:lineRule="auto"/>
              <w:rPr>
                <w:sz w:val="20"/>
              </w:rPr>
            </w:pPr>
            <w:r w:rsidRPr="000A3A07">
              <w:rPr>
                <w:sz w:val="20"/>
              </w:rPr>
              <w:t>Justitiedepar</w:t>
            </w:r>
            <w:r w:rsidRPr="000A3A07">
              <w:rPr>
                <w:sz w:val="20"/>
              </w:rPr>
              <w:t>t</w:t>
            </w:r>
            <w:r w:rsidRPr="000A3A07">
              <w:rPr>
                <w:sz w:val="20"/>
              </w:rPr>
              <w:t>mentet</w:t>
            </w:r>
          </w:p>
          <w:p w14:paraId="202E511A" w14:textId="77777777" w:rsidR="007C11E9" w:rsidRPr="000A3A07" w:rsidRDefault="007C11E9">
            <w:pPr>
              <w:spacing w:before="0" w:line="240" w:lineRule="auto"/>
              <w:rPr>
                <w:sz w:val="20"/>
              </w:rPr>
            </w:pPr>
            <w:r w:rsidRPr="000A3A07">
              <w:rPr>
                <w:sz w:val="20"/>
              </w:rPr>
              <w:t>........</w:t>
            </w:r>
          </w:p>
          <w:p w14:paraId="2BEA0E64" w14:textId="77777777" w:rsidR="007C11E9" w:rsidRPr="000A3A07" w:rsidRDefault="007C11E9">
            <w:pPr>
              <w:spacing w:before="0" w:line="240" w:lineRule="auto"/>
              <w:rPr>
                <w:sz w:val="20"/>
              </w:rPr>
            </w:pPr>
            <w:r w:rsidRPr="000A3A07">
              <w:rPr>
                <w:sz w:val="20"/>
              </w:rPr>
              <w:t>VI   Kommunikationsdep</w:t>
            </w:r>
          </w:p>
          <w:p w14:paraId="4D36E8CB" w14:textId="77777777" w:rsidR="007C11E9" w:rsidRPr="000A3A07" w:rsidRDefault="007C11E9">
            <w:pPr>
              <w:spacing w:before="0" w:line="240" w:lineRule="auto"/>
              <w:ind w:left="340"/>
              <w:jc w:val="left"/>
              <w:rPr>
                <w:sz w:val="20"/>
              </w:rPr>
            </w:pPr>
            <w:r w:rsidRPr="000A3A07">
              <w:rPr>
                <w:sz w:val="20"/>
              </w:rPr>
              <w:t>Statens järnvägar, i</w:t>
            </w:r>
            <w:r w:rsidRPr="000A3A07">
              <w:rPr>
                <w:sz w:val="20"/>
              </w:rPr>
              <w:t>n</w:t>
            </w:r>
            <w:r w:rsidRPr="000A3A07">
              <w:rPr>
                <w:sz w:val="20"/>
              </w:rPr>
              <w:t>vest</w:t>
            </w:r>
            <w:r w:rsidRPr="000A3A07">
              <w:rPr>
                <w:sz w:val="20"/>
              </w:rPr>
              <w:t>e</w:t>
            </w:r>
            <w:r w:rsidRPr="000A3A07">
              <w:rPr>
                <w:sz w:val="20"/>
              </w:rPr>
              <w:t>ringar</w:t>
            </w:r>
          </w:p>
          <w:p w14:paraId="4E8DA51D" w14:textId="77777777" w:rsidR="007C11E9" w:rsidRPr="000A3A07" w:rsidRDefault="007C11E9">
            <w:pPr>
              <w:spacing w:before="0" w:line="240" w:lineRule="auto"/>
              <w:rPr>
                <w:sz w:val="20"/>
              </w:rPr>
            </w:pPr>
          </w:p>
          <w:p w14:paraId="2B041C8F" w14:textId="77777777" w:rsidR="007C11E9" w:rsidRPr="000A3A07" w:rsidRDefault="007C11E9">
            <w:pPr>
              <w:spacing w:before="0" w:line="240" w:lineRule="auto"/>
              <w:rPr>
                <w:b/>
                <w:sz w:val="20"/>
              </w:rPr>
            </w:pPr>
          </w:p>
          <w:p w14:paraId="57C85750" w14:textId="77777777" w:rsidR="007C11E9" w:rsidRPr="000A3A07" w:rsidRDefault="007C11E9">
            <w:pPr>
              <w:spacing w:before="0" w:line="240" w:lineRule="auto"/>
              <w:rPr>
                <w:b/>
                <w:sz w:val="20"/>
              </w:rPr>
            </w:pPr>
          </w:p>
          <w:p w14:paraId="3BCA8F33" w14:textId="77777777" w:rsidR="007C11E9" w:rsidRPr="000A3A07" w:rsidRDefault="007C11E9">
            <w:pPr>
              <w:spacing w:before="0" w:line="240" w:lineRule="auto"/>
              <w:rPr>
                <w:b/>
                <w:sz w:val="20"/>
              </w:rPr>
            </w:pPr>
            <w:r w:rsidRPr="000A3A07">
              <w:rPr>
                <w:b/>
                <w:sz w:val="20"/>
              </w:rPr>
              <w:t>Summa</w:t>
            </w:r>
          </w:p>
        </w:tc>
        <w:tc>
          <w:tcPr>
            <w:tcW w:w="709" w:type="dxa"/>
            <w:tcBorders>
              <w:left w:val="nil"/>
            </w:tcBorders>
          </w:tcPr>
          <w:p w14:paraId="64E46A05" w14:textId="77777777" w:rsidR="007C11E9" w:rsidRPr="000A3A07" w:rsidRDefault="007C11E9">
            <w:pPr>
              <w:jc w:val="right"/>
              <w:rPr>
                <w:sz w:val="20"/>
              </w:rPr>
            </w:pPr>
          </w:p>
          <w:p w14:paraId="29C4417F" w14:textId="77777777" w:rsidR="007C11E9" w:rsidRPr="000A3A07" w:rsidRDefault="007C11E9">
            <w:pPr>
              <w:spacing w:before="0" w:line="240" w:lineRule="auto"/>
              <w:jc w:val="right"/>
              <w:rPr>
                <w:sz w:val="20"/>
              </w:rPr>
            </w:pPr>
          </w:p>
          <w:p w14:paraId="69116C64" w14:textId="77777777" w:rsidR="007C11E9" w:rsidRPr="000A3A07" w:rsidRDefault="007C11E9">
            <w:pPr>
              <w:spacing w:before="0" w:line="240" w:lineRule="auto"/>
              <w:jc w:val="right"/>
              <w:rPr>
                <w:sz w:val="20"/>
              </w:rPr>
            </w:pPr>
            <w:r w:rsidRPr="000A3A07">
              <w:rPr>
                <w:sz w:val="20"/>
              </w:rPr>
              <w:t>7</w:t>
            </w:r>
          </w:p>
          <w:p w14:paraId="5C782E90" w14:textId="77777777" w:rsidR="007C11E9" w:rsidRPr="000A3A07" w:rsidRDefault="007C11E9">
            <w:pPr>
              <w:spacing w:before="0" w:line="240" w:lineRule="auto"/>
              <w:jc w:val="right"/>
              <w:rPr>
                <w:sz w:val="20"/>
              </w:rPr>
            </w:pPr>
          </w:p>
          <w:p w14:paraId="099F3C48" w14:textId="77777777" w:rsidR="007C11E9" w:rsidRPr="000A3A07" w:rsidRDefault="007C11E9">
            <w:pPr>
              <w:spacing w:before="0" w:line="240" w:lineRule="auto"/>
              <w:jc w:val="right"/>
              <w:rPr>
                <w:sz w:val="20"/>
              </w:rPr>
            </w:pPr>
            <w:r w:rsidRPr="000A3A07">
              <w:rPr>
                <w:sz w:val="20"/>
              </w:rPr>
              <w:t>1 155</w:t>
            </w:r>
          </w:p>
          <w:p w14:paraId="3CD85433" w14:textId="77777777" w:rsidR="007C11E9" w:rsidRPr="000A3A07" w:rsidRDefault="007C11E9">
            <w:pPr>
              <w:spacing w:before="0" w:line="240" w:lineRule="auto"/>
              <w:jc w:val="right"/>
              <w:rPr>
                <w:sz w:val="20"/>
              </w:rPr>
            </w:pPr>
          </w:p>
          <w:p w14:paraId="5222EB4A" w14:textId="77777777" w:rsidR="007C11E9" w:rsidRPr="000A3A07" w:rsidRDefault="007C11E9">
            <w:pPr>
              <w:spacing w:before="0" w:line="240" w:lineRule="auto"/>
              <w:jc w:val="right"/>
              <w:rPr>
                <w:sz w:val="20"/>
              </w:rPr>
            </w:pPr>
            <w:r w:rsidRPr="000A3A07">
              <w:rPr>
                <w:sz w:val="20"/>
              </w:rPr>
              <w:t>3 611</w:t>
            </w:r>
          </w:p>
          <w:p w14:paraId="20A949A8" w14:textId="77777777" w:rsidR="007C11E9" w:rsidRPr="000A3A07" w:rsidRDefault="007C11E9">
            <w:pPr>
              <w:spacing w:before="0" w:line="240" w:lineRule="auto"/>
              <w:jc w:val="right"/>
              <w:rPr>
                <w:sz w:val="20"/>
              </w:rPr>
            </w:pPr>
          </w:p>
          <w:p w14:paraId="197B685B" w14:textId="77777777" w:rsidR="007C11E9" w:rsidRPr="000A3A07" w:rsidRDefault="007C11E9">
            <w:pPr>
              <w:spacing w:before="0" w:line="240" w:lineRule="auto"/>
              <w:jc w:val="right"/>
              <w:rPr>
                <w:sz w:val="20"/>
              </w:rPr>
            </w:pPr>
            <w:r w:rsidRPr="000A3A07">
              <w:rPr>
                <w:sz w:val="20"/>
              </w:rPr>
              <w:t>428</w:t>
            </w:r>
          </w:p>
          <w:p w14:paraId="2E5F38FC" w14:textId="77777777" w:rsidR="007C11E9" w:rsidRPr="000A3A07" w:rsidRDefault="007C11E9">
            <w:pPr>
              <w:spacing w:before="0" w:line="240" w:lineRule="auto"/>
              <w:jc w:val="right"/>
              <w:rPr>
                <w:sz w:val="20"/>
              </w:rPr>
            </w:pPr>
          </w:p>
          <w:p w14:paraId="1619F1CB" w14:textId="77777777" w:rsidR="007C11E9" w:rsidRPr="000A3A07" w:rsidRDefault="007C11E9">
            <w:pPr>
              <w:pStyle w:val="Normaltindrag"/>
            </w:pPr>
          </w:p>
          <w:p w14:paraId="7C5DAED7" w14:textId="77777777" w:rsidR="007C11E9" w:rsidRPr="000A3A07" w:rsidRDefault="007C11E9">
            <w:pPr>
              <w:pStyle w:val="Normaltindrag"/>
            </w:pPr>
          </w:p>
          <w:p w14:paraId="310973DB" w14:textId="77777777" w:rsidR="007C11E9" w:rsidRPr="000A3A07" w:rsidRDefault="007C11E9">
            <w:pPr>
              <w:spacing w:before="0" w:line="240" w:lineRule="auto"/>
              <w:jc w:val="right"/>
              <w:rPr>
                <w:b/>
                <w:sz w:val="20"/>
              </w:rPr>
            </w:pPr>
            <w:r w:rsidRPr="000A3A07">
              <w:rPr>
                <w:b/>
                <w:sz w:val="20"/>
              </w:rPr>
              <w:t>36 091</w:t>
            </w:r>
          </w:p>
        </w:tc>
      </w:tr>
    </w:tbl>
    <w:p w14:paraId="04FAF7AF" w14:textId="77777777" w:rsidR="007C11E9" w:rsidRPr="000A3A07" w:rsidRDefault="007C11E9">
      <w:r w:rsidRPr="000A3A07">
        <w:t>På totalbudgeten belastades utgiftssidan med hela investeringsbeloppet för exempelvis SJ:s investeringar, oavsett finansieringsform. På inkomstsidan bokades avskrivningar inom fonden, dvs. egentligen driftsintäkter som fina</w:t>
      </w:r>
      <w:r w:rsidRPr="000A3A07">
        <w:t>n</w:t>
      </w:r>
      <w:r w:rsidRPr="000A3A07">
        <w:t>sierar investeringar. Totalbudgeten blev således en budget för statens alla inkomster och utgifter. Totalbudgetens saldo visade statens lånebehov, som således understeg kapitalbudgetens lånemedel, eftersom driftbudgeten visade överskott.</w:t>
      </w:r>
    </w:p>
    <w:p w14:paraId="2AFCB40A" w14:textId="77777777" w:rsidR="007C11E9" w:rsidRPr="000A3A07" w:rsidRDefault="007C11E9">
      <w:pPr>
        <w:pStyle w:val="Normaltindrag"/>
      </w:pPr>
      <w:r w:rsidRPr="000A3A07">
        <w:t>Systemet med drift- och kapitalbudget avskaffades 1980. Som skäl anfö</w:t>
      </w:r>
      <w:r w:rsidRPr="000A3A07">
        <w:t>r</w:t>
      </w:r>
      <w:r w:rsidRPr="000A3A07">
        <w:t xml:space="preserve">des då bl.a. att det var komplicerat och därmed också svårt att överblicka. Vidare fanns svårigheter och ett visst godtycke i hur främst avskrivningarna skulle mätas. </w:t>
      </w:r>
    </w:p>
    <w:p w14:paraId="3B93B7B4" w14:textId="77777777" w:rsidR="007C11E9" w:rsidRPr="000A3A07" w:rsidRDefault="007C11E9">
      <w:pPr>
        <w:pStyle w:val="RubrikUtanNr2"/>
      </w:pPr>
      <w:bookmarkStart w:id="140" w:name="_Toc496581029"/>
      <w:bookmarkStart w:id="141" w:name="_Toc506340966"/>
      <w:r w:rsidRPr="000A3A07">
        <w:t>En kostnadsmässig budget</w:t>
      </w:r>
      <w:bookmarkEnd w:id="140"/>
      <w:bookmarkEnd w:id="141"/>
    </w:p>
    <w:p w14:paraId="2CFB4697" w14:textId="77777777" w:rsidR="007C11E9" w:rsidRPr="000A3A07" w:rsidRDefault="007C11E9">
      <w:r w:rsidRPr="000A3A07">
        <w:t>Inom ramen för det s k Vesta-projektet övervägs en övergång till en budge</w:t>
      </w:r>
      <w:r w:rsidRPr="000A3A07">
        <w:t>t</w:t>
      </w:r>
      <w:r w:rsidRPr="000A3A07">
        <w:t>redovisning som i högre grad baseras på kostnader i stället för utgifter. En konsekvent övergång till kostnadsbudgetering skulle få stora effekter på hur investeringar redovisas i budgeten. Ett kostnadsbaserat anslag skall belastas med dels avskrivningar, dels räntor på eventuella lån som finansierat invest</w:t>
      </w:r>
      <w:r w:rsidRPr="000A3A07">
        <w:t>e</w:t>
      </w:r>
      <w:r w:rsidRPr="000A3A07">
        <w:t xml:space="preserve">ringen. </w:t>
      </w:r>
    </w:p>
    <w:p w14:paraId="3ECFCC4C" w14:textId="77777777" w:rsidR="007C11E9" w:rsidRPr="000A3A07" w:rsidRDefault="007C11E9">
      <w:pPr>
        <w:pStyle w:val="Normaltindrag"/>
      </w:pPr>
      <w:r w:rsidRPr="000A3A07">
        <w:t>Om även motsvarigheten till utgiftsramar och utgiftstak definieras i kos</w:t>
      </w:r>
      <w:r w:rsidRPr="000A3A07">
        <w:t>t</w:t>
      </w:r>
      <w:r w:rsidRPr="000A3A07">
        <w:t>nadstermer sätts restriktionen att avse avskrivningar och räntor på tidigare gjorda investeringar. Däremot kommer inte nya investeringar att begränsas av restriktionerna under den period investeringen genomförs. Det blir i stället restrikti</w:t>
      </w:r>
      <w:r w:rsidRPr="000A3A07">
        <w:t>o</w:t>
      </w:r>
      <w:r w:rsidRPr="000A3A07">
        <w:t xml:space="preserve">ner för framtida år som sätter en gräns för investeringarna. </w:t>
      </w:r>
    </w:p>
    <w:p w14:paraId="44DD575A" w14:textId="77777777" w:rsidR="007C11E9" w:rsidRPr="000A3A07" w:rsidRDefault="007C11E9">
      <w:pPr>
        <w:pStyle w:val="Normaltindrag"/>
      </w:pPr>
    </w:p>
    <w:p w14:paraId="7A6CE611" w14:textId="77777777" w:rsidR="007C11E9" w:rsidRPr="000A3A07" w:rsidRDefault="007C11E9">
      <w:pPr>
        <w:pStyle w:val="Normaltindrag"/>
        <w:sectPr w:rsidR="00000000" w:rsidRPr="000A3A07">
          <w:headerReference w:type="default" r:id="rId35"/>
          <w:footerReference w:type="default" r:id="rId36"/>
          <w:footnotePr>
            <w:numRestart w:val="eachSect"/>
          </w:footnotePr>
          <w:endnotePr>
            <w:numRestart w:val="eachSect"/>
          </w:endnotePr>
          <w:pgSz w:w="11906" w:h="16838" w:code="9"/>
          <w:pgMar w:top="567" w:right="4876" w:bottom="4508" w:left="1134" w:header="227" w:footer="227" w:gutter="0"/>
          <w:cols w:space="720"/>
        </w:sectPr>
      </w:pPr>
    </w:p>
    <w:p w14:paraId="3EC31A3B" w14:textId="77777777" w:rsidR="007C11E9" w:rsidRPr="000A3A07" w:rsidRDefault="007C11E9">
      <w:pPr>
        <w:pStyle w:val="Normaltindrag"/>
      </w:pPr>
    </w:p>
    <w:p w14:paraId="5DD20D3E" w14:textId="77777777" w:rsidR="007C11E9" w:rsidRPr="000A3A07" w:rsidRDefault="007C11E9">
      <w:pPr>
        <w:pStyle w:val="Normaltindrag"/>
      </w:pPr>
    </w:p>
    <w:p w14:paraId="5E52EC1F" w14:textId="77777777" w:rsidR="007C11E9" w:rsidRPr="000A3A07" w:rsidRDefault="007C11E9">
      <w:pPr>
        <w:pStyle w:val="Normaltindrag"/>
        <w:sectPr w:rsidR="00000000" w:rsidRPr="000A3A07">
          <w:headerReference w:type="default" r:id="rId37"/>
          <w:footerReference w:type="default" r:id="rId38"/>
          <w:footnotePr>
            <w:numRestart w:val="eachSect"/>
          </w:footnotePr>
          <w:endnotePr>
            <w:numRestart w:val="eachSect"/>
          </w:endnotePr>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0A3A07" w14:paraId="0A0F14C2" w14:textId="77777777">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14:paraId="2E3950FB" w14:textId="77777777" w:rsidR="007C11E9" w:rsidRPr="000A3A07" w:rsidRDefault="007C11E9">
            <w:pPr>
              <w:pStyle w:val="HuvudRubrik"/>
            </w:pPr>
          </w:p>
          <w:p w14:paraId="67E4805A" w14:textId="77777777" w:rsidR="007C11E9" w:rsidRPr="000A3A07" w:rsidRDefault="007C11E9">
            <w:pPr>
              <w:pStyle w:val="HuvudRubrik"/>
            </w:pPr>
          </w:p>
          <w:p w14:paraId="441CEE5D" w14:textId="77777777" w:rsidR="007C11E9" w:rsidRPr="000A3A07" w:rsidRDefault="007C11E9">
            <w:pPr>
              <w:pStyle w:val="HuvudRubrik"/>
            </w:pPr>
          </w:p>
          <w:p w14:paraId="24F12E51" w14:textId="77777777" w:rsidR="007C11E9" w:rsidRPr="000A3A07" w:rsidRDefault="007C11E9">
            <w:pPr>
              <w:pStyle w:val="HuvudRubrik"/>
              <w:spacing w:before="240"/>
            </w:pPr>
            <w:r w:rsidRPr="000A3A07">
              <w:t>Rapport 2000/01:5</w:t>
            </w:r>
          </w:p>
        </w:tc>
        <w:tc>
          <w:tcPr>
            <w:tcW w:w="2126" w:type="dxa"/>
            <w:gridSpan w:val="2"/>
            <w:tcBorders>
              <w:bottom w:val="single" w:sz="6" w:space="0" w:color="auto"/>
            </w:tcBorders>
          </w:tcPr>
          <w:p w14:paraId="538AACAC" w14:textId="1588DD6A" w:rsidR="007C11E9" w:rsidRPr="000A3A07" w:rsidRDefault="000A3A07">
            <w:pPr>
              <w:pStyle w:val="rtal"/>
              <w:spacing w:before="120"/>
              <w:ind w:left="0"/>
            </w:pPr>
            <w:r w:rsidRPr="000A3A07">
              <w:rPr>
                <w:noProof/>
              </w:rPr>
              <w:drawing>
                <wp:inline distT="0" distB="0" distL="0" distR="0" wp14:anchorId="5D8904A8" wp14:editId="28C480AB">
                  <wp:extent cx="1094105" cy="10941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0A3A07" w14:paraId="0937BC4C" w14:textId="77777777">
        <w:tblPrEx>
          <w:tblCellMar>
            <w:top w:w="0" w:type="dxa"/>
            <w:bottom w:w="0" w:type="dxa"/>
          </w:tblCellMar>
        </w:tblPrEx>
        <w:trPr>
          <w:cantSplit/>
          <w:trHeight w:hRule="exact" w:val="660"/>
        </w:trPr>
        <w:tc>
          <w:tcPr>
            <w:tcW w:w="3012" w:type="dxa"/>
          </w:tcPr>
          <w:p w14:paraId="7F9C1AE2" w14:textId="77777777" w:rsidR="007C11E9" w:rsidRPr="000A3A07" w:rsidRDefault="007C11E9">
            <w:pPr>
              <w:pStyle w:val="StatusSida1"/>
            </w:pPr>
          </w:p>
          <w:p w14:paraId="22C04A16" w14:textId="77777777" w:rsidR="007C11E9" w:rsidRPr="000A3A07" w:rsidRDefault="007C11E9">
            <w:pPr>
              <w:pStyle w:val="StatusSida1"/>
            </w:pPr>
          </w:p>
        </w:tc>
        <w:tc>
          <w:tcPr>
            <w:tcW w:w="2445" w:type="dxa"/>
            <w:gridSpan w:val="2"/>
          </w:tcPr>
          <w:p w14:paraId="45E6FCBE" w14:textId="77777777" w:rsidR="007C11E9" w:rsidRPr="000A3A07" w:rsidRDefault="007C11E9">
            <w:pPr>
              <w:pStyle w:val="UtskriftsdatumSida1"/>
              <w:rPr>
                <w:b/>
                <w:sz w:val="28"/>
              </w:rPr>
            </w:pPr>
          </w:p>
        </w:tc>
        <w:tc>
          <w:tcPr>
            <w:tcW w:w="2126" w:type="dxa"/>
            <w:gridSpan w:val="2"/>
          </w:tcPr>
          <w:p w14:paraId="497ADB31" w14:textId="77777777" w:rsidR="007C11E9" w:rsidRPr="000A3A07" w:rsidRDefault="007C11E9"/>
        </w:tc>
      </w:tr>
    </w:tbl>
    <w:p w14:paraId="3A3F6CC0" w14:textId="77777777" w:rsidR="007C11E9" w:rsidRPr="000A3A07" w:rsidRDefault="007C11E9"/>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863"/>
        <w:gridCol w:w="1547"/>
      </w:tblGrid>
      <w:tr w:rsidR="00000000" w:rsidRPr="000A3A07" w14:paraId="4AA5F30B" w14:textId="77777777">
        <w:tblPrEx>
          <w:tblCellMar>
            <w:top w:w="0" w:type="dxa"/>
            <w:bottom w:w="0" w:type="dxa"/>
          </w:tblCellMar>
        </w:tblPrEx>
        <w:trPr>
          <w:gridAfter w:val="1"/>
          <w:wAfter w:w="1547" w:type="dxa"/>
          <w:cantSplit/>
        </w:trPr>
        <w:tc>
          <w:tcPr>
            <w:tcW w:w="6036" w:type="dxa"/>
            <w:gridSpan w:val="3"/>
          </w:tcPr>
          <w:p w14:paraId="2E3BE3FB" w14:textId="77777777" w:rsidR="007C11E9" w:rsidRPr="000A3A07" w:rsidRDefault="007C11E9">
            <w:pPr>
              <w:spacing w:before="240"/>
            </w:pPr>
          </w:p>
        </w:tc>
      </w:tr>
      <w:tr w:rsidR="00000000" w:rsidRPr="000A3A07" w14:paraId="1DC28155" w14:textId="77777777">
        <w:tblPrEx>
          <w:tblCellMar>
            <w:top w:w="0" w:type="dxa"/>
            <w:bottom w:w="0" w:type="dxa"/>
          </w:tblCellMar>
        </w:tblPrEx>
        <w:trPr>
          <w:gridAfter w:val="1"/>
          <w:wAfter w:w="1547" w:type="dxa"/>
          <w:cantSplit/>
          <w:trHeight w:val="6000"/>
        </w:trPr>
        <w:tc>
          <w:tcPr>
            <w:tcW w:w="6036" w:type="dxa"/>
            <w:gridSpan w:val="3"/>
          </w:tcPr>
          <w:p w14:paraId="5B69C52F" w14:textId="77777777" w:rsidR="007C11E9" w:rsidRPr="000A3A07" w:rsidRDefault="007C11E9">
            <w:pPr>
              <w:spacing w:line="560" w:lineRule="exact"/>
              <w:rPr>
                <w:sz w:val="56"/>
              </w:rPr>
            </w:pPr>
            <w:r w:rsidRPr="000A3A07">
              <w:rPr>
                <w:sz w:val="56"/>
              </w:rPr>
              <w:t xml:space="preserve"> Bilaga 1</w:t>
            </w:r>
          </w:p>
          <w:p w14:paraId="03BE9443" w14:textId="77777777" w:rsidR="007C11E9" w:rsidRPr="000A3A07" w:rsidRDefault="007C11E9">
            <w:pPr>
              <w:pStyle w:val="HuvudRubrik"/>
              <w:rPr>
                <w:sz w:val="32"/>
              </w:rPr>
            </w:pPr>
          </w:p>
          <w:p w14:paraId="414A8F4E" w14:textId="77777777" w:rsidR="007C11E9" w:rsidRPr="000A3A07" w:rsidRDefault="007C11E9">
            <w:pPr>
              <w:pStyle w:val="HuvudRubrik"/>
              <w:rPr>
                <w:sz w:val="32"/>
              </w:rPr>
            </w:pPr>
          </w:p>
          <w:p w14:paraId="64686951" w14:textId="77777777" w:rsidR="007C11E9" w:rsidRPr="000A3A07" w:rsidRDefault="007C11E9">
            <w:pPr>
              <w:pStyle w:val="HuvudRubrik"/>
              <w:rPr>
                <w:sz w:val="32"/>
              </w:rPr>
            </w:pPr>
          </w:p>
          <w:p w14:paraId="149D3B4B" w14:textId="77777777" w:rsidR="007C11E9" w:rsidRPr="000A3A07" w:rsidRDefault="007C11E9">
            <w:pPr>
              <w:pStyle w:val="HuvudRubrik"/>
              <w:rPr>
                <w:sz w:val="32"/>
              </w:rPr>
            </w:pPr>
            <w:r w:rsidRPr="000A3A07">
              <w:rPr>
                <w:sz w:val="32"/>
              </w:rPr>
              <w:t>Beslutsunderlaget för Arlandabanan: en granskning av de samhällsekonomiska bedömningarna</w:t>
            </w:r>
          </w:p>
          <w:p w14:paraId="6EF8712D" w14:textId="77777777" w:rsidR="007C11E9" w:rsidRPr="000A3A07" w:rsidRDefault="007C11E9">
            <w:pPr>
              <w:pStyle w:val="HuvudRubrik"/>
            </w:pPr>
          </w:p>
          <w:p w14:paraId="4C1ACFBF" w14:textId="77777777" w:rsidR="007C11E9" w:rsidRPr="000A3A07" w:rsidRDefault="007C11E9">
            <w:r w:rsidRPr="000A3A07">
              <w:t>Lars Hultkrantz</w:t>
            </w:r>
          </w:p>
          <w:p w14:paraId="3BA0AABA" w14:textId="77777777" w:rsidR="007C11E9" w:rsidRPr="000A3A07" w:rsidRDefault="007C11E9">
            <w:r w:rsidRPr="000A3A07">
              <w:t>2000-05-28</w:t>
            </w:r>
          </w:p>
        </w:tc>
      </w:tr>
      <w:tr w:rsidR="00000000" w:rsidRPr="000A3A07" w14:paraId="70B5A4AD" w14:textId="77777777">
        <w:tblPrEx>
          <w:tblCellMar>
            <w:top w:w="0" w:type="dxa"/>
            <w:bottom w:w="0" w:type="dxa"/>
          </w:tblCellMar>
        </w:tblPrEx>
        <w:trPr>
          <w:cantSplit/>
        </w:trPr>
        <w:tc>
          <w:tcPr>
            <w:tcW w:w="7583" w:type="dxa"/>
            <w:gridSpan w:val="4"/>
          </w:tcPr>
          <w:p w14:paraId="49E85299" w14:textId="77777777" w:rsidR="007C11E9" w:rsidRPr="000A3A07" w:rsidRDefault="007C11E9">
            <w:pPr>
              <w:pStyle w:val="Citat"/>
              <w:spacing w:before="0" w:line="245" w:lineRule="exact"/>
            </w:pPr>
          </w:p>
        </w:tc>
      </w:tr>
      <w:tr w:rsidR="00000000" w:rsidRPr="000A3A07" w14:paraId="4B511B98" w14:textId="77777777">
        <w:tblPrEx>
          <w:tblCellMar>
            <w:top w:w="0" w:type="dxa"/>
            <w:bottom w:w="0" w:type="dxa"/>
          </w:tblCellMar>
        </w:tblPrEx>
        <w:tc>
          <w:tcPr>
            <w:tcW w:w="2905" w:type="dxa"/>
          </w:tcPr>
          <w:p w14:paraId="037B6CAC" w14:textId="77777777" w:rsidR="007C11E9" w:rsidRPr="000A3A07" w:rsidRDefault="007C11E9">
            <w:r w:rsidRPr="000A3A07">
              <w:t>RIKSDAGENS REVIS</w:t>
            </w:r>
            <w:r w:rsidRPr="000A3A07">
              <w:t>O</w:t>
            </w:r>
            <w:r w:rsidRPr="000A3A07">
              <w:t>RER</w:t>
            </w:r>
          </w:p>
        </w:tc>
        <w:tc>
          <w:tcPr>
            <w:tcW w:w="2268" w:type="dxa"/>
          </w:tcPr>
          <w:p w14:paraId="3104C4A6" w14:textId="77777777" w:rsidR="007C11E9" w:rsidRPr="000A3A07" w:rsidRDefault="007C11E9">
            <w:r w:rsidRPr="000A3A07">
              <w:t>TEL 08-786 40 00</w:t>
            </w:r>
          </w:p>
        </w:tc>
        <w:tc>
          <w:tcPr>
            <w:tcW w:w="2410" w:type="dxa"/>
            <w:gridSpan w:val="2"/>
          </w:tcPr>
          <w:p w14:paraId="1EF8D6B2" w14:textId="77777777" w:rsidR="007C11E9" w:rsidRPr="000A3A07" w:rsidRDefault="007C11E9">
            <w:r w:rsidRPr="000A3A07">
              <w:t>www.riksdagen.se/rr</w:t>
            </w:r>
          </w:p>
        </w:tc>
      </w:tr>
      <w:tr w:rsidR="00000000" w:rsidRPr="000A3A07" w14:paraId="15D1D702" w14:textId="77777777">
        <w:tblPrEx>
          <w:tblCellMar>
            <w:top w:w="0" w:type="dxa"/>
            <w:bottom w:w="0" w:type="dxa"/>
          </w:tblCellMar>
        </w:tblPrEx>
        <w:tc>
          <w:tcPr>
            <w:tcW w:w="2905" w:type="dxa"/>
          </w:tcPr>
          <w:p w14:paraId="019C6127" w14:textId="77777777" w:rsidR="007C11E9" w:rsidRPr="000A3A07" w:rsidRDefault="007C11E9">
            <w:r w:rsidRPr="000A3A07">
              <w:t>100 12 STOCKHOLM</w:t>
            </w:r>
          </w:p>
        </w:tc>
        <w:tc>
          <w:tcPr>
            <w:tcW w:w="2268" w:type="dxa"/>
          </w:tcPr>
          <w:p w14:paraId="6747BADB" w14:textId="77777777" w:rsidR="007C11E9" w:rsidRPr="000A3A07" w:rsidRDefault="007C11E9">
            <w:r w:rsidRPr="000A3A07">
              <w:t>FAX 08-786 61 88</w:t>
            </w:r>
          </w:p>
        </w:tc>
        <w:tc>
          <w:tcPr>
            <w:tcW w:w="2410" w:type="dxa"/>
            <w:gridSpan w:val="2"/>
          </w:tcPr>
          <w:p w14:paraId="45D84B69" w14:textId="77777777" w:rsidR="007C11E9" w:rsidRPr="000A3A07" w:rsidRDefault="007C11E9"/>
        </w:tc>
      </w:tr>
    </w:tbl>
    <w:p w14:paraId="2E3235BA" w14:textId="77777777" w:rsidR="007C11E9" w:rsidRPr="000A3A07" w:rsidRDefault="007C11E9">
      <w:pPr>
        <w:sectPr w:rsidR="00000000" w:rsidRPr="000A3A07">
          <w:headerReference w:type="default" r:id="rId39"/>
          <w:footerReference w:type="default" r:id="rId40"/>
          <w:footnotePr>
            <w:numRestart w:val="eachSect"/>
          </w:footnotePr>
          <w:endnotePr>
            <w:numRestart w:val="eachSect"/>
          </w:endnotePr>
          <w:pgSz w:w="11906" w:h="16838" w:code="9"/>
          <w:pgMar w:top="567" w:right="4876" w:bottom="4508" w:left="1134" w:header="227" w:footer="227" w:gutter="0"/>
          <w:cols w:space="720"/>
        </w:sectPr>
      </w:pPr>
    </w:p>
    <w:p w14:paraId="5743FDC8" w14:textId="77777777" w:rsidR="007C11E9" w:rsidRPr="000A3A07" w:rsidRDefault="007C11E9">
      <w:pPr>
        <w:pStyle w:val="RubrikUtanNr"/>
        <w:sectPr w:rsidR="00000000" w:rsidRPr="000A3A07">
          <w:headerReference w:type="default" r:id="rId41"/>
          <w:footerReference w:type="default" r:id="rId42"/>
          <w:footnotePr>
            <w:numRestart w:val="eachSect"/>
          </w:footnotePr>
          <w:endnotePr>
            <w:numRestart w:val="eachSect"/>
          </w:endnotePr>
          <w:pgSz w:w="11906" w:h="16838" w:code="9"/>
          <w:pgMar w:top="567" w:right="4876" w:bottom="4508" w:left="1134" w:header="227" w:footer="227" w:gutter="0"/>
          <w:cols w:space="720"/>
        </w:sectPr>
      </w:pPr>
    </w:p>
    <w:p w14:paraId="666BB9FF" w14:textId="77777777" w:rsidR="007C11E9" w:rsidRPr="000A3A07" w:rsidRDefault="007C11E9">
      <w:pPr>
        <w:pStyle w:val="RubrikUtanNr"/>
      </w:pPr>
      <w:bookmarkStart w:id="142" w:name="_Toc497118126"/>
      <w:bookmarkStart w:id="143" w:name="_Toc506340967"/>
      <w:r w:rsidRPr="000A3A07">
        <w:t>Sammanfattning</w:t>
      </w:r>
      <w:bookmarkEnd w:id="142"/>
      <w:bookmarkEnd w:id="143"/>
    </w:p>
    <w:p w14:paraId="4DCB4B65" w14:textId="77777777" w:rsidR="007C11E9" w:rsidRPr="000A3A07" w:rsidRDefault="007C11E9">
      <w:r w:rsidRPr="000A3A07">
        <w:t>Denna studie granskar de tre olika samhällsekonomiska analyser som för</w:t>
      </w:r>
      <w:r w:rsidRPr="000A3A07">
        <w:t>e</w:t>
      </w:r>
      <w:r w:rsidRPr="000A3A07">
        <w:t>gick byggandet av Arlandabanan. Den planering som föregår en stor i</w:t>
      </w:r>
      <w:r w:rsidRPr="000A3A07">
        <w:t>n</w:t>
      </w:r>
      <w:r w:rsidRPr="000A3A07">
        <w:t>frastrukturinvestering är en kunskapsprocess i vilken samhällsekonomiska kalkyler kan användas som underlag för successiva ställningstaganden till projektets utformning. Den första studie av projektet som genomfördes av Banverket var ett fullgott underlag för beslutet att inleda ett detaljerat plan</w:t>
      </w:r>
      <w:r w:rsidRPr="000A3A07">
        <w:t>e</w:t>
      </w:r>
      <w:r w:rsidRPr="000A3A07">
        <w:t>ringsarbete. Den var emellertid inte ett tillräckligt underlag för ett slutligt ställningstagande till projektet, eftersom detta kom att genomf</w:t>
      </w:r>
      <w:r w:rsidRPr="000A3A07">
        <w:t>öras i former som på väsentliga punkter avvek från vad som kalkylerna hade förutsatt. Inte heller de två senare analyserna, varav den första utfördes av ett internati</w:t>
      </w:r>
      <w:r w:rsidRPr="000A3A07">
        <w:t>o</w:t>
      </w:r>
      <w:r w:rsidRPr="000A3A07">
        <w:t>nellt konsultföretag och den andra av Banverket, fyllde detta syfte. Vare sig de beslut som gällde den södra sträckningen av banan (mot Stockholm) eller den norra delen av banan (mot Uppsala) baserades på en samhällsekonomisk lönsamhetsbedömning av de åtgärder som kom att utföras. I studien påpekas även väsentliga brister i de kalkyler som utf</w:t>
      </w:r>
      <w:r w:rsidRPr="000A3A07">
        <w:t>ördes.</w:t>
      </w:r>
    </w:p>
    <w:p w14:paraId="0B1840C7" w14:textId="77777777" w:rsidR="007C11E9" w:rsidRPr="000A3A07" w:rsidRDefault="007C11E9">
      <w:pPr>
        <w:pStyle w:val="Rubrik1"/>
        <w:numPr>
          <w:ilvl w:val="0"/>
          <w:numId w:val="172"/>
        </w:numPr>
      </w:pPr>
      <w:r w:rsidRPr="000A3A07">
        <w:br w:type="page"/>
      </w:r>
      <w:bookmarkStart w:id="144" w:name="_Toc486235465"/>
      <w:bookmarkStart w:id="145" w:name="_Toc497118127"/>
      <w:bookmarkStart w:id="146" w:name="_Toc506340968"/>
      <w:r w:rsidRPr="000A3A07">
        <w:t>Inledning</w:t>
      </w:r>
      <w:bookmarkEnd w:id="144"/>
      <w:bookmarkEnd w:id="145"/>
      <w:bookmarkEnd w:id="146"/>
    </w:p>
    <w:p w14:paraId="3C79D907" w14:textId="77777777" w:rsidR="007C11E9" w:rsidRPr="000A3A07" w:rsidRDefault="007C11E9">
      <w:pPr>
        <w:pStyle w:val="Rubrik2"/>
      </w:pPr>
      <w:bookmarkStart w:id="147" w:name="_Toc486235466"/>
      <w:bookmarkStart w:id="148" w:name="_Toc497118128"/>
      <w:bookmarkStart w:id="149" w:name="_Toc506340969"/>
      <w:r w:rsidRPr="000A3A07">
        <w:t>Samhällsekonomiska analyser av Arlandabanan</w:t>
      </w:r>
      <w:bookmarkEnd w:id="147"/>
      <w:bookmarkEnd w:id="148"/>
      <w:bookmarkEnd w:id="149"/>
    </w:p>
    <w:p w14:paraId="2987A701" w14:textId="77777777" w:rsidR="007C11E9" w:rsidRPr="000A3A07" w:rsidRDefault="007C11E9">
      <w:r w:rsidRPr="000A3A07">
        <w:t>Denna studie granskar de tre olika samhällsekonomiska analyser (fortsät</w:t>
      </w:r>
      <w:r w:rsidRPr="000A3A07">
        <w:t>t</w:t>
      </w:r>
      <w:r w:rsidRPr="000A3A07">
        <w:t>ningsvis CBA som i  cost-benefit analysis) som föregick byggandet av A</w:t>
      </w:r>
      <w:r w:rsidRPr="000A3A07">
        <w:t>r</w:t>
      </w:r>
      <w:r w:rsidRPr="000A3A07">
        <w:t xml:space="preserve">landabanan. </w:t>
      </w:r>
    </w:p>
    <w:p w14:paraId="541E9373" w14:textId="77777777" w:rsidR="007C11E9" w:rsidRPr="000A3A07" w:rsidRDefault="007C11E9">
      <w:pPr>
        <w:pStyle w:val="Normaltindrag"/>
      </w:pPr>
      <w:r w:rsidRPr="000A3A07">
        <w:t>De tre CBA-studierna gällde olika delfrågor. I den första (Banverket 1990, BV1) var huvudfrågan om en Arlandabana borde byggas. Den andra var en studie utförd av ett konsultföretag (Salomon Brothers 1992, SB). Detta var inte en egentlig CBA men studerade flera frågor som är aktuella i en sådan analys. Dess huvudsyfte var att belysa om och  på vilka villkor en del av banan, nämligen den del som gällde expresstrafiken till St</w:t>
      </w:r>
      <w:r w:rsidRPr="000A3A07">
        <w:t>ockholm, kunde finansieras och drivas i privat regi. Den tredje utredningen (Banverket 1993, BV2) utförde en CBA av de frågor som återstod sedan detta lagts fast, dvs främst av hur anslutningen till fjärrtågstrafik från norr skulle ordnas.</w:t>
      </w:r>
    </w:p>
    <w:p w14:paraId="340B848F" w14:textId="77777777" w:rsidR="007C11E9" w:rsidRPr="000A3A07" w:rsidRDefault="007C11E9">
      <w:pPr>
        <w:pStyle w:val="Rubrik2"/>
      </w:pPr>
      <w:bookmarkStart w:id="150" w:name="_Toc486235467"/>
      <w:bookmarkStart w:id="151" w:name="_Toc497118129"/>
      <w:bookmarkStart w:id="152" w:name="_Toc506340970"/>
      <w:r w:rsidRPr="000A3A07">
        <w:t>Samhällsekonomisk kalkylering som hjälpmedel i en kunskapsprocess</w:t>
      </w:r>
      <w:bookmarkEnd w:id="150"/>
      <w:bookmarkEnd w:id="151"/>
      <w:bookmarkEnd w:id="152"/>
    </w:p>
    <w:p w14:paraId="38E93D5D" w14:textId="77777777" w:rsidR="007C11E9" w:rsidRPr="000A3A07" w:rsidRDefault="007C11E9">
      <w:r w:rsidRPr="000A3A07">
        <w:t>Vid granskningen av de tre underlagsstudierna har jag utgått från att geno</w:t>
      </w:r>
      <w:r w:rsidRPr="000A3A07">
        <w:t>m</w:t>
      </w:r>
      <w:r w:rsidRPr="000A3A07">
        <w:t>förandet av ett stort infrastrukturprojekt är en kunskapsprocess under vilken kunskap byggs upp gradvis interaktivt med att beslut fattas. Kunskapsup</w:t>
      </w:r>
      <w:r w:rsidRPr="000A3A07">
        <w:t>p</w:t>
      </w:r>
      <w:r w:rsidRPr="000A3A07">
        <w:t>byggande är mycket kostsamt så det är orimligt att tänka sig att ett beslut om ett stort projekt grundas på en samhällsekonomisk analys vid endast ett til</w:t>
      </w:r>
      <w:r w:rsidRPr="000A3A07">
        <w:t>l</w:t>
      </w:r>
      <w:r w:rsidRPr="000A3A07">
        <w:t>fälle som sammanfattar all relevant kunskap.  Istället  går processen stegvis. Den startar med en idé eller ett önskemål om att en viss infrastrukturåtgärd skall genomföras. Om man efter en första gransknin</w:t>
      </w:r>
      <w:r w:rsidRPr="000A3A07">
        <w:t>g väljer att gå vidare genomförs en närmare planering av åtgärden. Förutsättningar ändras, ny information kommer. I detta skede behöver man  ta ställning till olika u</w:t>
      </w:r>
      <w:r w:rsidRPr="000A3A07">
        <w:t>t</w:t>
      </w:r>
      <w:r w:rsidRPr="000A3A07">
        <w:t>formningar av projektet, men kanske även ompröva projektet i sin helhet. I ett tredje skede är åtgärden utförd och den nya infrastrukturen börjar anvä</w:t>
      </w:r>
      <w:r w:rsidRPr="000A3A07">
        <w:t>n</w:t>
      </w:r>
      <w:r w:rsidRPr="000A3A07">
        <w:t>das. Man erhåller då, eller skulle kunna skaffa sig, kunskap om det faktiska utfallet som är värdefull både för utformningen av andra infrastrukturåtgä</w:t>
      </w:r>
      <w:r w:rsidRPr="000A3A07">
        <w:t>r</w:t>
      </w:r>
      <w:r w:rsidRPr="000A3A07">
        <w:t>der och för utvecklingen av den samhällsek</w:t>
      </w:r>
      <w:r w:rsidRPr="000A3A07">
        <w:t>onomiska kalkylmetodiken.</w:t>
      </w:r>
    </w:p>
    <w:p w14:paraId="66E3E356" w14:textId="77777777" w:rsidR="007C11E9" w:rsidRPr="000A3A07" w:rsidRDefault="007C11E9">
      <w:pPr>
        <w:pStyle w:val="Normaltindrag"/>
      </w:pPr>
      <w:r w:rsidRPr="000A3A07">
        <w:t>De tre studierna faller väl in i detta mönster. BV1 visade att Arlandabanan var ett intressant projekt som borde genomföras i någon form. SB-studien och BV2 analyserade olika delfrågor som väcktes i olika faser av den följa</w:t>
      </w:r>
      <w:r w:rsidRPr="000A3A07">
        <w:t>n</w:t>
      </w:r>
      <w:r w:rsidRPr="000A3A07">
        <w:t>de planeringsprocessen. Några efterkalkyler är dock inte gjorda, och vad jag vet heller inte planerade.</w:t>
      </w:r>
    </w:p>
    <w:p w14:paraId="4F95502E" w14:textId="77777777" w:rsidR="007C11E9" w:rsidRPr="000A3A07" w:rsidRDefault="007C11E9">
      <w:pPr>
        <w:pStyle w:val="Normaltindrag"/>
      </w:pPr>
      <w:r w:rsidRPr="000A3A07">
        <w:t>När man granskar de olika kalkylerna är det naturligtvis viktigt att se på om dessa är utförda enligt konstens alla regler. Men en annan intressant fråga är om kalkyler verkligen gjordes för det relevanta projektet, dvs det projekt som faktiskt genomfördes. Om projektet ändras i väsentliga drag efter att en CBA-analys har gjorts, kan man då verkligen säga att den faktiskt utförda åtgärdens samhällsekonom</w:t>
      </w:r>
      <w:r w:rsidRPr="000A3A07">
        <w:t>iska lönsamhet har prövats? Ytterligare en intre</w:t>
      </w:r>
      <w:r w:rsidRPr="000A3A07">
        <w:t>s</w:t>
      </w:r>
      <w:r w:rsidRPr="000A3A07">
        <w:t>sant fråga är i vilken utsträckning som försök gjorts att klarlägga, analysera och korrigera avvikelser mellan de antaganden om olika mer eller mindre okända variabler, t ex byggkostnader eller resandevolymer, som görs vid det första analystillfället när man senare lär känna de verkliga förhållanden (eller får bättre prognoser för dessa). I denna granskning skall jag försöka belysa dessa aspekter. Avslutningsvis formulerar jag med utgångspunkt från de iakttag</w:t>
      </w:r>
      <w:r w:rsidRPr="000A3A07">
        <w:t>elser jag kan göra i denna fallstudie fyra hypoteser om organisatoriska brister i beslutsprocessen vid stora investeringar i infrastruktur.</w:t>
      </w:r>
    </w:p>
    <w:p w14:paraId="2E31CACE" w14:textId="77777777" w:rsidR="007C11E9" w:rsidRPr="000A3A07" w:rsidRDefault="007C11E9">
      <w:pPr>
        <w:pStyle w:val="Rubrik2"/>
      </w:pPr>
      <w:bookmarkStart w:id="153" w:name="_Toc486235468"/>
      <w:bookmarkStart w:id="154" w:name="_Toc497118130"/>
      <w:bookmarkStart w:id="155" w:name="_Toc506340971"/>
      <w:r w:rsidRPr="000A3A07">
        <w:t>Arlandabanan</w:t>
      </w:r>
      <w:bookmarkEnd w:id="153"/>
      <w:bookmarkEnd w:id="154"/>
      <w:bookmarkEnd w:id="155"/>
    </w:p>
    <w:p w14:paraId="473E0F5C" w14:textId="77777777" w:rsidR="007C11E9" w:rsidRPr="000A3A07" w:rsidRDefault="007C11E9">
      <w:r w:rsidRPr="000A3A07">
        <w:t>Arlandabanan förbinder Arlanda flygplats med järnvägen mellan Stockholm och Uppsala. Detta har åstadkommits genom en utbyggnad av den befintliga järnvägen till fyra spår mellan Ulriksdal och Rosersberg och ett nytt dubbe</w:t>
      </w:r>
      <w:r w:rsidRPr="000A3A07">
        <w:t>l</w:t>
      </w:r>
      <w:r w:rsidRPr="000A3A07">
        <w:t xml:space="preserve">spår på sträckan Rosersberg-Arlanda-Knivsta. Tre stationer har byggts vid Arlanda och vissa ombyggnader har gjorts vid Stockholms Central. </w:t>
      </w:r>
    </w:p>
    <w:p w14:paraId="32E0240C" w14:textId="77777777" w:rsidR="007C11E9" w:rsidRPr="000A3A07" w:rsidRDefault="007C11E9">
      <w:pPr>
        <w:pStyle w:val="Normaltindrag"/>
      </w:pPr>
      <w:r w:rsidRPr="000A3A07">
        <w:t>Arlandabanan invigdes den 24 november 1999 och sades då vara Sveriges näst största infrastrukturprojekt. Arlandabanan består av 20 kilometer du</w:t>
      </w:r>
      <w:r w:rsidRPr="000A3A07">
        <w:t>b</w:t>
      </w:r>
      <w:r w:rsidRPr="000A3A07">
        <w:t>belspårig järnväg mellan Rosersberg i söder och Odensala i norr, via Arlanda flygplats. Vid Arlanda finns tre underjordiska stationer. Två är avsedda för flygpendeln Arlanda Express mellan Stockholm och Arlanda, medan den tredje är avsedd för fjärr- och regionaltåg samt pendeltåg. Med Arlanda Express erbjuds flygresenärer en betydande tidsvinst för resan in till Stoc</w:t>
      </w:r>
      <w:r w:rsidRPr="000A3A07">
        <w:t>k</w:t>
      </w:r>
      <w:r w:rsidRPr="000A3A07">
        <w:t>holm city, 20 minuter istället för flygbussens 35 – 50, till priset av en fö</w:t>
      </w:r>
      <w:r w:rsidRPr="000A3A07">
        <w:t>r</w:t>
      </w:r>
      <w:r w:rsidRPr="000A3A07">
        <w:t>dubblad avgift, 120 kronor för enkel resa jämfört med flygbussen</w:t>
      </w:r>
      <w:r w:rsidRPr="000A3A07">
        <w:t>s 60 kronor. Fjärrtågen från Norrland och Dalarna stannar vid Arlanda liksom regionaltåg mellan Mälardalen och Uppsala.</w:t>
      </w:r>
    </w:p>
    <w:p w14:paraId="5BD3C237" w14:textId="77777777" w:rsidR="007C11E9" w:rsidRPr="000A3A07" w:rsidRDefault="007C11E9">
      <w:pPr>
        <w:pStyle w:val="Normaltindrag"/>
      </w:pPr>
      <w:r w:rsidRPr="000A3A07">
        <w:t xml:space="preserve">En del av banan har byggts och drivs idag som ett så kallat BOT-projekt (Build, Operate, Transfer). Det innebär att banan mellan Rosersberg och Arlanda är till viss del privat finansierad. Denna del av banan finansieras och drivs av A-train AB som ägs av byggföretaget NCC, Vattenfall samt de två brittiska företagen GEC Alstohm och Mowlem. Banan byggdes av konsortiet ALC som bestod av NCC, </w:t>
      </w:r>
      <w:r w:rsidRPr="000A3A07">
        <w:t>SIAB, Alstom och Mowlem. A-train har rätt att driva banan fram till år 2040. Projektet är dock endast delvis privat. A-trains aktieägare har satsat 600 miljoner kronor i aktiekapital medan staten anslagit 850 miljoner. Därtill finns lån i privata banker på 1,9 miljarder kronor och från Riksgäldskontoret på 1 miljard kronor. Överskottet av driften under de 40 åren delas mellan A-trains aktieägare och staten. Vinstdelningen innebär att staten bär en större del av den totala projektrisken.</w:t>
      </w:r>
      <w:r w:rsidRPr="000A3A07">
        <w:rPr>
          <w:rStyle w:val="Fotnotsreferens"/>
        </w:rPr>
        <w:footnoteReference w:id="23"/>
      </w:r>
    </w:p>
    <w:p w14:paraId="65CE9A5C" w14:textId="77777777" w:rsidR="007C11E9" w:rsidRPr="000A3A07" w:rsidRDefault="007C11E9">
      <w:pPr>
        <w:pStyle w:val="Rubrik2"/>
      </w:pPr>
      <w:bookmarkStart w:id="156" w:name="_Toc486235469"/>
      <w:bookmarkStart w:id="157" w:name="_Toc497118131"/>
      <w:bookmarkStart w:id="158" w:name="_Toc506340972"/>
      <w:r w:rsidRPr="000A3A07">
        <w:t>Disposition</w:t>
      </w:r>
      <w:bookmarkEnd w:id="156"/>
      <w:bookmarkEnd w:id="157"/>
      <w:bookmarkEnd w:id="158"/>
    </w:p>
    <w:p w14:paraId="4204A838" w14:textId="77777777" w:rsidR="007C11E9" w:rsidRPr="000A3A07" w:rsidRDefault="007C11E9">
      <w:r w:rsidRPr="000A3A07">
        <w:t>Härnäst diskuteras de tre underlagsrapporterna i tur och ordning. En CBA-studie beräknar nuvärdet av kostnader och nytta av ett eller flera utredning</w:t>
      </w:r>
      <w:r w:rsidRPr="000A3A07">
        <w:t>s</w:t>
      </w:r>
      <w:r w:rsidRPr="000A3A07">
        <w:t>alternativ (UA) och jämför detta med ett eller flera jämförelsealternativ (JA)</w:t>
      </w:r>
      <w:r w:rsidRPr="000A3A07">
        <w:rPr>
          <w:rStyle w:val="Fotnotsreferens"/>
        </w:rPr>
        <w:footnoteReference w:id="24"/>
      </w:r>
      <w:r w:rsidRPr="000A3A07">
        <w:t>. Granskningen av de tre rapporterna ser därför på valet av UA och JA; bedömningarna av anläggnings- samt drift- och underhållskostnader; bedö</w:t>
      </w:r>
      <w:r w:rsidRPr="000A3A07">
        <w:t>m</w:t>
      </w:r>
      <w:r w:rsidRPr="000A3A07">
        <w:t>ningarna av resandeströmmar, resandeintäkter och trafikantnyttor; och slutl</w:t>
      </w:r>
      <w:r w:rsidRPr="000A3A07">
        <w:t>i</w:t>
      </w:r>
      <w:r w:rsidRPr="000A3A07">
        <w:t>gen på bedömningen av externa effekter och samhällsekonomiska finansi</w:t>
      </w:r>
      <w:r w:rsidRPr="000A3A07">
        <w:t>e</w:t>
      </w:r>
      <w:r w:rsidRPr="000A3A07">
        <w:t>ringskostnader, inklusive kostnad för risk. Rapporten slutar med en översik</w:t>
      </w:r>
      <w:r w:rsidRPr="000A3A07">
        <w:t>t</w:t>
      </w:r>
      <w:r w:rsidRPr="000A3A07">
        <w:t xml:space="preserve">lig diskussion som utmynnar i några slutsatser. </w:t>
      </w:r>
    </w:p>
    <w:p w14:paraId="47B63C4B" w14:textId="77777777" w:rsidR="007C11E9" w:rsidRPr="000A3A07" w:rsidRDefault="007C11E9">
      <w:pPr>
        <w:pStyle w:val="Rubrik1"/>
      </w:pPr>
      <w:r w:rsidRPr="000A3A07">
        <w:br w:type="page"/>
      </w:r>
      <w:bookmarkStart w:id="159" w:name="_Toc486235470"/>
      <w:bookmarkStart w:id="160" w:name="_Toc497118132"/>
      <w:bookmarkStart w:id="161" w:name="_Toc506340973"/>
      <w:r w:rsidRPr="000A3A07">
        <w:t>BV1: Analysen av hela projektet</w:t>
      </w:r>
      <w:bookmarkEnd w:id="159"/>
      <w:bookmarkEnd w:id="160"/>
      <w:bookmarkEnd w:id="161"/>
    </w:p>
    <w:p w14:paraId="3533DBD1" w14:textId="77777777" w:rsidR="007C11E9" w:rsidRPr="000A3A07" w:rsidRDefault="007C11E9">
      <w:r w:rsidRPr="000A3A07">
        <w:t>Projektet Arlandabanan introduceras av det nybildade Banverket (BV) i den treårsplan för åren 1990/91–1992/93 som verket lämnade till regeringen  i augusti 1989.  I november samma år erhöll BV i uppdrag att utarbeta ett samlat förslag till finansiering av Arlandabanan. Detta förslag lämnades till Kommunikationsdepartementet i juni 1990 och innehöll bl a en samhällsek</w:t>
      </w:r>
      <w:r w:rsidRPr="000A3A07">
        <w:t>o</w:t>
      </w:r>
      <w:r w:rsidRPr="000A3A07">
        <w:t>nomisk analys av projektet. Analysen visade att den nominella kostnaden för projektet skulle uppgå till 5,2 miljarder kronor och att detta skulle generera en nettonytta (dvs. efter avdrag för kostnaderna) på mellan 4,3 och 4,7 mi</w:t>
      </w:r>
      <w:r w:rsidRPr="000A3A07">
        <w:t>l</w:t>
      </w:r>
      <w:r w:rsidRPr="000A3A07">
        <w:t>jarder kronor. Arlandabanan föreföll alltså vara ett samhällsekonomiskt lönsamt projekt. Vidare gjordes även en företagsekonomisk analys, som visade att även den företagsekonomiska lönsamheten tycktes vara god.</w:t>
      </w:r>
    </w:p>
    <w:p w14:paraId="2184C136" w14:textId="77777777" w:rsidR="007C11E9" w:rsidRPr="000A3A07" w:rsidRDefault="007C11E9">
      <w:pPr>
        <w:pStyle w:val="Normaltindrag"/>
      </w:pPr>
      <w:r w:rsidRPr="000A3A07">
        <w:t>Denna första samhällsekonomiska analys av projektet, här kallad BV1, u</w:t>
      </w:r>
      <w:r w:rsidRPr="000A3A07">
        <w:t>t</w:t>
      </w:r>
      <w:r w:rsidRPr="000A3A07">
        <w:t>fördes av Banverkets planeringsavdelning i april 1990. Den bygger bl a på prognoser över effekterna på resandeströmmar som utfördes i ett samarbete mellan dåvarande Transportrådet och Transek (TPR 1990).</w:t>
      </w:r>
    </w:p>
    <w:p w14:paraId="7CF4F7C0" w14:textId="77777777" w:rsidR="007C11E9" w:rsidRPr="000A3A07" w:rsidRDefault="007C11E9">
      <w:pPr>
        <w:pStyle w:val="Rubrik2"/>
      </w:pPr>
      <w:bookmarkStart w:id="162" w:name="_Toc486235471"/>
      <w:bookmarkStart w:id="163" w:name="_Toc497118133"/>
      <w:bookmarkStart w:id="164" w:name="_Toc506340974"/>
      <w:r w:rsidRPr="000A3A07">
        <w:t>Val av åtgärds- och jämförelsealternativ</w:t>
      </w:r>
      <w:bookmarkEnd w:id="162"/>
      <w:bookmarkEnd w:id="163"/>
      <w:bookmarkEnd w:id="164"/>
    </w:p>
    <w:p w14:paraId="5CD1775C" w14:textId="77777777" w:rsidR="007C11E9" w:rsidRPr="000A3A07" w:rsidRDefault="007C11E9">
      <w:pPr>
        <w:pStyle w:val="Rubrik3"/>
      </w:pPr>
      <w:bookmarkStart w:id="165" w:name="_Toc497118134"/>
      <w:r w:rsidRPr="000A3A07">
        <w:t>Huvudsakligt utredningsalternativ</w:t>
      </w:r>
      <w:bookmarkEnd w:id="165"/>
    </w:p>
    <w:p w14:paraId="6ADCF2F0" w14:textId="77777777" w:rsidR="007C11E9" w:rsidRPr="000A3A07" w:rsidRDefault="007C11E9">
      <w:r w:rsidRPr="000A3A07">
        <w:t>I  Tabell 1 har jag i punktform sammanställt de olika delkomponenter i det utredningsalternativ som låg till grund för beräkningarna  BV1. Alternativet baseras på antagande om  ett ”trafikupplägg” i olika delar som sedan används för att beräkna särskilt projektets nytta och som också är förutsättningen för den lista över olika delprojekt för infrastrukturinvesteringar som krävs för att kunna genomföra ett sådant trafikupplägg. Trafikupplägget och investerin</w:t>
      </w:r>
      <w:r w:rsidRPr="000A3A07">
        <w:t>g</w:t>
      </w:r>
      <w:r w:rsidRPr="000A3A07">
        <w:t xml:space="preserve">arna sammanfattas här i 14 punkter. </w:t>
      </w:r>
    </w:p>
    <w:p w14:paraId="3960DE52" w14:textId="77777777" w:rsidR="007C11E9" w:rsidRPr="000A3A07" w:rsidRDefault="007C11E9">
      <w:pPr>
        <w:pStyle w:val="Normaltindrag"/>
      </w:pPr>
      <w:r w:rsidRPr="000A3A07">
        <w:t>Det verkligt genomförda projektet är till stora delar likt kalkylens utre</w:t>
      </w:r>
      <w:r w:rsidRPr="000A3A07">
        <w:t>d</w:t>
      </w:r>
      <w:r w:rsidRPr="000A3A07">
        <w:t>ningsalternativ men skiljer sig åt i några mycket viktiga avseenden. Särskilt väsentligt är punkt nummer 8, dvs förutsättningen att flygbusstrafiken up</w:t>
      </w:r>
      <w:r w:rsidRPr="000A3A07">
        <w:t>p</w:t>
      </w:r>
      <w:r w:rsidRPr="000A3A07">
        <w:t>hör. Denna förutsättning anges inte vid redovisningen av trafikupplägget men framgår implicit vid beräkningar av effekterna på resandet. Antagandet om busstrafikens upphörande är konsistent med en annan förutsättning som görs i huvudkalkylen, nämligen att biljettpriset för flygpendeln till och från Stockholm C blir detsamma som för flygbussarna. Därmed skul</w:t>
      </w:r>
      <w:r w:rsidRPr="000A3A07">
        <w:t>le alltså resenärerna få en väsentligt snabbare resa för samma kostnad, varför det kunde vara rimligt att utgå från att en eventuell flygbusstrafik skulle slås ut. I en känslighetsanalys för biljettprisets inverkan påpekas också att vid ett högt pris på Arlandatåget ”kommer med stor sannolikhet mindre bussförbindelser att etableras som till lägre kostnad erbjuder uttransporter till flygplatsen. Detta kommer då att dra undan en del av underlaget för tåget”. Den känsli</w:t>
      </w:r>
      <w:r w:rsidRPr="000A3A07">
        <w:t>g</w:t>
      </w:r>
      <w:r w:rsidRPr="000A3A07">
        <w:t>hetsanalys som faktiskt utförs i BV1 för</w:t>
      </w:r>
      <w:r w:rsidRPr="000A3A07">
        <w:t xml:space="preserve"> ett alternativ med högre biljettpris utgår dock från att priskänsligheten är mycket låg (priselasticiteten är –0,2) vilket innebär avsaknad av nära substitut till flygpendeln (se mer om detta nedan).</w:t>
      </w:r>
    </w:p>
    <w:p w14:paraId="543DB074" w14:textId="77777777" w:rsidR="007C11E9" w:rsidRPr="000A3A07" w:rsidRDefault="007C11E9">
      <w:pPr>
        <w:pStyle w:val="Normaltindrag"/>
      </w:pPr>
      <w:r w:rsidRPr="000A3A07">
        <w:t xml:space="preserve">Två andra viktiga skillnader finns när det gäller vilka stationer som skulle byggas. </w:t>
      </w:r>
    </w:p>
    <w:p w14:paraId="5DA7229D" w14:textId="77777777" w:rsidR="007C11E9" w:rsidRPr="000A3A07" w:rsidRDefault="007C11E9">
      <w:pPr>
        <w:pStyle w:val="Normaltindrag"/>
      </w:pPr>
      <w:r w:rsidRPr="000A3A07">
        <w:t>I utredningsalternativet finns en ny station vid Häggvik, dvs. mellan Stockholm och Arlanda, som aldrig kom att genomföras. Denna förändring är naturligtvis ekonomiskt betydelsefull på flera sätt och något jag får anle</w:t>
      </w:r>
      <w:r w:rsidRPr="000A3A07">
        <w:t>d</w:t>
      </w:r>
      <w:r w:rsidRPr="000A3A07">
        <w:t>ning att återkomma till. Terminalkostnaden för Stockholm Norr, uppräknat med de s k skattefaktorerna, beräknades  till 825 Mkr, så detta var en högst väsentlig kostnadsförändring. Samtidigt bör även effekten för trafikantnyttan ha varit stor, i positiv riktning genom den tidsbesparing som åstadkoms genom att undvika ett stopp på vägen, i negativ riktning genom bortfallet av efte</w:t>
      </w:r>
      <w:r w:rsidRPr="000A3A07">
        <w:t>r</w:t>
      </w:r>
      <w:r w:rsidRPr="000A3A07">
        <w:t>frågan från trafikanter i norra Stockholm.</w:t>
      </w:r>
    </w:p>
    <w:p w14:paraId="6FE7BE05" w14:textId="77777777" w:rsidR="007C11E9" w:rsidRPr="000A3A07" w:rsidRDefault="007C11E9">
      <w:pPr>
        <w:pStyle w:val="Normaltindrag"/>
      </w:pPr>
      <w:r w:rsidRPr="000A3A07">
        <w:t>En ytterligare viktig stationsförändring gäller terminalen vid Arlanda. Här förutsätts</w:t>
      </w:r>
      <w:r w:rsidRPr="000A3A07">
        <w:t xml:space="preserve"> i BV1 en enda station, medan det i verkligheten blev tre stationer. Även detta bör ha haft väsentlig betydelse för både kostnader och trafikan</w:t>
      </w:r>
      <w:r w:rsidRPr="000A3A07">
        <w:t>t</w:t>
      </w:r>
      <w:r w:rsidRPr="000A3A07">
        <w:t xml:space="preserve">nytta, men som inte blir belysta i denna utredning. </w:t>
      </w:r>
    </w:p>
    <w:p w14:paraId="2871AF9E" w14:textId="77777777" w:rsidR="007C11E9" w:rsidRPr="000A3A07" w:rsidRDefault="007C11E9">
      <w:pPr>
        <w:rPr>
          <w:b/>
          <w:sz w:val="22"/>
        </w:rPr>
      </w:pPr>
      <w:r w:rsidRPr="000A3A07">
        <w:br w:type="page"/>
      </w:r>
      <w:r w:rsidRPr="000A3A07">
        <w:rPr>
          <w:b/>
          <w:sz w:val="22"/>
        </w:rPr>
        <w:t>Tabell 1. Utredningsalternativ i BV1 och jämförelse med fa</w:t>
      </w:r>
      <w:r w:rsidRPr="000A3A07">
        <w:rPr>
          <w:b/>
          <w:sz w:val="22"/>
        </w:rPr>
        <w:t>k</w:t>
      </w:r>
      <w:r w:rsidRPr="000A3A07">
        <w:rPr>
          <w:b/>
          <w:sz w:val="22"/>
        </w:rPr>
        <w:t>tiskt genomfö</w:t>
      </w:r>
      <w:r w:rsidRPr="000A3A07">
        <w:rPr>
          <w:b/>
          <w:sz w:val="22"/>
        </w:rPr>
        <w:t>r</w:t>
      </w:r>
      <w:r w:rsidRPr="000A3A07">
        <w:rPr>
          <w:b/>
          <w:sz w:val="22"/>
        </w:rPr>
        <w:t>da åtgärder år 2000.</w:t>
      </w: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9"/>
        <w:gridCol w:w="1843"/>
      </w:tblGrid>
      <w:tr w:rsidR="00000000" w:rsidRPr="000A3A07" w14:paraId="1B175513" w14:textId="77777777">
        <w:tblPrEx>
          <w:tblCellMar>
            <w:top w:w="0" w:type="dxa"/>
            <w:bottom w:w="0" w:type="dxa"/>
          </w:tblCellMar>
        </w:tblPrEx>
        <w:tc>
          <w:tcPr>
            <w:tcW w:w="4039" w:type="dxa"/>
          </w:tcPr>
          <w:p w14:paraId="2C6B0628" w14:textId="77777777" w:rsidR="007C11E9" w:rsidRPr="000A3A07" w:rsidRDefault="007C11E9">
            <w:pPr>
              <w:spacing w:before="0"/>
              <w:rPr>
                <w:b/>
              </w:rPr>
            </w:pPr>
            <w:r w:rsidRPr="000A3A07">
              <w:rPr>
                <w:b/>
              </w:rPr>
              <w:t>Trafikering och investeringsprojekt</w:t>
            </w:r>
          </w:p>
        </w:tc>
        <w:tc>
          <w:tcPr>
            <w:tcW w:w="1843" w:type="dxa"/>
          </w:tcPr>
          <w:p w14:paraId="20D80A7E" w14:textId="77777777" w:rsidR="007C11E9" w:rsidRPr="000A3A07" w:rsidRDefault="007C11E9">
            <w:pPr>
              <w:spacing w:before="0"/>
              <w:rPr>
                <w:b/>
              </w:rPr>
            </w:pPr>
            <w:r w:rsidRPr="000A3A07">
              <w:rPr>
                <w:b/>
              </w:rPr>
              <w:t>Genomfört år 2000</w:t>
            </w:r>
          </w:p>
        </w:tc>
      </w:tr>
      <w:tr w:rsidR="00000000" w:rsidRPr="000A3A07" w14:paraId="2B30008E" w14:textId="77777777">
        <w:tblPrEx>
          <w:tblCellMar>
            <w:top w:w="0" w:type="dxa"/>
            <w:bottom w:w="0" w:type="dxa"/>
          </w:tblCellMar>
        </w:tblPrEx>
        <w:tc>
          <w:tcPr>
            <w:tcW w:w="4039" w:type="dxa"/>
          </w:tcPr>
          <w:p w14:paraId="69277073" w14:textId="77777777" w:rsidR="007C11E9" w:rsidRPr="000A3A07" w:rsidRDefault="007C11E9">
            <w:pPr>
              <w:numPr>
                <w:ilvl w:val="0"/>
                <w:numId w:val="94"/>
              </w:numPr>
              <w:tabs>
                <w:tab w:val="left" w:pos="360"/>
              </w:tabs>
              <w:spacing w:before="0"/>
              <w:jc w:val="left"/>
            </w:pPr>
            <w:r w:rsidRPr="000A3A07">
              <w:t>flygpendel Stockholm  C–Arlanda 4 gånger per timme 05.00-22.00</w:t>
            </w:r>
          </w:p>
        </w:tc>
        <w:tc>
          <w:tcPr>
            <w:tcW w:w="1843" w:type="dxa"/>
          </w:tcPr>
          <w:p w14:paraId="2911CE9C" w14:textId="77777777" w:rsidR="007C11E9" w:rsidRPr="000A3A07" w:rsidRDefault="007C11E9">
            <w:pPr>
              <w:numPr>
                <w:ilvl w:val="12"/>
                <w:numId w:val="0"/>
              </w:numPr>
              <w:spacing w:before="0"/>
            </w:pPr>
            <w:r w:rsidRPr="000A3A07">
              <w:t>Ja (Arlanda Express)</w:t>
            </w:r>
          </w:p>
        </w:tc>
      </w:tr>
      <w:tr w:rsidR="00000000" w:rsidRPr="000A3A07" w14:paraId="3C7E2AF8" w14:textId="77777777">
        <w:tblPrEx>
          <w:tblCellMar>
            <w:top w:w="0" w:type="dxa"/>
            <w:bottom w:w="0" w:type="dxa"/>
          </w:tblCellMar>
        </w:tblPrEx>
        <w:tc>
          <w:tcPr>
            <w:tcW w:w="4039" w:type="dxa"/>
          </w:tcPr>
          <w:p w14:paraId="6B91FECE" w14:textId="77777777" w:rsidR="007C11E9" w:rsidRPr="000A3A07" w:rsidRDefault="007C11E9">
            <w:pPr>
              <w:numPr>
                <w:ilvl w:val="0"/>
                <w:numId w:val="94"/>
              </w:numPr>
              <w:tabs>
                <w:tab w:val="left" w:pos="360"/>
              </w:tabs>
              <w:spacing w:before="0"/>
              <w:jc w:val="left"/>
            </w:pPr>
            <w:r w:rsidRPr="000A3A07">
              <w:t>pendeltåg mellan Södertälje och Uppsala med stopp i Flemingsberg, Älvsjö, Stockholm C, Stockholm Nord och Arlanda 2 gånger per timme (ej med i alternativ kalkyl)</w:t>
            </w:r>
          </w:p>
        </w:tc>
        <w:tc>
          <w:tcPr>
            <w:tcW w:w="1843" w:type="dxa"/>
          </w:tcPr>
          <w:p w14:paraId="5AE92004" w14:textId="77777777" w:rsidR="007C11E9" w:rsidRPr="000A3A07" w:rsidRDefault="007C11E9">
            <w:pPr>
              <w:numPr>
                <w:ilvl w:val="12"/>
                <w:numId w:val="0"/>
              </w:numPr>
              <w:spacing w:before="0"/>
            </w:pPr>
            <w:r w:rsidRPr="000A3A07">
              <w:t>Nej</w:t>
            </w:r>
          </w:p>
        </w:tc>
      </w:tr>
      <w:tr w:rsidR="00000000" w:rsidRPr="000A3A07" w14:paraId="00BA3425" w14:textId="77777777">
        <w:tblPrEx>
          <w:tblCellMar>
            <w:top w:w="0" w:type="dxa"/>
            <w:bottom w:w="0" w:type="dxa"/>
          </w:tblCellMar>
        </w:tblPrEx>
        <w:tc>
          <w:tcPr>
            <w:tcW w:w="4039" w:type="dxa"/>
          </w:tcPr>
          <w:p w14:paraId="4F434D0D" w14:textId="77777777" w:rsidR="007C11E9" w:rsidRPr="000A3A07" w:rsidRDefault="007C11E9">
            <w:pPr>
              <w:numPr>
                <w:ilvl w:val="0"/>
                <w:numId w:val="94"/>
              </w:numPr>
              <w:tabs>
                <w:tab w:val="left" w:pos="360"/>
              </w:tabs>
              <w:spacing w:before="0"/>
              <w:jc w:val="left"/>
            </w:pPr>
            <w:r w:rsidRPr="000A3A07">
              <w:t>förlängning av pendeltågstrafik från/till Mä</w:t>
            </w:r>
            <w:r w:rsidRPr="000A3A07">
              <w:t>r</w:t>
            </w:r>
            <w:r w:rsidRPr="000A3A07">
              <w:t>sta till Arlanda, två tåg per timme</w:t>
            </w:r>
          </w:p>
        </w:tc>
        <w:tc>
          <w:tcPr>
            <w:tcW w:w="1843" w:type="dxa"/>
          </w:tcPr>
          <w:p w14:paraId="63EFC735" w14:textId="77777777" w:rsidR="007C11E9" w:rsidRPr="000A3A07" w:rsidRDefault="007C11E9">
            <w:pPr>
              <w:numPr>
                <w:ilvl w:val="12"/>
                <w:numId w:val="0"/>
              </w:numPr>
              <w:spacing w:before="0"/>
            </w:pPr>
            <w:r w:rsidRPr="000A3A07">
              <w:t>Nej</w:t>
            </w:r>
          </w:p>
        </w:tc>
      </w:tr>
      <w:tr w:rsidR="00000000" w:rsidRPr="000A3A07" w14:paraId="3B6416E1" w14:textId="77777777">
        <w:tblPrEx>
          <w:tblCellMar>
            <w:top w:w="0" w:type="dxa"/>
            <w:bottom w:w="0" w:type="dxa"/>
          </w:tblCellMar>
        </w:tblPrEx>
        <w:tc>
          <w:tcPr>
            <w:tcW w:w="4039" w:type="dxa"/>
          </w:tcPr>
          <w:p w14:paraId="026F1489" w14:textId="77777777" w:rsidR="007C11E9" w:rsidRPr="000A3A07" w:rsidRDefault="007C11E9">
            <w:pPr>
              <w:numPr>
                <w:ilvl w:val="0"/>
                <w:numId w:val="94"/>
              </w:numPr>
              <w:tabs>
                <w:tab w:val="left" w:pos="360"/>
              </w:tabs>
              <w:spacing w:before="0"/>
              <w:jc w:val="left"/>
            </w:pPr>
            <w:r w:rsidRPr="000A3A07">
              <w:t>stopp vid Arlanda  för all fjärrtågtrafik till och från Dalarna, Östersund och Sundsvall</w:t>
            </w:r>
          </w:p>
        </w:tc>
        <w:tc>
          <w:tcPr>
            <w:tcW w:w="1843" w:type="dxa"/>
          </w:tcPr>
          <w:p w14:paraId="7A737BDF" w14:textId="77777777" w:rsidR="007C11E9" w:rsidRPr="000A3A07" w:rsidRDefault="007C11E9">
            <w:pPr>
              <w:numPr>
                <w:ilvl w:val="12"/>
                <w:numId w:val="0"/>
              </w:numPr>
              <w:spacing w:before="0"/>
            </w:pPr>
            <w:r w:rsidRPr="000A3A07">
              <w:t>Ja</w:t>
            </w:r>
          </w:p>
        </w:tc>
      </w:tr>
      <w:tr w:rsidR="00000000" w:rsidRPr="000A3A07" w14:paraId="08DFFE2B" w14:textId="77777777">
        <w:tblPrEx>
          <w:tblCellMar>
            <w:top w:w="0" w:type="dxa"/>
            <w:bottom w:w="0" w:type="dxa"/>
          </w:tblCellMar>
        </w:tblPrEx>
        <w:tc>
          <w:tcPr>
            <w:tcW w:w="4039" w:type="dxa"/>
          </w:tcPr>
          <w:p w14:paraId="09CE8072" w14:textId="77777777" w:rsidR="007C11E9" w:rsidRPr="000A3A07" w:rsidRDefault="007C11E9">
            <w:pPr>
              <w:numPr>
                <w:ilvl w:val="0"/>
                <w:numId w:val="94"/>
              </w:numPr>
              <w:tabs>
                <w:tab w:val="left" w:pos="360"/>
              </w:tabs>
              <w:spacing w:before="0"/>
              <w:jc w:val="left"/>
            </w:pPr>
            <w:r w:rsidRPr="000A3A07">
              <w:t>fjärrtåg från Jönköping till Gävle via Arlanda</w:t>
            </w:r>
          </w:p>
        </w:tc>
        <w:tc>
          <w:tcPr>
            <w:tcW w:w="1843" w:type="dxa"/>
          </w:tcPr>
          <w:p w14:paraId="52224C8F" w14:textId="77777777" w:rsidR="007C11E9" w:rsidRPr="000A3A07" w:rsidRDefault="007C11E9">
            <w:pPr>
              <w:numPr>
                <w:ilvl w:val="12"/>
                <w:numId w:val="0"/>
              </w:numPr>
              <w:spacing w:before="0"/>
            </w:pPr>
            <w:r w:rsidRPr="000A3A07">
              <w:t>Ja?</w:t>
            </w:r>
          </w:p>
        </w:tc>
      </w:tr>
      <w:tr w:rsidR="00000000" w:rsidRPr="000A3A07" w14:paraId="2CEEC5EC" w14:textId="77777777">
        <w:tblPrEx>
          <w:tblCellMar>
            <w:top w:w="0" w:type="dxa"/>
            <w:bottom w:w="0" w:type="dxa"/>
          </w:tblCellMar>
        </w:tblPrEx>
        <w:tc>
          <w:tcPr>
            <w:tcW w:w="4039" w:type="dxa"/>
          </w:tcPr>
          <w:p w14:paraId="14266089" w14:textId="77777777" w:rsidR="007C11E9" w:rsidRPr="000A3A07" w:rsidRDefault="007C11E9">
            <w:pPr>
              <w:numPr>
                <w:ilvl w:val="0"/>
                <w:numId w:val="94"/>
              </w:numPr>
              <w:tabs>
                <w:tab w:val="left" w:pos="360"/>
              </w:tabs>
              <w:spacing w:before="0"/>
              <w:jc w:val="left"/>
            </w:pPr>
            <w:r w:rsidRPr="000A3A07">
              <w:t>regionaltåg från Katrineholm till Arlanda via Eskil</w:t>
            </w:r>
            <w:r w:rsidRPr="000A3A07">
              <w:t>s</w:t>
            </w:r>
            <w:r w:rsidRPr="000A3A07">
              <w:t>tuna–Västerås–Uppsala</w:t>
            </w:r>
          </w:p>
        </w:tc>
        <w:tc>
          <w:tcPr>
            <w:tcW w:w="1843" w:type="dxa"/>
          </w:tcPr>
          <w:p w14:paraId="1F5221FE" w14:textId="77777777" w:rsidR="007C11E9" w:rsidRPr="000A3A07" w:rsidRDefault="007C11E9">
            <w:pPr>
              <w:numPr>
                <w:ilvl w:val="12"/>
                <w:numId w:val="0"/>
              </w:numPr>
              <w:spacing w:before="0"/>
            </w:pPr>
            <w:r w:rsidRPr="000A3A07">
              <w:t>Ja, men annan sträc</w:t>
            </w:r>
            <w:r w:rsidRPr="000A3A07">
              <w:t>k</w:t>
            </w:r>
            <w:r w:rsidRPr="000A3A07">
              <w:t>ning (via Stockholm)</w:t>
            </w:r>
          </w:p>
        </w:tc>
      </w:tr>
      <w:tr w:rsidR="00000000" w:rsidRPr="000A3A07" w14:paraId="7F3E9D56" w14:textId="77777777">
        <w:tblPrEx>
          <w:tblCellMar>
            <w:top w:w="0" w:type="dxa"/>
            <w:bottom w:w="0" w:type="dxa"/>
          </w:tblCellMar>
        </w:tblPrEx>
        <w:tc>
          <w:tcPr>
            <w:tcW w:w="4039" w:type="dxa"/>
          </w:tcPr>
          <w:p w14:paraId="5F2BAE7F" w14:textId="77777777" w:rsidR="007C11E9" w:rsidRPr="000A3A07" w:rsidRDefault="007C11E9">
            <w:pPr>
              <w:numPr>
                <w:ilvl w:val="0"/>
                <w:numId w:val="94"/>
              </w:numPr>
              <w:tabs>
                <w:tab w:val="left" w:pos="420"/>
              </w:tabs>
              <w:spacing w:before="0"/>
              <w:ind w:left="420"/>
              <w:jc w:val="left"/>
            </w:pPr>
            <w:r w:rsidRPr="000A3A07">
              <w:t>bussanslutning från Bromma och Kista till Arlandabanan vid Stockholm Nord</w:t>
            </w:r>
          </w:p>
        </w:tc>
        <w:tc>
          <w:tcPr>
            <w:tcW w:w="1843" w:type="dxa"/>
          </w:tcPr>
          <w:p w14:paraId="29D22E15" w14:textId="77777777" w:rsidR="007C11E9" w:rsidRPr="000A3A07" w:rsidRDefault="007C11E9">
            <w:pPr>
              <w:numPr>
                <w:ilvl w:val="12"/>
                <w:numId w:val="0"/>
              </w:numPr>
              <w:spacing w:before="0"/>
            </w:pPr>
            <w:r w:rsidRPr="000A3A07">
              <w:t>Nej (Stockholm Nord ej byggt)</w:t>
            </w:r>
          </w:p>
        </w:tc>
      </w:tr>
      <w:tr w:rsidR="00000000" w:rsidRPr="000A3A07" w14:paraId="5C17A5A7" w14:textId="77777777">
        <w:tblPrEx>
          <w:tblCellMar>
            <w:top w:w="0" w:type="dxa"/>
            <w:bottom w:w="0" w:type="dxa"/>
          </w:tblCellMar>
        </w:tblPrEx>
        <w:tc>
          <w:tcPr>
            <w:tcW w:w="4039" w:type="dxa"/>
          </w:tcPr>
          <w:p w14:paraId="2026F7E9" w14:textId="77777777" w:rsidR="007C11E9" w:rsidRPr="000A3A07" w:rsidRDefault="007C11E9">
            <w:pPr>
              <w:numPr>
                <w:ilvl w:val="0"/>
                <w:numId w:val="94"/>
              </w:numPr>
              <w:tabs>
                <w:tab w:val="left" w:pos="360"/>
              </w:tabs>
              <w:spacing w:before="0"/>
              <w:jc w:val="left"/>
            </w:pPr>
            <w:r w:rsidRPr="000A3A07">
              <w:t>nedläggning av flygbusstrafiken från Stoc</w:t>
            </w:r>
            <w:r w:rsidRPr="000A3A07">
              <w:t>k</w:t>
            </w:r>
            <w:r w:rsidRPr="000A3A07">
              <w:t>holm C</w:t>
            </w:r>
          </w:p>
        </w:tc>
        <w:tc>
          <w:tcPr>
            <w:tcW w:w="1843" w:type="dxa"/>
          </w:tcPr>
          <w:p w14:paraId="12016F4D" w14:textId="77777777" w:rsidR="007C11E9" w:rsidRPr="000A3A07" w:rsidRDefault="007C11E9">
            <w:pPr>
              <w:numPr>
                <w:ilvl w:val="12"/>
                <w:numId w:val="0"/>
              </w:numPr>
              <w:spacing w:before="0"/>
            </w:pPr>
            <w:r w:rsidRPr="000A3A07">
              <w:t>Nej</w:t>
            </w:r>
          </w:p>
        </w:tc>
      </w:tr>
      <w:tr w:rsidR="00000000" w:rsidRPr="000A3A07" w14:paraId="23A28F3B" w14:textId="77777777">
        <w:tblPrEx>
          <w:tblCellMar>
            <w:top w:w="0" w:type="dxa"/>
            <w:bottom w:w="0" w:type="dxa"/>
          </w:tblCellMar>
        </w:tblPrEx>
        <w:tc>
          <w:tcPr>
            <w:tcW w:w="4039" w:type="dxa"/>
          </w:tcPr>
          <w:p w14:paraId="123AD8DA" w14:textId="77777777" w:rsidR="007C11E9" w:rsidRPr="000A3A07" w:rsidRDefault="007C11E9">
            <w:pPr>
              <w:numPr>
                <w:ilvl w:val="0"/>
                <w:numId w:val="94"/>
              </w:numPr>
              <w:tabs>
                <w:tab w:val="left" w:pos="360"/>
              </w:tabs>
              <w:spacing w:before="0"/>
              <w:jc w:val="left"/>
            </w:pPr>
            <w:r w:rsidRPr="000A3A07">
              <w:t>Stockholm C–Karlberg, term</w:t>
            </w:r>
            <w:r w:rsidRPr="000A3A07">
              <w:t>i</w:t>
            </w:r>
            <w:r w:rsidRPr="000A3A07">
              <w:t>nal och bana</w:t>
            </w:r>
          </w:p>
        </w:tc>
        <w:tc>
          <w:tcPr>
            <w:tcW w:w="1843" w:type="dxa"/>
          </w:tcPr>
          <w:p w14:paraId="769DED39" w14:textId="77777777" w:rsidR="007C11E9" w:rsidRPr="000A3A07" w:rsidRDefault="007C11E9">
            <w:pPr>
              <w:numPr>
                <w:ilvl w:val="12"/>
                <w:numId w:val="0"/>
              </w:numPr>
              <w:spacing w:before="0"/>
            </w:pPr>
            <w:r w:rsidRPr="000A3A07">
              <w:t>Ja</w:t>
            </w:r>
          </w:p>
        </w:tc>
      </w:tr>
      <w:tr w:rsidR="00000000" w:rsidRPr="000A3A07" w14:paraId="7D736913" w14:textId="77777777">
        <w:tblPrEx>
          <w:tblCellMar>
            <w:top w:w="0" w:type="dxa"/>
            <w:bottom w:w="0" w:type="dxa"/>
          </w:tblCellMar>
        </w:tblPrEx>
        <w:tc>
          <w:tcPr>
            <w:tcW w:w="4039" w:type="dxa"/>
          </w:tcPr>
          <w:p w14:paraId="2E5D9716" w14:textId="77777777" w:rsidR="007C11E9" w:rsidRPr="000A3A07" w:rsidRDefault="007C11E9">
            <w:pPr>
              <w:numPr>
                <w:ilvl w:val="0"/>
                <w:numId w:val="94"/>
              </w:numPr>
              <w:tabs>
                <w:tab w:val="left" w:pos="360"/>
              </w:tabs>
              <w:spacing w:before="0"/>
              <w:jc w:val="left"/>
            </w:pPr>
            <w:r w:rsidRPr="000A3A07">
              <w:t>Karlberg–Rosersberg, bana</w:t>
            </w:r>
          </w:p>
        </w:tc>
        <w:tc>
          <w:tcPr>
            <w:tcW w:w="1843" w:type="dxa"/>
          </w:tcPr>
          <w:p w14:paraId="5779F9DD" w14:textId="77777777" w:rsidR="007C11E9" w:rsidRPr="000A3A07" w:rsidRDefault="007C11E9">
            <w:pPr>
              <w:numPr>
                <w:ilvl w:val="12"/>
                <w:numId w:val="0"/>
              </w:numPr>
              <w:spacing w:before="0"/>
            </w:pPr>
            <w:r w:rsidRPr="000A3A07">
              <w:t>Ja</w:t>
            </w:r>
          </w:p>
        </w:tc>
      </w:tr>
      <w:tr w:rsidR="00000000" w:rsidRPr="000A3A07" w14:paraId="35F67247" w14:textId="77777777">
        <w:tblPrEx>
          <w:tblCellMar>
            <w:top w:w="0" w:type="dxa"/>
            <w:bottom w:w="0" w:type="dxa"/>
          </w:tblCellMar>
        </w:tblPrEx>
        <w:tc>
          <w:tcPr>
            <w:tcW w:w="4039" w:type="dxa"/>
          </w:tcPr>
          <w:p w14:paraId="4F92FD48" w14:textId="77777777" w:rsidR="007C11E9" w:rsidRPr="000A3A07" w:rsidRDefault="007C11E9">
            <w:pPr>
              <w:numPr>
                <w:ilvl w:val="0"/>
                <w:numId w:val="94"/>
              </w:numPr>
              <w:tabs>
                <w:tab w:val="left" w:pos="360"/>
              </w:tabs>
              <w:spacing w:before="0"/>
              <w:jc w:val="left"/>
            </w:pPr>
            <w:r w:rsidRPr="000A3A07">
              <w:t>Stockholm Nord, terminal och bana</w:t>
            </w:r>
          </w:p>
        </w:tc>
        <w:tc>
          <w:tcPr>
            <w:tcW w:w="1843" w:type="dxa"/>
          </w:tcPr>
          <w:p w14:paraId="550B84E7" w14:textId="77777777" w:rsidR="007C11E9" w:rsidRPr="000A3A07" w:rsidRDefault="007C11E9">
            <w:pPr>
              <w:numPr>
                <w:ilvl w:val="12"/>
                <w:numId w:val="0"/>
              </w:numPr>
              <w:spacing w:before="0"/>
            </w:pPr>
            <w:r w:rsidRPr="000A3A07">
              <w:t>Nej</w:t>
            </w:r>
          </w:p>
        </w:tc>
      </w:tr>
      <w:tr w:rsidR="00000000" w:rsidRPr="000A3A07" w14:paraId="70022807" w14:textId="77777777">
        <w:tblPrEx>
          <w:tblCellMar>
            <w:top w:w="0" w:type="dxa"/>
            <w:bottom w:w="0" w:type="dxa"/>
          </w:tblCellMar>
        </w:tblPrEx>
        <w:tc>
          <w:tcPr>
            <w:tcW w:w="4039" w:type="dxa"/>
          </w:tcPr>
          <w:p w14:paraId="4A8AD7E6" w14:textId="77777777" w:rsidR="007C11E9" w:rsidRPr="000A3A07" w:rsidRDefault="007C11E9">
            <w:pPr>
              <w:numPr>
                <w:ilvl w:val="0"/>
                <w:numId w:val="94"/>
              </w:numPr>
              <w:tabs>
                <w:tab w:val="left" w:pos="360"/>
              </w:tabs>
              <w:spacing w:before="0"/>
              <w:jc w:val="left"/>
            </w:pPr>
            <w:r w:rsidRPr="000A3A07">
              <w:t>Arlanda, terminal (en station) och bana</w:t>
            </w:r>
          </w:p>
        </w:tc>
        <w:tc>
          <w:tcPr>
            <w:tcW w:w="1843" w:type="dxa"/>
          </w:tcPr>
          <w:p w14:paraId="4B895EAE" w14:textId="77777777" w:rsidR="007C11E9" w:rsidRPr="000A3A07" w:rsidRDefault="007C11E9">
            <w:pPr>
              <w:numPr>
                <w:ilvl w:val="12"/>
                <w:numId w:val="0"/>
              </w:numPr>
              <w:spacing w:before="0"/>
            </w:pPr>
            <w:r w:rsidRPr="000A3A07">
              <w:t>Ja, men tre stationer istället för en</w:t>
            </w:r>
          </w:p>
        </w:tc>
      </w:tr>
      <w:tr w:rsidR="00000000" w:rsidRPr="000A3A07" w14:paraId="104E3B60" w14:textId="77777777">
        <w:tblPrEx>
          <w:tblCellMar>
            <w:top w:w="0" w:type="dxa"/>
            <w:bottom w:w="0" w:type="dxa"/>
          </w:tblCellMar>
        </w:tblPrEx>
        <w:tc>
          <w:tcPr>
            <w:tcW w:w="4039" w:type="dxa"/>
          </w:tcPr>
          <w:p w14:paraId="1DC68730" w14:textId="77777777" w:rsidR="007C11E9" w:rsidRPr="000A3A07" w:rsidRDefault="007C11E9">
            <w:pPr>
              <w:numPr>
                <w:ilvl w:val="0"/>
                <w:numId w:val="94"/>
              </w:numPr>
              <w:tabs>
                <w:tab w:val="left" w:pos="360"/>
              </w:tabs>
              <w:spacing w:before="0"/>
              <w:jc w:val="left"/>
            </w:pPr>
            <w:r w:rsidRPr="000A3A07">
              <w:t>Arlanda–Knivsta, bana</w:t>
            </w:r>
          </w:p>
        </w:tc>
        <w:tc>
          <w:tcPr>
            <w:tcW w:w="1843" w:type="dxa"/>
          </w:tcPr>
          <w:p w14:paraId="643CEC9D" w14:textId="77777777" w:rsidR="007C11E9" w:rsidRPr="000A3A07" w:rsidRDefault="007C11E9">
            <w:pPr>
              <w:numPr>
                <w:ilvl w:val="12"/>
                <w:numId w:val="0"/>
              </w:numPr>
              <w:spacing w:before="0"/>
            </w:pPr>
            <w:r w:rsidRPr="000A3A07">
              <w:t>Ja</w:t>
            </w:r>
          </w:p>
        </w:tc>
      </w:tr>
      <w:tr w:rsidR="00000000" w:rsidRPr="000A3A07" w14:paraId="39364E80" w14:textId="77777777">
        <w:tblPrEx>
          <w:tblCellMar>
            <w:top w:w="0" w:type="dxa"/>
            <w:bottom w:w="0" w:type="dxa"/>
          </w:tblCellMar>
        </w:tblPrEx>
        <w:tc>
          <w:tcPr>
            <w:tcW w:w="4039" w:type="dxa"/>
          </w:tcPr>
          <w:p w14:paraId="24487A6A" w14:textId="77777777" w:rsidR="007C11E9" w:rsidRPr="000A3A07" w:rsidRDefault="007C11E9">
            <w:pPr>
              <w:numPr>
                <w:ilvl w:val="0"/>
                <w:numId w:val="94"/>
              </w:numPr>
              <w:tabs>
                <w:tab w:val="left" w:pos="360"/>
              </w:tabs>
              <w:spacing w:before="0"/>
              <w:jc w:val="left"/>
            </w:pPr>
            <w:r w:rsidRPr="000A3A07">
              <w:t xml:space="preserve"> Uppställningshallar.</w:t>
            </w:r>
          </w:p>
        </w:tc>
        <w:tc>
          <w:tcPr>
            <w:tcW w:w="1843" w:type="dxa"/>
          </w:tcPr>
          <w:p w14:paraId="0B8CF241" w14:textId="77777777" w:rsidR="007C11E9" w:rsidRPr="000A3A07" w:rsidRDefault="007C11E9">
            <w:pPr>
              <w:spacing w:before="0"/>
            </w:pPr>
            <w:r w:rsidRPr="000A3A07">
              <w:t>Ja (?)</w:t>
            </w:r>
          </w:p>
        </w:tc>
      </w:tr>
    </w:tbl>
    <w:p w14:paraId="736E68C0" w14:textId="77777777" w:rsidR="007C11E9" w:rsidRPr="000A3A07" w:rsidRDefault="007C11E9">
      <w:pPr>
        <w:pStyle w:val="Rubrik3"/>
      </w:pPr>
      <w:bookmarkStart w:id="166" w:name="_Toc497118135"/>
      <w:r w:rsidRPr="000A3A07">
        <w:t>Andra utredningsalternativ</w:t>
      </w:r>
      <w:bookmarkEnd w:id="166"/>
    </w:p>
    <w:p w14:paraId="6DB58F4C" w14:textId="77777777" w:rsidR="007C11E9" w:rsidRPr="000A3A07" w:rsidRDefault="007C11E9">
      <w:r w:rsidRPr="000A3A07">
        <w:t>Även om ett visst problem kan lösas med en viss åtgärd följer inte därav att detta är den bästa åtgärden. Ett viktigt moment i en CBA är därför att ident</w:t>
      </w:r>
      <w:r w:rsidRPr="000A3A07">
        <w:t>i</w:t>
      </w:r>
      <w:r w:rsidRPr="000A3A07">
        <w:t>fiera samtliga relevanta utredningsalternativ. I BV1 redovisas en beräkning för ytterligare ett alternativ som innebar en neddragning av projektet genom att punkt 2 ovan, dvs. pendeltåg mellan Södertälje och Uppsala via Arlanda togs bort. Analysen visade att nettonuvärdet till följd av denna förändring skulle halveras.</w:t>
      </w:r>
    </w:p>
    <w:p w14:paraId="6947590F" w14:textId="77777777" w:rsidR="007C11E9" w:rsidRPr="000A3A07" w:rsidRDefault="007C11E9">
      <w:pPr>
        <w:pStyle w:val="Normaltindrag"/>
      </w:pPr>
      <w:r w:rsidRPr="000A3A07">
        <w:t>Ytterligare andra utredningsalternativ kom att studeras senare i BV2. De</w:t>
      </w:r>
      <w:r w:rsidRPr="000A3A07">
        <w:t>s</w:t>
      </w:r>
      <w:r w:rsidRPr="000A3A07">
        <w:t>sa gällde olika alternativ för anslutningen norrut. En viktig fråga är emelle</w:t>
      </w:r>
      <w:r w:rsidRPr="000A3A07">
        <w:t>r</w:t>
      </w:r>
      <w:r w:rsidRPr="000A3A07">
        <w:t>tid om analysen beaktar ”lågbudgetalternativ”, dvs helt andra åtgärder som på ett enklare sätt kan lösa de väsentliga problemen. I TPR nämns att SL hade presenterat en idéskiss om en magnetsvävbana till Arlanda. Men frågan är om sådan science fiction var enda alternativet utanför järnvägssektorn.  Eftersom det huvudsakliga problem som utredningsalternativet skulle göra något åt var den förhållandevis långa restiden med flygbuss (</w:t>
      </w:r>
      <w:r w:rsidRPr="000A3A07">
        <w:t>35-50 minuter), och därtill osäkerheten om den exakta restiden, borde det i detta fall funnits skäl att göra en omsorgsfull undersökning av möjligheterna att på olika sätt förbättra flygbussarnas framkomlighet. Det är väl känt i den transportpoliti</w:t>
      </w:r>
      <w:r w:rsidRPr="000A3A07">
        <w:t>s</w:t>
      </w:r>
      <w:r w:rsidRPr="000A3A07">
        <w:t>ka diskussionen att en stor del av den spårbundna trafikens fördelar kan uppnås även för icke spårbunden trafik, t ex genom att denna ges egna filer, planskilda korsningar, företrädesrätt osv, dvs villkor som liknar de spårtraf</w:t>
      </w:r>
      <w:r w:rsidRPr="000A3A07">
        <w:t>i</w:t>
      </w:r>
      <w:r w:rsidRPr="000A3A07">
        <w:t>ken har. Eftersom flygbussar jämför</w:t>
      </w:r>
      <w:r w:rsidRPr="000A3A07">
        <w:t>t med tåg har vissa fördelar som tåg inte har, bl a större flexibilitet i olika avseenden och möjlighet att använda b</w:t>
      </w:r>
      <w:r w:rsidRPr="000A3A07">
        <w:t>e</w:t>
      </w:r>
      <w:r w:rsidRPr="000A3A07">
        <w:t xml:space="preserve">fintlig väginfrastruktur, skulle det naturligtvis ha varit intressant att kunna jämföra en satsning på busstrafiken med olika järnvägsalternativ. Något sådant alternativ utreds emellertid inte, och frågan kommenteras inte ens. </w:t>
      </w:r>
    </w:p>
    <w:p w14:paraId="7130776D" w14:textId="77777777" w:rsidR="007C11E9" w:rsidRPr="000A3A07" w:rsidRDefault="007C11E9">
      <w:pPr>
        <w:pStyle w:val="Rubrik3"/>
      </w:pPr>
      <w:bookmarkStart w:id="167" w:name="_Toc497118136"/>
      <w:r w:rsidRPr="000A3A07">
        <w:t>Jämförelsealternativ</w:t>
      </w:r>
      <w:bookmarkEnd w:id="167"/>
    </w:p>
    <w:p w14:paraId="6B628EC6" w14:textId="77777777" w:rsidR="007C11E9" w:rsidRPr="000A3A07" w:rsidRDefault="007C11E9">
      <w:r w:rsidRPr="000A3A07">
        <w:t>Jämförelsealternativet redovisas inte explicit i analysen, men är uppenbart ett ”nollalternativ” utan åtgärder. Det innebär troligen att den relevanta kostn</w:t>
      </w:r>
      <w:r w:rsidRPr="000A3A07">
        <w:t>a</w:t>
      </w:r>
      <w:r w:rsidRPr="000A3A07">
        <w:t>den för projektet kom att överskattas. Vägtrafiken förväntas nämligen utan baninvesteringar bli nästan fördubblad under en 25-årsperiod. Med en jär</w:t>
      </w:r>
      <w:r w:rsidRPr="000A3A07">
        <w:t>n</w:t>
      </w:r>
      <w:r w:rsidRPr="000A3A07">
        <w:t>vägsutbyggnad skulle däremot vägtrafikvolymen förbli i stort sett oförändrad (främst genom att bortfallet av flygbusstrafik skulle kompensera den fortsatt stora ökningen av personbilstrafiken).  Rimligen skulle denna skillnad me</w:t>
      </w:r>
      <w:r w:rsidRPr="000A3A07">
        <w:t>l</w:t>
      </w:r>
      <w:r w:rsidRPr="000A3A07">
        <w:t>lan alternativen  ha haft stor betydelse för behovet av väginvesteringar. Ök</w:t>
      </w:r>
      <w:r w:rsidRPr="000A3A07">
        <w:t>a</w:t>
      </w:r>
      <w:r w:rsidRPr="000A3A07">
        <w:t xml:space="preserve">de kostnader för järnväg borde därför ställas mot ökade  </w:t>
      </w:r>
      <w:r w:rsidRPr="000A3A07">
        <w:t>infrastrukturkostn</w:t>
      </w:r>
      <w:r w:rsidRPr="000A3A07">
        <w:t>a</w:t>
      </w:r>
      <w:r w:rsidRPr="000A3A07">
        <w:t xml:space="preserve">der för vägtrafiken, inte mot ett nollalternativ. </w:t>
      </w:r>
    </w:p>
    <w:p w14:paraId="3F0C3DA3" w14:textId="77777777" w:rsidR="007C11E9" w:rsidRPr="000A3A07" w:rsidRDefault="007C11E9">
      <w:pPr>
        <w:pStyle w:val="Normaltindrag"/>
      </w:pPr>
      <w:r w:rsidRPr="000A3A07">
        <w:t>Detta skall å andra sidan ses i ljuset av att alternativ för flygbusstrafiken inte studeras. I samband med de väginvesteringar som en ökad vägtrafikv</w:t>
      </w:r>
      <w:r w:rsidRPr="000A3A07">
        <w:t>o</w:t>
      </w:r>
      <w:r w:rsidRPr="000A3A07">
        <w:t>lym kunde tänkas ha krävt skulle kanske förbättringar kunna ha gjorts som inneburit kortare och mer pålitliga restider för flygbuss. Frånvaron av närm</w:t>
      </w:r>
      <w:r w:rsidRPr="000A3A07">
        <w:t>a</w:t>
      </w:r>
      <w:r w:rsidRPr="000A3A07">
        <w:t>re utredning av alternativ för vägtrafiken innebär därför att omständigheter som talat både till fördel och nackdel för en järnvägsinvestering har utesl</w:t>
      </w:r>
      <w:r w:rsidRPr="000A3A07">
        <w:t>u</w:t>
      </w:r>
      <w:r w:rsidRPr="000A3A07">
        <w:t>tits. Dessa effekter kan ha varit stora i båda riktningarna och det är inte själ</w:t>
      </w:r>
      <w:r w:rsidRPr="000A3A07">
        <w:t>v</w:t>
      </w:r>
      <w:r w:rsidRPr="000A3A07">
        <w:t>klart att de skulle ta ut varandra. Avgränsningen av analysen till järnvägsa</w:t>
      </w:r>
      <w:r w:rsidRPr="000A3A07">
        <w:t>l</w:t>
      </w:r>
      <w:r w:rsidRPr="000A3A07">
        <w:t>ternativ minskar därför betydligt värdet av analy</w:t>
      </w:r>
      <w:r w:rsidRPr="000A3A07">
        <w:t>sen som underlag för ett ställning</w:t>
      </w:r>
      <w:r w:rsidRPr="000A3A07">
        <w:t>s</w:t>
      </w:r>
      <w:r w:rsidRPr="000A3A07">
        <w:t>tagande till om projektet borde genomföras.</w:t>
      </w:r>
    </w:p>
    <w:p w14:paraId="53A56BDB" w14:textId="77777777" w:rsidR="007C11E9" w:rsidRPr="000A3A07" w:rsidRDefault="007C11E9">
      <w:pPr>
        <w:pStyle w:val="Rubrik2"/>
      </w:pPr>
      <w:bookmarkStart w:id="168" w:name="_Toc486235472"/>
      <w:bookmarkStart w:id="169" w:name="_Toc497118137"/>
      <w:bookmarkStart w:id="170" w:name="_Toc506340975"/>
      <w:r w:rsidRPr="000A3A07">
        <w:t>Resandeströmmar, resandeintäkter och trafikantnyttor</w:t>
      </w:r>
      <w:bookmarkEnd w:id="168"/>
      <w:bookmarkEnd w:id="169"/>
      <w:bookmarkEnd w:id="170"/>
    </w:p>
    <w:p w14:paraId="0C27A201" w14:textId="77777777" w:rsidR="007C11E9" w:rsidRPr="000A3A07" w:rsidRDefault="007C11E9">
      <w:r w:rsidRPr="000A3A07">
        <w:t>Som tidigare nämnts gjordes prognoserna av resandeutveckling i en särskild utredning av Transportrådet  och konsultföretaget Transek, här kallad TPR.</w:t>
      </w:r>
    </w:p>
    <w:p w14:paraId="677EB3FD" w14:textId="77777777" w:rsidR="007C11E9" w:rsidRPr="000A3A07" w:rsidRDefault="007C11E9">
      <w:pPr>
        <w:pStyle w:val="Rubrik3"/>
      </w:pPr>
      <w:bookmarkStart w:id="171" w:name="_Toc497118138"/>
      <w:r w:rsidRPr="000A3A07">
        <w:t>Prognos för flygresandet</w:t>
      </w:r>
      <w:bookmarkEnd w:id="171"/>
    </w:p>
    <w:p w14:paraId="02CBD086" w14:textId="77777777" w:rsidR="007C11E9" w:rsidRPr="000A3A07" w:rsidRDefault="007C11E9">
      <w:r w:rsidRPr="000A3A07">
        <w:t>Prognosarbetet genomfördes i flera steg. En viktig etapp var bedömning av utvecklingen av antalet flygresenärer till och från Arlanda. Denna bedö</w:t>
      </w:r>
      <w:r w:rsidRPr="000A3A07">
        <w:t>m</w:t>
      </w:r>
      <w:r w:rsidRPr="000A3A07">
        <w:t>ning låg sedan till grund för en nedbrytning av markresorna på olika tran</w:t>
      </w:r>
      <w:r w:rsidRPr="000A3A07">
        <w:t>s</w:t>
      </w:r>
      <w:r w:rsidRPr="000A3A07">
        <w:t>portslag, med och utan Arlandabana. När det gäller flygresandet kunde man utgå från en prognos som gjorts av Luftfartsverket (LFV) för inrikes- och utrikesflygets omfattning på  Arlanda år 2000. TPR prognoser för åren 2000 och 2020 baserades på LFVs minimialternativ som tog hänsyn till konku</w:t>
      </w:r>
      <w:r w:rsidRPr="000A3A07">
        <w:t>r</w:t>
      </w:r>
      <w:r w:rsidRPr="000A3A07">
        <w:t>rens från snabbtåg, ökat bilinnehav mm.. I Tabellerna 2 och 3 jämförs dessa prognoser för totalt flygresande i riket respektive resande via Arla</w:t>
      </w:r>
      <w:r w:rsidRPr="000A3A07">
        <w:t>nda för år 2000 med det verkliga utfallet år 1999.</w:t>
      </w:r>
    </w:p>
    <w:p w14:paraId="600B4F76" w14:textId="77777777" w:rsidR="007C11E9" w:rsidRPr="000A3A07" w:rsidRDefault="007C11E9">
      <w:pPr>
        <w:rPr>
          <w:b/>
          <w:sz w:val="22"/>
        </w:rPr>
      </w:pPr>
      <w:r w:rsidRPr="000A3A07">
        <w:rPr>
          <w:b/>
          <w:sz w:val="22"/>
        </w:rPr>
        <w:t>Tabell 2.  Luftfartsverkets prognos över totalt flygresande i Sver</w:t>
      </w:r>
      <w:r w:rsidRPr="000A3A07">
        <w:rPr>
          <w:b/>
          <w:sz w:val="22"/>
        </w:rPr>
        <w:t>i</w:t>
      </w:r>
      <w:r w:rsidRPr="000A3A07">
        <w:rPr>
          <w:b/>
          <w:sz w:val="22"/>
        </w:rPr>
        <w:t>ge år 2000 samt faktiskt utfall år 1999.</w:t>
      </w: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76"/>
        <w:gridCol w:w="1176"/>
        <w:gridCol w:w="1177"/>
        <w:gridCol w:w="1176"/>
        <w:gridCol w:w="1177"/>
      </w:tblGrid>
      <w:tr w:rsidR="00000000" w:rsidRPr="000A3A07" w14:paraId="1ED25885" w14:textId="77777777">
        <w:tblPrEx>
          <w:tblCellMar>
            <w:top w:w="0" w:type="dxa"/>
            <w:bottom w:w="0" w:type="dxa"/>
          </w:tblCellMar>
        </w:tblPrEx>
        <w:tc>
          <w:tcPr>
            <w:tcW w:w="1176" w:type="dxa"/>
          </w:tcPr>
          <w:p w14:paraId="2CF45735" w14:textId="77777777" w:rsidR="007C11E9" w:rsidRPr="000A3A07" w:rsidRDefault="007C11E9"/>
        </w:tc>
        <w:tc>
          <w:tcPr>
            <w:tcW w:w="1176" w:type="dxa"/>
          </w:tcPr>
          <w:p w14:paraId="34C267F8" w14:textId="77777777" w:rsidR="007C11E9" w:rsidRPr="000A3A07" w:rsidRDefault="007C11E9">
            <w:r w:rsidRPr="000A3A07">
              <w:t>LFV, min</w:t>
            </w:r>
          </w:p>
        </w:tc>
        <w:tc>
          <w:tcPr>
            <w:tcW w:w="1177" w:type="dxa"/>
          </w:tcPr>
          <w:p w14:paraId="211B5529" w14:textId="77777777" w:rsidR="007C11E9" w:rsidRPr="000A3A07" w:rsidRDefault="007C11E9">
            <w:r w:rsidRPr="000A3A07">
              <w:t>LFV, medel</w:t>
            </w:r>
          </w:p>
        </w:tc>
        <w:tc>
          <w:tcPr>
            <w:tcW w:w="1176" w:type="dxa"/>
          </w:tcPr>
          <w:p w14:paraId="309EC4FC" w14:textId="77777777" w:rsidR="007C11E9" w:rsidRPr="000A3A07" w:rsidRDefault="007C11E9">
            <w:r w:rsidRPr="000A3A07">
              <w:t>LFV, max</w:t>
            </w:r>
          </w:p>
        </w:tc>
        <w:tc>
          <w:tcPr>
            <w:tcW w:w="1177" w:type="dxa"/>
          </w:tcPr>
          <w:p w14:paraId="55F7CF23" w14:textId="77777777" w:rsidR="007C11E9" w:rsidRPr="000A3A07" w:rsidRDefault="007C11E9">
            <w:r w:rsidRPr="000A3A07">
              <w:t>Utfall (1999)</w:t>
            </w:r>
          </w:p>
        </w:tc>
      </w:tr>
      <w:tr w:rsidR="00000000" w:rsidRPr="000A3A07" w14:paraId="0FD20DBA" w14:textId="77777777">
        <w:tblPrEx>
          <w:tblCellMar>
            <w:top w:w="0" w:type="dxa"/>
            <w:bottom w:w="0" w:type="dxa"/>
          </w:tblCellMar>
        </w:tblPrEx>
        <w:tc>
          <w:tcPr>
            <w:tcW w:w="1176" w:type="dxa"/>
          </w:tcPr>
          <w:p w14:paraId="069AA1E3" w14:textId="77777777" w:rsidR="007C11E9" w:rsidRPr="000A3A07" w:rsidRDefault="007C11E9">
            <w:r w:rsidRPr="000A3A07">
              <w:t>Inrikes</w:t>
            </w:r>
          </w:p>
        </w:tc>
        <w:tc>
          <w:tcPr>
            <w:tcW w:w="1176" w:type="dxa"/>
          </w:tcPr>
          <w:p w14:paraId="75414473" w14:textId="77777777" w:rsidR="007C11E9" w:rsidRPr="000A3A07" w:rsidRDefault="007C11E9">
            <w:r w:rsidRPr="000A3A07">
              <w:t>12 500</w:t>
            </w:r>
          </w:p>
        </w:tc>
        <w:tc>
          <w:tcPr>
            <w:tcW w:w="1177" w:type="dxa"/>
          </w:tcPr>
          <w:p w14:paraId="63EBD873" w14:textId="77777777" w:rsidR="007C11E9" w:rsidRPr="000A3A07" w:rsidRDefault="007C11E9">
            <w:r w:rsidRPr="000A3A07">
              <w:t>15 000</w:t>
            </w:r>
          </w:p>
        </w:tc>
        <w:tc>
          <w:tcPr>
            <w:tcW w:w="1176" w:type="dxa"/>
          </w:tcPr>
          <w:p w14:paraId="69DBAA89" w14:textId="77777777" w:rsidR="007C11E9" w:rsidRPr="000A3A07" w:rsidRDefault="007C11E9">
            <w:r w:rsidRPr="000A3A07">
              <w:t>19 000</w:t>
            </w:r>
          </w:p>
        </w:tc>
        <w:tc>
          <w:tcPr>
            <w:tcW w:w="1177" w:type="dxa"/>
          </w:tcPr>
          <w:p w14:paraId="2B2A4627" w14:textId="77777777" w:rsidR="007C11E9" w:rsidRPr="000A3A07" w:rsidRDefault="007C11E9">
            <w:r w:rsidRPr="000A3A07">
              <w:t>7 188</w:t>
            </w:r>
          </w:p>
        </w:tc>
      </w:tr>
      <w:tr w:rsidR="00000000" w:rsidRPr="000A3A07" w14:paraId="5A9CA2E7" w14:textId="77777777">
        <w:tblPrEx>
          <w:tblCellMar>
            <w:top w:w="0" w:type="dxa"/>
            <w:bottom w:w="0" w:type="dxa"/>
          </w:tblCellMar>
        </w:tblPrEx>
        <w:tc>
          <w:tcPr>
            <w:tcW w:w="1176" w:type="dxa"/>
          </w:tcPr>
          <w:p w14:paraId="08655DF5" w14:textId="77777777" w:rsidR="007C11E9" w:rsidRPr="000A3A07" w:rsidRDefault="007C11E9">
            <w:r w:rsidRPr="000A3A07">
              <w:t>Utrikes</w:t>
            </w:r>
          </w:p>
        </w:tc>
        <w:tc>
          <w:tcPr>
            <w:tcW w:w="1176" w:type="dxa"/>
          </w:tcPr>
          <w:p w14:paraId="33D23B20" w14:textId="77777777" w:rsidR="007C11E9" w:rsidRPr="000A3A07" w:rsidRDefault="007C11E9">
            <w:r w:rsidRPr="000A3A07">
              <w:t>12 600</w:t>
            </w:r>
          </w:p>
        </w:tc>
        <w:tc>
          <w:tcPr>
            <w:tcW w:w="1177" w:type="dxa"/>
          </w:tcPr>
          <w:p w14:paraId="2332FA2B" w14:textId="77777777" w:rsidR="007C11E9" w:rsidRPr="000A3A07" w:rsidRDefault="007C11E9">
            <w:r w:rsidRPr="000A3A07">
              <w:t>14 800</w:t>
            </w:r>
          </w:p>
        </w:tc>
        <w:tc>
          <w:tcPr>
            <w:tcW w:w="1176" w:type="dxa"/>
          </w:tcPr>
          <w:p w14:paraId="75B3F84B" w14:textId="77777777" w:rsidR="007C11E9" w:rsidRPr="000A3A07" w:rsidRDefault="007C11E9">
            <w:r w:rsidRPr="000A3A07">
              <w:t>16 600</w:t>
            </w:r>
          </w:p>
        </w:tc>
        <w:tc>
          <w:tcPr>
            <w:tcW w:w="1177" w:type="dxa"/>
          </w:tcPr>
          <w:p w14:paraId="144949B0" w14:textId="77777777" w:rsidR="007C11E9" w:rsidRPr="000A3A07" w:rsidRDefault="007C11E9">
            <w:r w:rsidRPr="000A3A07">
              <w:t>14 614</w:t>
            </w:r>
          </w:p>
        </w:tc>
      </w:tr>
      <w:tr w:rsidR="00000000" w:rsidRPr="000A3A07" w14:paraId="375F205F" w14:textId="77777777">
        <w:tblPrEx>
          <w:tblCellMar>
            <w:top w:w="0" w:type="dxa"/>
            <w:bottom w:w="0" w:type="dxa"/>
          </w:tblCellMar>
        </w:tblPrEx>
        <w:tc>
          <w:tcPr>
            <w:tcW w:w="1176" w:type="dxa"/>
          </w:tcPr>
          <w:p w14:paraId="46225A13" w14:textId="77777777" w:rsidR="007C11E9" w:rsidRPr="000A3A07" w:rsidRDefault="007C11E9">
            <w:r w:rsidRPr="000A3A07">
              <w:t>Totalt</w:t>
            </w:r>
          </w:p>
        </w:tc>
        <w:tc>
          <w:tcPr>
            <w:tcW w:w="1176" w:type="dxa"/>
          </w:tcPr>
          <w:p w14:paraId="2EE662CB" w14:textId="77777777" w:rsidR="007C11E9" w:rsidRPr="000A3A07" w:rsidRDefault="007C11E9">
            <w:r w:rsidRPr="000A3A07">
              <w:t>25 100</w:t>
            </w:r>
          </w:p>
        </w:tc>
        <w:tc>
          <w:tcPr>
            <w:tcW w:w="1177" w:type="dxa"/>
          </w:tcPr>
          <w:p w14:paraId="5768E20F" w14:textId="77777777" w:rsidR="007C11E9" w:rsidRPr="000A3A07" w:rsidRDefault="007C11E9">
            <w:r w:rsidRPr="000A3A07">
              <w:t>29 800</w:t>
            </w:r>
          </w:p>
        </w:tc>
        <w:tc>
          <w:tcPr>
            <w:tcW w:w="1176" w:type="dxa"/>
          </w:tcPr>
          <w:p w14:paraId="6DB52AE5" w14:textId="77777777" w:rsidR="007C11E9" w:rsidRPr="000A3A07" w:rsidRDefault="007C11E9">
            <w:r w:rsidRPr="000A3A07">
              <w:t>35 600</w:t>
            </w:r>
          </w:p>
        </w:tc>
        <w:tc>
          <w:tcPr>
            <w:tcW w:w="1177" w:type="dxa"/>
          </w:tcPr>
          <w:p w14:paraId="5A3B7E0A" w14:textId="77777777" w:rsidR="007C11E9" w:rsidRPr="000A3A07" w:rsidRDefault="007C11E9">
            <w:r w:rsidRPr="000A3A07">
              <w:t>21 802</w:t>
            </w:r>
          </w:p>
        </w:tc>
      </w:tr>
    </w:tbl>
    <w:p w14:paraId="5769B513" w14:textId="77777777" w:rsidR="007C11E9" w:rsidRPr="000A3A07" w:rsidRDefault="007C11E9">
      <w:pPr>
        <w:rPr>
          <w:b/>
          <w:sz w:val="22"/>
        </w:rPr>
      </w:pPr>
      <w:r w:rsidRPr="000A3A07">
        <w:rPr>
          <w:b/>
          <w:sz w:val="22"/>
        </w:rPr>
        <w:t>Tabell 3. TPR prognos över flygresandet till/från Arlanda år 2000 samt fa</w:t>
      </w:r>
      <w:r w:rsidRPr="000A3A07">
        <w:rPr>
          <w:b/>
          <w:sz w:val="22"/>
        </w:rPr>
        <w:t>k</w:t>
      </w:r>
      <w:r w:rsidRPr="000A3A07">
        <w:rPr>
          <w:b/>
          <w:sz w:val="22"/>
        </w:rPr>
        <w:t>tiskt utfall år 1999.</w:t>
      </w: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60"/>
        <w:gridCol w:w="1961"/>
        <w:gridCol w:w="1961"/>
      </w:tblGrid>
      <w:tr w:rsidR="00000000" w:rsidRPr="000A3A07" w14:paraId="7D9216F9" w14:textId="77777777">
        <w:tblPrEx>
          <w:tblCellMar>
            <w:top w:w="0" w:type="dxa"/>
            <w:bottom w:w="0" w:type="dxa"/>
          </w:tblCellMar>
        </w:tblPrEx>
        <w:tc>
          <w:tcPr>
            <w:tcW w:w="1960" w:type="dxa"/>
          </w:tcPr>
          <w:p w14:paraId="0D548E92" w14:textId="77777777" w:rsidR="007C11E9" w:rsidRPr="000A3A07" w:rsidRDefault="007C11E9"/>
        </w:tc>
        <w:tc>
          <w:tcPr>
            <w:tcW w:w="1961" w:type="dxa"/>
          </w:tcPr>
          <w:p w14:paraId="7FEE2365" w14:textId="77777777" w:rsidR="007C11E9" w:rsidRPr="000A3A07" w:rsidRDefault="007C11E9">
            <w:r w:rsidRPr="000A3A07">
              <w:t>TPR</w:t>
            </w:r>
          </w:p>
        </w:tc>
        <w:tc>
          <w:tcPr>
            <w:tcW w:w="1961" w:type="dxa"/>
          </w:tcPr>
          <w:p w14:paraId="6DD0C7E9" w14:textId="77777777" w:rsidR="007C11E9" w:rsidRPr="000A3A07" w:rsidRDefault="007C11E9">
            <w:r w:rsidRPr="000A3A07">
              <w:t>Utfall (1999)</w:t>
            </w:r>
          </w:p>
        </w:tc>
      </w:tr>
      <w:tr w:rsidR="00000000" w:rsidRPr="000A3A07" w14:paraId="3EB4B1ED" w14:textId="77777777">
        <w:tblPrEx>
          <w:tblCellMar>
            <w:top w:w="0" w:type="dxa"/>
            <w:bottom w:w="0" w:type="dxa"/>
          </w:tblCellMar>
        </w:tblPrEx>
        <w:tc>
          <w:tcPr>
            <w:tcW w:w="1960" w:type="dxa"/>
          </w:tcPr>
          <w:p w14:paraId="68884CDC" w14:textId="77777777" w:rsidR="007C11E9" w:rsidRPr="000A3A07" w:rsidRDefault="007C11E9">
            <w:r w:rsidRPr="000A3A07">
              <w:t>Inrikes</w:t>
            </w:r>
          </w:p>
        </w:tc>
        <w:tc>
          <w:tcPr>
            <w:tcW w:w="1961" w:type="dxa"/>
          </w:tcPr>
          <w:p w14:paraId="4FF97E3F" w14:textId="77777777" w:rsidR="007C11E9" w:rsidRPr="000A3A07" w:rsidRDefault="007C11E9">
            <w:r w:rsidRPr="000A3A07">
              <w:t>10 000</w:t>
            </w:r>
          </w:p>
        </w:tc>
        <w:tc>
          <w:tcPr>
            <w:tcW w:w="1961" w:type="dxa"/>
          </w:tcPr>
          <w:p w14:paraId="316D0710" w14:textId="77777777" w:rsidR="007C11E9" w:rsidRPr="000A3A07" w:rsidRDefault="007C11E9">
            <w:r w:rsidRPr="000A3A07">
              <w:t>6 424</w:t>
            </w:r>
          </w:p>
        </w:tc>
      </w:tr>
      <w:tr w:rsidR="00000000" w:rsidRPr="000A3A07" w14:paraId="54815245" w14:textId="77777777">
        <w:tblPrEx>
          <w:tblCellMar>
            <w:top w:w="0" w:type="dxa"/>
            <w:bottom w:w="0" w:type="dxa"/>
          </w:tblCellMar>
        </w:tblPrEx>
        <w:tc>
          <w:tcPr>
            <w:tcW w:w="1960" w:type="dxa"/>
          </w:tcPr>
          <w:p w14:paraId="351AA505" w14:textId="77777777" w:rsidR="007C11E9" w:rsidRPr="000A3A07" w:rsidRDefault="007C11E9">
            <w:r w:rsidRPr="000A3A07">
              <w:t>Utrikes</w:t>
            </w:r>
          </w:p>
        </w:tc>
        <w:tc>
          <w:tcPr>
            <w:tcW w:w="1961" w:type="dxa"/>
          </w:tcPr>
          <w:p w14:paraId="5A397513" w14:textId="77777777" w:rsidR="007C11E9" w:rsidRPr="000A3A07" w:rsidRDefault="007C11E9">
            <w:r w:rsidRPr="000A3A07">
              <w:t>10 200</w:t>
            </w:r>
          </w:p>
        </w:tc>
        <w:tc>
          <w:tcPr>
            <w:tcW w:w="1961" w:type="dxa"/>
          </w:tcPr>
          <w:p w14:paraId="694D45F2" w14:textId="77777777" w:rsidR="007C11E9" w:rsidRPr="000A3A07" w:rsidRDefault="007C11E9">
            <w:r w:rsidRPr="000A3A07">
              <w:t>10 705</w:t>
            </w:r>
          </w:p>
        </w:tc>
      </w:tr>
      <w:tr w:rsidR="00000000" w:rsidRPr="000A3A07" w14:paraId="2E09F48E" w14:textId="77777777">
        <w:tblPrEx>
          <w:tblCellMar>
            <w:top w:w="0" w:type="dxa"/>
            <w:bottom w:w="0" w:type="dxa"/>
          </w:tblCellMar>
        </w:tblPrEx>
        <w:tc>
          <w:tcPr>
            <w:tcW w:w="1960" w:type="dxa"/>
          </w:tcPr>
          <w:p w14:paraId="003DF67D" w14:textId="77777777" w:rsidR="007C11E9" w:rsidRPr="000A3A07" w:rsidRDefault="007C11E9">
            <w:r w:rsidRPr="000A3A07">
              <w:t>Totalt</w:t>
            </w:r>
          </w:p>
        </w:tc>
        <w:tc>
          <w:tcPr>
            <w:tcW w:w="1961" w:type="dxa"/>
          </w:tcPr>
          <w:p w14:paraId="6425CF95" w14:textId="77777777" w:rsidR="007C11E9" w:rsidRPr="000A3A07" w:rsidRDefault="007C11E9">
            <w:r w:rsidRPr="000A3A07">
              <w:t>20 200</w:t>
            </w:r>
          </w:p>
        </w:tc>
        <w:tc>
          <w:tcPr>
            <w:tcW w:w="1961" w:type="dxa"/>
          </w:tcPr>
          <w:p w14:paraId="19996D7C" w14:textId="77777777" w:rsidR="007C11E9" w:rsidRPr="000A3A07" w:rsidRDefault="007C11E9">
            <w:r w:rsidRPr="000A3A07">
              <w:t>17 129</w:t>
            </w:r>
          </w:p>
        </w:tc>
      </w:tr>
    </w:tbl>
    <w:p w14:paraId="4EF7C281" w14:textId="77777777" w:rsidR="007C11E9" w:rsidRPr="000A3A07" w:rsidRDefault="007C11E9">
      <w:pPr>
        <w:pStyle w:val="Tabell"/>
      </w:pPr>
      <w:r w:rsidRPr="000A3A07">
        <w:t>Källor (Tabell 2 och 3): TRP (1990) samt Luftfartsverkets hemsida (utfall 1999).</w:t>
      </w:r>
    </w:p>
    <w:p w14:paraId="11ED9D51" w14:textId="77777777" w:rsidR="007C11E9" w:rsidRPr="000A3A07" w:rsidRDefault="007C11E9">
      <w:r w:rsidRPr="000A3A07">
        <w:t>Dessa jämförelser med utfallet visar att prognosen för utrikesresandet, av tur eller skicklighet, var träffsäker. Det verkliga resandet var redan år 1999 cirka fem procent högre än prognosen, och förutses komma att växa ytterligare detta år. Detsamma kan emellertid inte sägas om inrikesresandet. Trots att TPR utgår från LFVs minimialternativ blev utfallet endast två tredjedelar av den prognostiserade volymen. Ännu mer missvisande är LFVs prognoser. Dess medelalternativ innebar att inrikesresandet skulle nä</w:t>
      </w:r>
      <w:r w:rsidRPr="000A3A07">
        <w:t>stan fördubblas i jämförelse med prognosens utgångsår som var 1988. I stället var det faktiska inrikesresandet år 1999 cirka tio procent lägre än år 1988, dvs inte ens fö</w:t>
      </w:r>
      <w:r w:rsidRPr="000A3A07">
        <w:t>r</w:t>
      </w:r>
      <w:r w:rsidRPr="000A3A07">
        <w:t xml:space="preserve">ändringens riktning bedömdes korrekt. </w:t>
      </w:r>
    </w:p>
    <w:p w14:paraId="63B8E6B8" w14:textId="77777777" w:rsidR="007C11E9" w:rsidRPr="000A3A07" w:rsidRDefault="007C11E9">
      <w:pPr>
        <w:pStyle w:val="Normaltindrag"/>
      </w:pPr>
      <w:r w:rsidRPr="000A3A07">
        <w:t>Med hänsyn till dessa prognosers utomordentligt stora betydelse för inte bara flermiljardinvesteringen i Arlandabanan utan även den ännu större i</w:t>
      </w:r>
      <w:r w:rsidRPr="000A3A07">
        <w:t>n</w:t>
      </w:r>
      <w:r w:rsidRPr="000A3A07">
        <w:t xml:space="preserve">vesteringen i en tredje landningsbana, skulle man kunna förvänta att detta prognosfel i efterhand har analyserats ingående för att man ska kunna dra lärdomar inför fortsatt prognosarbete. Så tycks emellertid inte vara fallet i den utsträckning som skulle ha krävts. </w:t>
      </w:r>
    </w:p>
    <w:p w14:paraId="477806D2" w14:textId="77777777" w:rsidR="007C11E9" w:rsidRPr="000A3A07" w:rsidRDefault="007C11E9">
      <w:pPr>
        <w:pStyle w:val="Normaltindrag"/>
      </w:pPr>
      <w:r w:rsidRPr="000A3A07">
        <w:t>Transportrådet finns inte längre och har således inte kunnat göra någon uppföljning. Genom vänligt tillmötesgående från Luftfartsverket har jag fått ta del av en prognosutvärdering som LFV utförde 1995, vilket tycks vara det material av detta s</w:t>
      </w:r>
      <w:r w:rsidRPr="000A3A07">
        <w:t xml:space="preserve">lag som finns. Denna utvärdering har alltså några år på nacken och diskuterar endast skillnaden mellan prognos och utfall under 1990-talets första år. </w:t>
      </w:r>
    </w:p>
    <w:p w14:paraId="62AA884B" w14:textId="77777777" w:rsidR="007C11E9" w:rsidRPr="000A3A07" w:rsidRDefault="007C11E9">
      <w:pPr>
        <w:pStyle w:val="Normaltindrag"/>
      </w:pPr>
      <w:r w:rsidRPr="000A3A07">
        <w:t>Denna utvärdering pekar på två faktorer som förklaring till att inrikesr</w:t>
      </w:r>
      <w:r w:rsidRPr="000A3A07">
        <w:t>e</w:t>
      </w:r>
      <w:r w:rsidRPr="000A3A07">
        <w:t>sandet under denna tid utvecklats långsammare än vad som prognostiserats:</w:t>
      </w:r>
    </w:p>
    <w:p w14:paraId="433B9590" w14:textId="77777777" w:rsidR="007C11E9" w:rsidRPr="000A3A07" w:rsidRDefault="007C11E9">
      <w:pPr>
        <w:numPr>
          <w:ilvl w:val="0"/>
          <w:numId w:val="95"/>
        </w:numPr>
        <w:tabs>
          <w:tab w:val="left" w:pos="420"/>
        </w:tabs>
      </w:pPr>
      <w:r w:rsidRPr="000A3A07">
        <w:t>Den svaga BNP-utvecklingen (BNP föll tre år i rad, med totalt 6 pr</w:t>
      </w:r>
      <w:r w:rsidRPr="000A3A07">
        <w:t>o</w:t>
      </w:r>
      <w:r w:rsidRPr="000A3A07">
        <w:t>cent åren 1991-1993)</w:t>
      </w:r>
    </w:p>
    <w:p w14:paraId="5FE599DD" w14:textId="77777777" w:rsidR="007C11E9" w:rsidRPr="000A3A07" w:rsidRDefault="007C11E9">
      <w:pPr>
        <w:numPr>
          <w:ilvl w:val="0"/>
          <w:numId w:val="95"/>
        </w:numPr>
        <w:tabs>
          <w:tab w:val="left" w:pos="420"/>
        </w:tabs>
      </w:pPr>
      <w:r w:rsidRPr="000A3A07">
        <w:t>”de begränsningar av utbudet som flygbolagen ägnar sig åt”.</w:t>
      </w:r>
    </w:p>
    <w:p w14:paraId="064CAA5A" w14:textId="77777777" w:rsidR="007C11E9" w:rsidRPr="000A3A07" w:rsidRDefault="007C11E9">
      <w:r w:rsidRPr="000A3A07">
        <w:t>För den som söker en förklaring till felen i den långsiktiga prognosen fram till år 1999/2000 är denna analys emellertid inte tillfredsställande. Inrikesr</w:t>
      </w:r>
      <w:r w:rsidRPr="000A3A07">
        <w:t>e</w:t>
      </w:r>
      <w:r w:rsidRPr="000A3A07">
        <w:t>sandet var lägre år 1999 än år 1988 trots återhämtningen efter de första årens BNP-fall. De ”begränsningar av utbudet” som LFV talar om kan möjligen ha bidragit till en prisuppgång (exkl. moms) åren 1994 och 1995, men denna föregicks av en lika stor nedgång åren 1989-1993 (Bergman 1996, s. 46), så om prisnivån hade antagits vara konstant bör detta inte ha lett till en avvike</w:t>
      </w:r>
      <w:r w:rsidRPr="000A3A07">
        <w:t>l</w:t>
      </w:r>
      <w:r w:rsidRPr="000A3A07">
        <w:t>se från prognosen. Däremot visar prisstatistiken något som LFV inte nämner, nämligen att  priset inklusive moms ökade till följd av s</w:t>
      </w:r>
      <w:r w:rsidRPr="000A3A07">
        <w:t>kattereformen år 1990-91. Här finns således en effekt som kan ha minskat privatresandet. Denna effekt ha träffat affärsresandet i mindre omfattning men å andra sidan även i viss mån ha missgynnat utrikesresandet</w:t>
      </w:r>
    </w:p>
    <w:p w14:paraId="462FE3DC" w14:textId="77777777" w:rsidR="007C11E9" w:rsidRPr="000A3A07" w:rsidRDefault="007C11E9">
      <w:pPr>
        <w:pStyle w:val="Normaltindrag"/>
      </w:pPr>
      <w:r w:rsidRPr="000A3A07">
        <w:t>En förståelse av vad som ligger bakom prognosfelet torde just särskilt kr</w:t>
      </w:r>
      <w:r w:rsidRPr="000A3A07">
        <w:t>ä</w:t>
      </w:r>
      <w:r w:rsidRPr="000A3A07">
        <w:t>va svar på frågan varför prognosen slog fel för inrikesresandet men inte utrikesresandet. Även svenskars resande utomlands missgynnades av såväl BNP-utvecklingen och momsförändringar. Den kraftiga deprecieringen av valutan kan knappast ensam förklara skillnaden. Den gynnade visserligen utlänningars resande till Sverige men missgynnade å andra sidan i motsv</w:t>
      </w:r>
      <w:r w:rsidRPr="000A3A07">
        <w:t>a</w:t>
      </w:r>
      <w:r w:rsidRPr="000A3A07">
        <w:t xml:space="preserve">rande mån svenskar resande till utlandet. </w:t>
      </w:r>
    </w:p>
    <w:p w14:paraId="36454C5C" w14:textId="77777777" w:rsidR="007C11E9" w:rsidRPr="000A3A07" w:rsidRDefault="007C11E9">
      <w:pPr>
        <w:pStyle w:val="Normaltindrag"/>
      </w:pPr>
      <w:r w:rsidRPr="000A3A07">
        <w:t>Min avsikt med denna diskussion är inte att förklara flygresandets utvec</w:t>
      </w:r>
      <w:r w:rsidRPr="000A3A07">
        <w:t>k</w:t>
      </w:r>
      <w:r w:rsidRPr="000A3A07">
        <w:t>ling under 1990-talet utan bara att underbygga mitt påstående att den utvä</w:t>
      </w:r>
      <w:r w:rsidRPr="000A3A07">
        <w:t>r</w:t>
      </w:r>
      <w:r w:rsidRPr="000A3A07">
        <w:t>dering som hittills gjorts är otillräcklig. Vad jag således kan konstatera är att kalkylen för Arlandabanan baserades på en prognos för flygresandet som har visat sig så här långt, och för inrikesflygets del, vara helt felaktig utan att detta lett till någon tillfredsställande analys av orsakerna. Prognoser är pr</w:t>
      </w:r>
      <w:r w:rsidRPr="000A3A07">
        <w:t>o</w:t>
      </w:r>
      <w:r w:rsidRPr="000A3A07">
        <w:t>gnoser, men det är naturligtvis utomordentligt viktigt att ett så väsentligt prognosfel som detta analyseras omsorgsfullt</w:t>
      </w:r>
      <w:r w:rsidRPr="000A3A07">
        <w:t xml:space="preserve"> eftersom det väcker en fråga om LFVs prognosmetodik är undermålig eller om verket i detta fall bara inte råkade ha turen med sig.</w:t>
      </w:r>
    </w:p>
    <w:p w14:paraId="1B8F2C4E" w14:textId="77777777" w:rsidR="007C11E9" w:rsidRPr="000A3A07" w:rsidRDefault="007C11E9">
      <w:pPr>
        <w:pStyle w:val="Rubrik3"/>
      </w:pPr>
      <w:bookmarkStart w:id="172" w:name="_Toc497118139"/>
      <w:r w:rsidRPr="000A3A07">
        <w:t>Flygbussresande</w:t>
      </w:r>
      <w:bookmarkEnd w:id="172"/>
    </w:p>
    <w:p w14:paraId="5EA37FBB" w14:textId="77777777" w:rsidR="007C11E9" w:rsidRPr="000A3A07" w:rsidRDefault="007C11E9">
      <w:r w:rsidRPr="000A3A07">
        <w:t>Som tidigare nämnts förutsattes i den samhällsekonomiska bedömningen att en tågpendel skulle ersätta flygbussar. TPR gör i en känslighetsanalys en bedömning av hur resandet påverkas av en höjning av biljettpriset, från fly</w:t>
      </w:r>
      <w:r w:rsidRPr="000A3A07">
        <w:t>g</w:t>
      </w:r>
      <w:r w:rsidRPr="000A3A07">
        <w:t>bussbiljettens nivå 35 kronor till 50 kronor. Även denna analys görs dock under antagande att flygbussarna avvecklats, vilket naturligtvis innebär att priselasticiteten blir mycket lägre än om det funnits ett nära substitut. Detta framstår åtminstone i efterhand som märkligt eftersom flygbusstrafiken var en redan existerande verksamhet med känd kostnad. I en känslighetsanalys där avgifterna för tågresor varieras finns det ingen uppenbar anledning att även variera flygbusspriset. En sådan variation skulle d</w:t>
      </w:r>
      <w:r w:rsidRPr="000A3A07">
        <w:t>ärmed leda till att det uppstår en prisskillnad mellan dessa färdslag. Medan det måhända kunde te sig rimligt att förutsätta att flygbussarna skulle bli utkonkurrerade om tå</w:t>
      </w:r>
      <w:r w:rsidRPr="000A3A07">
        <w:t>g</w:t>
      </w:r>
      <w:r w:rsidRPr="000A3A07">
        <w:t>biljettpriserna var lika låga som för buss, finns det inte längre anledning att göra detta antagande om tåg är dyrare än buss.</w:t>
      </w:r>
    </w:p>
    <w:p w14:paraId="41680924" w14:textId="77777777" w:rsidR="007C11E9" w:rsidRPr="000A3A07" w:rsidRDefault="007C11E9">
      <w:pPr>
        <w:pStyle w:val="Normaltindrag"/>
      </w:pPr>
      <w:r w:rsidRPr="000A3A07">
        <w:t>Betydelsen av detta, som inte motiveras någonstans, kan vara mycket stort. Enligt pressmeddelande 1 mars 2000 från det företag som nu tagit över fly</w:t>
      </w:r>
      <w:r w:rsidRPr="000A3A07">
        <w:t>g</w:t>
      </w:r>
      <w:r w:rsidRPr="000A3A07">
        <w:t>busstrafiken från SL har passagerarevolymerna varit stabila trots tillkomsten av Arlanda Express.  I ett projektarbete vid KTH (Jerling m fl 1997) gjordes en marknadsundersökning bland flygbuss- och taxiresenärer. Till skillnad från i TPRs studie förutsätts flygbusstrafiken vara kvar. Enligt resultaten av denna studie  skulle så gott som alla flygbussresenärer välja flygpendeln om biljettpriset var detsamma som för flygbussen. Om däremot prisskillnaden var 60 kronor (motsvarande dagens situation) skulle en</w:t>
      </w:r>
      <w:r w:rsidRPr="000A3A07">
        <w:t>dast 40 procent av flygbussresenärerna välja att istället åka tåg. Även för taxiresenärerna ko</w:t>
      </w:r>
      <w:r w:rsidRPr="000A3A07">
        <w:t>n</w:t>
      </w:r>
      <w:r w:rsidRPr="000A3A07">
        <w:t xml:space="preserve">stateras korspriskänsligheten vara hög. </w:t>
      </w:r>
    </w:p>
    <w:p w14:paraId="4F338C9C" w14:textId="77777777" w:rsidR="007C11E9" w:rsidRPr="000A3A07" w:rsidRDefault="007C11E9">
      <w:pPr>
        <w:pStyle w:val="Normaltindrag"/>
      </w:pPr>
      <w:r w:rsidRPr="000A3A07">
        <w:t>Min slutsats är därför att detta var ett kritiskt antagande som på ett väsen</w:t>
      </w:r>
      <w:r w:rsidRPr="000A3A07">
        <w:t>t</w:t>
      </w:r>
      <w:r w:rsidRPr="000A3A07">
        <w:t>ligt sätt har kommit att ändra Arlandabanans samhällsekonomiska (och för</w:t>
      </w:r>
      <w:r w:rsidRPr="000A3A07">
        <w:t>e</w:t>
      </w:r>
      <w:r w:rsidRPr="000A3A07">
        <w:t>tagsekonomiska) lönsamhet i förhållande vad som förutsattes i BV1. Till denna slutsats kan fogas två ytterligare kommentarer. För det första var detta en förändring som inte bör ha framstått som så överraskande. Inte ens om flygpendeltrafiken hade bedrivits i statlig regi, alltså av SJ, var biljettpriset en parameter som kunde fastställas på förhand av Banverket. Att flygbusstr</w:t>
      </w:r>
      <w:r w:rsidRPr="000A3A07">
        <w:t>a</w:t>
      </w:r>
      <w:r w:rsidRPr="000A3A07">
        <w:t>fiken skulle kunna bli kvar även efter en banutbyggnad va</w:t>
      </w:r>
      <w:r w:rsidRPr="000A3A07">
        <w:t>r därför ett alte</w:t>
      </w:r>
      <w:r w:rsidRPr="000A3A07">
        <w:t>r</w:t>
      </w:r>
      <w:r w:rsidRPr="000A3A07">
        <w:t>nativ som låg i korten och därför borde ha studerats åtminstone i en känsli</w:t>
      </w:r>
      <w:r w:rsidRPr="000A3A07">
        <w:t>g</w:t>
      </w:r>
      <w:r w:rsidRPr="000A3A07">
        <w:t>hetsanalys. För det andra framgår det tydligt av BV1 att dess analys baseras på denna förutsättning. När det vid något senare tillfälle i planeringsproce</w:t>
      </w:r>
      <w:r w:rsidRPr="000A3A07">
        <w:t>s</w:t>
      </w:r>
      <w:r w:rsidRPr="000A3A07">
        <w:t xml:space="preserve">sen framstår som troligt att det kommer att ske en marknadsdelning mellan tåg och buss, där tåget inriktas mot ett högprissegment, kan man inte längre med stöd av BV1 hävda projektets samhällsekonomiska lönsamhet. Det hade krävts en ny beräkning för att undersöka </w:t>
      </w:r>
      <w:r w:rsidRPr="000A3A07">
        <w:t>om projektet var lönsamt med de</w:t>
      </w:r>
      <w:r w:rsidRPr="000A3A07">
        <w:t>n</w:t>
      </w:r>
      <w:r w:rsidRPr="000A3A07">
        <w:t>na förutsättning. En sådan ny beräkning hade kunnat göras med en mycket begränsad tids- och resursinsats.</w:t>
      </w:r>
    </w:p>
    <w:p w14:paraId="07A6110B" w14:textId="77777777" w:rsidR="007C11E9" w:rsidRPr="000A3A07" w:rsidRDefault="007C11E9">
      <w:pPr>
        <w:pStyle w:val="Rubrik2"/>
      </w:pPr>
      <w:bookmarkStart w:id="173" w:name="_Toc486235473"/>
      <w:bookmarkStart w:id="174" w:name="_Toc497118140"/>
      <w:bookmarkStart w:id="175" w:name="_Toc506340976"/>
      <w:r w:rsidRPr="000A3A07">
        <w:t>Externa effekter och finansieringskostnader</w:t>
      </w:r>
      <w:bookmarkEnd w:id="173"/>
      <w:bookmarkEnd w:id="174"/>
      <w:bookmarkEnd w:id="175"/>
    </w:p>
    <w:p w14:paraId="08E89AB5" w14:textId="77777777" w:rsidR="007C11E9" w:rsidRPr="000A3A07" w:rsidRDefault="007C11E9">
      <w:pPr>
        <w:pStyle w:val="Rubrik3"/>
      </w:pPr>
      <w:bookmarkStart w:id="176" w:name="_Toc497118141"/>
      <w:r w:rsidRPr="000A3A07">
        <w:t>Externa effekter</w:t>
      </w:r>
      <w:bookmarkEnd w:id="176"/>
    </w:p>
    <w:p w14:paraId="5E83BEB6" w14:textId="77777777" w:rsidR="007C11E9" w:rsidRPr="000A3A07" w:rsidRDefault="007C11E9">
      <w:r w:rsidRPr="000A3A07">
        <w:t>Den samhällsekonomiska bedömningen av miljöeffekterna i BV1 gjordes med utgångspunkt från ett begränsat underlag när det gällde analys av milj</w:t>
      </w:r>
      <w:r w:rsidRPr="000A3A07">
        <w:t>ö</w:t>
      </w:r>
      <w:r w:rsidRPr="000A3A07">
        <w:t xml:space="preserve">effekter. Ingen närmare redovisning görs av olika typer av miljöeffekter, istället grundas beräkningen på en schablonbedömning av storleken av de externa effekter som inte internaliserats i bensinskatterna. Bedömningen är gjord för landsväg men för att ta hänsyn till att miljöeffekterna här drabbar ett tätbefolkat område analyseras projektets känslighet för en fördubbling av denna kostnad. </w:t>
      </w:r>
    </w:p>
    <w:p w14:paraId="7F38255A" w14:textId="77777777" w:rsidR="007C11E9" w:rsidRPr="000A3A07" w:rsidRDefault="007C11E9">
      <w:pPr>
        <w:pStyle w:val="Normaltindrag"/>
      </w:pPr>
      <w:r w:rsidRPr="000A3A07">
        <w:t>De miljökostnader som har beaktats torde huvudsakligen avse luftutsläpp. En högre värdering än normalt kan här motive</w:t>
      </w:r>
      <w:r w:rsidRPr="000A3A07">
        <w:t>ras av två skäl. Dels är det tänkbart att utsläppen från biltrafiken är högre än genomsnittligt p.g.a. o</w:t>
      </w:r>
      <w:r w:rsidRPr="000A3A07">
        <w:t>m</w:t>
      </w:r>
      <w:r w:rsidRPr="000A3A07">
        <w:t>fattande trängsel som leder till nedsatt hastighet, köbildning, och frekventa stopp/hastighetsförändringar. Dels kan de skadliga effekterna av utsläppen, särskilt hälsoeffekterna av t ex partikelutsläpp, förväntas vara särskilt höga eftersom en stor befolkning exponeras. De bedömningar av miljöskadekos</w:t>
      </w:r>
      <w:r w:rsidRPr="000A3A07">
        <w:t>t</w:t>
      </w:r>
      <w:r w:rsidRPr="000A3A07">
        <w:t>nad som görs av trafikverken idag tar hänsyn till åtminstone den senare e</w:t>
      </w:r>
      <w:r w:rsidRPr="000A3A07">
        <w:t>f</w:t>
      </w:r>
      <w:r w:rsidRPr="000A3A07">
        <w:t>fekten, så på denna punkt har</w:t>
      </w:r>
      <w:r w:rsidRPr="000A3A07">
        <w:t xml:space="preserve"> metodiken förbättrats.</w:t>
      </w:r>
    </w:p>
    <w:p w14:paraId="27FDFAB6" w14:textId="77777777" w:rsidR="007C11E9" w:rsidRPr="000A3A07" w:rsidRDefault="007C11E9">
      <w:pPr>
        <w:pStyle w:val="Normaltindrag"/>
      </w:pPr>
      <w:r w:rsidRPr="000A3A07">
        <w:t>En annan aspekt som inte närmare diskuteras i BV1 är olika slag av i</w:t>
      </w:r>
      <w:r w:rsidRPr="000A3A07">
        <w:t>n</w:t>
      </w:r>
      <w:r w:rsidRPr="000A3A07">
        <w:t>trångseffekter. Utredningsalternativet innebär att en helt ny järnväg dras på sträckan Rosersberg–Arlanda–Odensala. Detta förändrar landskapsbilden och etablerar barriärer för t ex det rörliga friluftslivet och för gång- och c</w:t>
      </w:r>
      <w:r w:rsidRPr="000A3A07">
        <w:t>y</w:t>
      </w:r>
      <w:r w:rsidRPr="000A3A07">
        <w:t>keltrafik. Sådana effekter är ofta mycket specifika för det enskilda projektet och deras betydelse måste därför analyseras speciellt.  Det hade därför varit önskvärt att det åtminstone kortfattats givits en översikt över vilka specifika intrång</w:t>
      </w:r>
      <w:r w:rsidRPr="000A3A07">
        <w:t>s</w:t>
      </w:r>
      <w:r w:rsidRPr="000A3A07">
        <w:t>problem som kunde förväntas uppstå.</w:t>
      </w:r>
    </w:p>
    <w:p w14:paraId="5587EC43" w14:textId="77777777" w:rsidR="007C11E9" w:rsidRPr="000A3A07" w:rsidRDefault="007C11E9">
      <w:pPr>
        <w:pStyle w:val="Rubrik3"/>
      </w:pPr>
      <w:bookmarkStart w:id="177" w:name="_Toc497118142"/>
      <w:r w:rsidRPr="000A3A07">
        <w:t>Fin</w:t>
      </w:r>
      <w:r w:rsidRPr="000A3A07">
        <w:t>ansieringskostnader m.m.</w:t>
      </w:r>
      <w:bookmarkEnd w:id="177"/>
    </w:p>
    <w:p w14:paraId="5A7F9F81" w14:textId="77777777" w:rsidR="007C11E9" w:rsidRPr="000A3A07" w:rsidRDefault="007C11E9">
      <w:pPr>
        <w:pStyle w:val="Sidfot"/>
      </w:pPr>
      <w:r w:rsidRPr="000A3A07">
        <w:t>Nuvärdesberäkningar görs med den samhällsekonomiska kalkylräntan 5 procent (vilket var då gällande räntenivå, numera används 4 procent). Den företagsekonomiska analysen utförs med en högre ränta, 7 procent.  Skälet för att en särskild företagsekonomisk analys utförs är att man vill klarlägga effekterna för SJ. Någon närmare motivering av denna senare nivå görs inte. Som vi strax skall se kom rapporten från Salomon Brothers att tillämpa helt andra räntesatser, men då med den explicit</w:t>
      </w:r>
      <w:r w:rsidRPr="000A3A07">
        <w:t>a förutsättningen att anläggning och drift kommer att utföras av privata företag. På sedvanligt sätt tas hänsyn till den samhällsekonomiska finansieringskostnad som uppstår vid skattef</w:t>
      </w:r>
      <w:r w:rsidRPr="000A3A07">
        <w:t>i</w:t>
      </w:r>
      <w:r w:rsidRPr="000A3A07">
        <w:t>nansiering.</w:t>
      </w:r>
    </w:p>
    <w:p w14:paraId="6D16F78B" w14:textId="77777777" w:rsidR="007C11E9" w:rsidRPr="000A3A07" w:rsidRDefault="007C11E9">
      <w:pPr>
        <w:pStyle w:val="Rubrik2"/>
      </w:pPr>
      <w:bookmarkStart w:id="178" w:name="_Toc486235474"/>
      <w:bookmarkStart w:id="179" w:name="_Toc497118143"/>
      <w:bookmarkStart w:id="180" w:name="_Toc506340977"/>
      <w:r w:rsidRPr="000A3A07">
        <w:t>Sammanfattning</w:t>
      </w:r>
      <w:bookmarkEnd w:id="178"/>
      <w:bookmarkEnd w:id="179"/>
      <w:bookmarkEnd w:id="180"/>
    </w:p>
    <w:p w14:paraId="25238DFA" w14:textId="77777777" w:rsidR="007C11E9" w:rsidRPr="000A3A07" w:rsidRDefault="007C11E9">
      <w:r w:rsidRPr="000A3A07">
        <w:t>BV1 får som helhet sägas vara gjord på ett korrekt sätt med den metodik som då brukade tillämpas. En väsentlig begränsning är emellertid att kalkylen snävt fokuserar alternativ inom Banverkets ansvarsområde, dvs järnväg, trots att det i detta fall var av stor vikt att även alternativ inom och utvecklingen av vägtrafiken studerades. Kalkylens huvudresultat, att projektet var sa</w:t>
      </w:r>
      <w:r w:rsidRPr="000A3A07">
        <w:t>m</w:t>
      </w:r>
      <w:r w:rsidRPr="000A3A07">
        <w:t>hällsekonomiskt lönsamt, förefaller trots detta ha varit giltigt som underlag för ett beslut om att gå vidare med en närmare planering av hur projektet skulle kunna genomföras. I den utformning projektet förelåg på ritbordet tycktes det finnas en nytta som översteg kostnaden. Även om det skulle ha funnits åtgärder på vägområdet som skulle ha varit bättre var detta en klar indikation på att Arlandabanan kunde vara intressant från samhällsekon</w:t>
      </w:r>
      <w:r w:rsidRPr="000A3A07">
        <w:t>o</w:t>
      </w:r>
      <w:r w:rsidRPr="000A3A07">
        <w:t>misk utgångspunkt. Det projekt som analyserades i BV1 var emeller</w:t>
      </w:r>
      <w:r w:rsidRPr="000A3A07">
        <w:t>tid på väsentliga punkter ett annat än det som senare kom att genomföras.</w:t>
      </w:r>
    </w:p>
    <w:p w14:paraId="600A7AAC" w14:textId="77777777" w:rsidR="007C11E9" w:rsidRPr="000A3A07" w:rsidRDefault="007C11E9">
      <w:pPr>
        <w:pStyle w:val="Rubrik1"/>
        <w:ind w:left="357" w:hanging="357"/>
      </w:pPr>
      <w:r w:rsidRPr="000A3A07">
        <w:br w:type="page"/>
      </w:r>
      <w:bookmarkStart w:id="181" w:name="_Toc486235475"/>
      <w:bookmarkStart w:id="182" w:name="_Toc497118144"/>
      <w:bookmarkStart w:id="183" w:name="_Toc506340978"/>
      <w:r w:rsidRPr="000A3A07">
        <w:t>SB: Analys av projektgenomförande som ”private public partnership”-projekt</w:t>
      </w:r>
      <w:bookmarkEnd w:id="181"/>
      <w:bookmarkEnd w:id="182"/>
      <w:bookmarkEnd w:id="183"/>
    </w:p>
    <w:p w14:paraId="0D1103EF" w14:textId="77777777" w:rsidR="007C11E9" w:rsidRPr="000A3A07" w:rsidRDefault="007C11E9">
      <w:r w:rsidRPr="000A3A07">
        <w:t>I december 1992 lämnar Salomon Brothers (SB) en rapport till Kommunik</w:t>
      </w:r>
      <w:r w:rsidRPr="000A3A07">
        <w:t>a</w:t>
      </w:r>
      <w:r w:rsidRPr="000A3A07">
        <w:t>tionsdepartementet som studerar ”financial feasibility” för arlandabanepr</w:t>
      </w:r>
      <w:r w:rsidRPr="000A3A07">
        <w:t>o</w:t>
      </w:r>
      <w:r w:rsidRPr="000A3A07">
        <w:t>jektet. Syftet var att utröna om och hur projektet skulle kunna utformas som ett offentligt-privat partnerskap. Frågan var mer specifikt hur stora offentliga fortlöpande subventioner som skulle krävas för att projektet, eller en del av detta, skulle kunna genomföras som ett privat företag med de avkastning</w:t>
      </w:r>
      <w:r w:rsidRPr="000A3A07">
        <w:t>s</w:t>
      </w:r>
      <w:r w:rsidRPr="000A3A07">
        <w:t>krav som dessa kunde förväntas ställa.</w:t>
      </w:r>
    </w:p>
    <w:p w14:paraId="60D0AD6E" w14:textId="77777777" w:rsidR="007C11E9" w:rsidRPr="000A3A07" w:rsidRDefault="007C11E9">
      <w:pPr>
        <w:pStyle w:val="Normaltindrag"/>
      </w:pPr>
      <w:r w:rsidRPr="000A3A07">
        <w:t xml:space="preserve">Det framgår inte klart om SB försöker utföra en samhällsekonomisk analys av projektet. SB </w:t>
      </w:r>
      <w:r w:rsidRPr="000A3A07">
        <w:t>beräknar behovet av statlig subvention till projektet givet de privata investerarnas avkastningskrav. Detta subventionsbehov skall fö</w:t>
      </w:r>
      <w:r w:rsidRPr="000A3A07">
        <w:t>r</w:t>
      </w:r>
      <w:r w:rsidRPr="000A3A07">
        <w:t xml:space="preserve">modligen jämföras med en annan post som  kallas ”Government Revenues from the Project”. Uppställningen av kalkylresultatet i en tabell utan närmare kommentarer leder tanken till att en sådan jämförelse mellan dessa två poster skulle ha någon betydelse, t ex utvisa om projektet är samhällsekonomiskt lönsamt. Sammanställningen väcker emellertid fler frågor än vad den ger svar. </w:t>
      </w:r>
      <w:r w:rsidRPr="000A3A07">
        <w:t>Den viktigaste är vad som egentligen menas med ”Government Rev</w:t>
      </w:r>
      <w:r w:rsidRPr="000A3A07">
        <w:t>e</w:t>
      </w:r>
      <w:r w:rsidRPr="000A3A07">
        <w:t xml:space="preserve">nues”. Ett alternativ är att med detta avses trafikantnytta (t ex resenärernas restidsvinster). För denna tolkning talar att jämförelsen i så fall har viss relevans, mot att ordvalet skulle vara felaktigt eftersom trafikantnyttan till stor del är konsumentöverskott som inte ger upphov till intäkter, dvs det borde ha hetat t ex ”Social Benefits”. Med denna tolkning finns i SB en samhällsekonomisk lönsamhetsanalys om än en i hög grad ofullständig </w:t>
      </w:r>
      <w:r w:rsidRPr="000A3A07">
        <w:t>sådan (enligt vad som närmare förklaras nedan). En alternativ tolkning är att or</w:t>
      </w:r>
      <w:r w:rsidRPr="000A3A07">
        <w:t>d</w:t>
      </w:r>
      <w:r w:rsidRPr="000A3A07">
        <w:t>valet är riktigt, dvs med ”Government Revenues” avses skatteinkomster. Detta blir emellertid i så fall ännu underligare. Då saknar nämligen jämföre</w:t>
      </w:r>
      <w:r w:rsidRPr="000A3A07">
        <w:t>l</w:t>
      </w:r>
      <w:r w:rsidRPr="000A3A07">
        <w:t>sen samhällsekonomisk relevans. Den är heller knappast intressant som statsfinansiell kalkyl (nettoskatteintäkten är en annan än bruttoskatteintäkten eftersom man måste beakta resenärernas alternativanvändning av sina pen</w:t>
      </w:r>
      <w:r w:rsidRPr="000A3A07">
        <w:t>g</w:t>
      </w:r>
      <w:r w:rsidRPr="000A3A07">
        <w:t>ar, vilket knappast är gjort här).</w:t>
      </w:r>
    </w:p>
    <w:p w14:paraId="409A4B59" w14:textId="77777777" w:rsidR="007C11E9" w:rsidRPr="000A3A07" w:rsidRDefault="007C11E9">
      <w:pPr>
        <w:pStyle w:val="Normaltindrag"/>
      </w:pPr>
      <w:r w:rsidRPr="000A3A07">
        <w:t>SB innebär emellertid å an</w:t>
      </w:r>
      <w:r w:rsidRPr="000A3A07">
        <w:t>dra sidan en komplettering av BV1 genom att fler projektvarianter analyseras. På grundval av kostnadsdata från Banverket, VBB/VIAK och SJ beräknas kostnaden för olika alternativa utformningar av banprojektet. Vidare fördjupas den företagsekonomiska analys som påbörjats i BV1, här med utgångspunkt från en mer omsorgsfull, men som framgår nedan inte invändningsfri, egen analys av vad som är ett rimligt avkastning</w:t>
      </w:r>
      <w:r w:rsidRPr="000A3A07">
        <w:t>s</w:t>
      </w:r>
      <w:r w:rsidRPr="000A3A07">
        <w:t>krav på en investering av detta slag.</w:t>
      </w:r>
    </w:p>
    <w:p w14:paraId="7A496EDE" w14:textId="77777777" w:rsidR="007C11E9" w:rsidRPr="000A3A07" w:rsidRDefault="007C11E9">
      <w:pPr>
        <w:pStyle w:val="Rubrik2"/>
      </w:pPr>
      <w:bookmarkStart w:id="184" w:name="_Toc486235476"/>
      <w:bookmarkStart w:id="185" w:name="_Toc497118145"/>
      <w:bookmarkStart w:id="186" w:name="_Toc506340979"/>
      <w:r w:rsidRPr="000A3A07">
        <w:t>Val av åtgärds- och jämförelsealternativ</w:t>
      </w:r>
      <w:bookmarkEnd w:id="184"/>
      <w:bookmarkEnd w:id="185"/>
      <w:bookmarkEnd w:id="186"/>
    </w:p>
    <w:p w14:paraId="6E2F3D2C" w14:textId="77777777" w:rsidR="007C11E9" w:rsidRPr="000A3A07" w:rsidRDefault="007C11E9">
      <w:r w:rsidRPr="000A3A07">
        <w:t>Till skillnad från BV1 presenterar SB ett flertal alternativ, se Tabell 3. De flesta av dessa (alternativ 4–8) avförs dock, av olika angivna skäl, från nä</w:t>
      </w:r>
      <w:r w:rsidRPr="000A3A07">
        <w:t>r</w:t>
      </w:r>
      <w:r w:rsidRPr="000A3A07">
        <w:t>mare granskning. Den, mot bakgrund av vad som sedan hände, viktigaste fördjupning av analysen som sker är att man här tänker sig att projektet kan delas upp i två steg. Detta öppnar för den uppdelning av ansvar för olika spårdelar och stationer mellan det privata företaget och Banverket som sen</w:t>
      </w:r>
      <w:r w:rsidRPr="000A3A07">
        <w:t>a</w:t>
      </w:r>
      <w:r w:rsidRPr="000A3A07">
        <w:t>re kom till stånd. Beräkningarna förutsätter som i BV1 att det finns en sä</w:t>
      </w:r>
      <w:r w:rsidRPr="000A3A07">
        <w:t>r</w:t>
      </w:r>
      <w:r w:rsidRPr="000A3A07">
        <w:t>skild station ”Stockholm Nord”. Existensen av denna påverkar både restide</w:t>
      </w:r>
      <w:r w:rsidRPr="000A3A07">
        <w:t>r</w:t>
      </w:r>
      <w:r w:rsidRPr="000A3A07">
        <w:t>na (negativt) och resandeströmmarna (positivt). Ett ytterligare vi</w:t>
      </w:r>
      <w:r w:rsidRPr="000A3A07">
        <w:t>ktigt bidrag som SB lämnar är en beräkning av hur kostnaden påverkas av om stationerna vid Arlanda läggs under istället för ovan jord. Beräkningarna pekar här på att projektkostnaden ökar med nära en miljard utan någon större nyttoeffekt (med reservation för den ovan beskrivna oklarheten i hur SB mäter detta).</w:t>
      </w:r>
    </w:p>
    <w:p w14:paraId="254AAB03" w14:textId="77777777" w:rsidR="007C11E9" w:rsidRPr="000A3A07" w:rsidRDefault="007C11E9">
      <w:pPr>
        <w:pStyle w:val="Normaltindrag"/>
      </w:pPr>
      <w:r w:rsidRPr="000A3A07">
        <w:t xml:space="preserve">Inte heller SB söker dock lösningar utanför järnvägsområdet, så alternativ som baseras på förbättringar för flygbusstrafiken studeras inte. </w:t>
      </w:r>
    </w:p>
    <w:p w14:paraId="3C8F4677" w14:textId="77777777" w:rsidR="007C11E9" w:rsidRPr="000A3A07" w:rsidRDefault="007C11E9">
      <w:pPr>
        <w:rPr>
          <w:b/>
          <w:sz w:val="22"/>
        </w:rPr>
      </w:pPr>
      <w:r w:rsidRPr="000A3A07">
        <w:rPr>
          <w:b/>
          <w:sz w:val="22"/>
        </w:rPr>
        <w:t>Tabell 4.  Alternativ beaktade i SB-studien.</w:t>
      </w: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5245"/>
      </w:tblGrid>
      <w:tr w:rsidR="00000000" w:rsidRPr="000A3A07" w14:paraId="3D69A1DE" w14:textId="77777777">
        <w:tblPrEx>
          <w:tblCellMar>
            <w:top w:w="0" w:type="dxa"/>
            <w:bottom w:w="0" w:type="dxa"/>
          </w:tblCellMar>
        </w:tblPrEx>
        <w:tc>
          <w:tcPr>
            <w:tcW w:w="637" w:type="dxa"/>
          </w:tcPr>
          <w:p w14:paraId="5F8F1BCB" w14:textId="77777777" w:rsidR="007C11E9" w:rsidRPr="000A3A07" w:rsidRDefault="007C11E9">
            <w:pPr>
              <w:spacing w:before="0"/>
              <w:rPr>
                <w:b/>
              </w:rPr>
            </w:pPr>
            <w:r w:rsidRPr="000A3A07">
              <w:rPr>
                <w:b/>
              </w:rPr>
              <w:t>Nr</w:t>
            </w:r>
          </w:p>
        </w:tc>
        <w:tc>
          <w:tcPr>
            <w:tcW w:w="5245" w:type="dxa"/>
          </w:tcPr>
          <w:p w14:paraId="102A2F6A" w14:textId="77777777" w:rsidR="007C11E9" w:rsidRPr="000A3A07" w:rsidRDefault="007C11E9">
            <w:pPr>
              <w:spacing w:before="0"/>
              <w:jc w:val="left"/>
              <w:rPr>
                <w:b/>
              </w:rPr>
            </w:pPr>
            <w:r w:rsidRPr="000A3A07">
              <w:rPr>
                <w:b/>
              </w:rPr>
              <w:t>Egenskaper</w:t>
            </w:r>
          </w:p>
        </w:tc>
      </w:tr>
      <w:tr w:rsidR="00000000" w:rsidRPr="000A3A07" w14:paraId="73A4A542" w14:textId="77777777">
        <w:tblPrEx>
          <w:tblCellMar>
            <w:top w:w="0" w:type="dxa"/>
            <w:bottom w:w="0" w:type="dxa"/>
          </w:tblCellMar>
        </w:tblPrEx>
        <w:tc>
          <w:tcPr>
            <w:tcW w:w="637" w:type="dxa"/>
          </w:tcPr>
          <w:p w14:paraId="18738982" w14:textId="77777777" w:rsidR="007C11E9" w:rsidRPr="000A3A07" w:rsidRDefault="007C11E9">
            <w:pPr>
              <w:spacing w:before="0"/>
            </w:pPr>
            <w:r w:rsidRPr="000A3A07">
              <w:t>1</w:t>
            </w:r>
          </w:p>
        </w:tc>
        <w:tc>
          <w:tcPr>
            <w:tcW w:w="5245" w:type="dxa"/>
          </w:tcPr>
          <w:p w14:paraId="236EFB1F" w14:textId="77777777" w:rsidR="007C11E9" w:rsidRPr="000A3A07" w:rsidRDefault="007C11E9">
            <w:pPr>
              <w:spacing w:before="0"/>
              <w:jc w:val="left"/>
            </w:pPr>
            <w:r w:rsidRPr="000A3A07">
              <w:t>Stockholm–Arlanda–Odensala  som integrerat projekt med en station vid Arlanda</w:t>
            </w:r>
          </w:p>
        </w:tc>
      </w:tr>
      <w:tr w:rsidR="00000000" w:rsidRPr="000A3A07" w14:paraId="72A9FA2E" w14:textId="77777777">
        <w:tblPrEx>
          <w:tblCellMar>
            <w:top w:w="0" w:type="dxa"/>
            <w:bottom w:w="0" w:type="dxa"/>
          </w:tblCellMar>
        </w:tblPrEx>
        <w:tc>
          <w:tcPr>
            <w:tcW w:w="637" w:type="dxa"/>
          </w:tcPr>
          <w:p w14:paraId="0E64BC62" w14:textId="77777777" w:rsidR="007C11E9" w:rsidRPr="000A3A07" w:rsidRDefault="007C11E9">
            <w:pPr>
              <w:spacing w:before="0"/>
            </w:pPr>
            <w:r w:rsidRPr="000A3A07">
              <w:t>2a</w:t>
            </w:r>
          </w:p>
        </w:tc>
        <w:tc>
          <w:tcPr>
            <w:tcW w:w="5245" w:type="dxa"/>
          </w:tcPr>
          <w:p w14:paraId="499BA230" w14:textId="77777777" w:rsidR="007C11E9" w:rsidRPr="000A3A07" w:rsidRDefault="007C11E9">
            <w:pPr>
              <w:spacing w:before="0"/>
              <w:jc w:val="left"/>
            </w:pPr>
            <w:r w:rsidRPr="000A3A07">
              <w:t>Dito två steg, flera stationer vid Arlanda under jord</w:t>
            </w:r>
          </w:p>
        </w:tc>
      </w:tr>
      <w:tr w:rsidR="00000000" w:rsidRPr="000A3A07" w14:paraId="34517681" w14:textId="77777777">
        <w:tblPrEx>
          <w:tblCellMar>
            <w:top w:w="0" w:type="dxa"/>
            <w:bottom w:w="0" w:type="dxa"/>
          </w:tblCellMar>
        </w:tblPrEx>
        <w:tc>
          <w:tcPr>
            <w:tcW w:w="637" w:type="dxa"/>
          </w:tcPr>
          <w:p w14:paraId="7DEFA261" w14:textId="77777777" w:rsidR="007C11E9" w:rsidRPr="000A3A07" w:rsidRDefault="007C11E9">
            <w:pPr>
              <w:spacing w:before="0"/>
            </w:pPr>
            <w:r w:rsidRPr="000A3A07">
              <w:t>2b</w:t>
            </w:r>
          </w:p>
        </w:tc>
        <w:tc>
          <w:tcPr>
            <w:tcW w:w="5245" w:type="dxa"/>
          </w:tcPr>
          <w:p w14:paraId="6D356430" w14:textId="77777777" w:rsidR="007C11E9" w:rsidRPr="000A3A07" w:rsidRDefault="007C11E9">
            <w:pPr>
              <w:spacing w:before="0"/>
              <w:jc w:val="left"/>
            </w:pPr>
            <w:r w:rsidRPr="000A3A07">
              <w:t>Dito, stationer över jord</w:t>
            </w:r>
          </w:p>
        </w:tc>
      </w:tr>
      <w:tr w:rsidR="00000000" w:rsidRPr="000A3A07" w14:paraId="366818BC" w14:textId="77777777">
        <w:tblPrEx>
          <w:tblCellMar>
            <w:top w:w="0" w:type="dxa"/>
            <w:bottom w:w="0" w:type="dxa"/>
          </w:tblCellMar>
        </w:tblPrEx>
        <w:tc>
          <w:tcPr>
            <w:tcW w:w="637" w:type="dxa"/>
          </w:tcPr>
          <w:p w14:paraId="343C1073" w14:textId="77777777" w:rsidR="007C11E9" w:rsidRPr="000A3A07" w:rsidRDefault="007C11E9">
            <w:pPr>
              <w:spacing w:before="0"/>
            </w:pPr>
            <w:r w:rsidRPr="000A3A07">
              <w:t>3</w:t>
            </w:r>
          </w:p>
        </w:tc>
        <w:tc>
          <w:tcPr>
            <w:tcW w:w="5245" w:type="dxa"/>
          </w:tcPr>
          <w:p w14:paraId="7F4FE098" w14:textId="77777777" w:rsidR="007C11E9" w:rsidRPr="000A3A07" w:rsidRDefault="007C11E9">
            <w:pPr>
              <w:spacing w:before="0"/>
              <w:jc w:val="left"/>
            </w:pPr>
            <w:r w:rsidRPr="000A3A07">
              <w:t>Stockholm–Märsta–Arlanda</w:t>
            </w:r>
          </w:p>
        </w:tc>
      </w:tr>
      <w:tr w:rsidR="00000000" w:rsidRPr="000A3A07" w14:paraId="3ADF62DC" w14:textId="77777777">
        <w:tblPrEx>
          <w:tblCellMar>
            <w:top w:w="0" w:type="dxa"/>
            <w:bottom w:w="0" w:type="dxa"/>
          </w:tblCellMar>
        </w:tblPrEx>
        <w:tc>
          <w:tcPr>
            <w:tcW w:w="637" w:type="dxa"/>
          </w:tcPr>
          <w:p w14:paraId="5289C554" w14:textId="77777777" w:rsidR="007C11E9" w:rsidRPr="000A3A07" w:rsidRDefault="007C11E9">
            <w:pPr>
              <w:spacing w:before="0"/>
            </w:pPr>
            <w:r w:rsidRPr="000A3A07">
              <w:t>4</w:t>
            </w:r>
          </w:p>
        </w:tc>
        <w:tc>
          <w:tcPr>
            <w:tcW w:w="5245" w:type="dxa"/>
          </w:tcPr>
          <w:p w14:paraId="0A6409FA" w14:textId="77777777" w:rsidR="007C11E9" w:rsidRPr="000A3A07" w:rsidRDefault="007C11E9">
            <w:pPr>
              <w:spacing w:before="0"/>
              <w:jc w:val="left"/>
            </w:pPr>
            <w:r w:rsidRPr="000A3A07">
              <w:t>Pendeltåg till Märsta, matartrafik till och från Arlanda (tåg eller buss)</w:t>
            </w:r>
          </w:p>
        </w:tc>
      </w:tr>
      <w:tr w:rsidR="00000000" w:rsidRPr="000A3A07" w14:paraId="33A5C66D" w14:textId="77777777">
        <w:tblPrEx>
          <w:tblCellMar>
            <w:top w:w="0" w:type="dxa"/>
            <w:bottom w:w="0" w:type="dxa"/>
          </w:tblCellMar>
        </w:tblPrEx>
        <w:tc>
          <w:tcPr>
            <w:tcW w:w="637" w:type="dxa"/>
          </w:tcPr>
          <w:p w14:paraId="26E05DC0" w14:textId="77777777" w:rsidR="007C11E9" w:rsidRPr="000A3A07" w:rsidRDefault="007C11E9">
            <w:pPr>
              <w:spacing w:before="0"/>
            </w:pPr>
            <w:r w:rsidRPr="000A3A07">
              <w:t>5</w:t>
            </w:r>
          </w:p>
        </w:tc>
        <w:tc>
          <w:tcPr>
            <w:tcW w:w="5245" w:type="dxa"/>
          </w:tcPr>
          <w:p w14:paraId="087961B3" w14:textId="77777777" w:rsidR="007C11E9" w:rsidRPr="000A3A07" w:rsidRDefault="007C11E9">
            <w:pPr>
              <w:spacing w:before="0"/>
              <w:jc w:val="left"/>
            </w:pPr>
            <w:r w:rsidRPr="000A3A07">
              <w:t>”Light rail”</w:t>
            </w:r>
          </w:p>
        </w:tc>
      </w:tr>
      <w:tr w:rsidR="00000000" w:rsidRPr="000A3A07" w14:paraId="091A0D08" w14:textId="77777777">
        <w:tblPrEx>
          <w:tblCellMar>
            <w:top w:w="0" w:type="dxa"/>
            <w:bottom w:w="0" w:type="dxa"/>
          </w:tblCellMar>
        </w:tblPrEx>
        <w:tc>
          <w:tcPr>
            <w:tcW w:w="637" w:type="dxa"/>
          </w:tcPr>
          <w:p w14:paraId="79BA187D" w14:textId="77777777" w:rsidR="007C11E9" w:rsidRPr="000A3A07" w:rsidRDefault="007C11E9">
            <w:pPr>
              <w:spacing w:before="0"/>
            </w:pPr>
            <w:r w:rsidRPr="000A3A07">
              <w:t>6</w:t>
            </w:r>
          </w:p>
        </w:tc>
        <w:tc>
          <w:tcPr>
            <w:tcW w:w="5245" w:type="dxa"/>
          </w:tcPr>
          <w:p w14:paraId="734A6BE4" w14:textId="77777777" w:rsidR="007C11E9" w:rsidRPr="000A3A07" w:rsidRDefault="007C11E9">
            <w:pPr>
              <w:spacing w:before="0"/>
              <w:jc w:val="left"/>
            </w:pPr>
            <w:r w:rsidRPr="000A3A07">
              <w:t>”Sky cab monorail”</w:t>
            </w:r>
          </w:p>
        </w:tc>
      </w:tr>
      <w:tr w:rsidR="00000000" w:rsidRPr="000A3A07" w14:paraId="72509FC1" w14:textId="77777777">
        <w:tblPrEx>
          <w:tblCellMar>
            <w:top w:w="0" w:type="dxa"/>
            <w:bottom w:w="0" w:type="dxa"/>
          </w:tblCellMar>
        </w:tblPrEx>
        <w:tc>
          <w:tcPr>
            <w:tcW w:w="637" w:type="dxa"/>
          </w:tcPr>
          <w:p w14:paraId="4772A17B" w14:textId="77777777" w:rsidR="007C11E9" w:rsidRPr="000A3A07" w:rsidRDefault="007C11E9">
            <w:pPr>
              <w:spacing w:before="0"/>
            </w:pPr>
            <w:r w:rsidRPr="000A3A07">
              <w:t>7</w:t>
            </w:r>
          </w:p>
        </w:tc>
        <w:tc>
          <w:tcPr>
            <w:tcW w:w="5245" w:type="dxa"/>
          </w:tcPr>
          <w:p w14:paraId="13A9C0A8" w14:textId="77777777" w:rsidR="007C11E9" w:rsidRPr="000A3A07" w:rsidRDefault="007C11E9">
            <w:pPr>
              <w:spacing w:before="0"/>
              <w:jc w:val="left"/>
            </w:pPr>
            <w:r w:rsidRPr="000A3A07">
              <w:t>Stockholm–Arlanda plus ett spår till Märsta</w:t>
            </w:r>
          </w:p>
        </w:tc>
      </w:tr>
      <w:tr w:rsidR="00000000" w:rsidRPr="000A3A07" w14:paraId="5150CC1C" w14:textId="77777777">
        <w:tblPrEx>
          <w:tblCellMar>
            <w:top w:w="0" w:type="dxa"/>
            <w:bottom w:w="0" w:type="dxa"/>
          </w:tblCellMar>
        </w:tblPrEx>
        <w:tc>
          <w:tcPr>
            <w:tcW w:w="637" w:type="dxa"/>
          </w:tcPr>
          <w:p w14:paraId="1A0DAE32" w14:textId="77777777" w:rsidR="007C11E9" w:rsidRPr="000A3A07" w:rsidRDefault="007C11E9">
            <w:pPr>
              <w:spacing w:before="0"/>
            </w:pPr>
            <w:r w:rsidRPr="000A3A07">
              <w:t>8</w:t>
            </w:r>
          </w:p>
        </w:tc>
        <w:tc>
          <w:tcPr>
            <w:tcW w:w="5245" w:type="dxa"/>
          </w:tcPr>
          <w:p w14:paraId="19E06A0A" w14:textId="77777777" w:rsidR="007C11E9" w:rsidRPr="000A3A07" w:rsidRDefault="007C11E9">
            <w:pPr>
              <w:spacing w:before="0"/>
              <w:jc w:val="left"/>
            </w:pPr>
            <w:r w:rsidRPr="000A3A07">
              <w:t>Extra station i Upplands Väsby</w:t>
            </w:r>
          </w:p>
        </w:tc>
      </w:tr>
    </w:tbl>
    <w:p w14:paraId="23B33D25" w14:textId="77777777" w:rsidR="007C11E9" w:rsidRPr="000A3A07" w:rsidRDefault="007C11E9">
      <w:pPr>
        <w:pStyle w:val="Rubrik2"/>
      </w:pPr>
      <w:bookmarkStart w:id="187" w:name="_Toc486235477"/>
      <w:bookmarkStart w:id="188" w:name="_Toc497118146"/>
      <w:bookmarkStart w:id="189" w:name="_Toc506340980"/>
      <w:r w:rsidRPr="000A3A07">
        <w:t>Resandeströmmar, resandeintäkter och trafikantnyttor</w:t>
      </w:r>
      <w:bookmarkEnd w:id="187"/>
      <w:bookmarkEnd w:id="188"/>
      <w:bookmarkEnd w:id="189"/>
    </w:p>
    <w:p w14:paraId="2E3D684B" w14:textId="77777777" w:rsidR="007C11E9" w:rsidRPr="000A3A07" w:rsidRDefault="007C11E9">
      <w:r w:rsidRPr="000A3A07">
        <w:t>SB baserar sina efterfrågebedömningar på samma studie som BV1, dvs TPR/Transeks studie. Priselasticiteter ”härleds” ur denna studie. Speciellt innebär detta att efterfrågebedömningarna inte heller här beaktar möjligheten av en bibehållen flygbusstrafik. Tvärtom framhålls att ett upphörande av  SLs flygbusstrafik är en nödvändig förutsättning för att få privata investerare intresserade att delta i projektet:</w:t>
      </w:r>
    </w:p>
    <w:p w14:paraId="04D6D366" w14:textId="77777777" w:rsidR="007C11E9" w:rsidRPr="000A3A07" w:rsidRDefault="007C11E9">
      <w:pPr>
        <w:pStyle w:val="Citat"/>
      </w:pPr>
      <w:r w:rsidRPr="000A3A07">
        <w:t>”They will not be willing to risk capital if there is the additional risk of co</w:t>
      </w:r>
      <w:r w:rsidRPr="000A3A07">
        <w:t>m</w:t>
      </w:r>
      <w:r w:rsidRPr="000A3A07">
        <w:t>petition from a lower-cost competitive bus service to the Stockholm Central area. Discontinuation of the Flygbus will also ensure that the environmental benefits associated with Arlandabanan (rather than Flygbus service) are achievable.” (SB, s. 74)</w:t>
      </w:r>
    </w:p>
    <w:p w14:paraId="4078B4D7" w14:textId="77777777" w:rsidR="007C11E9" w:rsidRPr="000A3A07" w:rsidRDefault="007C11E9">
      <w:r w:rsidRPr="000A3A07">
        <w:t>Efterfrågebedömningarna och priselasticiteterna ligger till grund för SBs beräkningar av trafikintäkterna och därmed av subventionsbehovet. Som jag tidigare har nämnt är det oklart om och hur trafikantnyttan ingår i analysen.</w:t>
      </w:r>
    </w:p>
    <w:p w14:paraId="71BE6C33" w14:textId="77777777" w:rsidR="007C11E9" w:rsidRPr="000A3A07" w:rsidRDefault="007C11E9">
      <w:pPr>
        <w:pStyle w:val="Rubrik2"/>
      </w:pPr>
      <w:bookmarkStart w:id="190" w:name="_Toc486235478"/>
      <w:bookmarkStart w:id="191" w:name="_Toc497118147"/>
      <w:bookmarkStart w:id="192" w:name="_Toc506340981"/>
      <w:r w:rsidRPr="000A3A07">
        <w:t>Finansieringskostnader</w:t>
      </w:r>
      <w:bookmarkEnd w:id="190"/>
      <w:bookmarkEnd w:id="191"/>
      <w:bookmarkEnd w:id="192"/>
    </w:p>
    <w:p w14:paraId="3149E766" w14:textId="77777777" w:rsidR="007C11E9" w:rsidRPr="000A3A07" w:rsidRDefault="007C11E9">
      <w:r w:rsidRPr="000A3A07">
        <w:t xml:space="preserve">Den centrala frågan i SB är hur villkoren för ett privat deltagande i projekten skall utformas, dvs i vilken mån och under vilka förutsättningar projektet eller en del av det kan förväntas ge en avkastning som motsvarar en privat investerares lönsamhetskrav. </w:t>
      </w:r>
    </w:p>
    <w:p w14:paraId="7B3F0C18" w14:textId="77777777" w:rsidR="007C11E9" w:rsidRPr="000A3A07" w:rsidRDefault="007C11E9">
      <w:pPr>
        <w:pStyle w:val="Normaltindrag"/>
      </w:pPr>
      <w:r w:rsidRPr="000A3A07">
        <w:t>SBs analys av avkastningskrav utförs med en s.k. CAPM-analys. Utgång</w:t>
      </w:r>
      <w:r w:rsidRPr="000A3A07">
        <w:t>s</w:t>
      </w:r>
      <w:r w:rsidRPr="000A3A07">
        <w:t>punkten är att avkastningskravet beror av den riskfria räntan plus en ris</w:t>
      </w:r>
      <w:r w:rsidRPr="000A3A07">
        <w:t>k</w:t>
      </w:r>
      <w:r w:rsidRPr="000A3A07">
        <w:t>term. Risktermen är beroende dels av storleken av risken i denna typ av projekt, dels av belåningsgraden. Eftersom större delen av risken bärs av det egna kapitalet ökar risken per satsad krona eget kapital med belåningsand</w:t>
      </w:r>
      <w:r w:rsidRPr="000A3A07">
        <w:t>e</w:t>
      </w:r>
      <w:r w:rsidRPr="000A3A07">
        <w:t>len (enligt den s k hävstångseffekten).</w:t>
      </w:r>
    </w:p>
    <w:p w14:paraId="3CBFDEF8" w14:textId="77777777" w:rsidR="007C11E9" w:rsidRPr="000A3A07" w:rsidRDefault="007C11E9">
      <w:pPr>
        <w:pStyle w:val="Normaltindrag"/>
      </w:pPr>
      <w:r w:rsidRPr="000A3A07">
        <w:t>Analysen baseras på att den riskfria räntan i Sverige är 10 procent. Nuvä</w:t>
      </w:r>
      <w:r w:rsidRPr="000A3A07">
        <w:t>r</w:t>
      </w:r>
      <w:r w:rsidRPr="000A3A07">
        <w:t>desberäkningarna utförs därför med denna ränta, trots att trafikverkens i</w:t>
      </w:r>
      <w:r w:rsidRPr="000A3A07">
        <w:t>n</w:t>
      </w:r>
      <w:r w:rsidRPr="000A3A07">
        <w:t>frastrukturinvesteringar enligt då gällande praxis skulle utvärderas med ka</w:t>
      </w:r>
      <w:r w:rsidRPr="000A3A07">
        <w:t>l</w:t>
      </w:r>
      <w:r w:rsidRPr="000A3A07">
        <w:t>kylräntan 5 procent. Förmodligen har man inte uppmärksammat att en real kalkyl (som detta verkar vara) bör göras med en real (dvs lägre än nominell) ränta. Med tanke på att den reala riskfria räntan under den period Arlandab</w:t>
      </w:r>
      <w:r w:rsidRPr="000A3A07">
        <w:t>a</w:t>
      </w:r>
      <w:r w:rsidRPr="000A3A07">
        <w:t>nan byggdes var cirka 4 procent innebär detta en väsentlig överskattning av nivån för ett rimligt avkastningskrav (och därmed av subvent</w:t>
      </w:r>
      <w:r w:rsidRPr="000A3A07">
        <w:t>ionsbehovet).</w:t>
      </w:r>
    </w:p>
    <w:p w14:paraId="27D99973" w14:textId="77777777" w:rsidR="007C11E9" w:rsidRPr="000A3A07" w:rsidRDefault="007C11E9">
      <w:pPr>
        <w:pStyle w:val="Normaltindrag"/>
      </w:pPr>
      <w:r w:rsidRPr="000A3A07">
        <w:t>Riskens storlek bedöms genom en CAPM-analys av historiska börsdata för järnvägsföretag i Sverige. Analysen indikerar att risken i denna sektor är nära korrelerad med marknadsrisken, dvs beta-värdet är nära ett. Det hade funnits skäl att närmare diskutera lämpligheten av denna metod för att bedöma ri</w:t>
      </w:r>
      <w:r w:rsidRPr="000A3A07">
        <w:t>s</w:t>
      </w:r>
      <w:r w:rsidRPr="000A3A07">
        <w:t>ken i just detta projekt. Men med tanke på att efterfrågan på resande kan tänkas bero på den allmänna inkomstutvecklingen och på konjunkturutvec</w:t>
      </w:r>
      <w:r w:rsidRPr="000A3A07">
        <w:t>k</w:t>
      </w:r>
      <w:r w:rsidRPr="000A3A07">
        <w:t xml:space="preserve">lingen i flertalet branscher förefaller det rimligt att just välja ett betavärde kring ett. Riskkostnadstillägget för marknadsrisken antas vara 7,4 procent. Detta senare antagande bygger på amerikanska förutsättningar men torde vara adekvat även för Sverige. </w:t>
      </w:r>
    </w:p>
    <w:p w14:paraId="61E0A3F2" w14:textId="77777777" w:rsidR="007C11E9" w:rsidRPr="000A3A07" w:rsidRDefault="007C11E9">
      <w:pPr>
        <w:pStyle w:val="Normaltindrag"/>
      </w:pPr>
      <w:r w:rsidRPr="000A3A07">
        <w:t>Avkastningskravet på eget kapital sätts sedan till 20 och 25 procent. Med förutsättningar enligt ovan mots</w:t>
      </w:r>
      <w:r w:rsidRPr="000A3A07">
        <w:t>varar detta en belåningsgrad på mellan 30 och 60 procent.</w:t>
      </w:r>
    </w:p>
    <w:p w14:paraId="01FE6C96" w14:textId="77777777" w:rsidR="007C11E9" w:rsidRPr="000A3A07" w:rsidRDefault="007C11E9">
      <w:pPr>
        <w:pStyle w:val="Normaltindrag"/>
      </w:pPr>
      <w:r w:rsidRPr="000A3A07">
        <w:t>Jag har ovan kommenterat den oklarhet som finns kring posten ”Government Revenues from the Project”. En kostnadskomponent som definitivt saknas är den samhällsekonomiska finansieringskostnaden (särskilt den s k Skattefaktor 2, vilken 1992 uppskattades till 25%, idag 30%)). Detta innebär att samtidigt som SB genom användande av en nominell räntenivå torde ha överskattat finansieringskostnaden för den privata delen av projek</w:t>
      </w:r>
      <w:r w:rsidRPr="000A3A07">
        <w:t>t</w:t>
      </w:r>
      <w:r w:rsidRPr="000A3A07">
        <w:t>finansieringen så underskattas väsentligt kostnaden för den offentliga fina</w:t>
      </w:r>
      <w:r w:rsidRPr="000A3A07">
        <w:t>n</w:t>
      </w:r>
      <w:r w:rsidRPr="000A3A07">
        <w:t>sieringen.</w:t>
      </w:r>
    </w:p>
    <w:p w14:paraId="189858AA" w14:textId="77777777" w:rsidR="007C11E9" w:rsidRPr="000A3A07" w:rsidRDefault="007C11E9">
      <w:pPr>
        <w:pStyle w:val="Normaltindrag"/>
      </w:pPr>
      <w:r w:rsidRPr="000A3A07">
        <w:t>Den offentliga finansieringen av projektet förutses ske främst genom  ”user fees”, dvs som en subvention per resenär. Detta är en restpost och således kalkylresultatet. Om man väljer det välvilliga tolkningsalternativet beträffande innebörden av ”Government Revenues”  pekar på SBs egna resultat på att endast för sträckan Stockholm–Arlanda är trafikantnyttan större än nuvärdet av den statliga subventionen. Om man med denn</w:t>
      </w:r>
      <w:r w:rsidRPr="000A3A07">
        <w:t>a u</w:t>
      </w:r>
      <w:r w:rsidRPr="000A3A07">
        <w:t>t</w:t>
      </w:r>
      <w:r w:rsidRPr="000A3A07">
        <w:t>gångspunkt korrigerar kalkylen genom att lägga till kostnaden för skattef</w:t>
      </w:r>
      <w:r w:rsidRPr="000A3A07">
        <w:t>i</w:t>
      </w:r>
      <w:r w:rsidRPr="000A3A07">
        <w:t>nansiering visar det sig att alternativ 2b (stationer under jord) skulle vara olönsamt i denna mening och alternativ 2a (ovan jord) nätt och jämnt lö</w:t>
      </w:r>
      <w:r w:rsidRPr="000A3A07">
        <w:t>n</w:t>
      </w:r>
      <w:r w:rsidRPr="000A3A07">
        <w:t xml:space="preserve">samt.  </w:t>
      </w:r>
    </w:p>
    <w:p w14:paraId="278E1EA5" w14:textId="77777777" w:rsidR="007C11E9" w:rsidRPr="000A3A07" w:rsidRDefault="007C11E9">
      <w:pPr>
        <w:pStyle w:val="Rubrik2"/>
      </w:pPr>
      <w:bookmarkStart w:id="193" w:name="_Toc486235479"/>
      <w:bookmarkStart w:id="194" w:name="_Toc497118148"/>
      <w:bookmarkStart w:id="195" w:name="_Toc506340982"/>
      <w:r w:rsidRPr="000A3A07">
        <w:t>Sammanfattning</w:t>
      </w:r>
      <w:bookmarkEnd w:id="193"/>
      <w:bookmarkEnd w:id="194"/>
      <w:bookmarkEnd w:id="195"/>
    </w:p>
    <w:p w14:paraId="123A62DB" w14:textId="77777777" w:rsidR="007C11E9" w:rsidRPr="000A3A07" w:rsidRDefault="007C11E9">
      <w:r w:rsidRPr="000A3A07">
        <w:t>SBs analys kompletterar särskilt på kostnadssidan den analys som utfördes i BV1. Analysen i SB tyder vidare på att den räntesats (7 procent) som använts i den företagsekonomiska kalkylen i BV1 var för låg för ett privat företag, givet den risk som skulle bäras. SB tycks emellertid, givet förutsättningarna för analysen i övrigt, ha överskattat det privata avkastningskravet och unde</w:t>
      </w:r>
      <w:r w:rsidRPr="000A3A07">
        <w:t>r</w:t>
      </w:r>
      <w:r w:rsidRPr="000A3A07">
        <w:t>skattat kostnaden för skattefinansiering. Uppenbart är att Salomon Brothers inte har förstått hur man utvärderar ett offentligt investeringsprojekt (dvs CBA-tekniken)</w:t>
      </w:r>
      <w:r w:rsidRPr="000A3A07">
        <w:rPr>
          <w:rStyle w:val="Fotnotsreferens"/>
        </w:rPr>
        <w:footnoteReference w:id="25"/>
      </w:r>
      <w:r w:rsidRPr="000A3A07">
        <w:t xml:space="preserve"> utan använder en kalkylmetodik som liknar den som skulle ha använts om detta gällt ett renodlat privat investeringsprojekt, trots att detta aldrig var aktuellt i detta fall. SBs rapport ger inget riktigt underlag för att bedöma den samhällsekonomiska lönsamheten av att genomföra projektet i en eller annan form.</w:t>
      </w:r>
    </w:p>
    <w:p w14:paraId="64EF26E6" w14:textId="77777777" w:rsidR="007C11E9" w:rsidRPr="000A3A07" w:rsidRDefault="007C11E9">
      <w:pPr>
        <w:pStyle w:val="Normaltindrag"/>
      </w:pPr>
      <w:r w:rsidRPr="000A3A07">
        <w:t>SBs analys närmade sig något det projekt som faktiskt kom att genomföras genom att introducera kalkylalternativ som delade upp projektet i två eta</w:t>
      </w:r>
      <w:r w:rsidRPr="000A3A07">
        <w:t>p</w:t>
      </w:r>
      <w:r w:rsidRPr="000A3A07">
        <w:t>per. Kostnaden för stationer i Arlanda under jord beräknas. Fortfarande ski</w:t>
      </w:r>
      <w:r w:rsidRPr="000A3A07">
        <w:t>l</w:t>
      </w:r>
      <w:r w:rsidRPr="000A3A07">
        <w:t>jer sig emellertid kalkylalternativen avsevärt från det projekt som faktiskt kom att genomföras. Formen för den offentliga finansieringen är en passag</w:t>
      </w:r>
      <w:r w:rsidRPr="000A3A07">
        <w:t>e</w:t>
      </w:r>
      <w:r w:rsidRPr="000A3A07">
        <w:t>rarsubvention. Stockholm Nord är med. Tågtrafiken förutsätts slippa konku</w:t>
      </w:r>
      <w:r w:rsidRPr="000A3A07">
        <w:t>r</w:t>
      </w:r>
      <w:r w:rsidRPr="000A3A07">
        <w:t xml:space="preserve">rens med flygbussar. Biljettpriserna för flygpendeln förutsätts vara desamma som den som gällt för flygbussarna. </w:t>
      </w:r>
    </w:p>
    <w:p w14:paraId="45B4405D" w14:textId="77777777" w:rsidR="007C11E9" w:rsidRPr="000A3A07" w:rsidRDefault="007C11E9">
      <w:pPr>
        <w:pStyle w:val="Normaltindrag"/>
      </w:pPr>
      <w:r w:rsidRPr="000A3A07">
        <w:t>SBs rapport redovisades den 8 december 1992 för Delegationen för i</w:t>
      </w:r>
      <w:r w:rsidRPr="000A3A07">
        <w:t>n</w:t>
      </w:r>
      <w:r w:rsidRPr="000A3A07">
        <w:t>frastrukturinvesteringar. Delegation beslöt vid sitt möte samma dag att för</w:t>
      </w:r>
      <w:r w:rsidRPr="000A3A07">
        <w:t>e</w:t>
      </w:r>
      <w:r w:rsidRPr="000A3A07">
        <w:t>slå regeringen att genomföra en samfinansierad utbyggnad av ett nytt spår från Rosersberg till Arlanda som en första etapp av projektet. Närmare an</w:t>
      </w:r>
      <w:r w:rsidRPr="000A3A07">
        <w:t>a</w:t>
      </w:r>
      <w:r w:rsidRPr="000A3A07">
        <w:t>lys av storleken och formerna för statlig finansiering skulle göras efter g</w:t>
      </w:r>
      <w:r w:rsidRPr="000A3A07">
        <w:t>e</w:t>
      </w:r>
      <w:r w:rsidRPr="000A3A07">
        <w:t>nomförd upphandling. Regeringen beslöt att gå vidare med frågan i enlighet med detta förslag i januari 1993.</w:t>
      </w:r>
    </w:p>
    <w:p w14:paraId="2F15FE76" w14:textId="77777777" w:rsidR="007C11E9" w:rsidRPr="000A3A07" w:rsidRDefault="007C11E9">
      <w:pPr>
        <w:pStyle w:val="Rubrik1"/>
      </w:pPr>
      <w:r w:rsidRPr="000A3A07">
        <w:br w:type="page"/>
      </w:r>
      <w:bookmarkStart w:id="196" w:name="_Toc486235480"/>
      <w:bookmarkStart w:id="197" w:name="_Toc497118149"/>
      <w:bookmarkStart w:id="198" w:name="_Toc506340983"/>
      <w:r w:rsidRPr="000A3A07">
        <w:t>BV: Analysen av ”Norra böjen”</w:t>
      </w:r>
      <w:bookmarkEnd w:id="196"/>
      <w:bookmarkEnd w:id="197"/>
      <w:bookmarkEnd w:id="198"/>
    </w:p>
    <w:p w14:paraId="79CFC410" w14:textId="77777777" w:rsidR="007C11E9" w:rsidRPr="000A3A07" w:rsidRDefault="007C11E9">
      <w:r w:rsidRPr="000A3A07">
        <w:t>Någon ytterligare samhällsekonomisk analys utfördes inte som underlag för de beslut som kom att fattas beträffande den södra delen av banan (med undantag för ställningstagande till stationen Stockholm Nord, se nedan). Däremot utförde Banverket 1993 en samhällsekonomisk analys av olika alternativ för en nordlig järnvägsanslutning, som jag här kallar BV2.</w:t>
      </w:r>
    </w:p>
    <w:p w14:paraId="32A199CB" w14:textId="77777777" w:rsidR="007C11E9" w:rsidRPr="000A3A07" w:rsidRDefault="007C11E9">
      <w:pPr>
        <w:pStyle w:val="Rubrik2"/>
      </w:pPr>
      <w:bookmarkStart w:id="199" w:name="_Toc486235481"/>
      <w:bookmarkStart w:id="200" w:name="_Toc497118150"/>
      <w:bookmarkStart w:id="201" w:name="_Toc506340984"/>
      <w:r w:rsidRPr="000A3A07">
        <w:t>Val av åtgärds- och jämförelsealternativ</w:t>
      </w:r>
      <w:bookmarkEnd w:id="199"/>
      <w:bookmarkEnd w:id="200"/>
      <w:bookmarkEnd w:id="201"/>
    </w:p>
    <w:p w14:paraId="7C95BD82" w14:textId="77777777" w:rsidR="007C11E9" w:rsidRPr="000A3A07" w:rsidRDefault="007C11E9">
      <w:r w:rsidRPr="000A3A07">
        <w:t xml:space="preserve">BV2 studerar alltså olika alternativ för en järnvägsanslutning för resenärer från eller mot norr. Anmärkningsvärt nog analyseras däremot inte frågan </w:t>
      </w:r>
      <w:r w:rsidRPr="000A3A07">
        <w:rPr>
          <w:i/>
        </w:rPr>
        <w:t>om</w:t>
      </w:r>
      <w:r w:rsidRPr="000A3A07">
        <w:t xml:space="preserve"> en sådan anslutning bör göras. Det finns således inget nollalternativ (eller ”lågbudgetalternativ”) som innebär att en större investering kan undvikas.  Istället jämförs tre alternativ som alla kräver investeringar i både spår och station. Dessa är (1) ”Norra böjen”, dvs en järnväg Odensala–Arlanda med station vid Arlanda, (2) omstigning vid Märsta samt (3) omstigning vid Stockholm Nord (i Häggvik). De två senare alternativen innehåller båda en komplettering av befintlig dubbelspår söder om Märsta med yt</w:t>
      </w:r>
      <w:r w:rsidRPr="000A3A07">
        <w:t>terligare åtta km dubbelspår, således till fyra spår. Alternativ 2 innebär en större ombyg</w:t>
      </w:r>
      <w:r w:rsidRPr="000A3A07">
        <w:t>g</w:t>
      </w:r>
      <w:r w:rsidRPr="000A3A07">
        <w:t>nad av stationen i Märsta medan alternativ 3 istället innebär en nybyggnad av en station i Häggvik.</w:t>
      </w:r>
    </w:p>
    <w:p w14:paraId="17943058" w14:textId="77777777" w:rsidR="007C11E9" w:rsidRPr="000A3A07" w:rsidRDefault="007C11E9">
      <w:pPr>
        <w:pStyle w:val="Normaltindrag"/>
      </w:pPr>
      <w:r w:rsidRPr="000A3A07">
        <w:t>Med denna uppsättning alternativ blev utgången av kalkylen, som visade att det första alternativen var det mest fördelaktiga, kanske inte så överra</w:t>
      </w:r>
      <w:r w:rsidRPr="000A3A07">
        <w:t>s</w:t>
      </w:r>
      <w:r w:rsidRPr="000A3A07">
        <w:t>kande. Alla tre alternativen ställde krav på investeringar i spår och stationer och var därför ganska likvärdiga kostnadsmässigt, men alternativ 1 innebar kortare restid för resenärerna från norr, vilket blev utslagsgivande. Dock fanns det ytterligare en viktig skillnad mellan alternativen, till fördel för alternativ 3, men denna tycks helt ha nonchalerats, något jag strax skall åte</w:t>
      </w:r>
      <w:r w:rsidRPr="000A3A07">
        <w:t>r</w:t>
      </w:r>
      <w:r w:rsidRPr="000A3A07">
        <w:t>komma till.</w:t>
      </w:r>
    </w:p>
    <w:p w14:paraId="2B0F6D39" w14:textId="77777777" w:rsidR="007C11E9" w:rsidRPr="000A3A07" w:rsidRDefault="007C11E9">
      <w:pPr>
        <w:pStyle w:val="Normaltindrag"/>
      </w:pPr>
      <w:r w:rsidRPr="000A3A07">
        <w:t>En konsekvens av att ett nollalternativ saknades var att kalkylen kunde förenklas på flera sätt. Av detta skäl re</w:t>
      </w:r>
      <w:r w:rsidRPr="000A3A07">
        <w:t>dovisas i BV2 inte de olika alternat</w:t>
      </w:r>
      <w:r w:rsidRPr="000A3A07">
        <w:t>i</w:t>
      </w:r>
      <w:r w:rsidRPr="000A3A07">
        <w:t>vens trafikantnytta, utan bara differensen i nytta mellan alternativen. Tyvärr innebär detta att det inte i efterhand går att med detta material konstruera en egen bedömning av skillnaden mellan de tre alternativen och ett nollaltern</w:t>
      </w:r>
      <w:r w:rsidRPr="000A3A07">
        <w:t>a</w:t>
      </w:r>
      <w:r w:rsidRPr="000A3A07">
        <w:t>tiv. Det är alltså inte möjligt att ur denna analys utläsa om en nordlig jär</w:t>
      </w:r>
      <w:r w:rsidRPr="000A3A07">
        <w:t>n</w:t>
      </w:r>
      <w:r w:rsidRPr="000A3A07">
        <w:t>vägsanslu</w:t>
      </w:r>
      <w:r w:rsidRPr="000A3A07">
        <w:t>t</w:t>
      </w:r>
      <w:r w:rsidRPr="000A3A07">
        <w:t>ning var samhällsekonomisk lönsam.</w:t>
      </w:r>
    </w:p>
    <w:p w14:paraId="09DDE19A" w14:textId="77777777" w:rsidR="007C11E9" w:rsidRPr="000A3A07" w:rsidRDefault="007C11E9">
      <w:pPr>
        <w:pStyle w:val="Normaltindrag"/>
      </w:pPr>
      <w:r w:rsidRPr="000A3A07">
        <w:t>Något skäl till avsaknaden av ett nollalternativ  redovisas inte. För resen</w:t>
      </w:r>
      <w:r w:rsidRPr="000A3A07">
        <w:t>ä</w:t>
      </w:r>
      <w:r w:rsidRPr="000A3A07">
        <w:t>rer från norr fanns tidigare tre alternativ för att komma till Arlanda. För det första kunde man åka till Stockholm C och ta flygbuss därifrån. Ett andra alternativ var omstigning till flygbuss i Uppsala. Ett tredje alternativ var omstigning i Märsta. För många resenärer torde Stockholm C eller Uppsala ha varit de smidigaste alternativen. För nattågsresenärer från Jämtland och övre Norrland är tidsåtgången för en extrasväng till Stockholm C inte nö</w:t>
      </w:r>
      <w:r w:rsidRPr="000A3A07">
        <w:t>d</w:t>
      </w:r>
      <w:r w:rsidRPr="000A3A07">
        <w:t>vändigtvis en nackdel eftersom den kan innebära längre sov</w:t>
      </w:r>
      <w:r w:rsidRPr="000A3A07">
        <w:t>tid tidigt på morgonen. Byte till flygbuss i Uppsala är knappast ett särskilt mycket sämre alternativ än byte i Märsta. Ändå saknas alltså båda dessa två alternativ i analysen i BV2.</w:t>
      </w:r>
    </w:p>
    <w:p w14:paraId="202485C6" w14:textId="77777777" w:rsidR="007C11E9" w:rsidRPr="000A3A07" w:rsidRDefault="007C11E9">
      <w:pPr>
        <w:pStyle w:val="Rubrik2"/>
      </w:pPr>
      <w:bookmarkStart w:id="202" w:name="_Toc486235482"/>
      <w:bookmarkStart w:id="203" w:name="_Toc497118151"/>
      <w:bookmarkStart w:id="204" w:name="_Toc506340985"/>
      <w:r w:rsidRPr="000A3A07">
        <w:t>Resandeströmmar, resandeintäkter och trafikantnyttor</w:t>
      </w:r>
      <w:bookmarkEnd w:id="202"/>
      <w:bookmarkEnd w:id="203"/>
      <w:bookmarkEnd w:id="204"/>
    </w:p>
    <w:p w14:paraId="342CB294" w14:textId="77777777" w:rsidR="007C11E9" w:rsidRPr="000A3A07" w:rsidRDefault="007C11E9">
      <w:r w:rsidRPr="000A3A07">
        <w:t>Inte heller i BV2 finns någon helt ny bedömning av efterfrågan utan analysen utgår från de tidigare gjorda prognoserna. Dock uppmärksammas den svaga utvecklingen av flygresandet. Man antar därför att den bedömda ökningen till år 2000 istället kommer att inträffa först år 2005. Skillnaderna mellan de tre alternativen beräknas sedan med hjälp av restidselasticiteter.</w:t>
      </w:r>
    </w:p>
    <w:p w14:paraId="31CBB3B4" w14:textId="77777777" w:rsidR="007C11E9" w:rsidRPr="000A3A07" w:rsidRDefault="007C11E9">
      <w:pPr>
        <w:pStyle w:val="Normaltindrag"/>
      </w:pPr>
      <w:r w:rsidRPr="000A3A07">
        <w:t>Denna analys av effekter på efterfrågan begränsar sig till emellertid enbart effekterna på resandet norrut/norrifrån. Detta kan vid en ytlig läsning av rapporten förefalla naturligt, men framstår vid en jämförelse med båda de tidigare rapporterna som mycket anmärkningsvärt. Båda dessa framhåller nämligen betydelsen av en station Stockholm Nord (av SB även kallad A</w:t>
      </w:r>
      <w:r w:rsidRPr="000A3A07">
        <w:t>r</w:t>
      </w:r>
      <w:r w:rsidRPr="000A3A07">
        <w:t>landa Syd) för att generera resandeströmmar söderifrån till Arlandabanan, dvs för att fånga upp trafikanter från norra Stockholm. BV2 nämner inte denna aspekt och tycks inte alls ha beaktat att efterfrågan på resande på den södra bansträckningen är beroende av en sådan station. Om denna effekt verkligen var så betydelsefull som de två tidigare rapporterna tyder på inn</w:t>
      </w:r>
      <w:r w:rsidRPr="000A3A07">
        <w:t>e</w:t>
      </w:r>
      <w:r w:rsidRPr="000A3A07">
        <w:t>bär detta att BV2 snedvrider analysen på två sätt. För det första tippas ka</w:t>
      </w:r>
      <w:r w:rsidRPr="000A3A07">
        <w:t>l</w:t>
      </w:r>
      <w:r w:rsidRPr="000A3A07">
        <w:t xml:space="preserve">kylen till fördel för alternativ 1, dvs ”Norra böjen”, eftersom </w:t>
      </w:r>
      <w:r w:rsidRPr="000A3A07">
        <w:t>jämförelsealte</w:t>
      </w:r>
      <w:r w:rsidRPr="000A3A07">
        <w:t>r</w:t>
      </w:r>
      <w:r w:rsidRPr="000A3A07">
        <w:t>nativet med en anslutning vid Häggvik får en överskattad nettokostnad. För det andra förändras, i negativ riktning, lönsamheten för den södra sträc</w:t>
      </w:r>
      <w:r w:rsidRPr="000A3A07">
        <w:t>k</w:t>
      </w:r>
      <w:r w:rsidRPr="000A3A07">
        <w:t xml:space="preserve">ningen. Frågan ställs därför återigen om den södra sträckningen fortfarande är samhällsekonomiskt lönsam efter förändring av de förutsättningar på vilka analyserna i BV1 och SB vilat. </w:t>
      </w:r>
    </w:p>
    <w:p w14:paraId="6EB9D55B" w14:textId="77777777" w:rsidR="007C11E9" w:rsidRPr="000A3A07" w:rsidRDefault="007C11E9">
      <w:pPr>
        <w:pStyle w:val="Rubrik2"/>
      </w:pPr>
      <w:bookmarkStart w:id="205" w:name="_Toc486235483"/>
      <w:bookmarkStart w:id="206" w:name="_Toc497118152"/>
      <w:bookmarkStart w:id="207" w:name="_Toc506340986"/>
      <w:r w:rsidRPr="000A3A07">
        <w:t>Externa effekter och finansieringskostnader</w:t>
      </w:r>
      <w:bookmarkEnd w:id="205"/>
      <w:bookmarkEnd w:id="206"/>
      <w:bookmarkEnd w:id="207"/>
    </w:p>
    <w:p w14:paraId="6A3B0382" w14:textId="77777777" w:rsidR="007C11E9" w:rsidRPr="000A3A07" w:rsidRDefault="007C11E9">
      <w:r w:rsidRPr="000A3A07">
        <w:t>I BV2 redovisas, till skillnad från i BV1, översiktligt resultatet av en jämf</w:t>
      </w:r>
      <w:r w:rsidRPr="000A3A07">
        <w:t>ö</w:t>
      </w:r>
      <w:r w:rsidRPr="000A3A07">
        <w:t>relse av de olika alternativens miljökonsekvenser. Man konstaterar bl a att alla alternativ ger upphov vill störningar för rekreationslivet och beskriver kortfattat hur dessa skiljer sig.</w:t>
      </w:r>
    </w:p>
    <w:p w14:paraId="75029161" w14:textId="77777777" w:rsidR="007C11E9" w:rsidRPr="000A3A07" w:rsidRDefault="007C11E9">
      <w:pPr>
        <w:pStyle w:val="Normaltindrag"/>
      </w:pPr>
      <w:r w:rsidRPr="000A3A07">
        <w:t>BV2 tar på sedvanligt sätt hänsyn till kostnaden för skattefinansiering. Vissa känslighetsanalyser utförs som bl a studerar effekterna av förändringar av efterfrågan. En viktig kalkylvariant avser möjligheten att spårinvesterin</w:t>
      </w:r>
      <w:r w:rsidRPr="000A3A07">
        <w:t>g</w:t>
      </w:r>
      <w:r w:rsidRPr="000A3A07">
        <w:t>en söder om Märsta kan uppskjutas i 20 år.</w:t>
      </w:r>
    </w:p>
    <w:p w14:paraId="7E901971" w14:textId="77777777" w:rsidR="007C11E9" w:rsidRPr="000A3A07" w:rsidRDefault="007C11E9">
      <w:pPr>
        <w:pStyle w:val="Rubrik2"/>
      </w:pPr>
      <w:bookmarkStart w:id="208" w:name="_Toc486235484"/>
      <w:bookmarkStart w:id="209" w:name="_Toc497118153"/>
      <w:bookmarkStart w:id="210" w:name="_Toc506340987"/>
      <w:r w:rsidRPr="000A3A07">
        <w:t>Sammanfattning</w:t>
      </w:r>
      <w:bookmarkEnd w:id="208"/>
      <w:bookmarkEnd w:id="209"/>
      <w:bookmarkEnd w:id="210"/>
    </w:p>
    <w:p w14:paraId="792CF0C5" w14:textId="77777777" w:rsidR="007C11E9" w:rsidRPr="000A3A07" w:rsidRDefault="007C11E9">
      <w:r w:rsidRPr="000A3A07">
        <w:t>BV2 är givet sina antaganden en korrekt utförd CBA. Den utgör emellertid inte ett tillfredsställande underlag för beslut om den nordliga järnvägsanslu</w:t>
      </w:r>
      <w:r w:rsidRPr="000A3A07">
        <w:t>t</w:t>
      </w:r>
      <w:r w:rsidRPr="000A3A07">
        <w:t>ning. Dels saknas nollalternativ, dels tas ingen hänsyn till Stockholm Nords betydelse för resandetillströmningen från söder.</w:t>
      </w:r>
    </w:p>
    <w:p w14:paraId="4C1DA4FC" w14:textId="77777777" w:rsidR="007C11E9" w:rsidRPr="000A3A07" w:rsidRDefault="007C11E9">
      <w:pPr>
        <w:pStyle w:val="Rubrik1"/>
        <w:ind w:left="357" w:hanging="357"/>
      </w:pPr>
      <w:bookmarkStart w:id="211" w:name="_Toc486235485"/>
      <w:bookmarkStart w:id="212" w:name="_Toc497118154"/>
      <w:r w:rsidRPr="000A3A07">
        <w:br w:type="page"/>
      </w:r>
      <w:bookmarkStart w:id="213" w:name="_Toc506340988"/>
      <w:r w:rsidRPr="000A3A07">
        <w:t>Sammanfattning: fyra hypoteser om organisatoriska brister i den beslutsprocess som föregår större investeringar i infrastruktur</w:t>
      </w:r>
      <w:bookmarkEnd w:id="211"/>
      <w:bookmarkEnd w:id="212"/>
      <w:bookmarkEnd w:id="213"/>
    </w:p>
    <w:p w14:paraId="284F3549" w14:textId="77777777" w:rsidR="007C11E9" w:rsidRPr="000A3A07" w:rsidRDefault="007C11E9">
      <w:r w:rsidRPr="000A3A07">
        <w:t>Inledningsvis diskuterade jag behovet av att se den planeringsprocess som föregår en stor infrastrukturinvestering som denna som en kunskapsprocess i vilken CBA kan utgöra ett verktyg för successiva ställningstaganden till projektets utformning. Den första CBA som genomfördes av projektet i BV1 fyllde någorlunda väl behovet av ett underlag för beslutet att inleda ett d</w:t>
      </w:r>
      <w:r w:rsidRPr="000A3A07">
        <w:t>e</w:t>
      </w:r>
      <w:r w:rsidRPr="000A3A07">
        <w:t>taljerat planeringsarbete. Den var emellertid inte ett tillräckligt underlag för  ett slutligt ställningstagande till projektet med den utformning det faktiskt fick. Inte heller de två senare analyserna, SB och BV2, fyllde detta syfte. Vare sig besluten om den södra sträckningen eller den norra delen av banan var därför grundade på en samhällsekonomisk analys som verkligen visade att de åtgärder som kom att utföras var lönsamma.</w:t>
      </w:r>
    </w:p>
    <w:p w14:paraId="01BBEDEA" w14:textId="77777777" w:rsidR="007C11E9" w:rsidRPr="000A3A07" w:rsidRDefault="007C11E9">
      <w:pPr>
        <w:pStyle w:val="Normaltindrag"/>
      </w:pPr>
      <w:r w:rsidRPr="000A3A07">
        <w:t>De tekniska brister i rapporterna som jag här redovisat kan kanske hänf</w:t>
      </w:r>
      <w:r w:rsidRPr="000A3A07">
        <w:t>ö</w:t>
      </w:r>
      <w:r w:rsidRPr="000A3A07">
        <w:t>ras till grundläggande organisatoriska problem. Jag skulle därför vilja sa</w:t>
      </w:r>
      <w:r w:rsidRPr="000A3A07">
        <w:t>m</w:t>
      </w:r>
      <w:r w:rsidRPr="000A3A07">
        <w:t>manfatta de viktigaste slutsatserna av min granskning i form av följande fyra något provokativa hypoteser om de bakomliggande organisatoriska problem som de tekniska bristerna i just detta fall pekar på:</w:t>
      </w:r>
    </w:p>
    <w:p w14:paraId="21A2ECEC" w14:textId="77777777" w:rsidR="007C11E9" w:rsidRPr="000A3A07" w:rsidRDefault="007C11E9">
      <w:r w:rsidRPr="000A3A07">
        <w:rPr>
          <w:i/>
        </w:rPr>
        <w:t xml:space="preserve">Hypotes 1. </w:t>
      </w:r>
      <w:r w:rsidRPr="000A3A07">
        <w:t xml:space="preserve">Banverkets fokus ligger på alternativ och konsekvenser inom Banverkets ansvarsområde. </w:t>
      </w:r>
    </w:p>
    <w:p w14:paraId="0267D516" w14:textId="77777777" w:rsidR="007C11E9" w:rsidRPr="000A3A07" w:rsidRDefault="007C11E9">
      <w:r w:rsidRPr="000A3A07">
        <w:t>Denna hypotes grundas på iakttagelsen att utbyggnadsalternativen i norr och söder varken i BV1 eller BV2  ställs mot alternativ baserade på flygbusstr</w:t>
      </w:r>
      <w:r w:rsidRPr="000A3A07">
        <w:t>a</w:t>
      </w:r>
      <w:r w:rsidRPr="000A3A07">
        <w:t>fik från Stockholm respektive Uppsala. Iakttagelsen att BV2, sedan beslut tagits om att den södra bandelen skall drivas som ett BOT-projekt, inte stud</w:t>
      </w:r>
      <w:r w:rsidRPr="000A3A07">
        <w:t>e</w:t>
      </w:r>
      <w:r w:rsidRPr="000A3A07">
        <w:t xml:space="preserve">rar konsekvenserna på efterfrågan på resande på denna del av banan pekar i samma riktning.  </w:t>
      </w:r>
    </w:p>
    <w:p w14:paraId="64664BB6" w14:textId="77777777" w:rsidR="007C11E9" w:rsidRPr="000A3A07" w:rsidRDefault="007C11E9">
      <w:r w:rsidRPr="000A3A07">
        <w:rPr>
          <w:i/>
        </w:rPr>
        <w:t xml:space="preserve">Hypotes 2. </w:t>
      </w:r>
      <w:r w:rsidRPr="000A3A07">
        <w:t xml:space="preserve">Regeringskansliet använder inte samhällsekonomisk analyser som beslutsunderlag vid ställningstaganden till ett projekts slutliga utformning. </w:t>
      </w:r>
    </w:p>
    <w:p w14:paraId="43737117" w14:textId="77777777" w:rsidR="007C11E9" w:rsidRPr="000A3A07" w:rsidRDefault="007C11E9">
      <w:r w:rsidRPr="000A3A07">
        <w:t>Denna hypotes grundas främst på iakttagelsen att det efter BV1 och SB inte utfördes någon ytterligare analys av den samhällsekonomiska lönsamheten av den södra bandelen. Ändå skilde sig projektet i sin slutliga utformning på ett avgörande sätt från de projektalternativ som hade studerats tidigare, främst genom prispolitiken/flygbusstrafiken och borttagandet av en mell</w:t>
      </w:r>
      <w:r w:rsidRPr="000A3A07">
        <w:t>a</w:t>
      </w:r>
      <w:r w:rsidRPr="000A3A07">
        <w:t>n</w:t>
      </w:r>
      <w:r w:rsidRPr="000A3A07">
        <w:t>station i Häggvik.</w:t>
      </w:r>
    </w:p>
    <w:p w14:paraId="3EC66662" w14:textId="77777777" w:rsidR="007C11E9" w:rsidRPr="000A3A07" w:rsidRDefault="007C11E9">
      <w:r w:rsidRPr="000A3A07">
        <w:rPr>
          <w:i/>
        </w:rPr>
        <w:t>Hypotes 3.</w:t>
      </w:r>
      <w:r w:rsidRPr="000A3A07">
        <w:t xml:space="preserve"> Trafikverken har inte (i tillräcklig utsträckning) drivkrafter för att följa upp sina egna analyser i syfte att utveckla metodiken. </w:t>
      </w:r>
    </w:p>
    <w:p w14:paraId="5C528E13" w14:textId="77777777" w:rsidR="007C11E9" w:rsidRPr="000A3A07" w:rsidRDefault="007C11E9">
      <w:r w:rsidRPr="000A3A07">
        <w:t>Detta grundas här på de iakttagelser som gjorts beträffande särskilt Luftfart</w:t>
      </w:r>
      <w:r w:rsidRPr="000A3A07">
        <w:t>s</w:t>
      </w:r>
      <w:r w:rsidRPr="000A3A07">
        <w:t>verkets prognosfel beträffande inrikes flygresande år 2000.</w:t>
      </w:r>
    </w:p>
    <w:p w14:paraId="66214BE3" w14:textId="77777777" w:rsidR="007C11E9" w:rsidRPr="000A3A07" w:rsidRDefault="007C11E9">
      <w:r w:rsidRPr="000A3A07">
        <w:rPr>
          <w:i/>
        </w:rPr>
        <w:t xml:space="preserve">Hypotes 4. </w:t>
      </w:r>
      <w:r w:rsidRPr="000A3A07">
        <w:t xml:space="preserve">Ekonomiska analytiker vid de internationella revisionsföretagen har inte tillräcklig träning för att bistå svenska myndigheter med analys av investeringar som helt eller delvis förutsätter offentlig finansiering. </w:t>
      </w:r>
    </w:p>
    <w:p w14:paraId="26692D44" w14:textId="77777777" w:rsidR="007C11E9" w:rsidRPr="000A3A07" w:rsidRDefault="007C11E9">
      <w:r w:rsidRPr="000A3A07">
        <w:t>Denna hypotes grundas på de iakttagelser jag gjort kring den analys som Salomon Brothers utförde.</w:t>
      </w:r>
    </w:p>
    <w:p w14:paraId="2BFA4F77" w14:textId="77777777" w:rsidR="007C11E9" w:rsidRPr="000A3A07" w:rsidRDefault="007C11E9">
      <w:r w:rsidRPr="000A3A07">
        <w:t>Detta är alltså hypoteser, jag påstår inte att det verkligen förhåller sig på detta vis. Eftersom denna fallstudie utförs parallellt med flera ytterligare fallstudier av hur samhällsekonomisk analys har använts som underlag för beslut om stora statliga infrastrukturprojekt bör emellertid det samlade mat</w:t>
      </w:r>
      <w:r w:rsidRPr="000A3A07">
        <w:t>e</w:t>
      </w:r>
      <w:r w:rsidRPr="000A3A07">
        <w:t>rialet kunna användas för att göra en första utvärdering av dessa hypoteser.</w:t>
      </w:r>
    </w:p>
    <w:p w14:paraId="3CC73FD4" w14:textId="77777777" w:rsidR="007C11E9" w:rsidRPr="000A3A07" w:rsidRDefault="007C11E9">
      <w:pPr>
        <w:pStyle w:val="RubrikUtanNr"/>
      </w:pPr>
      <w:r w:rsidRPr="000A3A07">
        <w:br w:type="page"/>
      </w:r>
      <w:bookmarkStart w:id="214" w:name="_Toc486235486"/>
      <w:bookmarkStart w:id="215" w:name="_Toc497118155"/>
      <w:bookmarkStart w:id="216" w:name="_Toc506340989"/>
      <w:r w:rsidRPr="000A3A07">
        <w:t>Referenser</w:t>
      </w:r>
      <w:bookmarkEnd w:id="214"/>
      <w:bookmarkEnd w:id="215"/>
      <w:bookmarkEnd w:id="216"/>
    </w:p>
    <w:p w14:paraId="42E87950" w14:textId="77777777" w:rsidR="007C11E9" w:rsidRPr="000A3A07" w:rsidRDefault="007C11E9">
      <w:pPr>
        <w:tabs>
          <w:tab w:val="left" w:pos="284"/>
        </w:tabs>
      </w:pPr>
      <w:r w:rsidRPr="000A3A07">
        <w:t xml:space="preserve">Brobeck, H, 1995-11-29, Utvärdering av några prognoser. Internt PM vid </w:t>
      </w:r>
      <w:r w:rsidRPr="000A3A07">
        <w:tab/>
        <w:t>Luftfartsverket.</w:t>
      </w:r>
    </w:p>
    <w:p w14:paraId="6B82CEF9" w14:textId="77777777" w:rsidR="007C11E9" w:rsidRPr="000A3A07" w:rsidRDefault="007C11E9">
      <w:pPr>
        <w:tabs>
          <w:tab w:val="left" w:pos="284"/>
        </w:tabs>
      </w:pPr>
      <w:r w:rsidRPr="000A3A07">
        <w:t xml:space="preserve">BV1, Banverket, planeringsavdelningen, 1990-04-25. Samhällsekonomisk </w:t>
      </w:r>
      <w:r w:rsidRPr="000A3A07">
        <w:tab/>
        <w:t xml:space="preserve">kalkyl av spårförbindelse till Arlanda. Kommunikationsdepartementet </w:t>
      </w:r>
      <w:r w:rsidRPr="000A3A07">
        <w:tab/>
        <w:t>dnr I1315/90.</w:t>
      </w:r>
    </w:p>
    <w:p w14:paraId="144B094A" w14:textId="77777777" w:rsidR="007C11E9" w:rsidRPr="000A3A07" w:rsidRDefault="007C11E9">
      <w:pPr>
        <w:tabs>
          <w:tab w:val="left" w:pos="284"/>
        </w:tabs>
      </w:pPr>
      <w:r w:rsidRPr="000A3A07">
        <w:t xml:space="preserve">BV2, Banverket, 1993-03-29. Arlandabanan. Rapport om samhällsekonomi </w:t>
      </w:r>
      <w:r w:rsidRPr="000A3A07">
        <w:tab/>
        <w:t xml:space="preserve">och miljökonsekvenser av en nordlig järnvägsanslutning till Arlanda. </w:t>
      </w:r>
      <w:r w:rsidRPr="000A3A07">
        <w:tab/>
        <w:t>Kommunikationsdepartementet dnr K93/975/3.</w:t>
      </w:r>
    </w:p>
    <w:p w14:paraId="1DB025D7" w14:textId="77777777" w:rsidR="007C11E9" w:rsidRPr="000A3A07" w:rsidRDefault="007C11E9">
      <w:pPr>
        <w:tabs>
          <w:tab w:val="left" w:pos="284"/>
        </w:tabs>
      </w:pPr>
      <w:r w:rsidRPr="000A3A07">
        <w:t xml:space="preserve">Jerling, P, Rurling, L, Sjöberg, A och Zoppoth, J, 1997. Arlandabanan - en </w:t>
      </w:r>
      <w:r w:rsidRPr="000A3A07">
        <w:tab/>
        <w:t>samhällsekonomisk bedömning. KTH, Inst för Infrastruktur och sam-</w:t>
      </w:r>
      <w:r w:rsidRPr="000A3A07">
        <w:tab/>
        <w:t>hällsplanering, avdelningen för trafik- och transportplanering. Projektar-</w:t>
      </w:r>
      <w:r w:rsidRPr="000A3A07">
        <w:tab/>
        <w:t>bete i kursen Trafikekonomi.</w:t>
      </w:r>
    </w:p>
    <w:p w14:paraId="09A8674D" w14:textId="77777777" w:rsidR="007C11E9" w:rsidRPr="000A3A07" w:rsidRDefault="007C11E9">
      <w:pPr>
        <w:tabs>
          <w:tab w:val="left" w:pos="284"/>
        </w:tabs>
      </w:pPr>
      <w:r w:rsidRPr="000A3A07">
        <w:t>SB, Salomon Brothers, 1992-12-08, Arlandabanan Project. Report on Finan-</w:t>
      </w:r>
      <w:r w:rsidRPr="000A3A07">
        <w:tab/>
        <w:t>cial Feasibility. Kommunikationsdepartementet dnr K92/3890/3.</w:t>
      </w:r>
    </w:p>
    <w:p w14:paraId="1C8F9F4F" w14:textId="77777777" w:rsidR="007C11E9" w:rsidRPr="000A3A07" w:rsidRDefault="007C11E9">
      <w:pPr>
        <w:tabs>
          <w:tab w:val="left" w:pos="284"/>
        </w:tabs>
      </w:pPr>
      <w:r w:rsidRPr="000A3A07">
        <w:t xml:space="preserve">TPR/Transek, Transportforskningsrådet, 1990-03-29, Banprognosprojektet: </w:t>
      </w:r>
      <w:r w:rsidRPr="000A3A07">
        <w:tab/>
        <w:t xml:space="preserve">Arlandabanan – effekter på interregionala resor och trafiksystemet som </w:t>
      </w:r>
      <w:r w:rsidRPr="000A3A07">
        <w:tab/>
        <w:t>he</w:t>
      </w:r>
      <w:r w:rsidRPr="000A3A07">
        <w:t>l</w:t>
      </w:r>
      <w:r w:rsidRPr="000A3A07">
        <w:t>het. Kommunikationsdepartementet dnr I1315/90.</w:t>
      </w:r>
    </w:p>
    <w:p w14:paraId="4CDF653A" w14:textId="77777777" w:rsidR="007C11E9" w:rsidRPr="000A3A07" w:rsidRDefault="007C11E9">
      <w:pPr>
        <w:pStyle w:val="Normaltindrag"/>
        <w:sectPr w:rsidR="00000000" w:rsidRPr="000A3A07">
          <w:headerReference w:type="default" r:id="rId43"/>
          <w:footerReference w:type="default" r:id="rId44"/>
          <w:footnotePr>
            <w:numRestart w:val="eachSect"/>
          </w:footnotePr>
          <w:endnotePr>
            <w:numRestart w:val="eachSect"/>
          </w:endnotePr>
          <w:pgSz w:w="11906" w:h="16838" w:code="9"/>
          <w:pgMar w:top="567" w:right="4876" w:bottom="4508" w:left="1134" w:header="227" w:footer="227" w:gutter="0"/>
          <w:cols w:space="720"/>
        </w:sectPr>
      </w:pPr>
    </w:p>
    <w:p w14:paraId="313B3F82" w14:textId="77777777" w:rsidR="007C11E9" w:rsidRPr="000A3A07" w:rsidRDefault="007C11E9">
      <w:pPr>
        <w:pStyle w:val="Normaltindrag"/>
      </w:pPr>
    </w:p>
    <w:p w14:paraId="4900251C" w14:textId="77777777" w:rsidR="007C11E9" w:rsidRPr="000A3A07" w:rsidRDefault="007C11E9">
      <w:pPr>
        <w:pStyle w:val="Normaltindrag"/>
      </w:pPr>
    </w:p>
    <w:p w14:paraId="259C7692" w14:textId="77777777" w:rsidR="007C11E9" w:rsidRPr="000A3A07" w:rsidRDefault="007C11E9">
      <w:pPr>
        <w:pStyle w:val="Normaltindrag"/>
        <w:sectPr w:rsidR="00000000" w:rsidRPr="000A3A07">
          <w:headerReference w:type="default" r:id="rId45"/>
          <w:footerReference w:type="default" r:id="rId46"/>
          <w:footnotePr>
            <w:numRestart w:val="eachSect"/>
          </w:footnotePr>
          <w:endnotePr>
            <w:numRestart w:val="eachSect"/>
          </w:endnotePr>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0A3A07" w14:paraId="7B3D1948" w14:textId="77777777">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14:paraId="7E7D78E1" w14:textId="77777777" w:rsidR="007C11E9" w:rsidRPr="000A3A07" w:rsidRDefault="007C11E9">
            <w:pPr>
              <w:pStyle w:val="HuvudRubrik"/>
            </w:pPr>
          </w:p>
          <w:p w14:paraId="2E9358A2" w14:textId="77777777" w:rsidR="007C11E9" w:rsidRPr="000A3A07" w:rsidRDefault="007C11E9">
            <w:pPr>
              <w:pStyle w:val="HuvudRubrik"/>
              <w:spacing w:before="960"/>
            </w:pPr>
            <w:r w:rsidRPr="000A3A07">
              <w:t>Rapport 2000/01:5</w:t>
            </w:r>
          </w:p>
        </w:tc>
        <w:tc>
          <w:tcPr>
            <w:tcW w:w="2126" w:type="dxa"/>
            <w:gridSpan w:val="2"/>
            <w:tcBorders>
              <w:bottom w:val="single" w:sz="6" w:space="0" w:color="auto"/>
            </w:tcBorders>
          </w:tcPr>
          <w:p w14:paraId="65BC134B" w14:textId="18CDC364" w:rsidR="007C11E9" w:rsidRPr="000A3A07" w:rsidRDefault="000A3A07">
            <w:pPr>
              <w:pStyle w:val="rtal"/>
              <w:spacing w:before="120"/>
              <w:ind w:left="0"/>
            </w:pPr>
            <w:r w:rsidRPr="000A3A07">
              <w:rPr>
                <w:noProof/>
              </w:rPr>
              <w:drawing>
                <wp:inline distT="0" distB="0" distL="0" distR="0" wp14:anchorId="6C8497F1" wp14:editId="139A12BE">
                  <wp:extent cx="1094105" cy="10941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0A3A07" w14:paraId="79754570" w14:textId="77777777">
        <w:tblPrEx>
          <w:tblCellMar>
            <w:top w:w="0" w:type="dxa"/>
            <w:bottom w:w="0" w:type="dxa"/>
          </w:tblCellMar>
        </w:tblPrEx>
        <w:trPr>
          <w:cantSplit/>
          <w:trHeight w:hRule="exact" w:val="660"/>
        </w:trPr>
        <w:tc>
          <w:tcPr>
            <w:tcW w:w="3012" w:type="dxa"/>
          </w:tcPr>
          <w:p w14:paraId="71FFD4B7" w14:textId="77777777" w:rsidR="007C11E9" w:rsidRPr="000A3A07" w:rsidRDefault="007C11E9">
            <w:pPr>
              <w:pStyle w:val="StatusSida1"/>
            </w:pPr>
          </w:p>
        </w:tc>
        <w:tc>
          <w:tcPr>
            <w:tcW w:w="2445" w:type="dxa"/>
            <w:gridSpan w:val="2"/>
          </w:tcPr>
          <w:p w14:paraId="7E907088" w14:textId="77777777" w:rsidR="007C11E9" w:rsidRPr="000A3A07" w:rsidRDefault="007C11E9">
            <w:pPr>
              <w:pStyle w:val="UtskriftsdatumSida1"/>
              <w:rPr>
                <w:b/>
                <w:sz w:val="28"/>
              </w:rPr>
            </w:pPr>
          </w:p>
        </w:tc>
        <w:tc>
          <w:tcPr>
            <w:tcW w:w="2126" w:type="dxa"/>
            <w:gridSpan w:val="2"/>
          </w:tcPr>
          <w:p w14:paraId="0639FB95" w14:textId="77777777" w:rsidR="007C11E9" w:rsidRPr="000A3A07" w:rsidRDefault="007C11E9"/>
        </w:tc>
      </w:tr>
    </w:tbl>
    <w:p w14:paraId="22F5D060" w14:textId="77777777" w:rsidR="007C11E9" w:rsidRPr="000A3A07" w:rsidRDefault="007C11E9"/>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863"/>
        <w:gridCol w:w="1547"/>
      </w:tblGrid>
      <w:tr w:rsidR="00000000" w:rsidRPr="000A3A07" w14:paraId="1AE76CC7" w14:textId="77777777">
        <w:tblPrEx>
          <w:tblCellMar>
            <w:top w:w="0" w:type="dxa"/>
            <w:bottom w:w="0" w:type="dxa"/>
          </w:tblCellMar>
        </w:tblPrEx>
        <w:trPr>
          <w:gridAfter w:val="1"/>
          <w:wAfter w:w="1547" w:type="dxa"/>
          <w:cantSplit/>
        </w:trPr>
        <w:tc>
          <w:tcPr>
            <w:tcW w:w="6036" w:type="dxa"/>
            <w:gridSpan w:val="3"/>
          </w:tcPr>
          <w:p w14:paraId="4B47C1ED" w14:textId="77777777" w:rsidR="007C11E9" w:rsidRPr="000A3A07" w:rsidRDefault="007C11E9">
            <w:pPr>
              <w:spacing w:before="240"/>
            </w:pPr>
          </w:p>
        </w:tc>
      </w:tr>
      <w:tr w:rsidR="00000000" w:rsidRPr="000A3A07" w14:paraId="6F10025C" w14:textId="77777777">
        <w:tblPrEx>
          <w:tblCellMar>
            <w:top w:w="0" w:type="dxa"/>
            <w:bottom w:w="0" w:type="dxa"/>
          </w:tblCellMar>
        </w:tblPrEx>
        <w:trPr>
          <w:gridAfter w:val="1"/>
          <w:wAfter w:w="1547" w:type="dxa"/>
          <w:cantSplit/>
          <w:trHeight w:val="6000"/>
        </w:trPr>
        <w:tc>
          <w:tcPr>
            <w:tcW w:w="6036" w:type="dxa"/>
            <w:gridSpan w:val="3"/>
          </w:tcPr>
          <w:p w14:paraId="3B44D34D" w14:textId="77777777" w:rsidR="007C11E9" w:rsidRPr="000A3A07" w:rsidRDefault="007C11E9">
            <w:pPr>
              <w:pStyle w:val="RubrikFrstaSida"/>
            </w:pPr>
            <w:r w:rsidRPr="000A3A07">
              <w:t xml:space="preserve"> Bilaga 2</w:t>
            </w:r>
          </w:p>
          <w:p w14:paraId="5A6B15FA" w14:textId="77777777" w:rsidR="007C11E9" w:rsidRPr="000A3A07" w:rsidRDefault="007C11E9">
            <w:pPr>
              <w:pStyle w:val="RubrikFrstaSida"/>
            </w:pPr>
          </w:p>
          <w:p w14:paraId="5936EBF7" w14:textId="77777777" w:rsidR="007C11E9" w:rsidRPr="000A3A07" w:rsidRDefault="007C11E9">
            <w:pPr>
              <w:pStyle w:val="HuvudRubrik"/>
            </w:pPr>
            <w:r w:rsidRPr="000A3A07">
              <w:t>Botniautredningens samhällsekonomiska analys   En granskning</w:t>
            </w:r>
          </w:p>
          <w:p w14:paraId="2B073BE6" w14:textId="77777777" w:rsidR="007C11E9" w:rsidRPr="000A3A07" w:rsidRDefault="007C11E9">
            <w:pPr>
              <w:pStyle w:val="Sidfot"/>
              <w:jc w:val="center"/>
              <w:rPr>
                <w:b/>
                <w:sz w:val="28"/>
              </w:rPr>
            </w:pPr>
          </w:p>
          <w:p w14:paraId="4F919FE0" w14:textId="77777777" w:rsidR="007C11E9" w:rsidRPr="000A3A07" w:rsidRDefault="007C11E9">
            <w:pPr>
              <w:pStyle w:val="Sidfot"/>
              <w:jc w:val="center"/>
              <w:rPr>
                <w:b/>
                <w:sz w:val="28"/>
              </w:rPr>
            </w:pPr>
          </w:p>
          <w:p w14:paraId="20AF2C7E" w14:textId="77777777" w:rsidR="007C11E9" w:rsidRPr="000A3A07" w:rsidRDefault="007C11E9">
            <w:pPr>
              <w:pStyle w:val="Sidfot"/>
              <w:jc w:val="center"/>
              <w:rPr>
                <w:b/>
                <w:sz w:val="28"/>
              </w:rPr>
            </w:pPr>
          </w:p>
          <w:p w14:paraId="7B4AA8A0" w14:textId="77777777" w:rsidR="007C11E9" w:rsidRPr="000A3A07" w:rsidRDefault="007C11E9">
            <w:pPr>
              <w:pStyle w:val="Sidfot"/>
              <w:jc w:val="center"/>
              <w:rPr>
                <w:b/>
                <w:sz w:val="28"/>
              </w:rPr>
            </w:pPr>
          </w:p>
          <w:p w14:paraId="7A33ED92" w14:textId="77777777" w:rsidR="007C11E9" w:rsidRPr="000A3A07" w:rsidRDefault="007C11E9">
            <w:r w:rsidRPr="000A3A07">
              <w:t>Per-Olov Johansson</w:t>
            </w:r>
          </w:p>
          <w:p w14:paraId="352DE629" w14:textId="77777777" w:rsidR="007C11E9" w:rsidRPr="000A3A07" w:rsidRDefault="007C11E9">
            <w:r w:rsidRPr="000A3A07">
              <w:t>Handelshögskolan</w:t>
            </w:r>
          </w:p>
          <w:p w14:paraId="3CE390EE" w14:textId="77777777" w:rsidR="007C11E9" w:rsidRPr="000A3A07" w:rsidRDefault="007C11E9">
            <w:r w:rsidRPr="000A3A07">
              <w:t>Box 6501</w:t>
            </w:r>
          </w:p>
          <w:p w14:paraId="013BD2BB" w14:textId="77777777" w:rsidR="007C11E9" w:rsidRPr="000A3A07" w:rsidRDefault="007C11E9">
            <w:r w:rsidRPr="000A3A07">
              <w:t>113 83 Stockholm</w:t>
            </w:r>
          </w:p>
        </w:tc>
      </w:tr>
      <w:tr w:rsidR="00000000" w:rsidRPr="000A3A07" w14:paraId="6C690062" w14:textId="77777777">
        <w:tblPrEx>
          <w:tblCellMar>
            <w:top w:w="0" w:type="dxa"/>
            <w:bottom w:w="0" w:type="dxa"/>
          </w:tblCellMar>
        </w:tblPrEx>
        <w:trPr>
          <w:cantSplit/>
        </w:trPr>
        <w:tc>
          <w:tcPr>
            <w:tcW w:w="7583" w:type="dxa"/>
            <w:gridSpan w:val="4"/>
          </w:tcPr>
          <w:p w14:paraId="543766A1" w14:textId="77777777" w:rsidR="007C11E9" w:rsidRPr="000A3A07" w:rsidRDefault="007C11E9">
            <w:pPr>
              <w:pStyle w:val="Citat"/>
              <w:spacing w:before="0" w:line="245" w:lineRule="exact"/>
            </w:pPr>
          </w:p>
        </w:tc>
      </w:tr>
      <w:tr w:rsidR="00000000" w:rsidRPr="000A3A07" w14:paraId="3A54BA2A" w14:textId="77777777">
        <w:tblPrEx>
          <w:tblCellMar>
            <w:top w:w="0" w:type="dxa"/>
            <w:bottom w:w="0" w:type="dxa"/>
          </w:tblCellMar>
        </w:tblPrEx>
        <w:tc>
          <w:tcPr>
            <w:tcW w:w="2905" w:type="dxa"/>
          </w:tcPr>
          <w:p w14:paraId="13409DE6" w14:textId="77777777" w:rsidR="007C11E9" w:rsidRPr="000A3A07" w:rsidRDefault="007C11E9">
            <w:r w:rsidRPr="000A3A07">
              <w:t>RIKSDAGENS REVIS</w:t>
            </w:r>
            <w:r w:rsidRPr="000A3A07">
              <w:t>O</w:t>
            </w:r>
            <w:r w:rsidRPr="000A3A07">
              <w:t>RER</w:t>
            </w:r>
          </w:p>
        </w:tc>
        <w:tc>
          <w:tcPr>
            <w:tcW w:w="2268" w:type="dxa"/>
          </w:tcPr>
          <w:p w14:paraId="30F6426B" w14:textId="77777777" w:rsidR="007C11E9" w:rsidRPr="000A3A07" w:rsidRDefault="007C11E9">
            <w:r w:rsidRPr="000A3A07">
              <w:t>TEL 08-786 40 00</w:t>
            </w:r>
          </w:p>
        </w:tc>
        <w:tc>
          <w:tcPr>
            <w:tcW w:w="2410" w:type="dxa"/>
            <w:gridSpan w:val="2"/>
          </w:tcPr>
          <w:p w14:paraId="725ECFBF" w14:textId="77777777" w:rsidR="007C11E9" w:rsidRPr="000A3A07" w:rsidRDefault="007C11E9">
            <w:r w:rsidRPr="000A3A07">
              <w:t>www.riksdagen.se/rr</w:t>
            </w:r>
          </w:p>
        </w:tc>
      </w:tr>
      <w:tr w:rsidR="00000000" w:rsidRPr="000A3A07" w14:paraId="39290AE3" w14:textId="77777777">
        <w:tblPrEx>
          <w:tblCellMar>
            <w:top w:w="0" w:type="dxa"/>
            <w:bottom w:w="0" w:type="dxa"/>
          </w:tblCellMar>
        </w:tblPrEx>
        <w:tc>
          <w:tcPr>
            <w:tcW w:w="2905" w:type="dxa"/>
          </w:tcPr>
          <w:p w14:paraId="5F76A6C3" w14:textId="77777777" w:rsidR="007C11E9" w:rsidRPr="000A3A07" w:rsidRDefault="007C11E9">
            <w:r w:rsidRPr="000A3A07">
              <w:t>100 12 STOCKHOLM</w:t>
            </w:r>
          </w:p>
        </w:tc>
        <w:tc>
          <w:tcPr>
            <w:tcW w:w="2268" w:type="dxa"/>
          </w:tcPr>
          <w:p w14:paraId="65E867F2" w14:textId="77777777" w:rsidR="007C11E9" w:rsidRPr="000A3A07" w:rsidRDefault="007C11E9">
            <w:r w:rsidRPr="000A3A07">
              <w:t>FAX 08-786 61 88</w:t>
            </w:r>
          </w:p>
        </w:tc>
        <w:tc>
          <w:tcPr>
            <w:tcW w:w="2410" w:type="dxa"/>
            <w:gridSpan w:val="2"/>
          </w:tcPr>
          <w:p w14:paraId="1FE89857" w14:textId="77777777" w:rsidR="007C11E9" w:rsidRPr="000A3A07" w:rsidRDefault="007C11E9"/>
        </w:tc>
      </w:tr>
    </w:tbl>
    <w:p w14:paraId="769372AA" w14:textId="77777777" w:rsidR="007C11E9" w:rsidRPr="000A3A07" w:rsidRDefault="007C11E9">
      <w:pPr>
        <w:sectPr w:rsidR="00000000" w:rsidRPr="000A3A07">
          <w:headerReference w:type="default" r:id="rId47"/>
          <w:footerReference w:type="default" r:id="rId48"/>
          <w:footnotePr>
            <w:numRestart w:val="eachSect"/>
          </w:footnotePr>
          <w:endnotePr>
            <w:numRestart w:val="eachSect"/>
          </w:endnotePr>
          <w:pgSz w:w="11906" w:h="16838" w:code="9"/>
          <w:pgMar w:top="567" w:right="4876" w:bottom="4508" w:left="1134" w:header="227" w:footer="227" w:gutter="0"/>
          <w:cols w:space="720"/>
        </w:sectPr>
      </w:pPr>
    </w:p>
    <w:p w14:paraId="11A2D98C" w14:textId="77777777" w:rsidR="007C11E9" w:rsidRPr="000A3A07" w:rsidRDefault="007C11E9">
      <w:pPr>
        <w:jc w:val="left"/>
      </w:pPr>
    </w:p>
    <w:p w14:paraId="2F809804" w14:textId="77777777" w:rsidR="007C11E9" w:rsidRPr="000A3A07" w:rsidRDefault="007C11E9">
      <w:bookmarkStart w:id="218" w:name="_Toc496510255"/>
    </w:p>
    <w:p w14:paraId="7354A838" w14:textId="77777777" w:rsidR="007C11E9" w:rsidRPr="000A3A07" w:rsidRDefault="007C11E9">
      <w:pPr>
        <w:pStyle w:val="RubrikUtanNr"/>
        <w:sectPr w:rsidR="00000000" w:rsidRPr="000A3A07">
          <w:headerReference w:type="default" r:id="rId49"/>
          <w:footerReference w:type="default" r:id="rId50"/>
          <w:footnotePr>
            <w:numRestart w:val="eachSect"/>
          </w:footnotePr>
          <w:endnotePr>
            <w:numRestart w:val="eachSect"/>
          </w:endnotePr>
          <w:pgSz w:w="11906" w:h="16838" w:code="9"/>
          <w:pgMar w:top="567" w:right="4876" w:bottom="4508" w:left="1134" w:header="227" w:footer="227" w:gutter="0"/>
          <w:cols w:space="720"/>
        </w:sectPr>
      </w:pPr>
    </w:p>
    <w:p w14:paraId="11C65339" w14:textId="77777777" w:rsidR="007C11E9" w:rsidRPr="000A3A07" w:rsidRDefault="007C11E9">
      <w:pPr>
        <w:pStyle w:val="RubrikUtanNr"/>
      </w:pPr>
      <w:bookmarkStart w:id="219" w:name="_Toc506340990"/>
      <w:r w:rsidRPr="000A3A07">
        <w:t>Förord</w:t>
      </w:r>
      <w:bookmarkEnd w:id="218"/>
      <w:bookmarkEnd w:id="219"/>
    </w:p>
    <w:p w14:paraId="00737453" w14:textId="77777777" w:rsidR="007C11E9" w:rsidRPr="000A3A07" w:rsidRDefault="007C11E9">
      <w:r w:rsidRPr="000A3A07">
        <w:t>Föreliggande rapport har skrivits på uppdrag av Riksdagens revisorer som ett led i en granskning av infrastrukturinvesteringar. Mitt uppdrag har varit att granska den samhällsekonomiska lönsamhetsanalys av Botniabanan mellan Sundsvall och Umeå som redovisas i SOU 1996:95. Den underliggande samhällsekonomiska bedömningen återfinns i ”Botniabanan – En samhäll</w:t>
      </w:r>
      <w:r w:rsidRPr="000A3A07">
        <w:t>s</w:t>
      </w:r>
      <w:r w:rsidRPr="000A3A07">
        <w:t>ekonomisk bedömning” (SIKA Rapport 1996:1). Granskningen skulle avse såväl metodval som ri</w:t>
      </w:r>
      <w:r w:rsidRPr="000A3A07">
        <w:t>m</w:t>
      </w:r>
      <w:r w:rsidRPr="000A3A07">
        <w:t xml:space="preserve">lighet i utredningens resultat. </w:t>
      </w:r>
    </w:p>
    <w:p w14:paraId="6842339F" w14:textId="77777777" w:rsidR="007C11E9" w:rsidRPr="000A3A07" w:rsidRDefault="007C11E9">
      <w:pPr>
        <w:pStyle w:val="Normaltindrag"/>
      </w:pPr>
      <w:r w:rsidRPr="000A3A07">
        <w:t>Jag har valt att inrikta mitt arbete på att granska utredningens val av met</w:t>
      </w:r>
      <w:r w:rsidRPr="000A3A07">
        <w:t>o</w:t>
      </w:r>
      <w:r w:rsidRPr="000A3A07">
        <w:t>dansats när det gäller större och för utfallet betydelsefulla poster. Det har självfallet inte varit möjligt att genomföra en ny eller alternativ Botniautre</w:t>
      </w:r>
      <w:r w:rsidRPr="000A3A07">
        <w:t>d</w:t>
      </w:r>
      <w:r w:rsidRPr="000A3A07">
        <w:t>ning, dvs att nå fram till en preciserad skattning av Botniabanans samhäll</w:t>
      </w:r>
      <w:r w:rsidRPr="000A3A07">
        <w:t>s</w:t>
      </w:r>
      <w:r w:rsidRPr="000A3A07">
        <w:t xml:space="preserve">ekonomiska lönsamhet. </w:t>
      </w:r>
    </w:p>
    <w:p w14:paraId="4EC33FB1" w14:textId="77777777" w:rsidR="007C11E9" w:rsidRPr="000A3A07" w:rsidRDefault="007C11E9">
      <w:pPr>
        <w:pStyle w:val="Normaltindrag"/>
      </w:pPr>
      <w:r w:rsidRPr="000A3A07">
        <w:t>Ett tack framförs till Lennart Nilsson, Henrik Swahn och Staffan Widlert vid Statens institut för kommunikationsanalys (SIKA) som besvarat ett antal tekniska frågor jag haft när det gäller utredningens innehåll.</w:t>
      </w:r>
    </w:p>
    <w:p w14:paraId="336F41F1" w14:textId="77777777" w:rsidR="007C11E9" w:rsidRPr="000A3A07" w:rsidRDefault="007C11E9"/>
    <w:p w14:paraId="4E418FD2" w14:textId="77777777" w:rsidR="007C11E9" w:rsidRPr="000A3A07" w:rsidRDefault="007C11E9">
      <w:r w:rsidRPr="000A3A07">
        <w:t>Stockholm i maj 2000</w:t>
      </w:r>
    </w:p>
    <w:p w14:paraId="443739E4" w14:textId="77777777" w:rsidR="007C11E9" w:rsidRPr="000A3A07" w:rsidRDefault="007C11E9"/>
    <w:p w14:paraId="15B4A810" w14:textId="77777777" w:rsidR="007C11E9" w:rsidRPr="000A3A07" w:rsidRDefault="007C11E9">
      <w:r w:rsidRPr="000A3A07">
        <w:t>Per-Olov Johansson</w:t>
      </w:r>
    </w:p>
    <w:p w14:paraId="4EA0252F" w14:textId="77777777" w:rsidR="007C11E9" w:rsidRPr="000A3A07" w:rsidRDefault="007C11E9">
      <w:pPr>
        <w:pStyle w:val="Sidfot"/>
        <w:spacing w:line="360" w:lineRule="auto"/>
        <w:rPr>
          <w:sz w:val="24"/>
        </w:rPr>
      </w:pPr>
    </w:p>
    <w:p w14:paraId="70BF5ED4" w14:textId="77777777" w:rsidR="007C11E9" w:rsidRPr="000A3A07" w:rsidRDefault="007C11E9">
      <w:pPr>
        <w:pStyle w:val="Sidfot"/>
        <w:spacing w:line="360" w:lineRule="auto"/>
        <w:rPr>
          <w:sz w:val="24"/>
        </w:rPr>
      </w:pPr>
    </w:p>
    <w:p w14:paraId="78A5D449" w14:textId="77777777" w:rsidR="007C11E9" w:rsidRPr="000A3A07" w:rsidRDefault="007C11E9">
      <w:pPr>
        <w:pStyle w:val="Sidfot"/>
        <w:spacing w:line="360" w:lineRule="auto"/>
        <w:rPr>
          <w:sz w:val="24"/>
        </w:rPr>
      </w:pPr>
    </w:p>
    <w:p w14:paraId="0CCDFCAB" w14:textId="77777777" w:rsidR="007C11E9" w:rsidRPr="000A3A07" w:rsidRDefault="007C11E9">
      <w:pPr>
        <w:pStyle w:val="Sidfot"/>
        <w:spacing w:line="360" w:lineRule="auto"/>
        <w:rPr>
          <w:sz w:val="24"/>
        </w:rPr>
      </w:pPr>
    </w:p>
    <w:p w14:paraId="5562E13F" w14:textId="77777777" w:rsidR="007C11E9" w:rsidRPr="000A3A07" w:rsidRDefault="007C11E9">
      <w:pPr>
        <w:pStyle w:val="Sidfot"/>
        <w:spacing w:line="360" w:lineRule="auto"/>
        <w:rPr>
          <w:sz w:val="24"/>
        </w:rPr>
      </w:pPr>
    </w:p>
    <w:p w14:paraId="4D67FF69" w14:textId="77777777" w:rsidR="007C11E9" w:rsidRPr="000A3A07" w:rsidRDefault="007C11E9">
      <w:pPr>
        <w:pStyle w:val="Sidfot"/>
        <w:spacing w:line="360" w:lineRule="auto"/>
        <w:rPr>
          <w:sz w:val="24"/>
        </w:rPr>
      </w:pPr>
    </w:p>
    <w:p w14:paraId="29BE2A99" w14:textId="77777777" w:rsidR="007C11E9" w:rsidRPr="000A3A07" w:rsidRDefault="007C11E9">
      <w:pPr>
        <w:pStyle w:val="Sidfot"/>
        <w:spacing w:line="360" w:lineRule="auto"/>
        <w:rPr>
          <w:sz w:val="24"/>
        </w:rPr>
      </w:pPr>
    </w:p>
    <w:p w14:paraId="7F75060C" w14:textId="77777777" w:rsidR="007C11E9" w:rsidRPr="000A3A07" w:rsidRDefault="007C11E9">
      <w:pPr>
        <w:pStyle w:val="Sidfot"/>
        <w:spacing w:line="360" w:lineRule="auto"/>
        <w:rPr>
          <w:sz w:val="24"/>
        </w:rPr>
      </w:pPr>
    </w:p>
    <w:p w14:paraId="4775EBBA" w14:textId="77777777" w:rsidR="007C11E9" w:rsidRPr="000A3A07" w:rsidRDefault="007C11E9">
      <w:pPr>
        <w:pStyle w:val="Sidfot"/>
        <w:spacing w:line="360" w:lineRule="auto"/>
        <w:rPr>
          <w:sz w:val="24"/>
        </w:rPr>
      </w:pPr>
    </w:p>
    <w:p w14:paraId="11E111AB" w14:textId="77777777" w:rsidR="007C11E9" w:rsidRPr="000A3A07" w:rsidRDefault="007C11E9">
      <w:pPr>
        <w:pStyle w:val="Sidfot"/>
        <w:spacing w:line="360" w:lineRule="auto"/>
        <w:rPr>
          <w:sz w:val="24"/>
        </w:rPr>
      </w:pPr>
    </w:p>
    <w:p w14:paraId="026F9176" w14:textId="77777777" w:rsidR="007C11E9" w:rsidRPr="000A3A07" w:rsidRDefault="007C11E9">
      <w:pPr>
        <w:pStyle w:val="Sidfot"/>
        <w:spacing w:line="360" w:lineRule="auto"/>
        <w:rPr>
          <w:sz w:val="24"/>
        </w:rPr>
      </w:pPr>
    </w:p>
    <w:p w14:paraId="0D2C0229" w14:textId="77777777" w:rsidR="007C11E9" w:rsidRPr="000A3A07" w:rsidRDefault="007C11E9">
      <w:pPr>
        <w:pStyle w:val="Rubrik1"/>
        <w:numPr>
          <w:ilvl w:val="0"/>
          <w:numId w:val="175"/>
        </w:numPr>
      </w:pPr>
      <w:r w:rsidRPr="000A3A07">
        <w:rPr>
          <w:sz w:val="22"/>
        </w:rPr>
        <w:br w:type="page"/>
      </w:r>
      <w:bookmarkStart w:id="220" w:name="_Toc495906661"/>
      <w:bookmarkStart w:id="221" w:name="_Toc496510256"/>
      <w:bookmarkStart w:id="222" w:name="_Toc506340991"/>
      <w:r w:rsidRPr="000A3A07">
        <w:t>Inledning</w:t>
      </w:r>
      <w:bookmarkEnd w:id="220"/>
      <w:bookmarkEnd w:id="221"/>
      <w:bookmarkEnd w:id="222"/>
    </w:p>
    <w:p w14:paraId="6C5B8B67" w14:textId="77777777" w:rsidR="007C11E9" w:rsidRPr="000A3A07" w:rsidRDefault="007C11E9">
      <w:r w:rsidRPr="000A3A07">
        <w:t>För den som reser med tåg till/från övre Norrland finns i nuläget bara nattåg på stambanan att tillgå. Likaså sker godstransporterna på stambanan. Banans sträckning fastställdes under 1870-talet under stort motstånd från kustnära intressen. Dessa intressen fortsatte därefter att arbeta för i första hand en förlängning av Ostkustbanan från Gävle till Härnösand, och banan till Hä</w:t>
      </w:r>
      <w:r w:rsidRPr="000A3A07">
        <w:t>r</w:t>
      </w:r>
      <w:r w:rsidRPr="000A3A07">
        <w:t>nösand invigdes år 1927. Det hävdades att en förlängning av banan till Umeå skulle knyta samman de större kuststäderna från Sundsvall via Umeå till Luleå och även skapa snabbare förbindelser mellan övre Norrland och södra Sverige. Förslaget om att bygga en bana mellan Härnösand och Umeå avv</w:t>
      </w:r>
      <w:r w:rsidRPr="000A3A07">
        <w:t>i</w:t>
      </w:r>
      <w:r w:rsidRPr="000A3A07">
        <w:t>sades dock så sent som 1987 av en statlig utredning som samhällsekonomiskt olö</w:t>
      </w:r>
      <w:r w:rsidRPr="000A3A07">
        <w:t>n</w:t>
      </w:r>
      <w:r w:rsidRPr="000A3A07">
        <w:t>sam.</w:t>
      </w:r>
    </w:p>
    <w:p w14:paraId="0EFFDB35" w14:textId="77777777" w:rsidR="007C11E9" w:rsidRPr="000A3A07" w:rsidRDefault="007C11E9">
      <w:pPr>
        <w:pStyle w:val="Normaltindrag"/>
      </w:pPr>
      <w:r w:rsidRPr="000A3A07">
        <w:t>År 1994 utsåg regeringen en särskild utredare som enligt direktiven fick i uppgift att bland annat bedöma den samhällsekonomiska lönsam</w:t>
      </w:r>
      <w:r w:rsidRPr="000A3A07">
        <w:t>heten för Botniabanan mellan Sundsvall och Umeå. Projektet Botniabanan definieras av utredningen (SOU 1996:95) som en upprustning av den befintliga järnv</w:t>
      </w:r>
      <w:r w:rsidRPr="000A3A07">
        <w:t>ä</w:t>
      </w:r>
      <w:r w:rsidRPr="000A3A07">
        <w:t>gen mellan Sundsvall och ett sannolikt läge nära Nyland, ca 6 mil från Hä</w:t>
      </w:r>
      <w:r w:rsidRPr="000A3A07">
        <w:t>r</w:t>
      </w:r>
      <w:r w:rsidRPr="000A3A07">
        <w:t>nösand, varifrån en nybyggd bana fortsätter mot Örnsköldsvik och Umeå. Den totala investeringskostnaden beräknas av utredningen till ca 10 miljarder kr i 1997 års prisläge. Med snabbtåg (X 2000) uppskattas restiden Stoc</w:t>
      </w:r>
      <w:r w:rsidRPr="000A3A07">
        <w:t>k</w:t>
      </w:r>
      <w:r w:rsidRPr="000A3A07">
        <w:t>holm–Umeå till ca 5½ timme. Restiden Stockholm–Sundsvall med X 2</w:t>
      </w:r>
      <w:r w:rsidRPr="000A3A07">
        <w:t>000 är i dagsläget ca 3 timmar och 20 minuter</w:t>
      </w:r>
      <w:r w:rsidRPr="000A3A07">
        <w:rPr>
          <w:rStyle w:val="Slutnotsreferens"/>
        </w:rPr>
        <w:endnoteReference w:id="1"/>
      </w:r>
      <w:r w:rsidRPr="000A3A07">
        <w:t xml:space="preserve"> (hänvisningen är till en slutnot som återfinns i slutet av rapporten). </w:t>
      </w:r>
    </w:p>
    <w:p w14:paraId="08894112" w14:textId="77777777" w:rsidR="007C11E9" w:rsidRPr="000A3A07" w:rsidRDefault="007C11E9">
      <w:pPr>
        <w:pStyle w:val="Normaltindrag"/>
      </w:pPr>
      <w:r w:rsidRPr="000A3A07">
        <w:t>I föreliggande rapport utvärderas den samhällsekonomiska lönsamhetska</w:t>
      </w:r>
      <w:r w:rsidRPr="000A3A07">
        <w:t>l</w:t>
      </w:r>
      <w:r w:rsidRPr="000A3A07">
        <w:t>kyl som Botniautredningen presenterar i sitt betänkande (SOU 1996:95). Den mer detaljerade kalkylen återfinns i en studie från Statens institut för ko</w:t>
      </w:r>
      <w:r w:rsidRPr="000A3A07">
        <w:t>m</w:t>
      </w:r>
      <w:r w:rsidRPr="000A3A07">
        <w:t>munikationsanalys (SIKA Rapport 1996:1). Rapporten inleds med en kort presentation av Botniautredningens samhällsekonomiska kalkyl. En grans</w:t>
      </w:r>
      <w:r w:rsidRPr="000A3A07">
        <w:t>k</w:t>
      </w:r>
      <w:r w:rsidRPr="000A3A07">
        <w:t>ning av den för kalkylutfallet centrala konsumentöverskottsberäkningen genomförs i avsnitten 3 och 4. Botniautredningens bedömning av godstraf</w:t>
      </w:r>
      <w:r w:rsidRPr="000A3A07">
        <w:t>i</w:t>
      </w:r>
      <w:r w:rsidRPr="000A3A07">
        <w:t>ken på Botniabanan granskas i avsnitt 5. Miljöeffekter och sysselsättningse</w:t>
      </w:r>
      <w:r w:rsidRPr="000A3A07">
        <w:t>f</w:t>
      </w:r>
      <w:r w:rsidRPr="000A3A07">
        <w:t>fekter diskuteras i avsnitten 6 respektive 7, medan utredningens övriga ant</w:t>
      </w:r>
      <w:r w:rsidRPr="000A3A07">
        <w:t>a</w:t>
      </w:r>
      <w:r w:rsidRPr="000A3A07">
        <w:t xml:space="preserve">ganden granskas i avsnitt 8. En kort sammanfattning av mina huvudsakliga slutsatser återfinns i avsnitt 9. </w:t>
      </w:r>
    </w:p>
    <w:p w14:paraId="14920797" w14:textId="77777777" w:rsidR="007C11E9" w:rsidRPr="000A3A07" w:rsidRDefault="007C11E9">
      <w:pPr>
        <w:pStyle w:val="Rubrik1"/>
      </w:pPr>
      <w:bookmarkStart w:id="223" w:name="_Toc495906662"/>
      <w:bookmarkStart w:id="224" w:name="_Toc496510257"/>
      <w:bookmarkStart w:id="225" w:name="_Toc506340992"/>
      <w:r w:rsidRPr="000A3A07">
        <w:t>Botniautredningens bedömningar</w:t>
      </w:r>
      <w:bookmarkEnd w:id="223"/>
      <w:bookmarkEnd w:id="224"/>
      <w:bookmarkEnd w:id="225"/>
    </w:p>
    <w:p w14:paraId="4139DA3D" w14:textId="77777777" w:rsidR="007C11E9" w:rsidRPr="000A3A07" w:rsidRDefault="007C11E9">
      <w:r w:rsidRPr="000A3A07">
        <w:t xml:space="preserve">Botniautredningen beräknar att det år 2010 görs 0.28 miljoner långväga tågresor (t/r) på övre Norrland utan Botniabanan. Med banan ökar trafiken enligt utredningen till 0.6 miljoner resor, varav 0.15 miljoner bedöms ske med nattåg. Fördelningen blir således 25 procent nattåg och 75 procent snabbtåg. Snabbtågresenärerna ”rekryteras” på det sätt som illustreras i tabell 1. </w:t>
      </w:r>
    </w:p>
    <w:p w14:paraId="63761A58" w14:textId="77777777" w:rsidR="007C11E9" w:rsidRPr="000A3A07" w:rsidRDefault="007C11E9">
      <w:pPr>
        <w:pStyle w:val="Normaltindrag"/>
      </w:pPr>
    </w:p>
    <w:p w14:paraId="44DD870C" w14:textId="77777777" w:rsidR="007C11E9" w:rsidRPr="000A3A07" w:rsidRDefault="007C11E9">
      <w:pPr>
        <w:pStyle w:val="Normaltindrag"/>
      </w:pPr>
    </w:p>
    <w:p w14:paraId="0192B27A" w14:textId="77777777" w:rsidR="007C11E9" w:rsidRPr="000A3A07" w:rsidRDefault="007C11E9">
      <w:pPr>
        <w:pStyle w:val="Normaltindrag"/>
      </w:pPr>
    </w:p>
    <w:p w14:paraId="73D5A0FF" w14:textId="77777777" w:rsidR="007C11E9" w:rsidRPr="000A3A07" w:rsidRDefault="007C11E9">
      <w:pPr>
        <w:pStyle w:val="Normaltindrag"/>
      </w:pPr>
    </w:p>
    <w:p w14:paraId="658E5D0F" w14:textId="77777777" w:rsidR="007C11E9" w:rsidRPr="000A3A07" w:rsidRDefault="007C11E9">
      <w:pPr>
        <w:rPr>
          <w:b/>
          <w:sz w:val="22"/>
        </w:rPr>
      </w:pPr>
      <w:r w:rsidRPr="000A3A07">
        <w:rPr>
          <w:b/>
          <w:sz w:val="22"/>
        </w:rPr>
        <w:t>Tabell 1. Antal resor längre än 10 mil till följd av Botniabanan efter det färdsätt som väljs om banan inte byggs.</w:t>
      </w:r>
    </w:p>
    <w:tbl>
      <w:tblPr>
        <w:tblW w:w="0" w:type="auto"/>
        <w:tblInd w:w="-113" w:type="dxa"/>
        <w:tblBorders>
          <w:top w:val="single" w:sz="12" w:space="0" w:color="000000"/>
          <w:left w:val="nil"/>
          <w:bottom w:val="single" w:sz="12" w:space="0" w:color="000000"/>
          <w:right w:val="nil"/>
          <w:insideH w:val="nil"/>
          <w:insideV w:val="nil"/>
        </w:tblBorders>
        <w:tblLayout w:type="fixed"/>
        <w:tblLook w:val="00AF" w:firstRow="1" w:lastRow="0" w:firstColumn="1" w:lastColumn="0" w:noHBand="0" w:noVBand="0"/>
      </w:tblPr>
      <w:tblGrid>
        <w:gridCol w:w="2960"/>
        <w:gridCol w:w="2960"/>
      </w:tblGrid>
      <w:tr w:rsidR="00000000" w:rsidRPr="000A3A07" w14:paraId="151B99CB" w14:textId="77777777">
        <w:tblPrEx>
          <w:tblCellMar>
            <w:top w:w="0" w:type="dxa"/>
            <w:bottom w:w="0" w:type="dxa"/>
          </w:tblCellMar>
        </w:tblPrEx>
        <w:tc>
          <w:tcPr>
            <w:tcW w:w="2960" w:type="dxa"/>
            <w:tcBorders>
              <w:left w:val="single" w:sz="4" w:space="0" w:color="auto"/>
              <w:bottom w:val="single" w:sz="6" w:space="0" w:color="000000"/>
              <w:right w:val="single" w:sz="6" w:space="0" w:color="000000"/>
            </w:tcBorders>
          </w:tcPr>
          <w:p w14:paraId="2194E896" w14:textId="77777777" w:rsidR="007C11E9" w:rsidRPr="000A3A07" w:rsidRDefault="007C11E9">
            <w:pPr>
              <w:rPr>
                <w:i/>
                <w:sz w:val="22"/>
              </w:rPr>
            </w:pPr>
            <w:r w:rsidRPr="000A3A07">
              <w:rPr>
                <w:i/>
                <w:sz w:val="22"/>
              </w:rPr>
              <w:t>Alternativt färdsätt</w:t>
            </w:r>
          </w:p>
        </w:tc>
        <w:tc>
          <w:tcPr>
            <w:tcW w:w="2960" w:type="dxa"/>
            <w:tcBorders>
              <w:left w:val="nil"/>
              <w:bottom w:val="single" w:sz="6" w:space="0" w:color="000000"/>
              <w:right w:val="single" w:sz="4" w:space="0" w:color="auto"/>
            </w:tcBorders>
          </w:tcPr>
          <w:p w14:paraId="68AB77B0" w14:textId="77777777" w:rsidR="007C11E9" w:rsidRPr="000A3A07" w:rsidRDefault="007C11E9">
            <w:pPr>
              <w:rPr>
                <w:i/>
                <w:sz w:val="22"/>
              </w:rPr>
            </w:pPr>
            <w:r w:rsidRPr="000A3A07">
              <w:rPr>
                <w:i/>
                <w:sz w:val="22"/>
              </w:rPr>
              <w:t>Miljoner resor (t/r)</w:t>
            </w:r>
          </w:p>
        </w:tc>
      </w:tr>
      <w:tr w:rsidR="00000000" w:rsidRPr="000A3A07" w14:paraId="2439BFA8" w14:textId="77777777">
        <w:tblPrEx>
          <w:tblCellMar>
            <w:top w:w="0" w:type="dxa"/>
            <w:bottom w:w="0" w:type="dxa"/>
          </w:tblCellMar>
        </w:tblPrEx>
        <w:tc>
          <w:tcPr>
            <w:tcW w:w="2960" w:type="dxa"/>
            <w:tcBorders>
              <w:top w:val="nil"/>
              <w:left w:val="single" w:sz="4" w:space="0" w:color="auto"/>
              <w:right w:val="single" w:sz="6" w:space="0" w:color="000000"/>
            </w:tcBorders>
          </w:tcPr>
          <w:p w14:paraId="5EE7C814" w14:textId="77777777" w:rsidR="007C11E9" w:rsidRPr="000A3A07" w:rsidRDefault="007C11E9">
            <w:pPr>
              <w:rPr>
                <w:sz w:val="22"/>
              </w:rPr>
            </w:pPr>
            <w:r w:rsidRPr="000A3A07">
              <w:rPr>
                <w:sz w:val="22"/>
              </w:rPr>
              <w:t>Nattåg</w:t>
            </w:r>
          </w:p>
        </w:tc>
        <w:tc>
          <w:tcPr>
            <w:tcW w:w="2960" w:type="dxa"/>
            <w:tcBorders>
              <w:top w:val="nil"/>
              <w:left w:val="nil"/>
              <w:right w:val="single" w:sz="4" w:space="0" w:color="auto"/>
            </w:tcBorders>
          </w:tcPr>
          <w:p w14:paraId="7CF37E1B" w14:textId="77777777" w:rsidR="007C11E9" w:rsidRPr="000A3A07" w:rsidRDefault="007C11E9">
            <w:pPr>
              <w:rPr>
                <w:sz w:val="22"/>
              </w:rPr>
            </w:pPr>
            <w:r w:rsidRPr="000A3A07">
              <w:rPr>
                <w:sz w:val="22"/>
              </w:rPr>
              <w:t>0.13</w:t>
            </w:r>
          </w:p>
        </w:tc>
      </w:tr>
      <w:tr w:rsidR="00000000" w:rsidRPr="000A3A07" w14:paraId="285DBFC4" w14:textId="77777777">
        <w:tblPrEx>
          <w:tblCellMar>
            <w:top w:w="0" w:type="dxa"/>
            <w:bottom w:w="0" w:type="dxa"/>
          </w:tblCellMar>
        </w:tblPrEx>
        <w:tc>
          <w:tcPr>
            <w:tcW w:w="2960" w:type="dxa"/>
            <w:tcBorders>
              <w:left w:val="single" w:sz="4" w:space="0" w:color="auto"/>
              <w:right w:val="single" w:sz="6" w:space="0" w:color="000000"/>
            </w:tcBorders>
          </w:tcPr>
          <w:p w14:paraId="567A4E98" w14:textId="77777777" w:rsidR="007C11E9" w:rsidRPr="000A3A07" w:rsidRDefault="007C11E9">
            <w:pPr>
              <w:rPr>
                <w:sz w:val="22"/>
              </w:rPr>
            </w:pPr>
            <w:r w:rsidRPr="000A3A07">
              <w:rPr>
                <w:sz w:val="22"/>
              </w:rPr>
              <w:t>Flyg</w:t>
            </w:r>
          </w:p>
        </w:tc>
        <w:tc>
          <w:tcPr>
            <w:tcW w:w="2960" w:type="dxa"/>
            <w:tcBorders>
              <w:left w:val="nil"/>
              <w:right w:val="single" w:sz="4" w:space="0" w:color="auto"/>
            </w:tcBorders>
          </w:tcPr>
          <w:p w14:paraId="2D2610C2" w14:textId="77777777" w:rsidR="007C11E9" w:rsidRPr="000A3A07" w:rsidRDefault="007C11E9">
            <w:pPr>
              <w:rPr>
                <w:sz w:val="22"/>
              </w:rPr>
            </w:pPr>
            <w:r w:rsidRPr="000A3A07">
              <w:rPr>
                <w:sz w:val="22"/>
              </w:rPr>
              <w:t>0.055</w:t>
            </w:r>
          </w:p>
        </w:tc>
      </w:tr>
      <w:tr w:rsidR="00000000" w:rsidRPr="000A3A07" w14:paraId="759A9A82" w14:textId="77777777">
        <w:tblPrEx>
          <w:tblCellMar>
            <w:top w:w="0" w:type="dxa"/>
            <w:bottom w:w="0" w:type="dxa"/>
          </w:tblCellMar>
        </w:tblPrEx>
        <w:tc>
          <w:tcPr>
            <w:tcW w:w="2960" w:type="dxa"/>
            <w:tcBorders>
              <w:left w:val="single" w:sz="4" w:space="0" w:color="auto"/>
              <w:right w:val="single" w:sz="6" w:space="0" w:color="000000"/>
            </w:tcBorders>
          </w:tcPr>
          <w:p w14:paraId="2F927B26" w14:textId="77777777" w:rsidR="007C11E9" w:rsidRPr="000A3A07" w:rsidRDefault="007C11E9">
            <w:pPr>
              <w:rPr>
                <w:sz w:val="22"/>
              </w:rPr>
            </w:pPr>
            <w:r w:rsidRPr="000A3A07">
              <w:rPr>
                <w:sz w:val="22"/>
              </w:rPr>
              <w:t>Buss</w:t>
            </w:r>
          </w:p>
        </w:tc>
        <w:tc>
          <w:tcPr>
            <w:tcW w:w="2960" w:type="dxa"/>
            <w:tcBorders>
              <w:left w:val="nil"/>
              <w:right w:val="single" w:sz="4" w:space="0" w:color="auto"/>
            </w:tcBorders>
          </w:tcPr>
          <w:p w14:paraId="218B3C72" w14:textId="77777777" w:rsidR="007C11E9" w:rsidRPr="000A3A07" w:rsidRDefault="007C11E9">
            <w:pPr>
              <w:rPr>
                <w:sz w:val="22"/>
              </w:rPr>
            </w:pPr>
            <w:r w:rsidRPr="000A3A07">
              <w:rPr>
                <w:sz w:val="22"/>
              </w:rPr>
              <w:t>0.02</w:t>
            </w:r>
          </w:p>
        </w:tc>
      </w:tr>
      <w:tr w:rsidR="00000000" w:rsidRPr="000A3A07" w14:paraId="45CEA322" w14:textId="77777777">
        <w:tblPrEx>
          <w:tblCellMar>
            <w:top w:w="0" w:type="dxa"/>
            <w:bottom w:w="0" w:type="dxa"/>
          </w:tblCellMar>
        </w:tblPrEx>
        <w:tc>
          <w:tcPr>
            <w:tcW w:w="2960" w:type="dxa"/>
            <w:tcBorders>
              <w:left w:val="single" w:sz="4" w:space="0" w:color="auto"/>
              <w:right w:val="single" w:sz="6" w:space="0" w:color="000000"/>
            </w:tcBorders>
          </w:tcPr>
          <w:p w14:paraId="472656CD" w14:textId="77777777" w:rsidR="007C11E9" w:rsidRPr="000A3A07" w:rsidRDefault="007C11E9">
            <w:pPr>
              <w:rPr>
                <w:sz w:val="22"/>
              </w:rPr>
            </w:pPr>
            <w:r w:rsidRPr="000A3A07">
              <w:rPr>
                <w:sz w:val="22"/>
              </w:rPr>
              <w:t>Bil</w:t>
            </w:r>
          </w:p>
        </w:tc>
        <w:tc>
          <w:tcPr>
            <w:tcW w:w="2960" w:type="dxa"/>
            <w:tcBorders>
              <w:left w:val="nil"/>
              <w:right w:val="single" w:sz="4" w:space="0" w:color="auto"/>
            </w:tcBorders>
          </w:tcPr>
          <w:p w14:paraId="24DCCDC4" w14:textId="77777777" w:rsidR="007C11E9" w:rsidRPr="000A3A07" w:rsidRDefault="007C11E9">
            <w:pPr>
              <w:rPr>
                <w:sz w:val="22"/>
              </w:rPr>
            </w:pPr>
            <w:r w:rsidRPr="000A3A07">
              <w:rPr>
                <w:sz w:val="22"/>
              </w:rPr>
              <w:t>0.19</w:t>
            </w:r>
          </w:p>
        </w:tc>
      </w:tr>
      <w:tr w:rsidR="00000000" w:rsidRPr="000A3A07" w14:paraId="610DF576" w14:textId="77777777">
        <w:tblPrEx>
          <w:tblCellMar>
            <w:top w:w="0" w:type="dxa"/>
            <w:bottom w:w="0" w:type="dxa"/>
          </w:tblCellMar>
        </w:tblPrEx>
        <w:tc>
          <w:tcPr>
            <w:tcW w:w="2960" w:type="dxa"/>
            <w:tcBorders>
              <w:left w:val="single" w:sz="4" w:space="0" w:color="auto"/>
              <w:right w:val="single" w:sz="6" w:space="0" w:color="000000"/>
            </w:tcBorders>
          </w:tcPr>
          <w:p w14:paraId="23551B68" w14:textId="77777777" w:rsidR="007C11E9" w:rsidRPr="000A3A07" w:rsidRDefault="007C11E9">
            <w:pPr>
              <w:rPr>
                <w:sz w:val="22"/>
              </w:rPr>
            </w:pPr>
            <w:r w:rsidRPr="000A3A07">
              <w:rPr>
                <w:sz w:val="22"/>
              </w:rPr>
              <w:t>Ingen resa</w:t>
            </w:r>
          </w:p>
        </w:tc>
        <w:tc>
          <w:tcPr>
            <w:tcW w:w="2960" w:type="dxa"/>
            <w:tcBorders>
              <w:left w:val="nil"/>
              <w:right w:val="single" w:sz="4" w:space="0" w:color="auto"/>
            </w:tcBorders>
          </w:tcPr>
          <w:p w14:paraId="13092646" w14:textId="77777777" w:rsidR="007C11E9" w:rsidRPr="000A3A07" w:rsidRDefault="007C11E9">
            <w:pPr>
              <w:rPr>
                <w:sz w:val="22"/>
              </w:rPr>
            </w:pPr>
            <w:r w:rsidRPr="000A3A07">
              <w:rPr>
                <w:sz w:val="22"/>
              </w:rPr>
              <w:t>0.055</w:t>
            </w:r>
          </w:p>
        </w:tc>
      </w:tr>
      <w:tr w:rsidR="00000000" w:rsidRPr="000A3A07" w14:paraId="0440FCA9" w14:textId="77777777">
        <w:tblPrEx>
          <w:tblCellMar>
            <w:top w:w="0" w:type="dxa"/>
            <w:bottom w:w="0" w:type="dxa"/>
          </w:tblCellMar>
        </w:tblPrEx>
        <w:tc>
          <w:tcPr>
            <w:tcW w:w="2960" w:type="dxa"/>
            <w:tcBorders>
              <w:left w:val="single" w:sz="4" w:space="0" w:color="auto"/>
              <w:right w:val="single" w:sz="6" w:space="0" w:color="000000"/>
            </w:tcBorders>
          </w:tcPr>
          <w:p w14:paraId="6F8EAC3F" w14:textId="77777777" w:rsidR="007C11E9" w:rsidRPr="000A3A07" w:rsidRDefault="007C11E9">
            <w:pPr>
              <w:rPr>
                <w:i/>
              </w:rPr>
            </w:pPr>
            <w:r w:rsidRPr="000A3A07">
              <w:rPr>
                <w:i/>
              </w:rPr>
              <w:t>Summa</w:t>
            </w:r>
          </w:p>
        </w:tc>
        <w:tc>
          <w:tcPr>
            <w:tcW w:w="2960" w:type="dxa"/>
            <w:tcBorders>
              <w:left w:val="nil"/>
              <w:right w:val="single" w:sz="4" w:space="0" w:color="auto"/>
            </w:tcBorders>
          </w:tcPr>
          <w:p w14:paraId="4F72DACE" w14:textId="77777777" w:rsidR="007C11E9" w:rsidRPr="000A3A07" w:rsidRDefault="007C11E9">
            <w:pPr>
              <w:rPr>
                <w:sz w:val="22"/>
              </w:rPr>
            </w:pPr>
            <w:r w:rsidRPr="000A3A07">
              <w:rPr>
                <w:sz w:val="22"/>
              </w:rPr>
              <w:t>0.45</w:t>
            </w:r>
          </w:p>
        </w:tc>
      </w:tr>
    </w:tbl>
    <w:p w14:paraId="4C29A17B" w14:textId="77777777" w:rsidR="007C11E9" w:rsidRPr="000A3A07" w:rsidRDefault="007C11E9">
      <w:pPr>
        <w:pStyle w:val="Tabell"/>
      </w:pPr>
      <w:r w:rsidRPr="000A3A07">
        <w:t>Källa: SOU 1996:95, tabell 3.2.</w:t>
      </w:r>
    </w:p>
    <w:p w14:paraId="7424CD76" w14:textId="77777777" w:rsidR="007C11E9" w:rsidRPr="000A3A07" w:rsidRDefault="007C11E9">
      <w:r w:rsidRPr="000A3A07">
        <w:t>Enligt Botniautredningen leder Botniabanan till mer än en fördubbling av antalet tågresenärer på övre Norrland. Med Botniabanan beräknas tåg svara för 20 procent av personr</w:t>
      </w:r>
      <w:r w:rsidRPr="000A3A07">
        <w:t>e</w:t>
      </w:r>
      <w:r w:rsidRPr="000A3A07">
        <w:t xml:space="preserve">sorna mellan övre Norrland och södra Sverige. </w:t>
      </w:r>
    </w:p>
    <w:p w14:paraId="42EB29A5" w14:textId="77777777" w:rsidR="007C11E9" w:rsidRPr="000A3A07" w:rsidRDefault="007C11E9">
      <w:pPr>
        <w:pStyle w:val="Normaltindrag"/>
      </w:pPr>
      <w:r w:rsidRPr="000A3A07">
        <w:t>Som jämförelse kan nämnas att flygplatserna i Umeå och Örnsköldsvik tillsammans hade 0.36 miljoner resande (t/r) år 1995 (enligt SOU 1996:95, tabell 2.3). Även om antalet flygresenärer kan förväntas öka till år 2010 framstår persontrafiken på Botniabanan som förhållandevis omfattande. Det rör sig knappast om en marginell företeelse, givet att Botniautredningens prognos håller.</w:t>
      </w:r>
    </w:p>
    <w:p w14:paraId="52A9697F" w14:textId="77777777" w:rsidR="007C11E9" w:rsidRPr="000A3A07" w:rsidRDefault="007C11E9">
      <w:pPr>
        <w:pStyle w:val="Normaltindrag"/>
      </w:pPr>
      <w:r w:rsidRPr="000A3A07">
        <w:t>Tillsammans med stambanan kommer Botniabanan att fungera som ett dubbelspår för godstrafiken. Den tungt lastade södergående trafiken skall gå på den nya banan</w:t>
      </w:r>
      <w:r w:rsidRPr="000A3A07">
        <w:rPr>
          <w:rStyle w:val="Slutnotsreferens"/>
        </w:rPr>
        <w:endnoteReference w:id="2"/>
      </w:r>
      <w:r w:rsidRPr="000A3A07">
        <w:t>, medan de lättare lastade norrgående tågen körs på sta</w:t>
      </w:r>
      <w:r w:rsidRPr="000A3A07">
        <w:t>m</w:t>
      </w:r>
      <w:r w:rsidRPr="000A3A07">
        <w:t>banan. Därigenom elimineras de flaskhalsproblem som i dagsläget hämmar trafiken under vissa tider på dygnet. Även de begränsningar för tågvikt som föreligger i dagsläget skulle lätta. Vidare förkortas transporttiderna.</w:t>
      </w:r>
    </w:p>
    <w:p w14:paraId="4840FCB6" w14:textId="77777777" w:rsidR="007C11E9" w:rsidRPr="000A3A07" w:rsidRDefault="007C11E9">
      <w:pPr>
        <w:pStyle w:val="Normaltindrag"/>
      </w:pPr>
      <w:r w:rsidRPr="000A3A07">
        <w:t>Botniautredningen räknar med att Botniabanan medför att omkring 660 000 ton gods per år</w:t>
      </w:r>
      <w:r w:rsidRPr="000A3A07">
        <w:rPr>
          <w:rStyle w:val="Slutnotsreferens"/>
        </w:rPr>
        <w:endnoteReference w:id="3"/>
      </w:r>
      <w:r w:rsidRPr="000A3A07">
        <w:t xml:space="preserve"> omfördelas till järnväg från lastbil (-550 000) och sj</w:t>
      </w:r>
      <w:r w:rsidRPr="000A3A07">
        <w:t>ö</w:t>
      </w:r>
      <w:r w:rsidRPr="000A3A07">
        <w:t>fart (-110 000). Med andra ord förväntas järnvägen ta marknadsandelar på grund av förbättrad konkurrenskraft gentemot övriga transportslag. Däru</w:t>
      </w:r>
      <w:r w:rsidRPr="000A3A07">
        <w:t>t</w:t>
      </w:r>
      <w:r w:rsidRPr="000A3A07">
        <w:t>över antar utredningen en autonom efterfrågetillväxt på ca 10 procent mellan 1993 och 2010. Med Botniabanan bedöms godstransporterna på järnväg få en voly</w:t>
      </w:r>
      <w:r w:rsidRPr="000A3A07">
        <w:t>m</w:t>
      </w:r>
      <w:r w:rsidRPr="000A3A07">
        <w:t>tillväxt på 20-25 procent till år 2010 jämfört med 1993.</w:t>
      </w:r>
    </w:p>
    <w:p w14:paraId="002BA837" w14:textId="77777777" w:rsidR="007C11E9" w:rsidRPr="000A3A07" w:rsidRDefault="007C11E9">
      <w:pPr>
        <w:pStyle w:val="Normaltindrag"/>
      </w:pPr>
      <w:r w:rsidRPr="000A3A07">
        <w:t>Botniautredningens samhällsekonomiska kalkyl redovisas i tabell 2. Såväl persontrafiken som godstra</w:t>
      </w:r>
      <w:r w:rsidRPr="000A3A07">
        <w:t>fiken beräknas ge driftöverskott för operatören. Inte minst godstrafiken förväntas ge ett stort överskott för trafikföretaget, 168 miljoner kr per år, via sänkta trafikeringskostnader. Bland annat kan företaget använda tyngre och längre godståg än i alternati</w:t>
      </w:r>
      <w:r w:rsidRPr="000A3A07">
        <w:t>v</w:t>
      </w:r>
      <w:r w:rsidRPr="000A3A07">
        <w:t>fallet.</w:t>
      </w:r>
    </w:p>
    <w:p w14:paraId="25E0EE25" w14:textId="77777777" w:rsidR="007C11E9" w:rsidRPr="000A3A07" w:rsidRDefault="007C11E9">
      <w:pPr>
        <w:rPr>
          <w:sz w:val="22"/>
        </w:rPr>
      </w:pPr>
    </w:p>
    <w:p w14:paraId="411CC2B5" w14:textId="77777777" w:rsidR="007C11E9" w:rsidRPr="000A3A07" w:rsidRDefault="007C11E9">
      <w:pPr>
        <w:rPr>
          <w:sz w:val="22"/>
        </w:rPr>
      </w:pPr>
    </w:p>
    <w:p w14:paraId="076663A3" w14:textId="77777777" w:rsidR="007C11E9" w:rsidRPr="000A3A07" w:rsidRDefault="007C11E9">
      <w:pPr>
        <w:rPr>
          <w:sz w:val="22"/>
        </w:rPr>
      </w:pPr>
    </w:p>
    <w:p w14:paraId="7E091B6F" w14:textId="77777777" w:rsidR="007C11E9" w:rsidRPr="000A3A07" w:rsidRDefault="007C11E9">
      <w:pPr>
        <w:rPr>
          <w:sz w:val="22"/>
        </w:rPr>
      </w:pPr>
    </w:p>
    <w:p w14:paraId="3E6E6C82" w14:textId="77777777" w:rsidR="007C11E9" w:rsidRPr="000A3A07" w:rsidRDefault="007C11E9">
      <w:pPr>
        <w:rPr>
          <w:b/>
          <w:sz w:val="22"/>
        </w:rPr>
      </w:pPr>
      <w:r w:rsidRPr="000A3A07">
        <w:rPr>
          <w:b/>
          <w:sz w:val="22"/>
        </w:rPr>
        <w:t>Tabell 2. Botniautredningens samhällsekonomiska kalkyl.</w:t>
      </w:r>
    </w:p>
    <w:tbl>
      <w:tblPr>
        <w:tblW w:w="0" w:type="auto"/>
        <w:tblInd w:w="-113" w:type="dxa"/>
        <w:tblBorders>
          <w:top w:val="single" w:sz="12" w:space="0" w:color="000000"/>
          <w:left w:val="nil"/>
          <w:bottom w:val="single" w:sz="12" w:space="0" w:color="000000"/>
          <w:right w:val="nil"/>
          <w:insideH w:val="nil"/>
          <w:insideV w:val="nil"/>
        </w:tblBorders>
        <w:tblLayout w:type="fixed"/>
        <w:tblLook w:val="00AF" w:firstRow="1" w:lastRow="0" w:firstColumn="1" w:lastColumn="0" w:noHBand="0" w:noVBand="0"/>
      </w:tblPr>
      <w:tblGrid>
        <w:gridCol w:w="4077"/>
        <w:gridCol w:w="1843"/>
      </w:tblGrid>
      <w:tr w:rsidR="00000000" w:rsidRPr="000A3A07" w14:paraId="6052EDA6" w14:textId="77777777">
        <w:tblPrEx>
          <w:tblCellMar>
            <w:top w:w="0" w:type="dxa"/>
            <w:bottom w:w="0" w:type="dxa"/>
          </w:tblCellMar>
        </w:tblPrEx>
        <w:tc>
          <w:tcPr>
            <w:tcW w:w="4077" w:type="dxa"/>
            <w:tcBorders>
              <w:left w:val="single" w:sz="4" w:space="0" w:color="auto"/>
              <w:bottom w:val="single" w:sz="6" w:space="0" w:color="000000"/>
              <w:right w:val="single" w:sz="6" w:space="0" w:color="000000"/>
            </w:tcBorders>
          </w:tcPr>
          <w:p w14:paraId="2D458262" w14:textId="77777777" w:rsidR="007C11E9" w:rsidRPr="000A3A07" w:rsidRDefault="007C11E9">
            <w:pPr>
              <w:jc w:val="left"/>
              <w:rPr>
                <w:i/>
              </w:rPr>
            </w:pPr>
            <w:r w:rsidRPr="000A3A07">
              <w:rPr>
                <w:i/>
              </w:rPr>
              <w:t>Post</w:t>
            </w:r>
          </w:p>
        </w:tc>
        <w:tc>
          <w:tcPr>
            <w:tcW w:w="1843" w:type="dxa"/>
            <w:tcBorders>
              <w:left w:val="nil"/>
              <w:bottom w:val="single" w:sz="6" w:space="0" w:color="000000"/>
              <w:right w:val="single" w:sz="4" w:space="0" w:color="auto"/>
            </w:tcBorders>
          </w:tcPr>
          <w:p w14:paraId="5EA7A432" w14:textId="77777777" w:rsidR="007C11E9" w:rsidRPr="000A3A07" w:rsidRDefault="007C11E9">
            <w:pPr>
              <w:rPr>
                <w:i/>
              </w:rPr>
            </w:pPr>
            <w:r w:rsidRPr="000A3A07">
              <w:rPr>
                <w:i/>
              </w:rPr>
              <w:t>Miljoner kr/år</w:t>
            </w:r>
          </w:p>
        </w:tc>
      </w:tr>
      <w:tr w:rsidR="00000000" w:rsidRPr="000A3A07" w14:paraId="598E8414" w14:textId="77777777">
        <w:tblPrEx>
          <w:tblCellMar>
            <w:top w:w="0" w:type="dxa"/>
            <w:bottom w:w="0" w:type="dxa"/>
          </w:tblCellMar>
        </w:tblPrEx>
        <w:tc>
          <w:tcPr>
            <w:tcW w:w="4077" w:type="dxa"/>
            <w:tcBorders>
              <w:top w:val="nil"/>
              <w:left w:val="single" w:sz="4" w:space="0" w:color="auto"/>
              <w:right w:val="single" w:sz="6" w:space="0" w:color="000000"/>
            </w:tcBorders>
          </w:tcPr>
          <w:p w14:paraId="6873F130" w14:textId="77777777" w:rsidR="007C11E9" w:rsidRPr="000A3A07" w:rsidRDefault="007C11E9">
            <w:pPr>
              <w:jc w:val="left"/>
            </w:pPr>
            <w:r w:rsidRPr="000A3A07">
              <w:t>Företagsekonomiskt netto, perso</w:t>
            </w:r>
            <w:r w:rsidRPr="000A3A07">
              <w:t>n</w:t>
            </w:r>
            <w:r w:rsidRPr="000A3A07">
              <w:t>trafik</w:t>
            </w:r>
          </w:p>
        </w:tc>
        <w:tc>
          <w:tcPr>
            <w:tcW w:w="1843" w:type="dxa"/>
            <w:tcBorders>
              <w:top w:val="nil"/>
              <w:left w:val="nil"/>
              <w:right w:val="single" w:sz="4" w:space="0" w:color="auto"/>
            </w:tcBorders>
          </w:tcPr>
          <w:p w14:paraId="42F8B041" w14:textId="77777777" w:rsidR="007C11E9" w:rsidRPr="000A3A07" w:rsidRDefault="007C11E9">
            <w:r w:rsidRPr="000A3A07">
              <w:t>+  45</w:t>
            </w:r>
          </w:p>
        </w:tc>
      </w:tr>
      <w:tr w:rsidR="00000000" w:rsidRPr="000A3A07" w14:paraId="6FFA67BD" w14:textId="77777777">
        <w:tblPrEx>
          <w:tblCellMar>
            <w:top w:w="0" w:type="dxa"/>
            <w:bottom w:w="0" w:type="dxa"/>
          </w:tblCellMar>
        </w:tblPrEx>
        <w:tc>
          <w:tcPr>
            <w:tcW w:w="4077" w:type="dxa"/>
            <w:tcBorders>
              <w:left w:val="single" w:sz="4" w:space="0" w:color="auto"/>
              <w:right w:val="single" w:sz="6" w:space="0" w:color="000000"/>
            </w:tcBorders>
          </w:tcPr>
          <w:p w14:paraId="4B6DE4A2" w14:textId="77777777" w:rsidR="007C11E9" w:rsidRPr="000A3A07" w:rsidRDefault="007C11E9">
            <w:pPr>
              <w:jc w:val="left"/>
            </w:pPr>
            <w:r w:rsidRPr="000A3A07">
              <w:t>Företagsekonomiskt netto, konkurrerande färdsätt</w:t>
            </w:r>
          </w:p>
        </w:tc>
        <w:tc>
          <w:tcPr>
            <w:tcW w:w="1843" w:type="dxa"/>
            <w:tcBorders>
              <w:left w:val="nil"/>
              <w:right w:val="single" w:sz="4" w:space="0" w:color="auto"/>
            </w:tcBorders>
          </w:tcPr>
          <w:p w14:paraId="51E8EDDF" w14:textId="77777777" w:rsidR="007C11E9" w:rsidRPr="000A3A07" w:rsidRDefault="007C11E9">
            <w:r w:rsidRPr="000A3A07">
              <w:t>-   35</w:t>
            </w:r>
          </w:p>
        </w:tc>
      </w:tr>
      <w:tr w:rsidR="00000000" w:rsidRPr="000A3A07" w14:paraId="65707B70" w14:textId="77777777">
        <w:tblPrEx>
          <w:tblCellMar>
            <w:top w:w="0" w:type="dxa"/>
            <w:bottom w:w="0" w:type="dxa"/>
          </w:tblCellMar>
        </w:tblPrEx>
        <w:tc>
          <w:tcPr>
            <w:tcW w:w="4077" w:type="dxa"/>
            <w:tcBorders>
              <w:left w:val="single" w:sz="4" w:space="0" w:color="auto"/>
              <w:right w:val="single" w:sz="6" w:space="0" w:color="000000"/>
            </w:tcBorders>
          </w:tcPr>
          <w:p w14:paraId="746AB4CB" w14:textId="77777777" w:rsidR="007C11E9" w:rsidRPr="000A3A07" w:rsidRDefault="007C11E9">
            <w:pPr>
              <w:jc w:val="left"/>
            </w:pPr>
            <w:r w:rsidRPr="000A3A07">
              <w:t>Korrigering för subventioner mm</w:t>
            </w:r>
          </w:p>
        </w:tc>
        <w:tc>
          <w:tcPr>
            <w:tcW w:w="1843" w:type="dxa"/>
            <w:tcBorders>
              <w:left w:val="nil"/>
              <w:right w:val="single" w:sz="4" w:space="0" w:color="auto"/>
            </w:tcBorders>
          </w:tcPr>
          <w:p w14:paraId="3CA6C8C1" w14:textId="77777777" w:rsidR="007C11E9" w:rsidRPr="000A3A07" w:rsidRDefault="007C11E9">
            <w:r w:rsidRPr="000A3A07">
              <w:t>+  92</w:t>
            </w:r>
          </w:p>
        </w:tc>
      </w:tr>
      <w:tr w:rsidR="00000000" w:rsidRPr="000A3A07" w14:paraId="090A65DE" w14:textId="77777777">
        <w:tblPrEx>
          <w:tblCellMar>
            <w:top w:w="0" w:type="dxa"/>
            <w:bottom w:w="0" w:type="dxa"/>
          </w:tblCellMar>
        </w:tblPrEx>
        <w:tc>
          <w:tcPr>
            <w:tcW w:w="4077" w:type="dxa"/>
            <w:tcBorders>
              <w:left w:val="single" w:sz="4" w:space="0" w:color="auto"/>
              <w:right w:val="single" w:sz="6" w:space="0" w:color="000000"/>
            </w:tcBorders>
          </w:tcPr>
          <w:p w14:paraId="273C6409" w14:textId="77777777" w:rsidR="007C11E9" w:rsidRPr="000A3A07" w:rsidRDefault="007C11E9">
            <w:pPr>
              <w:jc w:val="left"/>
            </w:pPr>
            <w:r w:rsidRPr="000A3A07">
              <w:t>Konsumentöverskott</w:t>
            </w:r>
          </w:p>
        </w:tc>
        <w:tc>
          <w:tcPr>
            <w:tcW w:w="1843" w:type="dxa"/>
            <w:tcBorders>
              <w:left w:val="nil"/>
              <w:right w:val="single" w:sz="4" w:space="0" w:color="auto"/>
            </w:tcBorders>
          </w:tcPr>
          <w:p w14:paraId="52D679C5" w14:textId="77777777" w:rsidR="007C11E9" w:rsidRPr="000A3A07" w:rsidRDefault="007C11E9">
            <w:r w:rsidRPr="000A3A07">
              <w:t>+300</w:t>
            </w:r>
          </w:p>
        </w:tc>
      </w:tr>
      <w:tr w:rsidR="00000000" w:rsidRPr="000A3A07" w14:paraId="077F2108" w14:textId="77777777">
        <w:tblPrEx>
          <w:tblCellMar>
            <w:top w:w="0" w:type="dxa"/>
            <w:bottom w:w="0" w:type="dxa"/>
          </w:tblCellMar>
        </w:tblPrEx>
        <w:tc>
          <w:tcPr>
            <w:tcW w:w="4077" w:type="dxa"/>
            <w:tcBorders>
              <w:left w:val="single" w:sz="4" w:space="0" w:color="auto"/>
              <w:right w:val="single" w:sz="6" w:space="0" w:color="000000"/>
            </w:tcBorders>
          </w:tcPr>
          <w:p w14:paraId="6EF2AD51" w14:textId="77777777" w:rsidR="007C11E9" w:rsidRPr="000A3A07" w:rsidRDefault="007C11E9">
            <w:pPr>
              <w:jc w:val="left"/>
            </w:pPr>
            <w:r w:rsidRPr="000A3A07">
              <w:t>Miljöeffekter</w:t>
            </w:r>
          </w:p>
        </w:tc>
        <w:tc>
          <w:tcPr>
            <w:tcW w:w="1843" w:type="dxa"/>
            <w:tcBorders>
              <w:left w:val="nil"/>
              <w:right w:val="single" w:sz="4" w:space="0" w:color="auto"/>
            </w:tcBorders>
          </w:tcPr>
          <w:p w14:paraId="6EEFFB0D" w14:textId="77777777" w:rsidR="007C11E9" w:rsidRPr="000A3A07" w:rsidRDefault="007C11E9">
            <w:r w:rsidRPr="000A3A07">
              <w:t>+  26</w:t>
            </w:r>
          </w:p>
        </w:tc>
      </w:tr>
      <w:tr w:rsidR="00000000" w:rsidRPr="000A3A07" w14:paraId="2733B4B0" w14:textId="77777777">
        <w:tblPrEx>
          <w:tblCellMar>
            <w:top w:w="0" w:type="dxa"/>
            <w:bottom w:w="0" w:type="dxa"/>
          </w:tblCellMar>
        </w:tblPrEx>
        <w:tc>
          <w:tcPr>
            <w:tcW w:w="4077" w:type="dxa"/>
            <w:tcBorders>
              <w:left w:val="single" w:sz="4" w:space="0" w:color="auto"/>
              <w:right w:val="single" w:sz="6" w:space="0" w:color="000000"/>
            </w:tcBorders>
          </w:tcPr>
          <w:p w14:paraId="3322D466" w14:textId="77777777" w:rsidR="007C11E9" w:rsidRPr="000A3A07" w:rsidRDefault="007C11E9">
            <w:pPr>
              <w:jc w:val="left"/>
              <w:rPr>
                <w:i/>
              </w:rPr>
            </w:pPr>
            <w:r w:rsidRPr="000A3A07">
              <w:rPr>
                <w:i/>
              </w:rPr>
              <w:t>Summa, persontrafik</w:t>
            </w:r>
          </w:p>
        </w:tc>
        <w:tc>
          <w:tcPr>
            <w:tcW w:w="1843" w:type="dxa"/>
            <w:tcBorders>
              <w:left w:val="nil"/>
              <w:right w:val="single" w:sz="4" w:space="0" w:color="auto"/>
            </w:tcBorders>
          </w:tcPr>
          <w:p w14:paraId="5A3B1223" w14:textId="77777777" w:rsidR="007C11E9" w:rsidRPr="000A3A07" w:rsidRDefault="007C11E9">
            <w:pPr>
              <w:rPr>
                <w:i/>
              </w:rPr>
            </w:pPr>
            <w:r w:rsidRPr="000A3A07">
              <w:rPr>
                <w:i/>
              </w:rPr>
              <w:t xml:space="preserve">                +428</w:t>
            </w:r>
          </w:p>
        </w:tc>
      </w:tr>
      <w:tr w:rsidR="00000000" w:rsidRPr="000A3A07" w14:paraId="325C2972" w14:textId="77777777">
        <w:tblPrEx>
          <w:tblCellMar>
            <w:top w:w="0" w:type="dxa"/>
            <w:bottom w:w="0" w:type="dxa"/>
          </w:tblCellMar>
        </w:tblPrEx>
        <w:tc>
          <w:tcPr>
            <w:tcW w:w="4077" w:type="dxa"/>
            <w:tcBorders>
              <w:left w:val="single" w:sz="4" w:space="0" w:color="auto"/>
              <w:right w:val="single" w:sz="6" w:space="0" w:color="000000"/>
            </w:tcBorders>
          </w:tcPr>
          <w:p w14:paraId="05A793F7" w14:textId="77777777" w:rsidR="007C11E9" w:rsidRPr="000A3A07" w:rsidRDefault="007C11E9">
            <w:pPr>
              <w:jc w:val="left"/>
            </w:pPr>
            <w:r w:rsidRPr="000A3A07">
              <w:t>Tidsbesparing mm, godstr</w:t>
            </w:r>
            <w:r w:rsidRPr="000A3A07">
              <w:t>a</w:t>
            </w:r>
            <w:r w:rsidRPr="000A3A07">
              <w:t>fik</w:t>
            </w:r>
          </w:p>
        </w:tc>
        <w:tc>
          <w:tcPr>
            <w:tcW w:w="1843" w:type="dxa"/>
            <w:tcBorders>
              <w:left w:val="nil"/>
              <w:right w:val="single" w:sz="4" w:space="0" w:color="auto"/>
            </w:tcBorders>
          </w:tcPr>
          <w:p w14:paraId="08E41DE9" w14:textId="77777777" w:rsidR="007C11E9" w:rsidRPr="000A3A07" w:rsidRDefault="007C11E9">
            <w:r w:rsidRPr="000A3A07">
              <w:t>+  23</w:t>
            </w:r>
          </w:p>
        </w:tc>
      </w:tr>
      <w:tr w:rsidR="00000000" w:rsidRPr="000A3A07" w14:paraId="6954ED7D" w14:textId="77777777">
        <w:tblPrEx>
          <w:tblCellMar>
            <w:top w:w="0" w:type="dxa"/>
            <w:bottom w:w="0" w:type="dxa"/>
          </w:tblCellMar>
        </w:tblPrEx>
        <w:tc>
          <w:tcPr>
            <w:tcW w:w="4077" w:type="dxa"/>
            <w:tcBorders>
              <w:left w:val="single" w:sz="4" w:space="0" w:color="auto"/>
              <w:right w:val="single" w:sz="6" w:space="0" w:color="000000"/>
            </w:tcBorders>
          </w:tcPr>
          <w:p w14:paraId="14AEBDED" w14:textId="77777777" w:rsidR="007C11E9" w:rsidRPr="000A3A07" w:rsidRDefault="007C11E9">
            <w:pPr>
              <w:jc w:val="left"/>
            </w:pPr>
            <w:r w:rsidRPr="000A3A07">
              <w:t>Sänkta trafikeringskostnader</w:t>
            </w:r>
          </w:p>
        </w:tc>
        <w:tc>
          <w:tcPr>
            <w:tcW w:w="1843" w:type="dxa"/>
            <w:tcBorders>
              <w:left w:val="nil"/>
              <w:right w:val="single" w:sz="4" w:space="0" w:color="auto"/>
            </w:tcBorders>
          </w:tcPr>
          <w:p w14:paraId="0EB8F9D4" w14:textId="77777777" w:rsidR="007C11E9" w:rsidRPr="000A3A07" w:rsidRDefault="007C11E9">
            <w:r w:rsidRPr="000A3A07">
              <w:t>+168</w:t>
            </w:r>
          </w:p>
        </w:tc>
      </w:tr>
      <w:tr w:rsidR="00000000" w:rsidRPr="000A3A07" w14:paraId="653A4F22" w14:textId="77777777">
        <w:tblPrEx>
          <w:tblCellMar>
            <w:top w:w="0" w:type="dxa"/>
            <w:bottom w:w="0" w:type="dxa"/>
          </w:tblCellMar>
        </w:tblPrEx>
        <w:tc>
          <w:tcPr>
            <w:tcW w:w="4077" w:type="dxa"/>
            <w:tcBorders>
              <w:left w:val="single" w:sz="4" w:space="0" w:color="auto"/>
              <w:right w:val="single" w:sz="6" w:space="0" w:color="000000"/>
            </w:tcBorders>
          </w:tcPr>
          <w:p w14:paraId="7A27CC71" w14:textId="77777777" w:rsidR="007C11E9" w:rsidRPr="000A3A07" w:rsidRDefault="007C11E9">
            <w:pPr>
              <w:jc w:val="left"/>
            </w:pPr>
            <w:r w:rsidRPr="000A3A07">
              <w:t>Miljöeffekter</w:t>
            </w:r>
          </w:p>
        </w:tc>
        <w:tc>
          <w:tcPr>
            <w:tcW w:w="1843" w:type="dxa"/>
            <w:tcBorders>
              <w:left w:val="nil"/>
              <w:right w:val="single" w:sz="4" w:space="0" w:color="auto"/>
            </w:tcBorders>
          </w:tcPr>
          <w:p w14:paraId="63DB0ACD" w14:textId="77777777" w:rsidR="007C11E9" w:rsidRPr="000A3A07" w:rsidRDefault="007C11E9">
            <w:r w:rsidRPr="000A3A07">
              <w:t>+  21</w:t>
            </w:r>
          </w:p>
        </w:tc>
      </w:tr>
      <w:tr w:rsidR="00000000" w:rsidRPr="000A3A07" w14:paraId="43D6E9C1" w14:textId="77777777">
        <w:tblPrEx>
          <w:tblCellMar>
            <w:top w:w="0" w:type="dxa"/>
            <w:bottom w:w="0" w:type="dxa"/>
          </w:tblCellMar>
        </w:tblPrEx>
        <w:tc>
          <w:tcPr>
            <w:tcW w:w="4077" w:type="dxa"/>
            <w:tcBorders>
              <w:left w:val="single" w:sz="4" w:space="0" w:color="auto"/>
              <w:right w:val="single" w:sz="6" w:space="0" w:color="000000"/>
            </w:tcBorders>
          </w:tcPr>
          <w:p w14:paraId="08FAC470" w14:textId="77777777" w:rsidR="007C11E9" w:rsidRPr="000A3A07" w:rsidRDefault="007C11E9">
            <w:pPr>
              <w:jc w:val="left"/>
              <w:rPr>
                <w:i/>
              </w:rPr>
            </w:pPr>
            <w:r w:rsidRPr="000A3A07">
              <w:rPr>
                <w:i/>
              </w:rPr>
              <w:t>Summa, godstrafik</w:t>
            </w:r>
          </w:p>
        </w:tc>
        <w:tc>
          <w:tcPr>
            <w:tcW w:w="1843" w:type="dxa"/>
            <w:tcBorders>
              <w:left w:val="nil"/>
              <w:right w:val="single" w:sz="4" w:space="0" w:color="auto"/>
            </w:tcBorders>
          </w:tcPr>
          <w:p w14:paraId="174EC48C" w14:textId="77777777" w:rsidR="007C11E9" w:rsidRPr="000A3A07" w:rsidRDefault="007C11E9">
            <w:pPr>
              <w:rPr>
                <w:i/>
              </w:rPr>
            </w:pPr>
            <w:r w:rsidRPr="000A3A07">
              <w:rPr>
                <w:i/>
              </w:rPr>
              <w:t xml:space="preserve">                +212</w:t>
            </w:r>
          </w:p>
        </w:tc>
      </w:tr>
      <w:tr w:rsidR="00000000" w:rsidRPr="000A3A07" w14:paraId="6597DB5A" w14:textId="77777777">
        <w:tblPrEx>
          <w:tblCellMar>
            <w:top w:w="0" w:type="dxa"/>
            <w:bottom w:w="0" w:type="dxa"/>
          </w:tblCellMar>
        </w:tblPrEx>
        <w:tc>
          <w:tcPr>
            <w:tcW w:w="4077" w:type="dxa"/>
            <w:tcBorders>
              <w:left w:val="single" w:sz="4" w:space="0" w:color="auto"/>
              <w:right w:val="single" w:sz="6" w:space="0" w:color="000000"/>
            </w:tcBorders>
          </w:tcPr>
          <w:p w14:paraId="26D2621D" w14:textId="77777777" w:rsidR="007C11E9" w:rsidRPr="000A3A07" w:rsidRDefault="007C11E9">
            <w:pPr>
              <w:jc w:val="left"/>
            </w:pPr>
            <w:r w:rsidRPr="000A3A07">
              <w:t>Banunderhåll</w:t>
            </w:r>
          </w:p>
        </w:tc>
        <w:tc>
          <w:tcPr>
            <w:tcW w:w="1843" w:type="dxa"/>
            <w:tcBorders>
              <w:left w:val="nil"/>
              <w:right w:val="single" w:sz="4" w:space="0" w:color="auto"/>
            </w:tcBorders>
          </w:tcPr>
          <w:p w14:paraId="700AB392" w14:textId="77777777" w:rsidR="007C11E9" w:rsidRPr="000A3A07" w:rsidRDefault="007C11E9">
            <w:r w:rsidRPr="000A3A07">
              <w:t>-   31</w:t>
            </w:r>
          </w:p>
        </w:tc>
      </w:tr>
      <w:tr w:rsidR="00000000" w:rsidRPr="000A3A07" w14:paraId="09AFBBD4" w14:textId="77777777">
        <w:tblPrEx>
          <w:tblCellMar>
            <w:top w:w="0" w:type="dxa"/>
            <w:bottom w:w="0" w:type="dxa"/>
          </w:tblCellMar>
        </w:tblPrEx>
        <w:tc>
          <w:tcPr>
            <w:tcW w:w="4077" w:type="dxa"/>
            <w:tcBorders>
              <w:left w:val="single" w:sz="4" w:space="0" w:color="auto"/>
              <w:right w:val="single" w:sz="6" w:space="0" w:color="000000"/>
            </w:tcBorders>
          </w:tcPr>
          <w:p w14:paraId="0DC6FA85" w14:textId="77777777" w:rsidR="007C11E9" w:rsidRPr="000A3A07" w:rsidRDefault="007C11E9">
            <w:pPr>
              <w:jc w:val="left"/>
            </w:pPr>
            <w:r w:rsidRPr="000A3A07">
              <w:t>Anläggningskostnad</w:t>
            </w:r>
          </w:p>
        </w:tc>
        <w:tc>
          <w:tcPr>
            <w:tcW w:w="1843" w:type="dxa"/>
            <w:tcBorders>
              <w:left w:val="nil"/>
              <w:right w:val="single" w:sz="4" w:space="0" w:color="auto"/>
            </w:tcBorders>
          </w:tcPr>
          <w:p w14:paraId="2585663B" w14:textId="77777777" w:rsidR="007C11E9" w:rsidRPr="000A3A07" w:rsidRDefault="007C11E9">
            <w:r w:rsidRPr="000A3A07">
              <w:t>-600</w:t>
            </w:r>
          </w:p>
        </w:tc>
      </w:tr>
      <w:tr w:rsidR="00000000" w:rsidRPr="000A3A07" w14:paraId="2B063EA4" w14:textId="77777777">
        <w:tblPrEx>
          <w:tblCellMar>
            <w:top w:w="0" w:type="dxa"/>
            <w:bottom w:w="0" w:type="dxa"/>
          </w:tblCellMar>
        </w:tblPrEx>
        <w:tc>
          <w:tcPr>
            <w:tcW w:w="4077" w:type="dxa"/>
            <w:tcBorders>
              <w:left w:val="single" w:sz="4" w:space="0" w:color="auto"/>
              <w:right w:val="single" w:sz="6" w:space="0" w:color="000000"/>
            </w:tcBorders>
          </w:tcPr>
          <w:p w14:paraId="35C5780D" w14:textId="77777777" w:rsidR="007C11E9" w:rsidRPr="000A3A07" w:rsidRDefault="007C11E9">
            <w:pPr>
              <w:jc w:val="left"/>
              <w:rPr>
                <w:i/>
              </w:rPr>
            </w:pPr>
            <w:r w:rsidRPr="000A3A07">
              <w:rPr>
                <w:i/>
              </w:rPr>
              <w:t>Netto</w:t>
            </w:r>
          </w:p>
        </w:tc>
        <w:tc>
          <w:tcPr>
            <w:tcW w:w="1843" w:type="dxa"/>
            <w:tcBorders>
              <w:left w:val="nil"/>
              <w:right w:val="single" w:sz="4" w:space="0" w:color="auto"/>
            </w:tcBorders>
          </w:tcPr>
          <w:p w14:paraId="739B61DD" w14:textId="77777777" w:rsidR="007C11E9" w:rsidRPr="000A3A07" w:rsidRDefault="007C11E9">
            <w:pPr>
              <w:rPr>
                <w:i/>
              </w:rPr>
            </w:pPr>
            <w:r w:rsidRPr="000A3A07">
              <w:rPr>
                <w:i/>
              </w:rPr>
              <w:t xml:space="preserve">                +   9</w:t>
            </w:r>
          </w:p>
        </w:tc>
      </w:tr>
    </w:tbl>
    <w:p w14:paraId="299DEE06" w14:textId="77777777" w:rsidR="007C11E9" w:rsidRPr="000A3A07" w:rsidRDefault="007C11E9">
      <w:pPr>
        <w:pStyle w:val="Tabell"/>
        <w:rPr>
          <w:sz w:val="24"/>
        </w:rPr>
      </w:pPr>
      <w:r w:rsidRPr="000A3A07">
        <w:t>Källa: SOU 1996:95, tabell 5.8.</w:t>
      </w:r>
    </w:p>
    <w:p w14:paraId="2AC12ADB" w14:textId="77777777" w:rsidR="007C11E9" w:rsidRPr="000A3A07" w:rsidRDefault="007C11E9">
      <w:r w:rsidRPr="000A3A07">
        <w:t>Persontrafiken förväntas generera ett stort konsumentöverskott för resenäre</w:t>
      </w:r>
      <w:r w:rsidRPr="000A3A07">
        <w:t>r</w:t>
      </w:r>
      <w:r w:rsidRPr="000A3A07">
        <w:t>na. I relation till de biljettintäkter som är att hänföra till trafiken på Botni</w:t>
      </w:r>
      <w:r w:rsidRPr="000A3A07">
        <w:t>a</w:t>
      </w:r>
      <w:r w:rsidRPr="000A3A07">
        <w:t>banan (uppskattningsvis 425 miljoner kr per år) är konsumentöverskottet ca 70 procent. Det skulle kunna tolkas så att genomsnittsresenären är villig att betala upp till 70 procent mer än biljettpriset för en långväga resa på Botni</w:t>
      </w:r>
      <w:r w:rsidRPr="000A3A07">
        <w:t>a</w:t>
      </w:r>
      <w:r w:rsidRPr="000A3A07">
        <w:t xml:space="preserve">banan. Det är dock en förenkling, bland annat av det skälet att en del av konsumentöverskottet är att hänföra till resande med nattåg via förkortade restider. Läsaren hänvisas till avsnitten 3 och 4 </w:t>
      </w:r>
      <w:r w:rsidRPr="000A3A07">
        <w:t>för en närmare di</w:t>
      </w:r>
      <w:r w:rsidRPr="000A3A07">
        <w:t>s</w:t>
      </w:r>
      <w:r w:rsidRPr="000A3A07">
        <w:t>kussion.</w:t>
      </w:r>
    </w:p>
    <w:p w14:paraId="4F95E2C2" w14:textId="77777777" w:rsidR="007C11E9" w:rsidRPr="000A3A07" w:rsidRDefault="007C11E9">
      <w:pPr>
        <w:pStyle w:val="Normaltindrag"/>
      </w:pPr>
      <w:r w:rsidRPr="000A3A07">
        <w:t>Som framgår av tabellen förväntas Botniabanan i runda tal ge ett samhäll</w:t>
      </w:r>
      <w:r w:rsidRPr="000A3A07">
        <w:t>s</w:t>
      </w:r>
      <w:r w:rsidRPr="000A3A07">
        <w:t>ekonomiskt nollresultat. På årsbasis beräknas person- och godstrafiken gen</w:t>
      </w:r>
      <w:r w:rsidRPr="000A3A07">
        <w:t>e</w:t>
      </w:r>
      <w:r w:rsidRPr="000A3A07">
        <w:t>rera ett överskott på 640 miljoner kr vilket är obetydligt högre än de 631 miljoner kr som investeringskostnad (annuitet) plus banunderhåll summerar till. Det bör påpekas att en upprustning av Ådalsbanan till snabbtågsstandard inte ingår i kalkylen. En sådan upprustning beräknas kosta 180 miljoner kr uttryckt som annuitet</w:t>
      </w:r>
      <w:r w:rsidRPr="000A3A07">
        <w:rPr>
          <w:rStyle w:val="Slutnotsreferens"/>
        </w:rPr>
        <w:endnoteReference w:id="4"/>
      </w:r>
      <w:r w:rsidRPr="000A3A07">
        <w:t>. Hur den samhällsekonomiska kalkylen skulle påve</w:t>
      </w:r>
      <w:r w:rsidRPr="000A3A07">
        <w:t>r</w:t>
      </w:r>
      <w:r w:rsidRPr="000A3A07">
        <w:t>kas har Botniautredningen inte tagit ställning till.</w:t>
      </w:r>
    </w:p>
    <w:p w14:paraId="44290617" w14:textId="77777777" w:rsidR="007C11E9" w:rsidRPr="000A3A07" w:rsidRDefault="007C11E9">
      <w:pPr>
        <w:pStyle w:val="Normaltindrag"/>
      </w:pPr>
      <w:r w:rsidRPr="000A3A07">
        <w:t>Det bör också nämnas att konsumentöverskottet beräknats till ca 275 mi</w:t>
      </w:r>
      <w:r w:rsidRPr="000A3A07">
        <w:t>l</w:t>
      </w:r>
      <w:r w:rsidRPr="000A3A07">
        <w:t xml:space="preserve">joner kr men av Botniautredningen avrundas till 300 miljoner kr. Vidare har kostnaden för kringinvesteringar, beräknad till 1.4-2.7 miljarder kr, via ett speciellt antagande, som berörs i avsnitt 6 nedan, reducerats till 0.5 miljarder kr. Utan dessa antaganden skulle den samhällsekonomiska kalkylen ha givit ett underskott i storleksordningen 75-150 miljoner kr per år. </w:t>
      </w:r>
    </w:p>
    <w:p w14:paraId="74DB837C" w14:textId="77777777" w:rsidR="007C11E9" w:rsidRPr="000A3A07" w:rsidRDefault="007C11E9">
      <w:pPr>
        <w:pStyle w:val="Rubrik1"/>
        <w:ind w:left="357" w:hanging="357"/>
      </w:pPr>
      <w:bookmarkStart w:id="226" w:name="_Toc495906663"/>
      <w:bookmarkStart w:id="227" w:name="_Toc496510258"/>
      <w:bookmarkStart w:id="228" w:name="_Toc506340993"/>
      <w:r w:rsidRPr="000A3A07">
        <w:t>Botniautredningens konsumentöverskottsberäkning</w:t>
      </w:r>
      <w:bookmarkEnd w:id="226"/>
      <w:bookmarkEnd w:id="227"/>
      <w:bookmarkEnd w:id="228"/>
    </w:p>
    <w:p w14:paraId="245011CD" w14:textId="77777777" w:rsidR="007C11E9" w:rsidRPr="000A3A07" w:rsidRDefault="007C11E9">
      <w:r w:rsidRPr="000A3A07">
        <w:t>Den metod som används för att beräkna nyttan för resenärer av väg- och järnvägsinvesteringar kan starkt förenklat illustreras på följande sätt. I u</w:t>
      </w:r>
      <w:r w:rsidRPr="000A3A07">
        <w:t>t</w:t>
      </w:r>
      <w:r w:rsidRPr="000A3A07">
        <w:t>gångsläget finns en förbindelse av låg kvalitet mellan orterna A och C. Den innebär dessutom tågbyte och därmed väntetid i ort B. En förbättrad förbi</w:t>
      </w:r>
      <w:r w:rsidRPr="000A3A07">
        <w:t>n</w:t>
      </w:r>
      <w:r w:rsidRPr="000A3A07">
        <w:t>delse övervägs. Restiden förkortas därmed och tågbytet i B undviks. En timmes förkortning av restiden värderas av Botniautredningen till 70 kr för en privatresenär och till 140 kr för en tjänsteresenär</w:t>
      </w:r>
      <w:r w:rsidRPr="000A3A07">
        <w:rPr>
          <w:rStyle w:val="Slutnotsreferens"/>
        </w:rPr>
        <w:endnoteReference w:id="5"/>
      </w:r>
      <w:r w:rsidRPr="000A3A07">
        <w:t>. Till detta kommer värdet av att resenären slipper tågbytet i B. Värdet av den förkortade restiden plus värdet av att slippa tågbytet kallas ofta konsumentöverskott (även om det snarast rör sig om en konsumentöverskottsvinst eller ett extra värde för resenären vid givet biljettpris).</w:t>
      </w:r>
    </w:p>
    <w:p w14:paraId="2EC7B2BA" w14:textId="77777777" w:rsidR="007C11E9" w:rsidRPr="000A3A07" w:rsidRDefault="007C11E9">
      <w:pPr>
        <w:spacing w:line="360" w:lineRule="auto"/>
        <w:rPr>
          <w:b/>
          <w:sz w:val="22"/>
        </w:rPr>
      </w:pPr>
      <w:r w:rsidRPr="000A3A07">
        <w:rPr>
          <w:b/>
          <w:sz w:val="22"/>
        </w:rPr>
        <w:t>Figur 1.</w:t>
      </w:r>
    </w:p>
    <w:p w14:paraId="3E204776" w14:textId="6453B828" w:rsidR="007C11E9" w:rsidRPr="000A3A07" w:rsidRDefault="000A3A07">
      <w:pPr>
        <w:spacing w:line="360" w:lineRule="auto"/>
        <w:rPr>
          <w:sz w:val="24"/>
        </w:rPr>
      </w:pPr>
      <w:r w:rsidRPr="000A3A07">
        <w:rPr>
          <w:noProof/>
          <w:sz w:val="24"/>
        </w:rPr>
        <mc:AlternateContent>
          <mc:Choice Requires="wps">
            <w:drawing>
              <wp:anchor distT="0" distB="0" distL="114300" distR="114300" simplePos="0" relativeHeight="251660800" behindDoc="0" locked="0" layoutInCell="0" allowOverlap="1" wp14:anchorId="35C5DC82" wp14:editId="4F6EAF9B">
                <wp:simplePos x="0" y="0"/>
                <wp:positionH relativeFrom="column">
                  <wp:posOffset>502920</wp:posOffset>
                </wp:positionH>
                <wp:positionV relativeFrom="paragraph">
                  <wp:posOffset>48260</wp:posOffset>
                </wp:positionV>
                <wp:extent cx="2834640" cy="792480"/>
                <wp:effectExtent l="0" t="0" r="0" b="0"/>
                <wp:wrapNone/>
                <wp:docPr id="92501044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4640" cy="792480"/>
                        </a:xfrm>
                        <a:custGeom>
                          <a:avLst/>
                          <a:gdLst>
                            <a:gd name="T0" fmla="*/ 0 w 4464"/>
                            <a:gd name="T1" fmla="*/ 456 h 1248"/>
                            <a:gd name="T2" fmla="*/ 864 w 4464"/>
                            <a:gd name="T3" fmla="*/ 1176 h 1248"/>
                            <a:gd name="T4" fmla="*/ 2016 w 4464"/>
                            <a:gd name="T5" fmla="*/ 24 h 1248"/>
                            <a:gd name="T6" fmla="*/ 3168 w 4464"/>
                            <a:gd name="T7" fmla="*/ 1032 h 1248"/>
                            <a:gd name="T8" fmla="*/ 4464 w 4464"/>
                            <a:gd name="T9" fmla="*/ 456 h 1248"/>
                          </a:gdLst>
                          <a:ahLst/>
                          <a:cxnLst>
                            <a:cxn ang="0">
                              <a:pos x="T0" y="T1"/>
                            </a:cxn>
                            <a:cxn ang="0">
                              <a:pos x="T2" y="T3"/>
                            </a:cxn>
                            <a:cxn ang="0">
                              <a:pos x="T4" y="T5"/>
                            </a:cxn>
                            <a:cxn ang="0">
                              <a:pos x="T6" y="T7"/>
                            </a:cxn>
                            <a:cxn ang="0">
                              <a:pos x="T8" y="T9"/>
                            </a:cxn>
                          </a:cxnLst>
                          <a:rect l="0" t="0" r="r" b="b"/>
                          <a:pathLst>
                            <a:path w="4464" h="1248">
                              <a:moveTo>
                                <a:pt x="0" y="456"/>
                              </a:moveTo>
                              <a:cubicBezTo>
                                <a:pt x="264" y="852"/>
                                <a:pt x="528" y="1248"/>
                                <a:pt x="864" y="1176"/>
                              </a:cubicBezTo>
                              <a:cubicBezTo>
                                <a:pt x="1200" y="1104"/>
                                <a:pt x="1632" y="48"/>
                                <a:pt x="2016" y="24"/>
                              </a:cubicBezTo>
                              <a:cubicBezTo>
                                <a:pt x="2400" y="0"/>
                                <a:pt x="2760" y="960"/>
                                <a:pt x="3168" y="1032"/>
                              </a:cubicBezTo>
                              <a:cubicBezTo>
                                <a:pt x="3576" y="1104"/>
                                <a:pt x="4248" y="552"/>
                                <a:pt x="4464" y="45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4B5B4" id="Freeform 10" o:spid="_x0000_s1026" style="position:absolute;margin-left:39.6pt;margin-top:3.8pt;width:223.2pt;height:6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6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aNSgMAAGUIAAAOAAAAZHJzL2Uyb0RvYy54bWysVttu2zAMfR+wfxD0OGD1JbaTGE2KrV2H&#10;Ad0FaPYBiizHxmzJk5Q47dePlJ3E6WYsGNYHV7KOD8lDisz1zb6uyE5oUyq5oMGVT4mQXGWl3Czo&#10;99X92xklxjKZsUpJsaBPwtCb5etX122TilAVqsqEJkAiTdo2C1pY26SeZ3ghamauVCMkHOZK18zC&#10;Vm+8TLMW2OvKC30/8Vqls0YrLoyBt3fdIV06/jwX3H7NcyMsqRYUfLPuqd1zjU9vec3SjWZNUfLe&#10;DfYPXtSslGD0SHXHLCNbXf5GVZdcK6Nye8VV7ak8L7lwMUA0gf8imseCNcLFAuKY5iiT+X+0/Mvu&#10;sfmm0XXTPCj+w4AiXtuY9HiCGwMYsm4/qwxyyLZWuWD3ua7xSwiD7J2mT0dNxd4SDi/D2SRKIpCe&#10;w9l0HkYzJ7rH0sPXfGvsR6EcE9s9GNvlJIOVUzQjktVgdgUkeV1Bet54xCctiYC4T+AREwwwUZyQ&#10;ggRg8iUqHKBmSTTCNRmggmA6RhYNYJDEZIQtHsKiEceSAWgSJLMRrukAFviTcIQN7t5RMBRrhG0+&#10;hJ1pBlnaHPLAikNq+F72uYEVYXjTfVcPjTJYB5goSPYqQNmBAlCYyBEw5ALBk4vAoDWC44vAICaC&#10;pxeBQSsEz4fgzvc+Vg295GUX0ZRAF1njNyxtmEWJDkvSLqirUFJAY8QixJNa7cRKOYw93Rmo1N7u&#10;6Zxv1yV/L56H6BAKHt2cxWFv05HEYef9qdQb9x5K28GxeA9xnbH+yUYAbbX/yu+vV8cWJJMuV4f7&#10;1L3Gknf40KFRs7/aCKPeRt+Ae6Zp0lmew/9OUhcGXoTOIyj1i+OYxBA0ihUE53FEmAs8iM9V7JIF&#10;70/ZGEYCgWGGXUUfU+2iPbUvqe7LqnKuVxILYB6Hscu7UVWZ4SGm3ujN+rbSZMdwKrm/PqwzmFZb&#10;mTmyQrDsQ7+2rKy6NRiv4Ga5bo0NGoeeSdcqe4JmrVU362A2w6JQ+pmSFubcgpqfW6YFJdUnCYNk&#10;HkTYna3bRPE0hI0enqyHJ0xyoFpQS+He4/LWdsN02+hyU4ClwIUr1TsYEnmJvdz513nVb2CWORn7&#10;uYvDcrh3qNOvg+UvAAAA//8DAFBLAwQUAAYACAAAACEA8ng2it8AAAAIAQAADwAAAGRycy9kb3du&#10;cmV2LnhtbEyPQWvCQBCF74X+h2UKvZS6MVZb02ykCIIUQYzS85qdJsHsbNhdNf33nZ7qaWZ4jzff&#10;yxeD7cQFfWgdKRiPEhBIlTMt1QoO+9XzG4gQNRndOUIFPxhgUdzf5Toz7ko7vJSxFhxCIdMKmhj7&#10;TMpQNWh1GLkeibVv562OfPpaGq+vHG47mSbJTFrdEn9odI/LBqtTebYKNqvef8rJer87xLJdbtdP&#10;NP9CpR4fho93EBGH+G+GP3xGh4KZju5MJohOwes8ZSfPGQiWp+mUlyP7JukLyCKXtwWKXwAAAP//&#10;AwBQSwECLQAUAAYACAAAACEAtoM4kv4AAADhAQAAEwAAAAAAAAAAAAAAAAAAAAAAW0NvbnRlbnRf&#10;VHlwZXNdLnhtbFBLAQItABQABgAIAAAAIQA4/SH/1gAAAJQBAAALAAAAAAAAAAAAAAAAAC8BAABf&#10;cmVscy8ucmVsc1BLAQItABQABgAIAAAAIQCgJ5aNSgMAAGUIAAAOAAAAAAAAAAAAAAAAAC4CAABk&#10;cnMvZTJvRG9jLnhtbFBLAQItABQABgAIAAAAIQDyeDaK3wAAAAgBAAAPAAAAAAAAAAAAAAAAAKQF&#10;AABkcnMvZG93bnJldi54bWxQSwUGAAAAAAQABADzAAAAsAYAAAAA&#10;" o:allowincell="f" path="m,456v264,396,528,792,864,720c1200,1104,1632,48,2016,24,2400,,2760,960,3168,1032v408,72,1080,-480,1296,-576e" filled="f">
                <v:path arrowok="t" o:connecttype="custom" o:connectlocs="0,289560;548640,746760;1280160,15240;2011680,655320;2834640,289560" o:connectangles="0,0,0,0,0"/>
              </v:shape>
            </w:pict>
          </mc:Fallback>
        </mc:AlternateContent>
      </w:r>
      <w:r w:rsidRPr="000A3A07">
        <w:rPr>
          <w:noProof/>
          <w:sz w:val="24"/>
        </w:rPr>
        <mc:AlternateContent>
          <mc:Choice Requires="wps">
            <w:drawing>
              <wp:anchor distT="0" distB="0" distL="114300" distR="114300" simplePos="0" relativeHeight="251659776" behindDoc="0" locked="0" layoutInCell="0" allowOverlap="1" wp14:anchorId="02A926B2" wp14:editId="47AB007D">
                <wp:simplePos x="0" y="0"/>
                <wp:positionH relativeFrom="column">
                  <wp:posOffset>1783080</wp:posOffset>
                </wp:positionH>
                <wp:positionV relativeFrom="paragraph">
                  <wp:posOffset>63500</wp:posOffset>
                </wp:positionV>
                <wp:extent cx="91440" cy="91440"/>
                <wp:effectExtent l="0" t="0" r="0" b="0"/>
                <wp:wrapNone/>
                <wp:docPr id="87206865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571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C360B1" id="Oval 9" o:spid="_x0000_s1026" style="position:absolute;margin-left:140.4pt;margin-top:5pt;width:7.2pt;height: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Da/QEAAAoEAAAOAAAAZHJzL2Uyb0RvYy54bWysU1Fv0zAQfkfiP1h+p0mqlkHUdJo6ipAG&#10;Qxr8ANdxEgvHZ85u0/LrOTtZV9ieEH6w7nznz/d9d15dH3vDDgq9BlvxYpZzpqyEWtu24t+/bd+8&#10;48wHYWthwKqKn5Tn1+vXr1aDK9UcOjC1QkYg1peDq3gXgiuzzMtO9cLPwClLwQawF4FcbLMaxUDo&#10;vcnmef42GwBrhyCV93R6Owb5OuE3jZLhvmm8CsxUnGoLace07+KerVeibFG4TsupDPEPVfRCW3r0&#10;DHUrgmB71M+gei0RPDRhJqHPoGm0VIkDsSnyv9g8dMKpxIXE8e4sk/9/sPLL4cF9xVi6d3cgf3hm&#10;YdMJ26obRBg6JWp6rohCZYPz5flCdDxdZbvhM9TUWrEPkDQ4NthHQGLHjknq01lqdQxM0uH7YrGg&#10;fkiKjGbEF+XjVYc+fFTQs2hUXBmjnY9SiFIc7nwYsx+zUvVgdL3VxiQH293GIDsIavs2rUSASF6m&#10;GcuGii+vimWeoP8I+kuMPK2XMBD2tk5TFKX6MNlBaDPaRMrYSbsoV5xMX+6gPpF0CONA0gciowP8&#10;xdlAw1hx/3MvUHFmPlmSf1IrJGexvJqTdHgZ2V1GhJUEVfHA2Whuwjjxe4e67eilItG1cEMta3RS&#10;86mqqVgauNSS6XPEib70U9bTF17/BgAA//8DAFBLAwQUAAYACAAAACEAZAVcvN0AAAAJAQAADwAA&#10;AGRycy9kb3ducmV2LnhtbEyPwU7DMBBE70j8g7VI3KiNW1AJcSoEQoJDDw2IsxsvcdR4HcVuE/6e&#10;5URvO5rR7JtyM4denHBMXSQDtwsFAqmJrqPWwOfH680aRMqWnO0joYEfTLCpLi9KW7g40Q5PdW4F&#10;l1AqrAGf81BImRqPwaZFHJDY+45jsJnl2Eo32onLQy+1Uvcy2I74g7cDPntsDvUxGFiGKU7hXdb6&#10;7WtLh5dmt9xqb8z11fz0CCLjnP/D8IfP6FAx0z4eySXRG9BrxeiZDcWbOKAf7jSIPR+rFciqlOcL&#10;ql8AAAD//wMAUEsBAi0AFAAGAAgAAAAhALaDOJL+AAAA4QEAABMAAAAAAAAAAAAAAAAAAAAAAFtD&#10;b250ZW50X1R5cGVzXS54bWxQSwECLQAUAAYACAAAACEAOP0h/9YAAACUAQAACwAAAAAAAAAAAAAA&#10;AAAvAQAAX3JlbHMvLnJlbHNQSwECLQAUAAYACAAAACEA8+hw2v0BAAAKBAAADgAAAAAAAAAAAAAA&#10;AAAuAgAAZHJzL2Uyb0RvYy54bWxQSwECLQAUAAYACAAAACEAZAVcvN0AAAAJAQAADwAAAAAAAAAA&#10;AAAAAABXBAAAZHJzL2Rvd25yZXYueG1sUEsFBgAAAAAEAAQA8wAAAGEFAAAAAA==&#10;" o:allowincell="f" strokeweight="4.5pt"/>
            </w:pict>
          </mc:Fallback>
        </mc:AlternateContent>
      </w:r>
    </w:p>
    <w:p w14:paraId="7762550D" w14:textId="77777777" w:rsidR="007C11E9" w:rsidRPr="000A3A07" w:rsidRDefault="007C11E9">
      <w:pPr>
        <w:spacing w:line="360" w:lineRule="auto"/>
        <w:rPr>
          <w:sz w:val="24"/>
        </w:rPr>
      </w:pPr>
      <w:r w:rsidRPr="000A3A07">
        <w:rPr>
          <w:sz w:val="24"/>
        </w:rPr>
        <w:t xml:space="preserve">          </w:t>
      </w:r>
      <w:r w:rsidRPr="000A3A07">
        <w:rPr>
          <w:b/>
          <w:sz w:val="24"/>
        </w:rPr>
        <w:t>A</w:t>
      </w:r>
      <w:r w:rsidRPr="000A3A07">
        <w:rPr>
          <w:sz w:val="24"/>
        </w:rPr>
        <w:tab/>
      </w:r>
      <w:r w:rsidRPr="000A3A07">
        <w:rPr>
          <w:sz w:val="24"/>
        </w:rPr>
        <w:tab/>
        <w:t xml:space="preserve">   </w:t>
      </w:r>
      <w:r w:rsidRPr="000A3A07">
        <w:rPr>
          <w:b/>
          <w:sz w:val="24"/>
        </w:rPr>
        <w:t>B</w:t>
      </w:r>
      <w:r w:rsidRPr="000A3A07">
        <w:rPr>
          <w:sz w:val="24"/>
        </w:rPr>
        <w:tab/>
      </w:r>
      <w:r w:rsidRPr="000A3A07">
        <w:rPr>
          <w:sz w:val="24"/>
        </w:rPr>
        <w:tab/>
      </w:r>
      <w:r w:rsidRPr="000A3A07">
        <w:rPr>
          <w:b/>
          <w:sz w:val="24"/>
        </w:rPr>
        <w:t>C</w:t>
      </w:r>
      <w:r w:rsidRPr="000A3A07">
        <w:rPr>
          <w:sz w:val="24"/>
        </w:rPr>
        <w:tab/>
      </w:r>
      <w:r w:rsidRPr="000A3A07">
        <w:rPr>
          <w:sz w:val="24"/>
        </w:rPr>
        <w:tab/>
        <w:t xml:space="preserve">      </w:t>
      </w:r>
    </w:p>
    <w:p w14:paraId="1265D61A" w14:textId="22F6FBED" w:rsidR="007C11E9" w:rsidRPr="000A3A07" w:rsidRDefault="000A3A07">
      <w:pPr>
        <w:spacing w:line="360" w:lineRule="auto"/>
        <w:rPr>
          <w:sz w:val="24"/>
        </w:rPr>
      </w:pPr>
      <w:r w:rsidRPr="000A3A07">
        <w:rPr>
          <w:noProof/>
          <w:sz w:val="24"/>
        </w:rPr>
        <mc:AlternateContent>
          <mc:Choice Requires="wps">
            <w:drawing>
              <wp:anchor distT="0" distB="0" distL="114300" distR="114300" simplePos="0" relativeHeight="251658752" behindDoc="0" locked="0" layoutInCell="0" allowOverlap="1" wp14:anchorId="2E3E285F" wp14:editId="52B2731D">
                <wp:simplePos x="0" y="0"/>
                <wp:positionH relativeFrom="column">
                  <wp:posOffset>594360</wp:posOffset>
                </wp:positionH>
                <wp:positionV relativeFrom="paragraph">
                  <wp:posOffset>132080</wp:posOffset>
                </wp:positionV>
                <wp:extent cx="2743200" cy="0"/>
                <wp:effectExtent l="0" t="0" r="0" b="0"/>
                <wp:wrapNone/>
                <wp:docPr id="99873894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17C62"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0.4pt" to="262.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6sAEAAEkDAAAOAAAAZHJzL2Uyb0RvYy54bWysU01v2zAMvQ/YfxB0X5xk61oYcXpI1126&#10;LUC7H8BIsi1MFgVSiZ1/P0lN0mK7FfVBoPjx9PhIr26nwYmDIbboG7mYzaUwXqG2vmvk76f7TzdS&#10;cASvwaE3jTwalrfrjx9WY6jNEnt02pBIIJ7rMTSyjzHUVcWqNwPwDIPxKdgiDRDTlbpKE4wJfXDV&#10;cj7/Wo1IOhAqw5y8d89BuS74bWtU/NW2bKJwjUzcYjmpnLt8VusV1B1B6K060YA3sBjA+vToBeoO&#10;Iog92f+gBqsIGds4UzhU2LZWmdJD6mYx/6ebxx6CKb0kcThcZOL3g1U/Dxu/pUxdTf4xPKD6w8Lj&#10;pgffmULg6RjS4BZZqmoMXF9K8oXDlsRu/IE65cA+YlFhamnIkKk/MRWxjxexzRSFSs7l9ZfPaYJS&#10;qHOsgvpcGIjjd4ODyEYjnfVZB6jh8MAxE4H6nJLdHu+tc2WWzosxgd9cXV+VCkZndY7mPKZut3Ek&#10;DpDXoXylrRR5nUa497qg9Qb0t5MdwbpnO73u/EmNLEDeNq53qI9bOquU5lVonnYrL8Tre6l++QPW&#10;fwEAAP//AwBQSwMEFAAGAAgAAAAhAJFCcNXcAAAACAEAAA8AAABkcnMvZG93bnJldi54bWxMj0FL&#10;w0AQhe+C/2EZwYvYjZGWGrMpteBNClYRj5PsNAlmZ0N226T/3ik96HHee7z5Xr6aXKeONITWs4GH&#10;WQKKuPK25drA58fr/RJUiMgWO89k4EQBVsX1VY6Z9SO/03EXayUlHDI00MTYZ1qHqiGHYeZ7YvH2&#10;fnAY5RxqbQccpdx1Ok2ShXbYsnxosKdNQ9XP7uAMVLjdbHH/pUeM3+uXu/LtNNRLY25vpvUzqEhT&#10;/AvDGV/QoRCm0h/YBtUZeHpcSNJAmsgC8efpXITyIugi1/8HFL8AAAD//wMAUEsBAi0AFAAGAAgA&#10;AAAhALaDOJL+AAAA4QEAABMAAAAAAAAAAAAAAAAAAAAAAFtDb250ZW50X1R5cGVzXS54bWxQSwEC&#10;LQAUAAYACAAAACEAOP0h/9YAAACUAQAACwAAAAAAAAAAAAAAAAAvAQAAX3JlbHMvLnJlbHNQSwEC&#10;LQAUAAYACAAAACEAIv8cOrABAABJAwAADgAAAAAAAAAAAAAAAAAuAgAAZHJzL2Uyb0RvYy54bWxQ&#10;SwECLQAUAAYACAAAACEAkUJw1dwAAAAIAQAADwAAAAAAAAAAAAAAAAAKBAAAZHJzL2Rvd25yZXYu&#10;eG1sUEsFBgAAAAAEAAQA8wAAABMFAAAAAA==&#10;" o:allowincell="f" strokeweight="2.25pt"/>
            </w:pict>
          </mc:Fallback>
        </mc:AlternateContent>
      </w:r>
      <w:r w:rsidR="007C11E9" w:rsidRPr="000A3A07">
        <w:rPr>
          <w:sz w:val="24"/>
        </w:rPr>
        <w:t xml:space="preserve">          </w:t>
      </w:r>
      <w:r w:rsidR="007C11E9" w:rsidRPr="000A3A07">
        <w:rPr>
          <w:b/>
          <w:sz w:val="24"/>
        </w:rPr>
        <w:t>A</w:t>
      </w:r>
      <w:r w:rsidR="007C11E9" w:rsidRPr="000A3A07">
        <w:rPr>
          <w:sz w:val="24"/>
        </w:rPr>
        <w:t xml:space="preserve">        </w:t>
      </w:r>
      <w:r w:rsidR="007C11E9" w:rsidRPr="000A3A07">
        <w:rPr>
          <w:sz w:val="24"/>
        </w:rPr>
        <w:tab/>
      </w:r>
      <w:r w:rsidR="007C11E9" w:rsidRPr="000A3A07">
        <w:rPr>
          <w:sz w:val="24"/>
        </w:rPr>
        <w:tab/>
      </w:r>
      <w:r w:rsidR="007C11E9" w:rsidRPr="000A3A07">
        <w:rPr>
          <w:sz w:val="24"/>
        </w:rPr>
        <w:tab/>
      </w:r>
      <w:r w:rsidR="007C11E9" w:rsidRPr="000A3A07">
        <w:rPr>
          <w:sz w:val="24"/>
        </w:rPr>
        <w:tab/>
        <w:t xml:space="preserve">  </w:t>
      </w:r>
      <w:r w:rsidR="007C11E9" w:rsidRPr="000A3A07">
        <w:rPr>
          <w:b/>
          <w:sz w:val="24"/>
        </w:rPr>
        <w:t>C</w:t>
      </w:r>
      <w:r w:rsidR="007C11E9" w:rsidRPr="000A3A07">
        <w:rPr>
          <w:sz w:val="24"/>
        </w:rPr>
        <w:t xml:space="preserve"> </w:t>
      </w:r>
    </w:p>
    <w:p w14:paraId="67D35904" w14:textId="77777777" w:rsidR="007C11E9" w:rsidRPr="000A3A07" w:rsidRDefault="007C11E9">
      <w:r w:rsidRPr="000A3A07">
        <w:t>Summeras samtliga resenärers konsumentöverskott och vad de faktiskt bet</w:t>
      </w:r>
      <w:r w:rsidRPr="000A3A07">
        <w:t>a</w:t>
      </w:r>
      <w:r w:rsidRPr="000A3A07">
        <w:t>lat för sina resor erhålls en skattning av investeringens värde för resenärerna. Detta värde (plus eventuella andra effekter, t ex miljöpåverkan och inverkan på godstrafiken) ställs mot drifts- och i</w:t>
      </w:r>
      <w:r w:rsidRPr="000A3A07">
        <w:t>n</w:t>
      </w:r>
      <w:r w:rsidRPr="000A3A07">
        <w:t xml:space="preserve">vesteringskostnader. </w:t>
      </w:r>
    </w:p>
    <w:p w14:paraId="320AE9C9" w14:textId="77777777" w:rsidR="007C11E9" w:rsidRPr="000A3A07" w:rsidRDefault="007C11E9">
      <w:pPr>
        <w:pStyle w:val="Normaltindrag"/>
      </w:pPr>
      <w:r w:rsidRPr="000A3A07">
        <w:t xml:space="preserve">Det är denna metod som Botniautredningen använder. Värderingen av kortare restid baseras på en jämförelse mellan restiden med dagtåg och den längre restiden med nuvarande nattåg. Starkt förenklat åsätts tidsvinsten ett visst värde som tolkas som ett uttryck för konsumentöverskottsvinsten </w:t>
      </w:r>
      <w:r w:rsidRPr="000A3A07">
        <w:t>för den resenär som skiftar till dagtåg från ett annat transportsätt (nattåg, flyg, buss eller bil). Även nygenererad trafik värderas på detta sätt. Det bör påp</w:t>
      </w:r>
      <w:r w:rsidRPr="000A3A07">
        <w:t>e</w:t>
      </w:r>
      <w:r w:rsidRPr="000A3A07">
        <w:t>kas att utredningen är väl medveten om de problem man ställs inför när metoden används för att värdera resor med dagtåg via resor med nattåg. Utredningen gör olika försök att modifiera ansatsen för att erhålla rimliga resultat (så är t ex konsumentöverskottet 535 miljoner kr i baskalkylen men blir efter korrigeringar 273 miljoner kr, vilket Botniaut</w:t>
      </w:r>
      <w:r w:rsidRPr="000A3A07">
        <w:t>redningen avrundar till 300 miljoner kr i den samhällsekonomiska kalkylen). Ansatsen och dess svagheter diskuteras så vitt jag kan se öppet och hederligt. Dessutom diskut</w:t>
      </w:r>
      <w:r w:rsidRPr="000A3A07">
        <w:t>e</w:t>
      </w:r>
      <w:r w:rsidRPr="000A3A07">
        <w:t>ras andra angreppssätt för att beräkna konsumentöverskottet, om än kortfa</w:t>
      </w:r>
      <w:r w:rsidRPr="000A3A07">
        <w:t>t</w:t>
      </w:r>
      <w:r w:rsidRPr="000A3A07">
        <w:t xml:space="preserve">tat; se avsnitt 4.5. </w:t>
      </w:r>
    </w:p>
    <w:p w14:paraId="67B79D1B" w14:textId="77777777" w:rsidR="007C11E9" w:rsidRPr="000A3A07" w:rsidRDefault="007C11E9">
      <w:pPr>
        <w:pStyle w:val="Normaltindrag"/>
      </w:pPr>
      <w:r w:rsidRPr="000A3A07">
        <w:t>Utifrån Botniautredningens material har jag beräknat konsumentöversko</w:t>
      </w:r>
      <w:r w:rsidRPr="000A3A07">
        <w:t>t</w:t>
      </w:r>
      <w:r w:rsidRPr="000A3A07">
        <w:t>tet (eller snarare konsumentöverskottsvinsten) för några grupper av resen</w:t>
      </w:r>
      <w:r w:rsidRPr="000A3A07">
        <w:t>ä</w:t>
      </w:r>
      <w:r w:rsidRPr="000A3A07">
        <w:t xml:space="preserve">rer. Materialet redovisas i tabell 3. </w:t>
      </w:r>
    </w:p>
    <w:p w14:paraId="0A1313E4" w14:textId="77777777" w:rsidR="007C11E9" w:rsidRPr="000A3A07" w:rsidRDefault="007C11E9">
      <w:pPr>
        <w:rPr>
          <w:b/>
          <w:sz w:val="22"/>
        </w:rPr>
      </w:pPr>
      <w:r w:rsidRPr="000A3A07">
        <w:rPr>
          <w:b/>
          <w:sz w:val="22"/>
        </w:rPr>
        <w:t>Tabell 3. Konsumentöverskott enligt SIKA Rapport 1996:1, Tabell 4.4, sidan 29, justerade (uppräknade med en faktor 1.1) så att summan blir 300 miljoner  som i SOU 1996:95.</w:t>
      </w:r>
    </w:p>
    <w:tbl>
      <w:tblPr>
        <w:tblW w:w="0" w:type="auto"/>
        <w:tblInd w:w="-113" w:type="dxa"/>
        <w:tblBorders>
          <w:top w:val="single" w:sz="12" w:space="0" w:color="000000"/>
          <w:left w:val="nil"/>
          <w:bottom w:val="single" w:sz="12" w:space="0" w:color="000000"/>
          <w:right w:val="nil"/>
          <w:insideH w:val="nil"/>
          <w:insideV w:val="nil"/>
        </w:tblBorders>
        <w:tblLayout w:type="fixed"/>
        <w:tblLook w:val="00AF" w:firstRow="1" w:lastRow="0" w:firstColumn="1" w:lastColumn="0" w:noHBand="0" w:noVBand="0"/>
      </w:tblPr>
      <w:tblGrid>
        <w:gridCol w:w="2130"/>
        <w:gridCol w:w="2130"/>
        <w:gridCol w:w="1802"/>
      </w:tblGrid>
      <w:tr w:rsidR="00000000" w:rsidRPr="000A3A07" w14:paraId="411A4339" w14:textId="77777777">
        <w:tblPrEx>
          <w:tblCellMar>
            <w:top w:w="0" w:type="dxa"/>
            <w:bottom w:w="0" w:type="dxa"/>
          </w:tblCellMar>
        </w:tblPrEx>
        <w:tc>
          <w:tcPr>
            <w:tcW w:w="2130" w:type="dxa"/>
            <w:tcBorders>
              <w:left w:val="single" w:sz="4" w:space="0" w:color="auto"/>
              <w:bottom w:val="single" w:sz="6" w:space="0" w:color="000000"/>
              <w:right w:val="single" w:sz="6" w:space="0" w:color="000000"/>
            </w:tcBorders>
          </w:tcPr>
          <w:p w14:paraId="18EEC7B4" w14:textId="77777777" w:rsidR="007C11E9" w:rsidRPr="000A3A07" w:rsidRDefault="007C11E9">
            <w:pPr>
              <w:spacing w:before="0"/>
              <w:jc w:val="left"/>
              <w:rPr>
                <w:i/>
              </w:rPr>
            </w:pPr>
            <w:r w:rsidRPr="000A3A07">
              <w:rPr>
                <w:i/>
              </w:rPr>
              <w:t>Kategori</w:t>
            </w:r>
          </w:p>
        </w:tc>
        <w:tc>
          <w:tcPr>
            <w:tcW w:w="2130" w:type="dxa"/>
            <w:tcBorders>
              <w:left w:val="nil"/>
              <w:bottom w:val="single" w:sz="6" w:space="0" w:color="000000"/>
              <w:right w:val="single" w:sz="4" w:space="0" w:color="auto"/>
            </w:tcBorders>
          </w:tcPr>
          <w:p w14:paraId="1B700EDF" w14:textId="77777777" w:rsidR="007C11E9" w:rsidRPr="000A3A07" w:rsidRDefault="007C11E9">
            <w:pPr>
              <w:spacing w:before="0"/>
              <w:jc w:val="left"/>
              <w:rPr>
                <w:i/>
              </w:rPr>
            </w:pPr>
            <w:r w:rsidRPr="000A3A07">
              <w:rPr>
                <w:i/>
              </w:rPr>
              <w:t>Konsumentöverskott</w:t>
            </w:r>
          </w:p>
          <w:p w14:paraId="34F7499E" w14:textId="77777777" w:rsidR="007C11E9" w:rsidRPr="000A3A07" w:rsidRDefault="007C11E9">
            <w:pPr>
              <w:spacing w:before="0"/>
              <w:jc w:val="left"/>
              <w:rPr>
                <w:i/>
              </w:rPr>
            </w:pPr>
            <w:r w:rsidRPr="000A3A07">
              <w:rPr>
                <w:i/>
              </w:rPr>
              <w:t>Miljoner kr</w:t>
            </w:r>
          </w:p>
        </w:tc>
        <w:tc>
          <w:tcPr>
            <w:tcW w:w="1802" w:type="dxa"/>
            <w:tcBorders>
              <w:left w:val="nil"/>
              <w:bottom w:val="single" w:sz="6" w:space="0" w:color="000000"/>
              <w:right w:val="single" w:sz="4" w:space="0" w:color="auto"/>
            </w:tcBorders>
          </w:tcPr>
          <w:p w14:paraId="0DD00C9E" w14:textId="77777777" w:rsidR="007C11E9" w:rsidRPr="000A3A07" w:rsidRDefault="007C11E9">
            <w:pPr>
              <w:spacing w:before="0"/>
              <w:jc w:val="left"/>
              <w:rPr>
                <w:i/>
              </w:rPr>
            </w:pPr>
            <w:r w:rsidRPr="000A3A07">
              <w:rPr>
                <w:i/>
              </w:rPr>
              <w:t>Antal enkelresor</w:t>
            </w:r>
          </w:p>
          <w:p w14:paraId="0180B131" w14:textId="77777777" w:rsidR="007C11E9" w:rsidRPr="000A3A07" w:rsidRDefault="007C11E9">
            <w:pPr>
              <w:spacing w:before="0"/>
              <w:jc w:val="left"/>
              <w:rPr>
                <w:i/>
              </w:rPr>
            </w:pPr>
            <w:r w:rsidRPr="000A3A07">
              <w:rPr>
                <w:i/>
              </w:rPr>
              <w:t>Miljoner</w:t>
            </w:r>
          </w:p>
        </w:tc>
      </w:tr>
      <w:tr w:rsidR="00000000" w:rsidRPr="000A3A07" w14:paraId="5643D43F" w14:textId="77777777">
        <w:tblPrEx>
          <w:tblCellMar>
            <w:top w:w="0" w:type="dxa"/>
            <w:bottom w:w="0" w:type="dxa"/>
          </w:tblCellMar>
        </w:tblPrEx>
        <w:tc>
          <w:tcPr>
            <w:tcW w:w="2130" w:type="dxa"/>
            <w:tcBorders>
              <w:top w:val="nil"/>
              <w:left w:val="single" w:sz="4" w:space="0" w:color="auto"/>
              <w:right w:val="single" w:sz="6" w:space="0" w:color="000000"/>
            </w:tcBorders>
          </w:tcPr>
          <w:p w14:paraId="2791B1CF" w14:textId="77777777" w:rsidR="007C11E9" w:rsidRPr="000A3A07" w:rsidRDefault="007C11E9">
            <w:pPr>
              <w:spacing w:before="0"/>
              <w:jc w:val="left"/>
            </w:pPr>
            <w:r w:rsidRPr="000A3A07">
              <w:t>Resor med nattåg + resor överflyttade till Botni</w:t>
            </w:r>
            <w:r w:rsidRPr="000A3A07">
              <w:t>a</w:t>
            </w:r>
            <w:r w:rsidRPr="000A3A07">
              <w:t>banan</w:t>
            </w:r>
          </w:p>
        </w:tc>
        <w:tc>
          <w:tcPr>
            <w:tcW w:w="2130" w:type="dxa"/>
            <w:tcBorders>
              <w:top w:val="nil"/>
              <w:left w:val="nil"/>
              <w:right w:val="single" w:sz="4" w:space="0" w:color="auto"/>
            </w:tcBorders>
          </w:tcPr>
          <w:p w14:paraId="1B5F17CF" w14:textId="77777777" w:rsidR="007C11E9" w:rsidRPr="000A3A07" w:rsidRDefault="007C11E9">
            <w:pPr>
              <w:spacing w:before="0"/>
            </w:pPr>
            <w:r w:rsidRPr="000A3A07">
              <w:t>154        (58)</w:t>
            </w:r>
          </w:p>
        </w:tc>
        <w:tc>
          <w:tcPr>
            <w:tcW w:w="1802" w:type="dxa"/>
            <w:tcBorders>
              <w:top w:val="nil"/>
              <w:left w:val="nil"/>
              <w:right w:val="single" w:sz="4" w:space="0" w:color="auto"/>
            </w:tcBorders>
          </w:tcPr>
          <w:p w14:paraId="2A213039" w14:textId="77777777" w:rsidR="007C11E9" w:rsidRPr="000A3A07" w:rsidRDefault="007C11E9">
            <w:pPr>
              <w:spacing w:before="0"/>
            </w:pPr>
            <w:r w:rsidRPr="000A3A07">
              <w:t>0.56</w:t>
            </w:r>
          </w:p>
        </w:tc>
      </w:tr>
      <w:tr w:rsidR="00000000" w:rsidRPr="000A3A07" w14:paraId="3535E286" w14:textId="77777777">
        <w:tblPrEx>
          <w:tblCellMar>
            <w:top w:w="0" w:type="dxa"/>
            <w:bottom w:w="0" w:type="dxa"/>
          </w:tblCellMar>
        </w:tblPrEx>
        <w:tc>
          <w:tcPr>
            <w:tcW w:w="2130" w:type="dxa"/>
            <w:tcBorders>
              <w:left w:val="single" w:sz="4" w:space="0" w:color="auto"/>
              <w:right w:val="single" w:sz="6" w:space="0" w:color="000000"/>
            </w:tcBorders>
          </w:tcPr>
          <w:p w14:paraId="0332510D" w14:textId="77777777" w:rsidR="007C11E9" w:rsidRPr="000A3A07" w:rsidRDefault="007C11E9">
            <w:pPr>
              <w:spacing w:before="0"/>
              <w:jc w:val="left"/>
            </w:pPr>
            <w:r w:rsidRPr="000A3A07">
              <w:t>Nygenererade interreg</w:t>
            </w:r>
            <w:r w:rsidRPr="000A3A07">
              <w:t>i</w:t>
            </w:r>
            <w:r w:rsidRPr="000A3A07">
              <w:t>onala Botniaresor</w:t>
            </w:r>
          </w:p>
        </w:tc>
        <w:tc>
          <w:tcPr>
            <w:tcW w:w="2130" w:type="dxa"/>
            <w:tcBorders>
              <w:left w:val="nil"/>
              <w:right w:val="single" w:sz="4" w:space="0" w:color="auto"/>
            </w:tcBorders>
          </w:tcPr>
          <w:p w14:paraId="3C5C233C" w14:textId="77777777" w:rsidR="007C11E9" w:rsidRPr="000A3A07" w:rsidRDefault="007C11E9">
            <w:pPr>
              <w:spacing w:before="0"/>
            </w:pPr>
            <w:r w:rsidRPr="000A3A07">
              <w:t>125        (39)</w:t>
            </w:r>
          </w:p>
        </w:tc>
        <w:tc>
          <w:tcPr>
            <w:tcW w:w="1802" w:type="dxa"/>
            <w:tcBorders>
              <w:left w:val="nil"/>
              <w:right w:val="single" w:sz="4" w:space="0" w:color="auto"/>
            </w:tcBorders>
          </w:tcPr>
          <w:p w14:paraId="35C08187" w14:textId="77777777" w:rsidR="007C11E9" w:rsidRPr="000A3A07" w:rsidRDefault="007C11E9">
            <w:pPr>
              <w:spacing w:before="0"/>
            </w:pPr>
            <w:r w:rsidRPr="000A3A07">
              <w:t>0.64</w:t>
            </w:r>
          </w:p>
        </w:tc>
      </w:tr>
      <w:tr w:rsidR="00000000" w:rsidRPr="000A3A07" w14:paraId="54243F90" w14:textId="77777777">
        <w:tblPrEx>
          <w:tblCellMar>
            <w:top w:w="0" w:type="dxa"/>
            <w:bottom w:w="0" w:type="dxa"/>
          </w:tblCellMar>
        </w:tblPrEx>
        <w:tc>
          <w:tcPr>
            <w:tcW w:w="2130" w:type="dxa"/>
            <w:tcBorders>
              <w:left w:val="single" w:sz="4" w:space="0" w:color="auto"/>
              <w:right w:val="single" w:sz="6" w:space="0" w:color="000000"/>
            </w:tcBorders>
          </w:tcPr>
          <w:p w14:paraId="6F3FF748" w14:textId="77777777" w:rsidR="007C11E9" w:rsidRPr="000A3A07" w:rsidRDefault="007C11E9">
            <w:pPr>
              <w:spacing w:before="0"/>
              <w:jc w:val="left"/>
            </w:pPr>
            <w:r w:rsidRPr="000A3A07">
              <w:t>Regionala Botniar</w:t>
            </w:r>
            <w:r w:rsidRPr="000A3A07">
              <w:t>e</w:t>
            </w:r>
            <w:r w:rsidRPr="000A3A07">
              <w:t>sor</w:t>
            </w:r>
          </w:p>
        </w:tc>
        <w:tc>
          <w:tcPr>
            <w:tcW w:w="2130" w:type="dxa"/>
            <w:tcBorders>
              <w:left w:val="nil"/>
              <w:right w:val="single" w:sz="4" w:space="0" w:color="auto"/>
            </w:tcBorders>
          </w:tcPr>
          <w:p w14:paraId="03FE85BD" w14:textId="77777777" w:rsidR="007C11E9" w:rsidRPr="000A3A07" w:rsidRDefault="007C11E9">
            <w:pPr>
              <w:spacing w:before="0"/>
            </w:pPr>
            <w:r w:rsidRPr="000A3A07">
              <w:t xml:space="preserve">  21         (4)</w:t>
            </w:r>
          </w:p>
        </w:tc>
        <w:tc>
          <w:tcPr>
            <w:tcW w:w="1802" w:type="dxa"/>
            <w:tcBorders>
              <w:left w:val="nil"/>
              <w:right w:val="single" w:sz="4" w:space="0" w:color="auto"/>
            </w:tcBorders>
          </w:tcPr>
          <w:p w14:paraId="565D4B72" w14:textId="77777777" w:rsidR="007C11E9" w:rsidRPr="000A3A07" w:rsidRDefault="007C11E9">
            <w:pPr>
              <w:spacing w:before="0"/>
            </w:pPr>
          </w:p>
        </w:tc>
      </w:tr>
      <w:tr w:rsidR="00000000" w:rsidRPr="000A3A07" w14:paraId="5C3C8F00" w14:textId="77777777">
        <w:tblPrEx>
          <w:tblCellMar>
            <w:top w:w="0" w:type="dxa"/>
            <w:bottom w:w="0" w:type="dxa"/>
          </w:tblCellMar>
        </w:tblPrEx>
        <w:tc>
          <w:tcPr>
            <w:tcW w:w="2130" w:type="dxa"/>
            <w:tcBorders>
              <w:left w:val="single" w:sz="4" w:space="0" w:color="auto"/>
              <w:right w:val="single" w:sz="6" w:space="0" w:color="000000"/>
            </w:tcBorders>
          </w:tcPr>
          <w:p w14:paraId="0DA7476A" w14:textId="77777777" w:rsidR="007C11E9" w:rsidRPr="000A3A07" w:rsidRDefault="007C11E9">
            <w:pPr>
              <w:spacing w:before="0"/>
              <w:jc w:val="left"/>
            </w:pPr>
            <w:r w:rsidRPr="000A3A07">
              <w:t>Summa</w:t>
            </w:r>
          </w:p>
        </w:tc>
        <w:tc>
          <w:tcPr>
            <w:tcW w:w="2130" w:type="dxa"/>
            <w:tcBorders>
              <w:left w:val="nil"/>
              <w:right w:val="single" w:sz="4" w:space="0" w:color="auto"/>
            </w:tcBorders>
          </w:tcPr>
          <w:p w14:paraId="656B67A6" w14:textId="77777777" w:rsidR="007C11E9" w:rsidRPr="000A3A07" w:rsidRDefault="007C11E9">
            <w:pPr>
              <w:spacing w:before="0"/>
            </w:pPr>
            <w:r w:rsidRPr="000A3A07">
              <w:t>300      (101)</w:t>
            </w:r>
          </w:p>
        </w:tc>
        <w:tc>
          <w:tcPr>
            <w:tcW w:w="1802" w:type="dxa"/>
            <w:tcBorders>
              <w:left w:val="nil"/>
              <w:right w:val="single" w:sz="4" w:space="0" w:color="auto"/>
            </w:tcBorders>
          </w:tcPr>
          <w:p w14:paraId="647449B5" w14:textId="77777777" w:rsidR="007C11E9" w:rsidRPr="000A3A07" w:rsidRDefault="007C11E9">
            <w:pPr>
              <w:spacing w:before="0"/>
            </w:pPr>
            <w:r w:rsidRPr="000A3A07">
              <w:t>1.2</w:t>
            </w:r>
          </w:p>
        </w:tc>
      </w:tr>
    </w:tbl>
    <w:p w14:paraId="1A46E292" w14:textId="77777777" w:rsidR="007C11E9" w:rsidRPr="000A3A07" w:rsidRDefault="007C11E9">
      <w:pPr>
        <w:pStyle w:val="Tabell"/>
      </w:pPr>
      <w:r w:rsidRPr="000A3A07">
        <w:t xml:space="preserve">Anm.: Inom parentes anges konsumentöverskott för tjänsteresenärer. </w:t>
      </w:r>
    </w:p>
    <w:p w14:paraId="2C6EC046" w14:textId="77777777" w:rsidR="007C11E9" w:rsidRPr="000A3A07" w:rsidRDefault="007C11E9">
      <w:r w:rsidRPr="000A3A07">
        <w:t>Det vore önskvärt att översätta dessa värden till genomsnitt per resenär. Problemet är följande. Botniautredningens siffror avser nuvärden (diskont</w:t>
      </w:r>
      <w:r w:rsidRPr="000A3A07">
        <w:t>e</w:t>
      </w:r>
      <w:r w:rsidRPr="000A3A07">
        <w:t>rade till år 1997) och är baserade på bland annat prognoser för den ekon</w:t>
      </w:r>
      <w:r w:rsidRPr="000A3A07">
        <w:t>o</w:t>
      </w:r>
      <w:r w:rsidRPr="000A3A07">
        <w:t>miska utvecklingen till år 2010 och därefter. Därför får såväl konsume</w:t>
      </w:r>
      <w:r w:rsidRPr="000A3A07">
        <w:t>n</w:t>
      </w:r>
      <w:r w:rsidRPr="000A3A07">
        <w:t>töverskotten i tabell 3 som förändringen av biljettintäkter i tabell 2 uppfattas som annuiteter. Det är dock inte möjligt att utifrån utredningen (och de kompletterande uppgifter som SIKA (genom Widlert (2000) lämnat) beräkna ett ingångsvärde för antaget biljettpris eller genomsnittligt konsumentöve</w:t>
      </w:r>
      <w:r w:rsidRPr="000A3A07">
        <w:t>r</w:t>
      </w:r>
      <w:r w:rsidRPr="000A3A07">
        <w:t>skott. Det bör påpekas att det är ovanligt att en samhällsekonomis</w:t>
      </w:r>
      <w:r w:rsidRPr="000A3A07">
        <w:t>k bedö</w:t>
      </w:r>
      <w:r w:rsidRPr="000A3A07">
        <w:t>m</w:t>
      </w:r>
      <w:r w:rsidRPr="000A3A07">
        <w:t>ning redovisas på ett sådant sätt att det inte, ens efter det att kompletterande uppgifter har inhämtats, går att repl</w:t>
      </w:r>
      <w:r w:rsidRPr="000A3A07">
        <w:t>i</w:t>
      </w:r>
      <w:r w:rsidRPr="000A3A07">
        <w:t>kera resultaten.</w:t>
      </w:r>
    </w:p>
    <w:p w14:paraId="2FD310FA" w14:textId="77777777" w:rsidR="007C11E9" w:rsidRPr="000A3A07" w:rsidRDefault="007C11E9">
      <w:pPr>
        <w:pStyle w:val="Normaltindrag"/>
      </w:pPr>
      <w:r w:rsidRPr="000A3A07">
        <w:t>En enkel men självfallet inte invändningsfri nuvärdesberäkning ger ett g</w:t>
      </w:r>
      <w:r w:rsidRPr="000A3A07">
        <w:t>e</w:t>
      </w:r>
      <w:r w:rsidRPr="000A3A07">
        <w:t>nomsnittligt biljettpris (t/r) på ca 800 kr</w:t>
      </w:r>
      <w:r w:rsidRPr="000A3A07">
        <w:rPr>
          <w:rStyle w:val="Slutnotsreferens"/>
        </w:rPr>
        <w:endnoteReference w:id="6"/>
      </w:r>
      <w:r w:rsidRPr="000A3A07">
        <w:t xml:space="preserve"> i 1997 års prisnivå. Med samma beräkningsteknik blir konsumentöverskottet för den som tar nattåg eller byter från nattåg till dagtåg i genomsnitt 475 kr, dvs ca 60 procent av biljettpriset. (Även den som tar nattåg får kortare restid p.g.a. Botniabanan.) Det geno</w:t>
      </w:r>
      <w:r w:rsidRPr="000A3A07">
        <w:t>m</w:t>
      </w:r>
      <w:r w:rsidRPr="000A3A07">
        <w:t xml:space="preserve">snittliga konsumentöverskottet är lägre eller ca 335 kr för övriga långväga resenärer med dagtåg, dvs ca 42 procent av biljettpriset. </w:t>
      </w:r>
    </w:p>
    <w:p w14:paraId="4F3F0E9A" w14:textId="77777777" w:rsidR="007C11E9" w:rsidRPr="000A3A07" w:rsidRDefault="007C11E9">
      <w:pPr>
        <w:pStyle w:val="Normaltindrag"/>
      </w:pPr>
      <w:r w:rsidRPr="000A3A07">
        <w:t>För den långväga genomsnittsresan t/r på Botniabanan beräknar jag ko</w:t>
      </w:r>
      <w:r w:rsidRPr="000A3A07">
        <w:t>n</w:t>
      </w:r>
      <w:r w:rsidRPr="000A3A07">
        <w:t>sumentöverskottet till 375 kr. Totalt beräknas således genomsnittsresenären enligt den valda ansatsen vara villig att betala närmare 1200 kr för sin resa. Den genomsnittliga reslängden för en enkelresa längre än 10 mil på Botni</w:t>
      </w:r>
      <w:r w:rsidRPr="000A3A07">
        <w:t>a</w:t>
      </w:r>
      <w:r w:rsidRPr="000A3A07">
        <w:t>banan beräknas av utredningen till 60 mil, vilket ungefär motsvarar sträckan Stockholm–Umeå. Som jämförelse kan nämnas att lägsta pris för en flygresa Stockholm–Umeå våren år 2000 är 900-1200 kr och för sträckan Stockholm–Luleå 1050-1350 kr</w:t>
      </w:r>
      <w:r w:rsidRPr="000A3A07">
        <w:rPr>
          <w:rStyle w:val="Slutnotsreferens"/>
        </w:rPr>
        <w:endnoteReference w:id="7"/>
      </w:r>
      <w:r w:rsidRPr="000A3A07">
        <w:t>. Till detta kommer kostnaden för anslutningsresor till/från flygplats.</w:t>
      </w:r>
    </w:p>
    <w:p w14:paraId="4120043C" w14:textId="77777777" w:rsidR="007C11E9" w:rsidRPr="000A3A07" w:rsidRDefault="007C11E9">
      <w:pPr>
        <w:pStyle w:val="Normaltindrag"/>
      </w:pPr>
      <w:r w:rsidRPr="000A3A07">
        <w:t>På grund av de tolkningsproblem som föreligger när det gäller Botniau</w:t>
      </w:r>
      <w:r w:rsidRPr="000A3A07">
        <w:t>t</w:t>
      </w:r>
      <w:r w:rsidRPr="000A3A07">
        <w:t>redningens kalkyl har jag valt att relatera min diskussion till kostnaden för en resa motsvarande Stoc</w:t>
      </w:r>
      <w:r w:rsidRPr="000A3A07">
        <w:t>k</w:t>
      </w:r>
      <w:r w:rsidRPr="000A3A07">
        <w:t xml:space="preserve">holm–Umeå t/r i dagsläget, dvs våren 2000. </w:t>
      </w:r>
    </w:p>
    <w:p w14:paraId="044F46EB" w14:textId="77777777" w:rsidR="007C11E9" w:rsidRPr="000A3A07" w:rsidRDefault="007C11E9">
      <w:pPr>
        <w:pStyle w:val="Normaltindrag"/>
      </w:pPr>
      <w:r w:rsidRPr="000A3A07">
        <w:t>Priset för en t/r sittplats på nattåget Stockholm–Umeå är för närvarande 800 kr</w:t>
      </w:r>
      <w:r w:rsidRPr="000A3A07">
        <w:rPr>
          <w:rStyle w:val="Slutnotsreferens"/>
        </w:rPr>
        <w:endnoteReference w:id="8"/>
      </w:r>
      <w:r w:rsidRPr="000A3A07">
        <w:t>, medan snabbtåg Stockholm–Sundsvall plus buss Sundsvall–Umeå kostar från ca 855 kr</w:t>
      </w:r>
      <w:r w:rsidRPr="000A3A07">
        <w:rPr>
          <w:rStyle w:val="Slutnotsreferens"/>
        </w:rPr>
        <w:endnoteReference w:id="9"/>
      </w:r>
      <w:r w:rsidRPr="000A3A07">
        <w:t>. Lägsta pris för vuxen resenär med snabbtåget Stoc</w:t>
      </w:r>
      <w:r w:rsidRPr="000A3A07">
        <w:t>k</w:t>
      </w:r>
      <w:r w:rsidRPr="000A3A07">
        <w:t>holm–Malmö är 670 kr</w:t>
      </w:r>
      <w:r w:rsidRPr="000A3A07">
        <w:rPr>
          <w:rStyle w:val="Slutnotsreferens"/>
        </w:rPr>
        <w:endnoteReference w:id="10"/>
      </w:r>
      <w:r w:rsidRPr="000A3A07">
        <w:t xml:space="preserve"> (plus rimlig andel av kostnaden för Reslustkort). Resan tar 4–4½ timmar enkel väg mot beräknade 5½ timme för resan Stoc</w:t>
      </w:r>
      <w:r w:rsidRPr="000A3A07">
        <w:t>k</w:t>
      </w:r>
      <w:r w:rsidRPr="000A3A07">
        <w:t>holm–Umeå. Därför är det kanske inte orimligt att i ett räkneexempel räkna med att lägsta pris för sträckan Stockholm–Umeå kan komma att ligga å</w:t>
      </w:r>
      <w:r w:rsidRPr="000A3A07">
        <w:t>t</w:t>
      </w:r>
      <w:r w:rsidRPr="000A3A07">
        <w:t>minstone 75–100 kr över lägsta pris på sträckan Stockholm–Malmö, dvs vara i storleksordningen minst 750–800 kr i dagens prisnivå. Jag har valt att för enkelhets räkna med att priset är 750 kr, dvs något lägre än lägsta pris för sittplats på nattå</w:t>
      </w:r>
      <w:r w:rsidRPr="000A3A07">
        <w:t>g</w:t>
      </w:r>
      <w:r w:rsidRPr="000A3A07">
        <w:rPr>
          <w:rStyle w:val="Slutnotsreferens"/>
        </w:rPr>
        <w:endnoteReference w:id="11"/>
      </w:r>
      <w:r w:rsidRPr="000A3A07">
        <w:t>. (I praktiken kommer utbuds- och efterfrågeförhållanden att styra prissättningen. Allt för attraktiva tågpriser leder sannolikt dessutom till att konkurrerande transportslag anpassar sina priser, vilket påverkar res</w:t>
      </w:r>
      <w:r w:rsidRPr="000A3A07">
        <w:t>e</w:t>
      </w:r>
      <w:r w:rsidRPr="000A3A07">
        <w:t>närernas konsumentöverskott. För en fascinerande illustration, avseende sträckan Stoc</w:t>
      </w:r>
      <w:r w:rsidRPr="000A3A07">
        <w:t>k</w:t>
      </w:r>
      <w:r w:rsidRPr="000A3A07">
        <w:t>holm–Göteborg, hänvisas läsaren till Engström m fl (1997).)</w:t>
      </w:r>
    </w:p>
    <w:p w14:paraId="70606608" w14:textId="77777777" w:rsidR="007C11E9" w:rsidRPr="000A3A07" w:rsidRDefault="007C11E9">
      <w:pPr>
        <w:pStyle w:val="Normaltindrag"/>
      </w:pPr>
      <w:r w:rsidRPr="000A3A07">
        <w:t>Tjänsteresenärer står enligt Botniautredningen för omkring 1/3 av såväl konsumentöverskottet som av biljettintäkterna. Grovt sett tycks således fö</w:t>
      </w:r>
      <w:r w:rsidRPr="000A3A07">
        <w:t>r</w:t>
      </w:r>
      <w:r w:rsidRPr="000A3A07">
        <w:t>hållandet mellan konsumentöverskott och biljettpris vara detsamma för pr</w:t>
      </w:r>
      <w:r w:rsidRPr="000A3A07">
        <w:t>i</w:t>
      </w:r>
      <w:r w:rsidRPr="000A3A07">
        <w:t>vat- och tjänsteresenärer</w:t>
      </w:r>
      <w:r w:rsidRPr="000A3A07">
        <w:rPr>
          <w:rStyle w:val="Slutnotsreferens"/>
        </w:rPr>
        <w:endnoteReference w:id="12"/>
      </w:r>
      <w:r w:rsidRPr="000A3A07">
        <w:t xml:space="preserve">. Uppgifterna är dock för knapphändiga för att det skall vara möjligt att fastställa de exakta antaganden utredningen gör på denna punkt.  </w:t>
      </w:r>
    </w:p>
    <w:p w14:paraId="3D3737BE" w14:textId="77777777" w:rsidR="007C11E9" w:rsidRPr="000A3A07" w:rsidRDefault="007C11E9">
      <w:pPr>
        <w:pStyle w:val="Rubrik1"/>
        <w:ind w:left="357" w:hanging="357"/>
      </w:pPr>
      <w:r w:rsidRPr="000A3A07">
        <w:br w:type="page"/>
      </w:r>
      <w:bookmarkStart w:id="229" w:name="_Toc495906664"/>
      <w:bookmarkStart w:id="230" w:name="_Toc496510259"/>
      <w:bookmarkStart w:id="231" w:name="_Toc506340994"/>
      <w:r w:rsidRPr="000A3A07">
        <w:t>En granskning av konsumentöverskottsberäkningen</w:t>
      </w:r>
      <w:bookmarkEnd w:id="229"/>
      <w:bookmarkEnd w:id="230"/>
      <w:bookmarkEnd w:id="231"/>
    </w:p>
    <w:p w14:paraId="0A62512A" w14:textId="77777777" w:rsidR="007C11E9" w:rsidRPr="000A3A07" w:rsidRDefault="007C11E9">
      <w:r w:rsidRPr="000A3A07">
        <w:t xml:space="preserve">I detta avsnitt granskas rimligheten i den konsumentöverskottsberäkning som redovisats i avsnitt 3. </w:t>
      </w:r>
    </w:p>
    <w:p w14:paraId="78D06343" w14:textId="77777777" w:rsidR="007C11E9" w:rsidRPr="000A3A07" w:rsidRDefault="007C11E9">
      <w:pPr>
        <w:pStyle w:val="Rubrik2"/>
      </w:pPr>
      <w:bookmarkStart w:id="232" w:name="_Toc495906665"/>
      <w:bookmarkStart w:id="233" w:name="_Toc496510260"/>
      <w:bookmarkStart w:id="234" w:name="_Toc506340995"/>
      <w:r w:rsidRPr="000A3A07">
        <w:t>Resenärer med nattåg</w:t>
      </w:r>
      <w:bookmarkEnd w:id="232"/>
      <w:bookmarkEnd w:id="233"/>
      <w:bookmarkEnd w:id="234"/>
    </w:p>
    <w:p w14:paraId="6D7D0B95" w14:textId="77777777" w:rsidR="007C11E9" w:rsidRPr="000A3A07" w:rsidRDefault="007C11E9">
      <w:r w:rsidRPr="000A3A07">
        <w:t>För resande med nattåg innebär Botniabanan tidsbesparingar. En enkelresa kan, så vitt jag kan utläsa av utredningen, förkortas med maximalt 5 timmar (dvs för genomsnittsresenären med betydligt mindre än 5 timmar). Det inn</w:t>
      </w:r>
      <w:r w:rsidRPr="000A3A07">
        <w:t>e</w:t>
      </w:r>
      <w:r w:rsidRPr="000A3A07">
        <w:t>bär ingen uppenbar fördel om nattvilan förkortas. Likaså är värdet av en senarelagd avgångstid från t ex kl 20 till kl 23 inte självklart av något större värde. Snarare indikerar en studie som redovisas i SIKA Rapport 1996:1, sidan 29, att resenärer inte är villiga att betala för en sådan senareläggning.</w:t>
      </w:r>
    </w:p>
    <w:p w14:paraId="713231E9" w14:textId="77777777" w:rsidR="007C11E9" w:rsidRPr="000A3A07" w:rsidRDefault="007C11E9">
      <w:pPr>
        <w:pStyle w:val="Normaltindrag"/>
      </w:pPr>
      <w:r w:rsidRPr="000A3A07">
        <w:t>Däremot kan det värderas positivt om en avgång senareläggs från kl 17 till kl 20 eller en ankomst tidigareläggs från kl 11 till kl 8. Vinner den geno</w:t>
      </w:r>
      <w:r w:rsidRPr="000A3A07">
        <w:t>m</w:t>
      </w:r>
      <w:r w:rsidRPr="000A3A07">
        <w:t>snittlige privatresenären en sådan ”produktiv” timme per enkelresa</w:t>
      </w:r>
      <w:r w:rsidRPr="000A3A07">
        <w:rPr>
          <w:rStyle w:val="Slutnotsreferens"/>
          <w:sz w:val="24"/>
        </w:rPr>
        <w:endnoteReference w:id="13"/>
      </w:r>
      <w:r w:rsidRPr="000A3A07">
        <w:t xml:space="preserve"> tillförs kalkylen ett konsumentöverskott på ca 140 kr per resa eller närmare 20 pr</w:t>
      </w:r>
      <w:r w:rsidRPr="000A3A07">
        <w:t>o</w:t>
      </w:r>
      <w:r w:rsidRPr="000A3A07">
        <w:t>cent av den av mig antagna lägsta kostnaden för en resa med dagtåg (750 kr).  Är den ”produktiva” tidsvinsten i genomsnitt två timmar blir konsume</w:t>
      </w:r>
      <w:r w:rsidRPr="000A3A07">
        <w:t>n</w:t>
      </w:r>
      <w:r w:rsidRPr="000A3A07">
        <w:t>töverskottet 280 kr per resa (ca 35 procent). Dessa värden är baserade på Botniautredningens antagande att privatresenären värderar en timmes restid</w:t>
      </w:r>
      <w:r w:rsidRPr="000A3A07">
        <w:t>s</w:t>
      </w:r>
      <w:r w:rsidRPr="000A3A07">
        <w:t>förkortning till 70 kr. För tjänsteresenärer blir det absoluta överskottet större genom att deras tid av utredningen värderas till 1</w:t>
      </w:r>
      <w:r w:rsidRPr="000A3A07">
        <w:t xml:space="preserve">40 kr per timme. Å andra sidan är deras biljettkostnad vanligen också högre (vilket har betydelse om vi ska relatera överskottet till en genomsnittlig biljettkostnad). </w:t>
      </w:r>
    </w:p>
    <w:p w14:paraId="2DB1AF4E" w14:textId="77777777" w:rsidR="007C11E9" w:rsidRPr="000A3A07" w:rsidRDefault="007C11E9">
      <w:pPr>
        <w:pStyle w:val="Normaltindrag"/>
      </w:pPr>
      <w:r w:rsidRPr="000A3A07">
        <w:t>Botniautredningen särredovisar inte konsumentöverskottet för den grupp som även i fallet med en Botniabana väljer nattåget. Överskottet uppgår dock till 60 procent av biljettkostnaden för gruppen existerande tågresenärer, dvs sådana som tar nattåg eller byter från nattåg till dagtåg. I termer av ett lägsta biljettpris på 750 kr</w:t>
      </w:r>
      <w:r w:rsidRPr="000A3A07">
        <w:rPr>
          <w:rStyle w:val="Slutnotsreferens"/>
          <w:sz w:val="24"/>
        </w:rPr>
        <w:endnoteReference w:id="14"/>
      </w:r>
      <w:r w:rsidRPr="000A3A07">
        <w:t xml:space="preserve"> blir konsumentöverskottet således 450 kr.</w:t>
      </w:r>
    </w:p>
    <w:p w14:paraId="149F2053" w14:textId="77777777" w:rsidR="007C11E9" w:rsidRPr="000A3A07" w:rsidRDefault="007C11E9">
      <w:pPr>
        <w:pStyle w:val="Normaltindrag"/>
      </w:pPr>
      <w:r w:rsidRPr="000A3A07">
        <w:t xml:space="preserve"> Utredningens bedömning av konsumentöverskottets storlek förefaller väl hög. Det ter sig något förvånande att resenärer med en så hög tidsvärdering inte överväger att ta flyget. Utredningen har även valt att bortse från det faktum att kvarvarande resenärer med nattåg får en kvalitetsförsämring i form av minskad valfrihet genom att Botniatrafiken antas medföra att ett nattåg på övre Norrland dras in. (Det är inte heller helt givet att nattågens tider kan läggas utan</w:t>
      </w:r>
      <w:r w:rsidRPr="000A3A07">
        <w:t xml:space="preserve"> hänsyn till godstågen. Under vissa ur transportsynpunkt attraktiva tider under dygnet kan det tydligen uppstå kö- eller flas</w:t>
      </w:r>
      <w:r w:rsidRPr="000A3A07">
        <w:t>k</w:t>
      </w:r>
      <w:r w:rsidRPr="000A3A07">
        <w:t>halsproblem; se t ex SIKA Rapport 1996:1, sidorna 43-44. Alternativt blir det längre transporttider och därmed sämre lönsamhet för god</w:t>
      </w:r>
      <w:r w:rsidRPr="000A3A07">
        <w:t>s</w:t>
      </w:r>
      <w:r w:rsidRPr="000A3A07">
        <w:t xml:space="preserve">transporterna.) </w:t>
      </w:r>
    </w:p>
    <w:p w14:paraId="37A7D397" w14:textId="77777777" w:rsidR="007C11E9" w:rsidRPr="000A3A07" w:rsidRDefault="007C11E9">
      <w:pPr>
        <w:pStyle w:val="Rubrik2"/>
      </w:pPr>
      <w:bookmarkStart w:id="235" w:name="_Toc495906666"/>
      <w:bookmarkStart w:id="236" w:name="_Toc496510261"/>
      <w:bookmarkStart w:id="237" w:name="_Toc506340996"/>
      <w:r w:rsidRPr="000A3A07">
        <w:t>Tidigare resande med nattåg</w:t>
      </w:r>
      <w:bookmarkEnd w:id="235"/>
      <w:bookmarkEnd w:id="236"/>
      <w:bookmarkEnd w:id="237"/>
    </w:p>
    <w:p w14:paraId="3C6D0D9D" w14:textId="77777777" w:rsidR="007C11E9" w:rsidRPr="000A3A07" w:rsidRDefault="007C11E9">
      <w:r w:rsidRPr="000A3A07">
        <w:t>Botniautredningen särredovisar inte konsumentöverskottsvinsten för de 130 000 resenärer t/r som antas byta från nattåg till dagtåg. Som framgår av avsnitt 4.1 är överskottsvinsten omkring 60 procent av biljettpriset för exist</w:t>
      </w:r>
      <w:r w:rsidRPr="000A3A07">
        <w:t>e</w:t>
      </w:r>
      <w:r w:rsidRPr="000A3A07">
        <w:t>rande tågresenärer (dvs 450 kr om resan kostar 750 kr som jag antagit i mitt lågprisexempel).</w:t>
      </w:r>
    </w:p>
    <w:p w14:paraId="3EB01DFF" w14:textId="77777777" w:rsidR="007C11E9" w:rsidRPr="000A3A07" w:rsidRDefault="007C11E9">
      <w:pPr>
        <w:pStyle w:val="Normaltindrag"/>
      </w:pPr>
      <w:r w:rsidRPr="000A3A07">
        <w:t>För resenärer som tar dagtåg i stället för nattåg är det inte meningsfullt att värdera tidsvinsten enligt den metod som används i Botniautredningen. Det är trots allt i huvudsak en fråga om att byta nattid plus eventuell ”produktiv” dagtid mot ”produktiv” dagtid. Det kan förmodas att resenären gör en sa</w:t>
      </w:r>
      <w:r w:rsidRPr="000A3A07">
        <w:t>m</w:t>
      </w:r>
      <w:r w:rsidRPr="000A3A07">
        <w:t xml:space="preserve">manvägd bedömning av reskostnad, bekvämlighet och egen värdering av nattid (hemma respektive på tåget) och dagtid. Sammantaget finner resenären att dagtåg ger högre välfärd/nytta än nattåg. </w:t>
      </w:r>
    </w:p>
    <w:p w14:paraId="057B90F0" w14:textId="77777777" w:rsidR="007C11E9" w:rsidRPr="000A3A07" w:rsidRDefault="007C11E9">
      <w:pPr>
        <w:pStyle w:val="Normaltindrag"/>
      </w:pPr>
      <w:r w:rsidRPr="000A3A07">
        <w:t>Veterligen finns det inga svenska studier av betalningsvilligheten för ett byte från natt- till dagresa. Det förefaller dock osannolikt att genomsnittsr</w:t>
      </w:r>
      <w:r w:rsidRPr="000A3A07">
        <w:t>e</w:t>
      </w:r>
      <w:r w:rsidRPr="000A3A07">
        <w:t>senären skulle vara villig att betala motsvarande 60 procent utöver biljettpr</w:t>
      </w:r>
      <w:r w:rsidRPr="000A3A07">
        <w:t>i</w:t>
      </w:r>
      <w:r w:rsidRPr="000A3A07">
        <w:t>set, dvs totalt ungefär vad en flygbiljett kostar (eller 450 kr utöver ett biljet</w:t>
      </w:r>
      <w:r w:rsidRPr="000A3A07">
        <w:t>t</w:t>
      </w:r>
      <w:r w:rsidRPr="000A3A07">
        <w:t>pris på 750 kr, dvs totalt 1200 kr) för möjligheten att kunna ta ett dagtåg i stället för ett nattåg. Det bör tilläggas att betalningsvilligheten underskattas här genom att vi relaterar konsumentöverskottet till lägsta biljettpris och inte till g</w:t>
      </w:r>
      <w:r w:rsidRPr="000A3A07">
        <w:t>e</w:t>
      </w:r>
      <w:r w:rsidRPr="000A3A07">
        <w:t>nomsnittspriset.</w:t>
      </w:r>
    </w:p>
    <w:p w14:paraId="7073FDBC" w14:textId="77777777" w:rsidR="007C11E9" w:rsidRPr="000A3A07" w:rsidRDefault="007C11E9">
      <w:pPr>
        <w:pStyle w:val="Normaltindrag"/>
      </w:pPr>
      <w:r w:rsidRPr="000A3A07">
        <w:t>Rimligen innebär Botniautredningens i sammanhanget felaktiga kalkylsätt en kraftig över</w:t>
      </w:r>
      <w:r w:rsidRPr="000A3A07">
        <w:t>skattning av konsumentöverskottsvinsten för den genomsnitt</w:t>
      </w:r>
      <w:r w:rsidRPr="000A3A07">
        <w:t>s</w:t>
      </w:r>
      <w:r w:rsidRPr="000A3A07">
        <w:t>resenär som byter från natt- till dagtåg. Inte minst för tjänsteresenärer inn</w:t>
      </w:r>
      <w:r w:rsidRPr="000A3A07">
        <w:t>e</w:t>
      </w:r>
      <w:r w:rsidRPr="000A3A07">
        <w:t>bär dagtåg en förlust av produktiv dagtid. Visserligen kan man tänka sig att en långväga resenär tar kvällståget på Botniabanan i stället för nattåget, men då tillkommer kostnaden för en extra h</w:t>
      </w:r>
      <w:r w:rsidRPr="000A3A07">
        <w:t>o</w:t>
      </w:r>
      <w:r w:rsidRPr="000A3A07">
        <w:t>tellnatt.</w:t>
      </w:r>
    </w:p>
    <w:p w14:paraId="2CD9F821" w14:textId="77777777" w:rsidR="007C11E9" w:rsidRPr="000A3A07" w:rsidRDefault="007C11E9">
      <w:pPr>
        <w:pStyle w:val="Rubrik2"/>
      </w:pPr>
      <w:bookmarkStart w:id="238" w:name="_Toc495906667"/>
      <w:bookmarkStart w:id="239" w:name="_Toc496510262"/>
      <w:bookmarkStart w:id="240" w:name="_Toc506340997"/>
      <w:r w:rsidRPr="000A3A07">
        <w:t>Tidigare flygresenärer</w:t>
      </w:r>
      <w:bookmarkEnd w:id="238"/>
      <w:bookmarkEnd w:id="239"/>
      <w:bookmarkEnd w:id="240"/>
    </w:p>
    <w:p w14:paraId="4110D3F1" w14:textId="77777777" w:rsidR="007C11E9" w:rsidRPr="000A3A07" w:rsidRDefault="007C11E9">
      <w:r w:rsidRPr="000A3A07">
        <w:t>När det gäller resenärer som byter från flyg till dagtåg redovisar utredningen ingen separat konsumentöverskottsberäkning. För resenärer med dagtåg, exklusive sådana som byter från natt- till dagtåg, har jag beräknat det geno</w:t>
      </w:r>
      <w:r w:rsidRPr="000A3A07">
        <w:t>m</w:t>
      </w:r>
      <w:r w:rsidRPr="000A3A07">
        <w:t>snittliga konsumentöverskottet till drygt 40 procent av det genomsnittliga biljettpriset. I termer av mitt exempel, där resan med dagtåg kostar som lägst 750 kr, innebär det ett konsume</w:t>
      </w:r>
      <w:r w:rsidRPr="000A3A07">
        <w:t>n</w:t>
      </w:r>
      <w:r w:rsidRPr="000A3A07">
        <w:t xml:space="preserve">töverskott på minst 300 kr. </w:t>
      </w:r>
    </w:p>
    <w:p w14:paraId="3D9FA91B" w14:textId="77777777" w:rsidR="007C11E9" w:rsidRPr="000A3A07" w:rsidRDefault="007C11E9">
      <w:pPr>
        <w:pStyle w:val="Normaltindrag"/>
      </w:pPr>
      <w:r w:rsidRPr="000A3A07">
        <w:t>Den resenär som väljer dagtåg i stället för flyg gör en tidsförlust. I termer av sträckan Stockholm–Umeå kan resan med flyg beräknas ta 2½ till 3 ti</w:t>
      </w:r>
      <w:r w:rsidRPr="000A3A07">
        <w:t>m</w:t>
      </w:r>
      <w:r w:rsidRPr="000A3A07">
        <w:t>mar inklusive anslutningstransporter, medan den med snabbtåg tar ca 5½ timme. Allting annat lika finner dock resenären att merkostnaden i form av längre restid understiger värdet av en sänkt reskostnad. Det kan förmodas att resenären också vägt in alternativens säkerhet, punktlighet, tillgänglighet och bekvämlighet. Frågan är då vad resenären maximalt är villig att betala för tågresan givet  flygbiljettens pris.</w:t>
      </w:r>
    </w:p>
    <w:p w14:paraId="31274182" w14:textId="77777777" w:rsidR="007C11E9" w:rsidRPr="000A3A07" w:rsidRDefault="007C11E9">
      <w:pPr>
        <w:pStyle w:val="Normaltindrag"/>
      </w:pPr>
      <w:r w:rsidRPr="000A3A07">
        <w:t>Det förefaller inte troligt att den genomsnittlige resenär som byter från flyg till tåg är vill</w:t>
      </w:r>
      <w:r w:rsidRPr="000A3A07">
        <w:t>ig att betala lika mycket för en tågbiljett som för en flygbiljett. Ju längre restiden är ju mindre sannolikt är detta. Värderas en extra timme till 70 kr för privatresenärer, som är fallet i Botniautredningen, tappar tågr</w:t>
      </w:r>
      <w:r w:rsidRPr="000A3A07">
        <w:t>e</w:t>
      </w:r>
      <w:r w:rsidRPr="000A3A07">
        <w:t>senären på sträckan Stockholm–Umeå åtminstone 350 kr, dvs hela det av utredningen beräknade konsumentöverskottet, allting annat lika. Tågresen</w:t>
      </w:r>
      <w:r w:rsidRPr="000A3A07">
        <w:t>ä</w:t>
      </w:r>
      <w:r w:rsidRPr="000A3A07">
        <w:t xml:space="preserve">ren till Luleå förlorar kanske 700 kr. (Notera dock att Botniautredningens genomsnittssiffror för priser, avstånd, konsumentöverskott etc ungefär </w:t>
      </w:r>
      <w:r w:rsidRPr="000A3A07">
        <w:t xml:space="preserve">torde motsvara en resa Stockholm–Umeå.) </w:t>
      </w:r>
    </w:p>
    <w:p w14:paraId="4A08E3C1" w14:textId="77777777" w:rsidR="007C11E9" w:rsidRPr="000A3A07" w:rsidRDefault="007C11E9">
      <w:pPr>
        <w:pStyle w:val="Normaltindrag"/>
      </w:pPr>
      <w:r w:rsidRPr="000A3A07">
        <w:t>Resenären baserar dock rimligen valet på en jämförelse mellan reskostn</w:t>
      </w:r>
      <w:r w:rsidRPr="000A3A07">
        <w:t>a</w:t>
      </w:r>
      <w:r w:rsidRPr="000A3A07">
        <w:t>der och övriga attribut (restid etc) hos alternativen. För att i någon mån illus</w:t>
      </w:r>
      <w:r w:rsidRPr="000A3A07">
        <w:t>t</w:t>
      </w:r>
      <w:r w:rsidRPr="000A3A07">
        <w:t>rera frågan kan vi som tidigare ta sträckan Stockholm–Umeå. Den billigaste snabbtågsbiljetten t/r antas kosta 750 kr i dagens prisnivå. Den billigaste flygbiljetten på samma sträcka kostar 900-1200 kr beroende på hur resan förläggs</w:t>
      </w:r>
      <w:r w:rsidRPr="000A3A07">
        <w:rPr>
          <w:rStyle w:val="Slutnotsreferens"/>
          <w:sz w:val="24"/>
        </w:rPr>
        <w:endnoteReference w:id="15"/>
      </w:r>
      <w:r w:rsidRPr="000A3A07">
        <w:t xml:space="preserve">. Låt oss här anta att flygresan kostar 1400 kr, inklusive av mig uppskattad kostnad för anslutningsresor, ca 200 kr. </w:t>
      </w:r>
    </w:p>
    <w:p w14:paraId="5216408C" w14:textId="77777777" w:rsidR="007C11E9" w:rsidRPr="000A3A07" w:rsidRDefault="007C11E9">
      <w:pPr>
        <w:pStyle w:val="Normaltindrag"/>
      </w:pPr>
      <w:r w:rsidRPr="000A3A07">
        <w:t>Flygresan, inklusive anslutningstransporter, antas ta 3 timmar i vardera riktningen. Tåget innebär då en extra restid på 5 timmar för en resa t/r. Bor</w:t>
      </w:r>
      <w:r w:rsidRPr="000A3A07">
        <w:t>t</w:t>
      </w:r>
      <w:r w:rsidRPr="000A3A07">
        <w:t>ser vi från andra kvalitetsskillnader mellan alternativen värderar då den (pr</w:t>
      </w:r>
      <w:r w:rsidRPr="000A3A07">
        <w:t>i</w:t>
      </w:r>
      <w:r w:rsidRPr="000A3A07">
        <w:t>vatresenär) som väljer tåget kostnaden för den extra restiden till högst 650 kr (1400-750 kr). Alternativen skiljer sig dock åt i en rad andra avseenden (tillgänglighet, antal byten av färdmedel, väntetider mm). Olika resenärer fäster olika vikt vid såväl tidsaspekter som övriga kvalitetsdimensioner. Förmodligen finns det ett helt spektrum av olika resenärer. Allt ifrån sådana som i stort sett är indifferenta mellan alternativen,</w:t>
      </w:r>
      <w:r w:rsidRPr="000A3A07">
        <w:t xml:space="preserve"> till resenärer som i stort sett bara ser till den monetära reskostnaden. Den förra kategorin av är inte villig att betala mer för tågalternativet än i dagsläget medan den senare kat</w:t>
      </w:r>
      <w:r w:rsidRPr="000A3A07">
        <w:t>e</w:t>
      </w:r>
      <w:r w:rsidRPr="000A3A07">
        <w:t>gorin är villig att betala upp till kostnaden för en flygresa</w:t>
      </w:r>
      <w:r w:rsidRPr="000A3A07">
        <w:rPr>
          <w:rStyle w:val="Slutnotsreferens"/>
          <w:sz w:val="24"/>
        </w:rPr>
        <w:endnoteReference w:id="16"/>
      </w:r>
      <w:r w:rsidRPr="000A3A07">
        <w:t xml:space="preserve"> (och därmed gör en konsumentöverskottsvinst på 650 kr om da</w:t>
      </w:r>
      <w:r w:rsidRPr="000A3A07">
        <w:t>g</w:t>
      </w:r>
      <w:r w:rsidRPr="000A3A07">
        <w:t xml:space="preserve">tåget väljs). </w:t>
      </w:r>
    </w:p>
    <w:p w14:paraId="3AB7281B" w14:textId="77777777" w:rsidR="007C11E9" w:rsidRPr="000A3A07" w:rsidRDefault="007C11E9">
      <w:pPr>
        <w:pStyle w:val="Normaltindrag"/>
      </w:pPr>
      <w:r w:rsidRPr="000A3A07">
        <w:t>Givet fördelningen av resenärer på olika kategorier går det att beräkna ett genomsnittligt värde för konsumentöverskottsändringen för de resenärer som skiftar från flyg till tåg. Är resenärerna t ex uniformt fördelade i intervallet 0–650 blir den genomsnittliga konsumentöverskottsvinsten 325 kr. För un</w:t>
      </w:r>
      <w:r w:rsidRPr="000A3A07">
        <w:t>g</w:t>
      </w:r>
      <w:r w:rsidRPr="000A3A07">
        <w:t>domsresenärer, dit flertalet studenter räknas, blir motsvarande vinst lägre givet de priser SAS  respektive SJ tillämpar i dag. För tjänsteresenärer står sannolikt valet oftast mellan en dyrare flygbiljett än vad som antagits här och 1 klass tågresa. Att döma av sträckan Stockholm–Malmö, som trafikeras med  både snabbtåg och flyg, blir konsumentöverskottet med den ansats som a</w:t>
      </w:r>
      <w:r w:rsidRPr="000A3A07">
        <w:t>n</w:t>
      </w:r>
      <w:r w:rsidRPr="000A3A07">
        <w:t>vänts ovan kanske 400–500 kr i g</w:t>
      </w:r>
      <w:r w:rsidRPr="000A3A07">
        <w:t>e</w:t>
      </w:r>
      <w:r w:rsidRPr="000A3A07">
        <w:t>nomsnitt för tjänsteresenären</w:t>
      </w:r>
      <w:r w:rsidRPr="000A3A07">
        <w:rPr>
          <w:rStyle w:val="Slutnotsreferens"/>
          <w:sz w:val="24"/>
        </w:rPr>
        <w:endnoteReference w:id="17"/>
      </w:r>
      <w:r w:rsidRPr="000A3A07">
        <w:t xml:space="preserve">. </w:t>
      </w:r>
    </w:p>
    <w:p w14:paraId="1F8A6735" w14:textId="77777777" w:rsidR="007C11E9" w:rsidRPr="000A3A07" w:rsidRDefault="007C11E9">
      <w:pPr>
        <w:pStyle w:val="Normaltindrag"/>
      </w:pPr>
      <w:r w:rsidRPr="000A3A07">
        <w:t>Sammanfattningsvis går det inte att avfärda utredningens bedömning av konsumentöverskottsvinsten för nya resenärer som orealistiskt hög när den avser tidigare flygresenärer. Det går att göra antaganden som genererar öve</w:t>
      </w:r>
      <w:r w:rsidRPr="000A3A07">
        <w:t>r</w:t>
      </w:r>
      <w:r w:rsidRPr="000A3A07">
        <w:t>skott väl i nivå med Botniautredningens skattning. Ett kvarstående problem är dock att antalet resenärer som skiftar från flyg till dagtåg beror på relati</w:t>
      </w:r>
      <w:r w:rsidRPr="000A3A07">
        <w:t>v</w:t>
      </w:r>
      <w:r w:rsidRPr="000A3A07">
        <w:t>priserna. Ju dyrare resan med dagtåg är, allting annat oförändrat, ju färre flygresenärer kommer att finna dagtåget attraktivt. I sin tur påverkas i regel summan av totalt konsumentöverskott och biljettintäkter av antalet resen</w:t>
      </w:r>
      <w:r w:rsidRPr="000A3A07">
        <w:t>ä</w:t>
      </w:r>
      <w:r w:rsidRPr="000A3A07">
        <w:t xml:space="preserve">rer. </w:t>
      </w:r>
    </w:p>
    <w:p w14:paraId="1BA6161A" w14:textId="77777777" w:rsidR="007C11E9" w:rsidRPr="000A3A07" w:rsidRDefault="007C11E9">
      <w:pPr>
        <w:pStyle w:val="Normaltindrag"/>
      </w:pPr>
      <w:r w:rsidRPr="000A3A07">
        <w:t>Såväl flygbolag som tågoperatörer (i detta fall SJ) använder sig av prisdi</w:t>
      </w:r>
      <w:r w:rsidRPr="000A3A07">
        <w:t>f</w:t>
      </w:r>
      <w:r w:rsidRPr="000A3A07">
        <w:t>ferentiering för att öka sina trafikintäkter. Beroende på hur resan förläggs, bokningstidpunkt, möjlighet till ombokning etc varierar priset för en resa. Det förekommer även att ett begränsat antal säten per avgång avsätts för lågprisvarianterna. Låga priser erbjuds  kanske oftast på mindre attraktiva avgångstider. För lågprisbiljett på tåget krävs dessutom ett Reslustkort, och restiderna med X 2000 kan variera beroende på tidpunkt för avresan. På detta sätt kan operatörerna tillägna sig en del av konsumen</w:t>
      </w:r>
      <w:r w:rsidRPr="000A3A07">
        <w:t>töverskottet</w:t>
      </w:r>
      <w:r w:rsidRPr="000A3A07">
        <w:rPr>
          <w:rStyle w:val="Slutnotsreferens"/>
          <w:sz w:val="24"/>
        </w:rPr>
        <w:endnoteReference w:id="18"/>
      </w:r>
      <w:r w:rsidRPr="000A3A07">
        <w:t>. Det finns en uppenbar risk för en dubbelräkning om konsumenternas bruttoöve</w:t>
      </w:r>
      <w:r w:rsidRPr="000A3A07">
        <w:t>r</w:t>
      </w:r>
      <w:r w:rsidRPr="000A3A07">
        <w:t>skott (t ex beräknade utifrån lägsta biljettpris) och trafikföretagens vinster summeras okritiskt. Så vitt jag kan se föreligger inte en sådan dubbelräkning i Bo</w:t>
      </w:r>
      <w:r w:rsidRPr="000A3A07">
        <w:t>t</w:t>
      </w:r>
      <w:r w:rsidRPr="000A3A07">
        <w:t>niautredningen</w:t>
      </w:r>
      <w:r w:rsidRPr="000A3A07">
        <w:rPr>
          <w:rStyle w:val="Slutnotsreferens"/>
          <w:sz w:val="24"/>
        </w:rPr>
        <w:endnoteReference w:id="19"/>
      </w:r>
      <w:r w:rsidRPr="000A3A07">
        <w:t xml:space="preserve">. </w:t>
      </w:r>
    </w:p>
    <w:p w14:paraId="4DAA9F9D" w14:textId="77777777" w:rsidR="007C11E9" w:rsidRPr="000A3A07" w:rsidRDefault="007C11E9">
      <w:pPr>
        <w:pStyle w:val="Normaltindrag"/>
      </w:pPr>
      <w:r w:rsidRPr="000A3A07">
        <w:t>Enligt utredningen beräknas dagtåget ta ca i genomsnitt ca 150 passagerare från flyget (300 enkelresenärer/dag). Det motsvarar 1-2 fullsatta plan per dag eller minst 10 procent av det antal passagerare som Botniautredningen b</w:t>
      </w:r>
      <w:r w:rsidRPr="000A3A07">
        <w:t>e</w:t>
      </w:r>
      <w:r w:rsidRPr="000A3A07">
        <w:t>räknar att flygplatserna i Umeå och Örnsköldsvik tillsammans kommer att ha vid kalkyltillfället. Därför kan man inte utesluta att det blir fråga om indra</w:t>
      </w:r>
      <w:r w:rsidRPr="000A3A07">
        <w:t>g</w:t>
      </w:r>
      <w:r w:rsidRPr="000A3A07">
        <w:t>na flygförbindelser och därmed försämringar/konsumentöverskottsförluster för kvarvarande trafikanter. Rimligen kommer dock konkurrenterna till Bo</w:t>
      </w:r>
      <w:r w:rsidRPr="000A3A07">
        <w:t>t</w:t>
      </w:r>
      <w:r w:rsidRPr="000A3A07">
        <w:t>niatrafiken att anpassa sina strategier för att begränsa marknadsi</w:t>
      </w:r>
      <w:r w:rsidRPr="000A3A07">
        <w:t>n</w:t>
      </w:r>
      <w:r w:rsidRPr="000A3A07">
        <w:t xml:space="preserve">trånget. </w:t>
      </w:r>
    </w:p>
    <w:p w14:paraId="25BA1E68" w14:textId="77777777" w:rsidR="007C11E9" w:rsidRPr="000A3A07" w:rsidRDefault="007C11E9">
      <w:pPr>
        <w:pStyle w:val="Rubrik2"/>
      </w:pPr>
      <w:bookmarkStart w:id="241" w:name="_Toc495906668"/>
      <w:bookmarkStart w:id="242" w:name="_Toc496510263"/>
      <w:bookmarkStart w:id="243" w:name="_Toc506340998"/>
      <w:r w:rsidRPr="000A3A07">
        <w:t>Övriga långväga resenärer</w:t>
      </w:r>
      <w:bookmarkEnd w:id="241"/>
      <w:bookmarkEnd w:id="242"/>
      <w:bookmarkEnd w:id="243"/>
    </w:p>
    <w:p w14:paraId="702D437C" w14:textId="77777777" w:rsidR="007C11E9" w:rsidRPr="000A3A07" w:rsidRDefault="007C11E9">
      <w:r w:rsidRPr="000A3A07">
        <w:t>Ungefär 20 000 långväga resenärer på Botniabanan beräknas i alternativfallet ta buss. En bussresa Stockholm–Umeå kostar 600 kr t/r (med Ybuss</w:t>
      </w:r>
      <w:r w:rsidRPr="000A3A07">
        <w:rPr>
          <w:rStyle w:val="Slutnotsreferens"/>
          <w:sz w:val="24"/>
        </w:rPr>
        <w:endnoteReference w:id="20"/>
      </w:r>
      <w:r w:rsidRPr="000A3A07">
        <w:t>) och tar närmare 10 timmar enkel väg. Det rör sig således om resenärer som inte är villiga att betala priset för en flygresa. Det kan förmodas att betalningsvi</w:t>
      </w:r>
      <w:r w:rsidRPr="000A3A07">
        <w:t>l</w:t>
      </w:r>
      <w:r w:rsidRPr="000A3A07">
        <w:t>ligheten för en resa med snabbtåg väsentligt understiger priset för en fly</w:t>
      </w:r>
      <w:r w:rsidRPr="000A3A07">
        <w:t>g</w:t>
      </w:r>
      <w:r w:rsidRPr="000A3A07">
        <w:t>biljett. Resenären förlorar ju trots allt ca 5 timmar på att ta snabbtåg i stället för flyg. I praktiken avsätter den tidigare bussresenären dessutom hellre två dagar än två nätter för sin långväga resa. En möjlighet är ju annars att i stället för buss ta nattåg till en extra</w:t>
      </w:r>
      <w:r w:rsidRPr="000A3A07">
        <w:t xml:space="preserve"> kostnad av 200-500 kr beroende på standar</w:t>
      </w:r>
      <w:r w:rsidRPr="000A3A07">
        <w:t>d</w:t>
      </w:r>
      <w:r w:rsidRPr="000A3A07">
        <w:t>krav. Vidare avstår resenären från kombinationen snabbtåg/buss som fö</w:t>
      </w:r>
      <w:r w:rsidRPr="000A3A07">
        <w:t>r</w:t>
      </w:r>
      <w:r w:rsidRPr="000A3A07">
        <w:t>kortar restiden med 1½-2½ timmar men kostar från 255 kr extra. Det kan tyda på en relativt låg värdering av restid under dagtid. Det kan således fö</w:t>
      </w:r>
      <w:r w:rsidRPr="000A3A07">
        <w:t>r</w:t>
      </w:r>
      <w:r w:rsidRPr="000A3A07">
        <w:t>modas att det rör sig om kostnadsmedvetna resenärer som troligen återvänder till bussalternativet om prisgapet dagtåg-buss ökar. För denna grupp innebär Botniautredningens angreppsätt rimligen en kraftig överskattning av den genomsnittliga konsumentöv</w:t>
      </w:r>
      <w:r w:rsidRPr="000A3A07">
        <w:t>erskottsvinsten</w:t>
      </w:r>
      <w:r w:rsidRPr="000A3A07">
        <w:rPr>
          <w:rStyle w:val="Slutnotsreferens"/>
          <w:sz w:val="24"/>
        </w:rPr>
        <w:endnoteReference w:id="21"/>
      </w:r>
      <w:r w:rsidRPr="000A3A07">
        <w:t>. Utredningen skattar det g</w:t>
      </w:r>
      <w:r w:rsidRPr="000A3A07">
        <w:t>e</w:t>
      </w:r>
      <w:r w:rsidRPr="000A3A07">
        <w:t>nomsnittliga konsumentöverskottet för den grupp dit bussresenärer räknas till drygt 40 procent av biljettpriset, dvs till drygt 300 kr om biljettpriset är 750 kr.</w:t>
      </w:r>
    </w:p>
    <w:p w14:paraId="1382E5BC" w14:textId="77777777" w:rsidR="007C11E9" w:rsidRPr="000A3A07" w:rsidRDefault="007C11E9">
      <w:pPr>
        <w:pStyle w:val="Normaltindrag"/>
      </w:pPr>
      <w:r w:rsidRPr="000A3A07">
        <w:t>Ungefär 190 000 långväga resenärer (tor) beräknas av Botniautredningen ha tagit bilen i frånvaro av en förbindelse med dagtåg. Antag att en t/r resa med bil Stockholm–Umeå kostar ca 1 500 kr om resenären beräknar den rörliga kostnaden till 13 kr per mil. Den ensamresenär som tar en sådan kostnad (plus tidsåtgång) behöve</w:t>
      </w:r>
      <w:r w:rsidRPr="000A3A07">
        <w:t>r förmodligen bilen för transport av nytt</w:t>
      </w:r>
      <w:r w:rsidRPr="000A3A07">
        <w:t>o</w:t>
      </w:r>
      <w:r w:rsidRPr="000A3A07">
        <w:t xml:space="preserve">last och/eller på resmålet. </w:t>
      </w:r>
    </w:p>
    <w:p w14:paraId="1FB4102D" w14:textId="77777777" w:rsidR="007C11E9" w:rsidRPr="000A3A07" w:rsidRDefault="007C11E9">
      <w:pPr>
        <w:pStyle w:val="Normaltindrag"/>
      </w:pPr>
      <w:r w:rsidRPr="000A3A07">
        <w:t>Ett par som åker tillsammans får ned kostnaden till 750 kr per person i det exempel jag valt. Det kan vara en förklaring till att flyget väljs bort. Däremot kan dagtåget bli ett intressant alternativ om biljettpriset är i samma storlek</w:t>
      </w:r>
      <w:r w:rsidRPr="000A3A07">
        <w:t>s</w:t>
      </w:r>
      <w:r w:rsidRPr="000A3A07">
        <w:t>ordning som kostnaden för att ta bilen och bilen inte behövs för nyttolast och/eller på resmålet. För barnfamiljer blir tåget förmodligen än mer intre</w:t>
      </w:r>
      <w:r w:rsidRPr="000A3A07">
        <w:t>s</w:t>
      </w:r>
      <w:r w:rsidRPr="000A3A07">
        <w:t>sant, åtminstone om transportfrågan på resmålet kan ordnas på ett tillfred</w:t>
      </w:r>
      <w:r w:rsidRPr="000A3A07">
        <w:t>s</w:t>
      </w:r>
      <w:r w:rsidRPr="000A3A07">
        <w:t>ställande sätt.</w:t>
      </w:r>
    </w:p>
    <w:p w14:paraId="59DD4EA3" w14:textId="77777777" w:rsidR="007C11E9" w:rsidRPr="000A3A07" w:rsidRDefault="007C11E9">
      <w:pPr>
        <w:pStyle w:val="Normaltindrag"/>
      </w:pPr>
      <w:r w:rsidRPr="000A3A07">
        <w:t>För samtliga grupper gäller dock att de offrar den flexibilitet som tillgång till egen bil innebär. Det är t ex relativt dyrt att hyra bil för att klara lokala transporter på resmålet. Alternativt kan det vara tidsödande/besvärligt att ta sig från järnvägsstationen til</w:t>
      </w:r>
      <w:r w:rsidRPr="000A3A07">
        <w:t>l resmålet om resenären är hänvisad till kollekt</w:t>
      </w:r>
      <w:r w:rsidRPr="000A3A07">
        <w:t>i</w:t>
      </w:r>
      <w:r w:rsidRPr="000A3A07">
        <w:t>va färdmedel.</w:t>
      </w:r>
    </w:p>
    <w:p w14:paraId="1A1E9736" w14:textId="77777777" w:rsidR="007C11E9" w:rsidRPr="000A3A07" w:rsidRDefault="007C11E9">
      <w:pPr>
        <w:pStyle w:val="Normaltindrag"/>
      </w:pPr>
      <w:r w:rsidRPr="000A3A07">
        <w:t>Det saknas mig veterligen underlag för en skattning av gruppens beta</w:t>
      </w:r>
      <w:r w:rsidRPr="000A3A07">
        <w:t>l</w:t>
      </w:r>
      <w:r w:rsidRPr="000A3A07">
        <w:t>ningsvillighet för en resa med dagtåg. Den bör dock vara lägre än för tidigare flygresenärer eftersom flyget valts bort. Dessutom får medföljande familj</w:t>
      </w:r>
      <w:r w:rsidRPr="000A3A07">
        <w:t>e</w:t>
      </w:r>
      <w:r w:rsidRPr="000A3A07">
        <w:t>medlemmar rabatt något som sänker den genomsnittliga biljettkostnaden. Även detta faktum talar för att betalningsvilligheten för tidigare bilresenärer är lägre än för tidigare flygresenärer. Ska man ta Botniautredningens uppgift, om antalet resenärer som byter från bil till tåg, på allvar måste rimligen gruppens efterfrågan efter tågresor vara mycket prise</w:t>
      </w:r>
      <w:r w:rsidRPr="000A3A07">
        <w:t>lastisk. Med andra ord bör en prishöjning på tågresor, allting annat oförändrat, leda till en kraftig efterfrågeminskning. I så fall blir det genomsnittliga konsumentöverskottet litet. För gruppen tidigare bilresenärer innebär Botniautredningens angrepp</w:t>
      </w:r>
      <w:r w:rsidRPr="000A3A07">
        <w:t>s</w:t>
      </w:r>
      <w:r w:rsidRPr="000A3A07">
        <w:t>sätt rimligen en betydande överskattning av det genomsnittliga konsume</w:t>
      </w:r>
      <w:r w:rsidRPr="000A3A07">
        <w:t>n</w:t>
      </w:r>
      <w:r w:rsidRPr="000A3A07">
        <w:t>töverskottet</w:t>
      </w:r>
      <w:r w:rsidRPr="000A3A07">
        <w:rPr>
          <w:rStyle w:val="Slutnotsreferens"/>
          <w:sz w:val="24"/>
        </w:rPr>
        <w:endnoteReference w:id="22"/>
      </w:r>
      <w:r w:rsidRPr="000A3A07">
        <w:t>. (Överskottet är drygt 40 procent av biljettpriset för den grupp dit tidigare bilister räknas, dvs drygt 300 kr om biljettpriset är 750 kr.)</w:t>
      </w:r>
    </w:p>
    <w:p w14:paraId="229BBDD9" w14:textId="77777777" w:rsidR="007C11E9" w:rsidRPr="000A3A07" w:rsidRDefault="007C11E9">
      <w:pPr>
        <w:pStyle w:val="Normaltindrag"/>
      </w:pPr>
      <w:r w:rsidRPr="000A3A07">
        <w:t>Botniabanan förväntas av Botniautredningen generera 55 000 nya långv</w:t>
      </w:r>
      <w:r w:rsidRPr="000A3A07">
        <w:t>ä</w:t>
      </w:r>
      <w:r w:rsidRPr="000A3A07">
        <w:t>ga t/r resor. I termer av en resa Stockholm–Umeå har dessa nya resenärer uppenbarligen funnit existerande alternativ otillfredsställande. De är inte villiga att betala 600 kr för en bussresa, säg 750 kr per person för en bilresa, 800 kr för en sittplats på nattåg, 855 kr för en kombinerad buss/dagtågresa (via Härnösand/Sundsvall) eller, säg, 1400 kr för en flygresa. Däremot är de tydligen villiga att betala, säg, 750 kr för en resa med dagtåg. Det rör sig förmodligen om en relativt priskänslig grupp av res</w:t>
      </w:r>
      <w:r w:rsidRPr="000A3A07">
        <w:t>enärer. Åter får det b</w:t>
      </w:r>
      <w:r w:rsidRPr="000A3A07">
        <w:t>e</w:t>
      </w:r>
      <w:r w:rsidRPr="000A3A07">
        <w:t>traktas som orealistiskt att räkna med konsumentöverskottsvinster i den storleksordning Botniautredningen förutsätter, dvs drygt 300 kr i termer av ett biljettpris på 750 kr.</w:t>
      </w:r>
    </w:p>
    <w:p w14:paraId="4BCEEF65" w14:textId="77777777" w:rsidR="007C11E9" w:rsidRPr="000A3A07" w:rsidRDefault="007C11E9">
      <w:pPr>
        <w:pStyle w:val="Rubrik2"/>
      </w:pPr>
      <w:bookmarkStart w:id="244" w:name="_Toc495906669"/>
      <w:bookmarkStart w:id="245" w:name="_Toc496510264"/>
      <w:bookmarkStart w:id="246" w:name="_Toc506340999"/>
      <w:r w:rsidRPr="000A3A07">
        <w:t>Konsumentöverskottsanalysen: en sammanfattning</w:t>
      </w:r>
      <w:bookmarkEnd w:id="244"/>
      <w:bookmarkEnd w:id="245"/>
      <w:bookmarkEnd w:id="246"/>
    </w:p>
    <w:p w14:paraId="5CC2CD0E" w14:textId="77777777" w:rsidR="007C11E9" w:rsidRPr="000A3A07" w:rsidRDefault="007C11E9">
      <w:r w:rsidRPr="000A3A07">
        <w:t>Den av Botniautredningen använda metoden för att bedöma resenärernas tidsvinster/konsumentöverskott till följd av att dagtågtrafik etableras på Botniabanan bygger ytterst på en jämförelse mellan restid med nuvarande nattåg och restid med framtida tåg på Botniabanan. För flertalet långväga resenärer som förväntas ta dagtåg ser dock alternativen inte ut på detta sätt. De gör i stället ett val mellan ett antal olika alternativ. En del resenärer skulle i frånvaro av dagtåg ta flyget. Andra skulle ta den egna b</w:t>
      </w:r>
      <w:r w:rsidRPr="000A3A07">
        <w:t>ilen. Ytterligare andra skulle välja buss eller en kombination buss/dagtåg (t ex via Härn</w:t>
      </w:r>
      <w:r w:rsidRPr="000A3A07">
        <w:t>ö</w:t>
      </w:r>
      <w:r w:rsidRPr="000A3A07">
        <w:t>sand/Sundsvall) eller helt avstå från resan.</w:t>
      </w:r>
    </w:p>
    <w:p w14:paraId="38418A59" w14:textId="77777777" w:rsidR="007C11E9" w:rsidRPr="000A3A07" w:rsidRDefault="007C11E9">
      <w:pPr>
        <w:pStyle w:val="Normaltindrag"/>
      </w:pPr>
      <w:r w:rsidRPr="000A3A07">
        <w:t>Den metod Botniautredningen använder för att beräkna konsumentöve</w:t>
      </w:r>
      <w:r w:rsidRPr="000A3A07">
        <w:t>r</w:t>
      </w:r>
      <w:r w:rsidRPr="000A3A07">
        <w:t>skottet är förhoppningsvis relevant när det gäller investeringar som förkortar restiden med minuter eller måhända någon timme. Tillämpas ansatsen i sin ”renaste form” på Botniabanan blir resultatet dock tämligen säreget. Det totala konsumentöverskottet för långväga resor skattas till ca 515 miljoner kr (SIKA Rapport 1996:1, sidan 29). För existerande tågresenärer blir kons</w:t>
      </w:r>
      <w:r w:rsidRPr="000A3A07">
        <w:t>u</w:t>
      </w:r>
      <w:r w:rsidRPr="000A3A07">
        <w:t>mentöverskottet ca 1000 kr, medan det för nya långväga resenärer med da</w:t>
      </w:r>
      <w:r w:rsidRPr="000A3A07">
        <w:t>g</w:t>
      </w:r>
      <w:r w:rsidRPr="000A3A07">
        <w:t>tåg blir ca 650 kr (baserat på den ansats som redovisats i avsn</w:t>
      </w:r>
      <w:r w:rsidRPr="000A3A07">
        <w:t>itt 3). Det framstår då som något förbryllande att resenären inte tar fl</w:t>
      </w:r>
      <w:r w:rsidRPr="000A3A07">
        <w:t>y</w:t>
      </w:r>
      <w:r w:rsidRPr="000A3A07">
        <w:t xml:space="preserve">get. </w:t>
      </w:r>
    </w:p>
    <w:p w14:paraId="45654043" w14:textId="77777777" w:rsidR="007C11E9" w:rsidRPr="000A3A07" w:rsidRDefault="007C11E9">
      <w:pPr>
        <w:pStyle w:val="Normaltindrag"/>
      </w:pPr>
      <w:r w:rsidRPr="000A3A07">
        <w:t>Utredningen har försökt modifiera ansatsen så att den blir mer relevant för den beslutssituation som Botniainvesteringen representerar. Min slutsats är ändå att inte ens en modifierad metod meningsfullt kan appliceras på den typ av infrastrukturinvestering som Botniabanan representerar. Ansatsen ger ingen direkt vägledning vad beträffar konsumentöverskottets totala storlek. Överskottet kan teoretiskt sett vara större eller mindre</w:t>
      </w:r>
      <w:r w:rsidRPr="000A3A07">
        <w:t xml:space="preserve"> än vad Botniautre</w:t>
      </w:r>
      <w:r w:rsidRPr="000A3A07">
        <w:t>d</w:t>
      </w:r>
      <w:r w:rsidRPr="000A3A07">
        <w:t>ningens ansats indikerar. Såvitt jag kan bedöma leder ansatsen dock i det aktuella fallet rimligen till en betydande överskattning av konsumentöve</w:t>
      </w:r>
      <w:r w:rsidRPr="000A3A07">
        <w:t>r</w:t>
      </w:r>
      <w:r w:rsidRPr="000A3A07">
        <w:t xml:space="preserve">skottet. </w:t>
      </w:r>
    </w:p>
    <w:p w14:paraId="585F3290" w14:textId="77777777" w:rsidR="007C11E9" w:rsidRPr="000A3A07" w:rsidRDefault="007C11E9">
      <w:pPr>
        <w:pStyle w:val="Normaltindrag"/>
      </w:pPr>
      <w:r w:rsidRPr="000A3A07">
        <w:t xml:space="preserve">Den framtida resenären till /från övre Norrland kommer att kunna välja mellan ett antal alternativ: buss, bil, nattåg, dagtåg, kombination buss/bil/tåg och flyg. Transportalternativen ligger vanligen i prisintervallet 600–1200 kr och har även i övrigt skilda egenskaper vad beträffar restid, tillgänglighet, komfort etc. Man kan därför </w:t>
      </w:r>
      <w:r w:rsidRPr="000A3A07">
        <w:t>tänka sig att resenärerna fördelas på de olika alternativen utifrån sina preferenser och inkomster. Sett ur detta perspektiv gör den enskilde resenären förmodligen inte någon större konsumentöve</w:t>
      </w:r>
      <w:r w:rsidRPr="000A3A07">
        <w:t>r</w:t>
      </w:r>
      <w:r w:rsidRPr="000A3A07">
        <w:t>skottsvinst när ett nytt ”mellanprisalternativ” lanseras. Dessutom leder sa</w:t>
      </w:r>
      <w:r w:rsidRPr="000A3A07">
        <w:t>n</w:t>
      </w:r>
      <w:r w:rsidRPr="000A3A07">
        <w:t>nolikt ett nytt alternativ till pris- och andra produktanpassningar från konku</w:t>
      </w:r>
      <w:r w:rsidRPr="000A3A07">
        <w:t>r</w:t>
      </w:r>
      <w:r w:rsidRPr="000A3A07">
        <w:t>renternas sida. Det är i så fall förhoppningsvis till glädje för existerande och nya resenärer.</w:t>
      </w:r>
    </w:p>
    <w:p w14:paraId="5723B18D" w14:textId="77777777" w:rsidR="007C11E9" w:rsidRPr="000A3A07" w:rsidRDefault="007C11E9">
      <w:pPr>
        <w:pStyle w:val="Normaltindrag"/>
      </w:pPr>
      <w:r w:rsidRPr="000A3A07">
        <w:t>Man kan inte heller utesluta att marknaden för resor på övre Norrl</w:t>
      </w:r>
      <w:r w:rsidRPr="000A3A07">
        <w:t>and fö</w:t>
      </w:r>
      <w:r w:rsidRPr="000A3A07">
        <w:t>r</w:t>
      </w:r>
      <w:r w:rsidRPr="000A3A07">
        <w:t>ändras i framtiden. Flygbolag med nya koncept, t ex satsande på utpräglade lågprisbiljetter, kan göra inbrytningar. Likaså kan konkurrens mellan olika tågoperatörer leda till att helt nya koncept för tågresor utvecklas</w:t>
      </w:r>
      <w:r w:rsidRPr="000A3A07">
        <w:rPr>
          <w:rStyle w:val="Slutnotsreferens"/>
          <w:sz w:val="24"/>
        </w:rPr>
        <w:endnoteReference w:id="23"/>
      </w:r>
      <w:r w:rsidRPr="000A3A07">
        <w:t>. Även helt nya typer av långfärdsbussar kan komma att utvecklas. I så fall skulle de grundläggande förutsättningarna för den samhällsekonomiska kalkylen fö</w:t>
      </w:r>
      <w:r w:rsidRPr="000A3A07">
        <w:t>r</w:t>
      </w:r>
      <w:r w:rsidRPr="000A3A07">
        <w:t xml:space="preserve">ändras. Läsaren bör erinra sig att  Botniabanan kan ha en livslängd på 60 år, dvs det rör sig om ett mycket långt tidsperspektiv när vi försöker bedöma trafikens lönsamhet. </w:t>
      </w:r>
    </w:p>
    <w:p w14:paraId="0F5F5600" w14:textId="77777777" w:rsidR="007C11E9" w:rsidRPr="000A3A07" w:rsidRDefault="007C11E9">
      <w:pPr>
        <w:pStyle w:val="Normaltindrag"/>
      </w:pPr>
      <w:r w:rsidRPr="000A3A07">
        <w:t>Det bör också här påpekas att Botniautredningen diskuterar andra ansatser än den som faktiskt valts för att beräkna konsumentöverskotten. Trafikfor</w:t>
      </w:r>
      <w:r w:rsidRPr="000A3A07">
        <w:t>s</w:t>
      </w:r>
      <w:r w:rsidRPr="000A3A07">
        <w:t>karen Jan Owen Jansson har i en skrivelse till utredningen påpekat att nattåg bör betraktas som ett separat färdsätt (SIKA Rapport 1996:1, sidorna 30-31 och SOU 1996:95, sidorna 99-100). Det är således samma synsätt som a</w:t>
      </w:r>
      <w:r w:rsidRPr="000A3A07">
        <w:t>n</w:t>
      </w:r>
      <w:r w:rsidRPr="000A3A07">
        <w:t>läggs i föreliggande studie. Jansson menar också att konkurrensen mellan olika färdsätt på marknaden för långväga resor är hård, varför efterfrågan på dagtågsresor rimligen är relativt priskänslig. Jansson bedömer att kons</w:t>
      </w:r>
      <w:r w:rsidRPr="000A3A07">
        <w:t>u</w:t>
      </w:r>
      <w:r w:rsidRPr="000A3A07">
        <w:t>mentöverskottet uppgår till högst 50 procent av biljettintäkterna,</w:t>
      </w:r>
      <w:r w:rsidRPr="000A3A07">
        <w:t xml:space="preserve"> dvs är högst ca 200-210 miljoner kr. Jansson menar vidare att tidsvinster under sovperi</w:t>
      </w:r>
      <w:r w:rsidRPr="000A3A07">
        <w:t>o</w:t>
      </w:r>
      <w:r w:rsidRPr="000A3A07">
        <w:t>den för resande med nattåg har litet värde. (Botniautredningen menar dä</w:t>
      </w:r>
      <w:r w:rsidRPr="000A3A07">
        <w:t>r</w:t>
      </w:r>
      <w:r w:rsidRPr="000A3A07">
        <w:t xml:space="preserve">emot att en del av tidsvinsten infaller under ”produktiv” dagtid och lägger därför till 70 miljoner kr. Utredningen hävdar därför att Janssons ansats ger ett konsumentöverskott på högst ca 280 miljoner kr.) </w:t>
      </w:r>
    </w:p>
    <w:p w14:paraId="5773076E" w14:textId="77777777" w:rsidR="007C11E9" w:rsidRPr="000A3A07" w:rsidRDefault="007C11E9">
      <w:pPr>
        <w:pStyle w:val="Normaltindrag"/>
      </w:pPr>
      <w:r w:rsidRPr="000A3A07">
        <w:t>Utredningen har även testat en metod som innebär att de samlade resmö</w:t>
      </w:r>
      <w:r w:rsidRPr="000A3A07">
        <w:t>j</w:t>
      </w:r>
      <w:r w:rsidRPr="000A3A07">
        <w:t>ligheterna ses som en ”joint commodity”. Det nya färdsättet, dvs dagtåg, ökar valmöjligheterna för existerande och nya resenärer. En preliminär b</w:t>
      </w:r>
      <w:r w:rsidRPr="000A3A07">
        <w:t>e</w:t>
      </w:r>
      <w:r w:rsidRPr="000A3A07">
        <w:t>räkning som utredningen redovisar tyder på att konsumentöverskottet enligt denna ansats är omkring 200 miljoner kr (SOU 1996:95, sidorna 100-101).</w:t>
      </w:r>
    </w:p>
    <w:p w14:paraId="72F0E119" w14:textId="77777777" w:rsidR="007C11E9" w:rsidRPr="000A3A07" w:rsidRDefault="007C11E9">
      <w:pPr>
        <w:pStyle w:val="Normaltindrag"/>
      </w:pPr>
      <w:r w:rsidRPr="000A3A07">
        <w:t>Det bör avslutningsvis nämnas att konsumentöverskottet för regionala r</w:t>
      </w:r>
      <w:r w:rsidRPr="000A3A07">
        <w:t>e</w:t>
      </w:r>
      <w:r w:rsidRPr="000A3A07">
        <w:t xml:space="preserve">senärer inte närmare kommenteras av Botniautredningen. Överskottet tycks vara dubbelt så stort som biljettintäkterna för gruppen. Det ter sig något överraskande att trafiken bedöms bli företagsekonomiskt olönsam trots att resenärerna tycks ha en så extremt hög betalningsvillighet. För kalkylens utfall har dock inte denna grupp någon större betydelse. </w:t>
      </w:r>
    </w:p>
    <w:p w14:paraId="1DF869A1" w14:textId="77777777" w:rsidR="007C11E9" w:rsidRPr="000A3A07" w:rsidRDefault="007C11E9">
      <w:pPr>
        <w:pStyle w:val="Rubrik1"/>
      </w:pPr>
      <w:r w:rsidRPr="000A3A07">
        <w:br w:type="page"/>
      </w:r>
      <w:bookmarkStart w:id="247" w:name="_Toc495906670"/>
      <w:bookmarkStart w:id="248" w:name="_Toc496510265"/>
      <w:bookmarkStart w:id="249" w:name="_Toc506341000"/>
      <w:r w:rsidRPr="000A3A07">
        <w:t>Godstrafiken på Botniabanan</w:t>
      </w:r>
      <w:bookmarkEnd w:id="247"/>
      <w:bookmarkEnd w:id="248"/>
      <w:bookmarkEnd w:id="249"/>
    </w:p>
    <w:p w14:paraId="5DF90E8B" w14:textId="77777777" w:rsidR="007C11E9" w:rsidRPr="000A3A07" w:rsidRDefault="007C11E9">
      <w:r w:rsidRPr="000A3A07">
        <w:t>Utredningens bedömning av hur Botniabanan påverkar godstransporterna baseras på ett godsmodellsystem med vars hjälp man kan studera hur t ex en ny bana påverkar godsflöden, val av transportsätt och kostnader. Huvuddelen av vinsten med Botniabanan ligger i sänkta kostnader för trafiken. Orsaken är bland annat att trafikföretaget kan använda längre och tyngre tåg till följd av Botniabanan. Enligt Botniautredningen kan transportkostnaden inklusive tidsvinster komma att reduceras med</w:t>
      </w:r>
      <w:r w:rsidRPr="000A3A07">
        <w:t xml:space="preserve"> minst 30 procent om kostnadssänknin</w:t>
      </w:r>
      <w:r w:rsidRPr="000A3A07">
        <w:t>g</w:t>
      </w:r>
      <w:r w:rsidRPr="000A3A07">
        <w:t xml:space="preserve">arna helt tillfaller transportkunderna. </w:t>
      </w:r>
    </w:p>
    <w:p w14:paraId="36AFC828" w14:textId="77777777" w:rsidR="007C11E9" w:rsidRPr="000A3A07" w:rsidRDefault="007C11E9">
      <w:pPr>
        <w:pStyle w:val="Normaltindrag"/>
      </w:pPr>
      <w:r w:rsidRPr="000A3A07">
        <w:t>Man kan ställa frågan om de teoretiska vinster/kostnadsbesparingar som ett modellsystem genererar verkligen kan realiseras. Det förutsätter ju att ku</w:t>
      </w:r>
      <w:r w:rsidRPr="000A3A07">
        <w:t>n</w:t>
      </w:r>
      <w:r w:rsidRPr="000A3A07">
        <w:t>derna kan underkasta sig vissa transportlösningar bara för att de ter sig a</w:t>
      </w:r>
      <w:r w:rsidRPr="000A3A07">
        <w:t>t</w:t>
      </w:r>
      <w:r w:rsidRPr="000A3A07">
        <w:t>traktiva för transportören. I SOU 1996:95, sidan 113, konstateras också: ”Det kan dock finnas skäl att vara försiktig vid bedömningen av i vilken omfat</w:t>
      </w:r>
      <w:r w:rsidRPr="000A3A07">
        <w:t>t</w:t>
      </w:r>
      <w:r w:rsidRPr="000A3A07">
        <w:t>ning dessa vinster kan realiseras. T ex blir det sannolikt begränsningar i servicen till godskunderna när transporterna skall samordnas i längre och tyngre tåg”.</w:t>
      </w:r>
    </w:p>
    <w:p w14:paraId="109E8252" w14:textId="77777777" w:rsidR="007C11E9" w:rsidRPr="000A3A07" w:rsidRDefault="007C11E9">
      <w:pPr>
        <w:pStyle w:val="Normaltindrag"/>
      </w:pPr>
      <w:r w:rsidRPr="000A3A07">
        <w:t>Denna brasklapp förefaller väl motiverad. Det är inte sannolikt att de stora kunderna väljer icke optimala transportlösni</w:t>
      </w:r>
      <w:r w:rsidRPr="000A3A07">
        <w:t>ngar därför att de förbättrar trafikföretagets ekonomiska utfall. Företagen verkar trots allt på starkt ko</w:t>
      </w:r>
      <w:r w:rsidRPr="000A3A07">
        <w:t>n</w:t>
      </w:r>
      <w:r w:rsidRPr="000A3A07">
        <w:t>kurrensutsatta marknader där ”lean production” och lyhördhet för kundens behov blivit allt viktigare. Därför är utredningens bedömning av kostnadsb</w:t>
      </w:r>
      <w:r w:rsidRPr="000A3A07">
        <w:t>e</w:t>
      </w:r>
      <w:r w:rsidRPr="000A3A07">
        <w:t>sparingarna i godstrafiken på järnväg sannolikt inte realistisk; den ger trol</w:t>
      </w:r>
      <w:r w:rsidRPr="000A3A07">
        <w:t>i</w:t>
      </w:r>
      <w:r w:rsidRPr="000A3A07">
        <w:t>gen en övre gräns för lönsamh</w:t>
      </w:r>
      <w:r w:rsidRPr="000A3A07">
        <w:t>e</w:t>
      </w:r>
      <w:r w:rsidRPr="000A3A07">
        <w:t xml:space="preserve">ten. </w:t>
      </w:r>
    </w:p>
    <w:p w14:paraId="2BFA4AD3" w14:textId="77777777" w:rsidR="007C11E9" w:rsidRPr="000A3A07" w:rsidRDefault="007C11E9">
      <w:pPr>
        <w:pStyle w:val="Normaltindrag"/>
      </w:pPr>
      <w:r w:rsidRPr="000A3A07">
        <w:t>I sin utredning år 1991 bedömde Banverket att godstrafikens totala sa</w:t>
      </w:r>
      <w:r w:rsidRPr="000A3A07">
        <w:t>m</w:t>
      </w:r>
      <w:r w:rsidRPr="000A3A07">
        <w:t>hällsekonomiska netto  till följd av Botniabanan kan uppgå till ca 35 miljoner kr per år</w:t>
      </w:r>
      <w:r w:rsidRPr="000A3A07">
        <w:rPr>
          <w:rStyle w:val="Slutnotsreferens"/>
        </w:rPr>
        <w:endnoteReference w:id="24"/>
      </w:r>
      <w:r w:rsidRPr="000A3A07">
        <w:t>, dvs ca 20 procent av vad Botniautredningen räknar med. Så vitt jag kan se ger Botniautredningen inte någon direkt förklaring till varför man så kraftigt räknat upp godstrafikens lönsamhet i jämförelse med tidigare bedömningar (annat än att transportföretaget förväntas göra betydande kos</w:t>
      </w:r>
      <w:r w:rsidRPr="000A3A07">
        <w:t>t</w:t>
      </w:r>
      <w:r w:rsidRPr="000A3A07">
        <w:t>nadsbesparingar).</w:t>
      </w:r>
    </w:p>
    <w:p w14:paraId="3C153B9F" w14:textId="77777777" w:rsidR="007C11E9" w:rsidRPr="000A3A07" w:rsidRDefault="007C11E9">
      <w:pPr>
        <w:pStyle w:val="Normaltindrag"/>
      </w:pPr>
      <w:r w:rsidRPr="000A3A07">
        <w:t>Självfallet skulle en kraftigare efterfrågeökning än den som antagits i Bo</w:t>
      </w:r>
      <w:r w:rsidRPr="000A3A07">
        <w:t>t</w:t>
      </w:r>
      <w:r w:rsidRPr="000A3A07">
        <w:t>niautredningen förbättra godstrafikens lönsamhet. Det kan å andra sidan inte uteslutas att de stora kunderna, t ex skogsindustrierna, i ökad utsträckning väljer andra transportlösningar, t ex sjöfart. Alternativt tvingar konkurrensen transportföretaget till dyrare transportlösningar än vad Botniautredningen förutsatt för att kunderna ska välja järnvägsalternativet. I så fall försämras Botniabanans lönsamhet.</w:t>
      </w:r>
    </w:p>
    <w:p w14:paraId="159D1ABB" w14:textId="77777777" w:rsidR="007C11E9" w:rsidRPr="000A3A07" w:rsidRDefault="007C11E9">
      <w:pPr>
        <w:pStyle w:val="Normaltindrag"/>
      </w:pPr>
      <w:r w:rsidRPr="000A3A07">
        <w:t>Det tycks även som om ännu större kostnadsbesparingar kan uppnås om existerande begränsningar i ham</w:t>
      </w:r>
      <w:r w:rsidRPr="000A3A07">
        <w:t>nkapaciteten längs norrlandskusten elimin</w:t>
      </w:r>
      <w:r w:rsidRPr="000A3A07">
        <w:t>e</w:t>
      </w:r>
      <w:r w:rsidRPr="000A3A07">
        <w:t>ras. ”Genom banan sänks visserligen de totala transportkostnaderna något men åtgärder på hamnsidan som möjliggör sjöfartslösningar har en väsentligt större effekt på den totala transportkostnadsnivån” (SIKA Rapport 1996:1, sidan 49). Utredningen diskuterar inte om åtgärder på hamnsidan kan bed</w:t>
      </w:r>
      <w:r w:rsidRPr="000A3A07">
        <w:t>ö</w:t>
      </w:r>
      <w:r w:rsidRPr="000A3A07">
        <w:t xml:space="preserve">mas komma till stånd också i det fall Botniabanan byggs. I så fall skulle förutsättningarna för godstrafikens lönsamhet på banan förändras. Det är att beklaga att utredningen </w:t>
      </w:r>
      <w:r w:rsidRPr="000A3A07">
        <w:t>inte närmare diskuterar denna fråga.</w:t>
      </w:r>
    </w:p>
    <w:p w14:paraId="471734DA" w14:textId="77777777" w:rsidR="007C11E9" w:rsidRPr="000A3A07" w:rsidRDefault="007C11E9">
      <w:pPr>
        <w:pStyle w:val="Rubrik1"/>
      </w:pPr>
      <w:bookmarkStart w:id="250" w:name="_Toc495906671"/>
      <w:bookmarkStart w:id="251" w:name="_Toc496510266"/>
      <w:bookmarkStart w:id="252" w:name="_Toc506341001"/>
      <w:r w:rsidRPr="000A3A07">
        <w:t>Miljöeffekter</w:t>
      </w:r>
      <w:bookmarkEnd w:id="250"/>
      <w:bookmarkEnd w:id="251"/>
      <w:bookmarkEnd w:id="252"/>
    </w:p>
    <w:p w14:paraId="60535C85" w14:textId="77777777" w:rsidR="007C11E9" w:rsidRPr="000A3A07" w:rsidRDefault="007C11E9">
      <w:r w:rsidRPr="000A3A07">
        <w:t>Utredningen räknar med betydande vinster i form av förbättrad miljö och minskade olycksrisker. Det rör sig om ca 25 miljoner för persontrafiken och 20 miljoner för godstrafiken. Bland annat ersätter Botniabanan ett stort antal bilresor. V</w:t>
      </w:r>
      <w:r w:rsidRPr="000A3A07">
        <w:t>i</w:t>
      </w:r>
      <w:r w:rsidRPr="000A3A07">
        <w:t>dare flyttas godstrafik från lastbil till järnväg.</w:t>
      </w:r>
    </w:p>
    <w:p w14:paraId="79114589" w14:textId="77777777" w:rsidR="007C11E9" w:rsidRPr="000A3A07" w:rsidRDefault="007C11E9">
      <w:pPr>
        <w:pStyle w:val="Normaltindrag"/>
      </w:pPr>
      <w:r w:rsidRPr="000A3A07">
        <w:t xml:space="preserve">När det gäller bilresor kan man diskutera huruvida bilister i genomsnitt täcker sina samhälleliga kostnader för vägslitage, olyckor, buller, trängsel, miljöpåverkan etc. Däremot tyder tillgängliga studier på att den </w:t>
      </w:r>
      <w:r w:rsidRPr="000A3A07">
        <w:rPr>
          <w:i/>
        </w:rPr>
        <w:t>samhäll</w:t>
      </w:r>
      <w:r w:rsidRPr="000A3A07">
        <w:rPr>
          <w:i/>
        </w:rPr>
        <w:t>s</w:t>
      </w:r>
      <w:r w:rsidRPr="000A3A07">
        <w:rPr>
          <w:i/>
        </w:rPr>
        <w:t>ekonomiska</w:t>
      </w:r>
      <w:r w:rsidRPr="000A3A07">
        <w:t xml:space="preserve"> marginalkostnaden mycket väl kan understiga den </w:t>
      </w:r>
      <w:r w:rsidRPr="000A3A07">
        <w:rPr>
          <w:i/>
        </w:rPr>
        <w:t>privata</w:t>
      </w:r>
      <w:r w:rsidRPr="000A3A07">
        <w:t xml:space="preserve"> ma</w:t>
      </w:r>
      <w:r w:rsidRPr="000A3A07">
        <w:t>r</w:t>
      </w:r>
      <w:r w:rsidRPr="000A3A07">
        <w:t>ginalkostnaden. På marginalen, dvs för en extra mil, är skatter och avgifter på bilister i nivå med eller högre än vad som är samhällsekonomiskt motiv</w:t>
      </w:r>
      <w:r w:rsidRPr="000A3A07">
        <w:t>e</w:t>
      </w:r>
      <w:r w:rsidRPr="000A3A07">
        <w:t>rat</w:t>
      </w:r>
      <w:r w:rsidRPr="000A3A07">
        <w:rPr>
          <w:rStyle w:val="Slutnotsreferens"/>
          <w:sz w:val="24"/>
        </w:rPr>
        <w:endnoteReference w:id="25"/>
      </w:r>
      <w:r w:rsidRPr="000A3A07">
        <w:t>. Man kan naturligtvis ifrågasätta dessa beräkningar. Det kan t ex ifr</w:t>
      </w:r>
      <w:r w:rsidRPr="000A3A07">
        <w:t>å</w:t>
      </w:r>
      <w:r w:rsidRPr="000A3A07">
        <w:t>gasättas att bilisten betalar tillräckligt för sin förmodade klimatpåverkan via utsläpp av växthusgaser. Det är dock inte självklart att sådana korrigeringar skulle leda till att den samhällsekonomiska marginalkostnaden blir högre än dagens genomsnittskostnad för bilisten. (Notera att den reala marginalkos</w:t>
      </w:r>
      <w:r w:rsidRPr="000A3A07">
        <w:t>t</w:t>
      </w:r>
      <w:r w:rsidRPr="000A3A07">
        <w:t>naden för klimatpåverkan inte ska sammanblandas med den energiskatt som kan krävas för att uppnå politiskt betingade utsläppsmål). Vi</w:t>
      </w:r>
      <w:r w:rsidRPr="000A3A07">
        <w:t>dare gäller, som utredningen också påpekar, att järnvägen i huvudsak torde ersätta biltrafik i glesbygdsmiljö där den för landet genomsnittliga miljövärderingen inte är tillämplig. Därför skulle man kunna hävda att utredningens angreppssätt överdriver värdet av minskad miljöpåverkan till följd av minskad bilism</w:t>
      </w:r>
      <w:r w:rsidRPr="000A3A07">
        <w:rPr>
          <w:rStyle w:val="Slutnotsreferens"/>
          <w:sz w:val="24"/>
        </w:rPr>
        <w:endnoteReference w:id="26"/>
      </w:r>
      <w:r w:rsidRPr="000A3A07">
        <w:t>. Motsvarande argument skulle möjligen kunna anföras när det gäller god</w:t>
      </w:r>
      <w:r w:rsidRPr="000A3A07">
        <w:t>s</w:t>
      </w:r>
      <w:r w:rsidRPr="000A3A07">
        <w:t>transporter, men förmodligen är beskattningen av olika godstransportaltern</w:t>
      </w:r>
      <w:r w:rsidRPr="000A3A07">
        <w:t>a</w:t>
      </w:r>
      <w:r w:rsidRPr="000A3A07">
        <w:t xml:space="preserve">tiv sådan att utredningens tillvägagångssätt inte kan avvisas. </w:t>
      </w:r>
    </w:p>
    <w:p w14:paraId="26A59634" w14:textId="77777777" w:rsidR="007C11E9" w:rsidRPr="000A3A07" w:rsidRDefault="007C11E9">
      <w:pPr>
        <w:pStyle w:val="Normaltindrag"/>
      </w:pPr>
      <w:r w:rsidRPr="000A3A07">
        <w:t>Den elenergi som tågen förbrukar förutsätts, så vitt jag kan se, vara helt ”ren” (SIKA Rapport 1996:1, sidan 24). Det är ett antagande som kan di</w:t>
      </w:r>
      <w:r w:rsidRPr="000A3A07">
        <w:t>s</w:t>
      </w:r>
      <w:r w:rsidRPr="000A3A07">
        <w:t>kuteras. Frågan är ju hur den marginella energienheten genereras. Under alla omständigheter bidrar angreppssättet till att (om än marginellt) överdriva järnvägsinvesteringars samhällsekonomiska lönsamhet.</w:t>
      </w:r>
    </w:p>
    <w:p w14:paraId="397FFF11" w14:textId="77777777" w:rsidR="007C11E9" w:rsidRPr="000A3A07" w:rsidRDefault="007C11E9">
      <w:pPr>
        <w:pStyle w:val="Normaltindrag"/>
      </w:pPr>
      <w:r w:rsidRPr="000A3A07">
        <w:t>Enligt det förslag SJ presenterat och som utgör grunden för Botniautre</w:t>
      </w:r>
      <w:r w:rsidRPr="000A3A07">
        <w:t>d</w:t>
      </w:r>
      <w:r w:rsidRPr="000A3A07">
        <w:t>ningens samhällsekonomiska godskalkyl körs mer än 35 godståg per dygn i båda riktningarna. Det framgår inte, så vitt jag kan se, hur många av dessa tåg som nattetid kommer att framföras på Botniabanan. Det kan dock bli fråga om omfattande bullerstörningar genom att Botniabanan passerar ig</w:t>
      </w:r>
      <w:r w:rsidRPr="000A3A07">
        <w:t>e</w:t>
      </w:r>
      <w:r w:rsidRPr="000A3A07">
        <w:t>nom eller nära många större samhällen på sträckan Sundsvall–Umeå. Det kan således bli fråga om betydande välfärdsförluster för närboende. Det faktum att kostnaden för vissa bullerdämpande åtgärder rimligen ingår i invest</w:t>
      </w:r>
      <w:r w:rsidRPr="000A3A07">
        <w:t>e</w:t>
      </w:r>
      <w:r w:rsidRPr="000A3A07">
        <w:t xml:space="preserve">ringskostnaden innebär ju inte att kvarstående besvär kan ignoreras i en samhällsekonomisk bedömning. </w:t>
      </w:r>
    </w:p>
    <w:p w14:paraId="7E68EF29" w14:textId="77777777" w:rsidR="007C11E9" w:rsidRPr="000A3A07" w:rsidRDefault="007C11E9">
      <w:pPr>
        <w:pStyle w:val="Normaltindrag"/>
      </w:pPr>
      <w:r w:rsidRPr="000A3A07">
        <w:t>Utredningen väljer att räkna ned kostnaden för vissa nödvändiga kringi</w:t>
      </w:r>
      <w:r w:rsidRPr="000A3A07">
        <w:t>n</w:t>
      </w:r>
      <w:r w:rsidRPr="000A3A07">
        <w:t>vesteringar (bussterminaler, parkeringsytor etc på stationsorter). Totalt b</w:t>
      </w:r>
      <w:r w:rsidRPr="000A3A07">
        <w:t>e</w:t>
      </w:r>
      <w:r w:rsidRPr="000A3A07">
        <w:t>räknas kringinvesteringarna kosta 1.4-2.7 miljarder kr (SOU 1996:95, sidan 86). Utredningen väljer, utan närmare motivering, att sätta kostnaden till 1.5 miljarder kr men kvittar halva kostnaden mot intäkter i form av bättre stad</w:t>
      </w:r>
      <w:r w:rsidRPr="000A3A07">
        <w:t>s</w:t>
      </w:r>
      <w:r w:rsidRPr="000A3A07">
        <w:t>miljö, anslutningstrafik mm. Därför belastar bara halva beloppet (dvs 0.75 miljarder kr) Botniabanan. Man skulle självfallet lika väl kunna argumentera för att Botniabanan skall belastas med en kostnad för</w:t>
      </w:r>
      <w:r w:rsidRPr="000A3A07">
        <w:t xml:space="preserve"> buller- och andra stö</w:t>
      </w:r>
      <w:r w:rsidRPr="000A3A07">
        <w:t>r</w:t>
      </w:r>
      <w:r w:rsidRPr="000A3A07">
        <w:t>ningar som trafiken vållar.  Återförs t ex 0.75 miljarder kr till kalkylen som en buffert för att täcka kostnaden för buller- och andra störningar, tillförs den samhällsekon</w:t>
      </w:r>
      <w:r w:rsidRPr="000A3A07">
        <w:t>o</w:t>
      </w:r>
      <w:r w:rsidRPr="000A3A07">
        <w:t>miska årskalkylen en kostnad på ca 50 miljoner kr</w:t>
      </w:r>
      <w:r w:rsidRPr="000A3A07">
        <w:rPr>
          <w:rStyle w:val="Slutnotsreferens"/>
          <w:sz w:val="24"/>
        </w:rPr>
        <w:endnoteReference w:id="27"/>
      </w:r>
      <w:r w:rsidRPr="000A3A07">
        <w:t>.</w:t>
      </w:r>
    </w:p>
    <w:p w14:paraId="1AABFCBF" w14:textId="77777777" w:rsidR="007C11E9" w:rsidRPr="000A3A07" w:rsidRDefault="007C11E9">
      <w:pPr>
        <w:pStyle w:val="Normaltindrag"/>
      </w:pPr>
      <w:r w:rsidRPr="000A3A07">
        <w:t>Utredningen diskuterar på ett rimligt sätt de naturintrång Botniabanan vå</w:t>
      </w:r>
      <w:r w:rsidRPr="000A3A07">
        <w:t>l</w:t>
      </w:r>
      <w:r w:rsidRPr="000A3A07">
        <w:t>lar. Bland annat bedöms bansträckningen i förhållande till riksintressen e</w:t>
      </w:r>
      <w:r w:rsidRPr="000A3A07">
        <w:t>n</w:t>
      </w:r>
      <w:r w:rsidRPr="000A3A07">
        <w:t>ligt naturresurslagen. Man får dock räkna med att en stor infrastrukturinve</w:t>
      </w:r>
      <w:r w:rsidRPr="000A3A07">
        <w:t>s</w:t>
      </w:r>
      <w:r w:rsidRPr="000A3A07">
        <w:t>tering innebär ett så omfattande ingrepp i natur- och kulturmiljön att medel bör reserveras för att täcka oförutsedda merkostnader för ändrad bansträc</w:t>
      </w:r>
      <w:r w:rsidRPr="000A3A07">
        <w:t>k</w:t>
      </w:r>
      <w:r w:rsidRPr="000A3A07">
        <w:t>ning och/eller kompensation av lokala intressen som påverkas negativt av investeringen. De hänsyn som kan tas inom ramen för den antagna invest</w:t>
      </w:r>
      <w:r w:rsidRPr="000A3A07">
        <w:t>e</w:t>
      </w:r>
      <w:r w:rsidRPr="000A3A07">
        <w:t>ringskostn</w:t>
      </w:r>
      <w:r w:rsidRPr="000A3A07">
        <w:t>a</w:t>
      </w:r>
      <w:r w:rsidRPr="000A3A07">
        <w:t>den innebär ju inte att intrången elimineras.</w:t>
      </w:r>
    </w:p>
    <w:p w14:paraId="530BE0CF" w14:textId="77777777" w:rsidR="007C11E9" w:rsidRPr="000A3A07" w:rsidRDefault="007C11E9">
      <w:pPr>
        <w:pStyle w:val="Normaltindrag"/>
      </w:pPr>
      <w:r w:rsidRPr="000A3A07">
        <w:t>Sammanta</w:t>
      </w:r>
      <w:r w:rsidRPr="000A3A07">
        <w:t>get får jag intrycket att Botniautredningen snarast överdriver banans positiva miljöeffekter. De positiva effekterna värderas och tillförs kalkylen som en intäkt. Det görs däremot inget försök att kvantifiera och värdera de problem som banan kan vålla för kringboende och via inverkan på känsliga natur- och kulturmiljöer (utöver vad som kan tänkas rymmas inom ramen för den antagna investeringskostnaden som för övrigt har ”ytterst små marginaler för höjda kostn</w:t>
      </w:r>
      <w:r w:rsidRPr="000A3A07">
        <w:t>a</w:t>
      </w:r>
      <w:r w:rsidRPr="000A3A07">
        <w:t xml:space="preserve">der” (SOU 1996:95, sidan 115)). </w:t>
      </w:r>
    </w:p>
    <w:p w14:paraId="09BC5299" w14:textId="77777777" w:rsidR="007C11E9" w:rsidRPr="000A3A07" w:rsidRDefault="007C11E9">
      <w:pPr>
        <w:pStyle w:val="Rubrik1"/>
      </w:pPr>
      <w:r w:rsidRPr="000A3A07">
        <w:br w:type="page"/>
      </w:r>
      <w:bookmarkStart w:id="253" w:name="_Toc495906672"/>
      <w:bookmarkStart w:id="254" w:name="_Toc496510267"/>
      <w:bookmarkStart w:id="255" w:name="_Toc506341002"/>
      <w:r w:rsidRPr="000A3A07">
        <w:t>Sysselsättningseffekter</w:t>
      </w:r>
      <w:bookmarkEnd w:id="253"/>
      <w:bookmarkEnd w:id="254"/>
      <w:bookmarkEnd w:id="255"/>
    </w:p>
    <w:p w14:paraId="18B9728E" w14:textId="77777777" w:rsidR="007C11E9" w:rsidRPr="000A3A07" w:rsidRDefault="007C11E9">
      <w:r w:rsidRPr="000A3A07">
        <w:t>Botniautredningen diskuterar inte hur en investering i banan kan tänkas påverka sysselsättningen. I en samhällsekonomisk bedömning av en omfa</w:t>
      </w:r>
      <w:r w:rsidRPr="000A3A07">
        <w:t>t</w:t>
      </w:r>
      <w:r w:rsidRPr="000A3A07">
        <w:t>tande infrastrukturinvestering som berör arbetslöshetsdrabbade regioner bör en sådan di</w:t>
      </w:r>
      <w:r w:rsidRPr="000A3A07">
        <w:t>s</w:t>
      </w:r>
      <w:r w:rsidRPr="000A3A07">
        <w:t>kussion inkluderas.</w:t>
      </w:r>
    </w:p>
    <w:p w14:paraId="1D6C6331" w14:textId="77777777" w:rsidR="007C11E9" w:rsidRPr="000A3A07" w:rsidRDefault="007C11E9">
      <w:pPr>
        <w:pStyle w:val="Normaltindrag"/>
      </w:pPr>
      <w:r w:rsidRPr="000A3A07">
        <w:t>Investeringen beräknas ge ca 10 000 årsarbetstillfällen under byggnadsf</w:t>
      </w:r>
      <w:r w:rsidRPr="000A3A07">
        <w:t>a</w:t>
      </w:r>
      <w:r w:rsidRPr="000A3A07">
        <w:t>sen. Även alternativfallet genererar självfallet sysselsättning. Den centrala frågan är om byggandet av Bo</w:t>
      </w:r>
      <w:r w:rsidRPr="000A3A07">
        <w:t>t</w:t>
      </w:r>
      <w:r w:rsidRPr="000A3A07">
        <w:t xml:space="preserve">niabanan berör fler arbetslösa än alternativet. </w:t>
      </w:r>
    </w:p>
    <w:p w14:paraId="62260BB7" w14:textId="77777777" w:rsidR="007C11E9" w:rsidRPr="000A3A07" w:rsidRDefault="007C11E9">
      <w:pPr>
        <w:pStyle w:val="Normaltindrag"/>
      </w:pPr>
      <w:r w:rsidRPr="000A3A07">
        <w:t>Antag att den direkta arbetskraftskostnaden är 180 miljoner (30 procent av investeringskostnaden uttryckt som annuitet). Antag vidare att 50 procent av arbetskraften eljest skulle vara arbetslös medan den arbetskraft som berörs av alternativfallet finner andra likvärdiga sysselsättningar. Sätts reservationsl</w:t>
      </w:r>
      <w:r w:rsidRPr="000A3A07">
        <w:t>ö</w:t>
      </w:r>
      <w:r w:rsidRPr="000A3A07">
        <w:t>nen för eljest arbetslösa till 80 procent av lönen (exklusive sociala avgifter) tillförs kalkylen ca 10 miljoner. Även om Botniabygget skulle komma att beröra relativt sett många arbetslösa blir genomslaget begränsat när reserv</w:t>
      </w:r>
      <w:r w:rsidRPr="000A3A07">
        <w:t>a</w:t>
      </w:r>
      <w:r w:rsidRPr="000A3A07">
        <w:t xml:space="preserve">tionslönen sätts till rimliga nivåer. </w:t>
      </w:r>
    </w:p>
    <w:p w14:paraId="689C5F2B" w14:textId="77777777" w:rsidR="007C11E9" w:rsidRPr="000A3A07" w:rsidRDefault="007C11E9">
      <w:pPr>
        <w:pStyle w:val="Normaltindrag"/>
      </w:pPr>
      <w:r w:rsidRPr="000A3A07">
        <w:t>På motsvarande sätt kan alternativen skilja sig åt under drifttiden. Med tanke på att banans förväntade livslängd är 60 år får man dock i båda alte</w:t>
      </w:r>
      <w:r w:rsidRPr="000A3A07">
        <w:t>r</w:t>
      </w:r>
      <w:r w:rsidRPr="000A3A07">
        <w:t xml:space="preserve">nativen, dvs med respektive utan Botniabana, räkna med anpassningar i arbetsmarknadens struktur. Det förefaller därför tämligen spekulativt att tillskriva Botniaalternativet stora långsiktiga sysselsättningsvinster i termer av reducerad arbetslöshet.  </w:t>
      </w:r>
    </w:p>
    <w:p w14:paraId="51FBDFD8" w14:textId="77777777" w:rsidR="007C11E9" w:rsidRPr="000A3A07" w:rsidRDefault="007C11E9">
      <w:pPr>
        <w:pStyle w:val="Normaltindrag"/>
      </w:pPr>
      <w:r w:rsidRPr="000A3A07">
        <w:t>Sammanfattningsvis saknar jag i Botniautredningen en diskussion om projektets sysselsättningseffekter. Det förefaller dock osannolikt att sysse</w:t>
      </w:r>
      <w:r w:rsidRPr="000A3A07">
        <w:t>l</w:t>
      </w:r>
      <w:r w:rsidRPr="000A3A07">
        <w:t>sättningseffekterna på något avgörande sätt förändrar Botniabanans sa</w:t>
      </w:r>
      <w:r w:rsidRPr="000A3A07">
        <w:t>m</w:t>
      </w:r>
      <w:r w:rsidRPr="000A3A07">
        <w:t>hällsekonomiska lönsamhet. I synnerhet är så fallet om banan jämförs med andra infrastrukturinvesteringar i övre Norrland.</w:t>
      </w:r>
    </w:p>
    <w:p w14:paraId="46C73889" w14:textId="77777777" w:rsidR="007C11E9" w:rsidRPr="000A3A07" w:rsidRDefault="007C11E9">
      <w:pPr>
        <w:pStyle w:val="Rubrik1"/>
      </w:pPr>
      <w:r w:rsidRPr="000A3A07">
        <w:br w:type="page"/>
      </w:r>
      <w:bookmarkStart w:id="256" w:name="_Toc495906673"/>
      <w:bookmarkStart w:id="257" w:name="_Toc496510268"/>
      <w:bookmarkStart w:id="258" w:name="_Toc506341003"/>
      <w:r w:rsidRPr="000A3A07">
        <w:t>Övriga effekter och antaganden</w:t>
      </w:r>
      <w:bookmarkEnd w:id="256"/>
      <w:bookmarkEnd w:id="257"/>
      <w:bookmarkEnd w:id="258"/>
    </w:p>
    <w:p w14:paraId="63D0BC27" w14:textId="77777777" w:rsidR="007C11E9" w:rsidRPr="000A3A07" w:rsidRDefault="007C11E9">
      <w:r w:rsidRPr="000A3A07">
        <w:t xml:space="preserve">Botniautredningen förutsätter att vinsterna minskar för transportföretag som förlorar resenärer till Botniatrafiken. Intäktsminskningen, huvudsakligen för flyget, beräknas till 350 miljoner kr per år. Vinstmarginalen antas vara 10 procent, varför vinstbortfallet blir 35 miljoner kr. Detta vinstbortfall utgör en kostnad i Botniakalkylen. </w:t>
      </w:r>
    </w:p>
    <w:p w14:paraId="59CF22F2" w14:textId="77777777" w:rsidR="007C11E9" w:rsidRPr="000A3A07" w:rsidRDefault="007C11E9">
      <w:pPr>
        <w:pStyle w:val="Normaltindrag"/>
      </w:pPr>
      <w:r w:rsidRPr="000A3A07">
        <w:t>Det är vanligt att i samhällsekonomiska kalkyler anta att sådana vinstbor</w:t>
      </w:r>
      <w:r w:rsidRPr="000A3A07">
        <w:t>t</w:t>
      </w:r>
      <w:r w:rsidRPr="000A3A07">
        <w:t>fall är försumbara. Företagen antas producera i en sådan omfattning att bi</w:t>
      </w:r>
      <w:r w:rsidRPr="000A3A07">
        <w:t>l</w:t>
      </w:r>
      <w:r w:rsidRPr="000A3A07">
        <w:t>jettintäkten för den marginella passageraren ungefär täcker marginalkostn</w:t>
      </w:r>
      <w:r w:rsidRPr="000A3A07">
        <w:t>a</w:t>
      </w:r>
      <w:r w:rsidRPr="000A3A07">
        <w:t>den. Det blir då inget nämnvärt vinstbortfall om ett antal kunder väljer ett annat transportsätt. Det kan naturligtvis hävdas att trafiken på Botniabanan blir så omfattande att det sedvanliga marginalresonemanget faller. Så berä</w:t>
      </w:r>
      <w:r w:rsidRPr="000A3A07">
        <w:t>k</w:t>
      </w:r>
      <w:r w:rsidRPr="000A3A07">
        <w:t>nas t ex 55 000 resenärer (t/r) ta tåg i stället för flyg. Det motsvarar 1-2 ful</w:t>
      </w:r>
      <w:r w:rsidRPr="000A3A07">
        <w:t>l</w:t>
      </w:r>
      <w:r w:rsidRPr="000A3A07">
        <w:t xml:space="preserve">satta plan per dag. </w:t>
      </w:r>
    </w:p>
    <w:p w14:paraId="7A7C84A3" w14:textId="77777777" w:rsidR="007C11E9" w:rsidRPr="000A3A07" w:rsidRDefault="007C11E9">
      <w:pPr>
        <w:pStyle w:val="Normaltindrag"/>
      </w:pPr>
      <w:r w:rsidRPr="000A3A07">
        <w:t>Botniautredningens angreppssätt</w:t>
      </w:r>
      <w:r w:rsidRPr="000A3A07">
        <w:t xml:space="preserve"> är således inte orimligt. Däremot kan självfallet storleken på vinstbortfallet diskuteras. Konkurrenterna, t ex flyget, har ju möjlighet att anpassa såväl priser som antalet avgångar och/eller sto</w:t>
      </w:r>
      <w:r w:rsidRPr="000A3A07">
        <w:t>r</w:t>
      </w:r>
      <w:r w:rsidRPr="000A3A07">
        <w:t>leken på de plan som trafikerar berörda flygplatser för att motverka ett vins</w:t>
      </w:r>
      <w:r w:rsidRPr="000A3A07">
        <w:t>t</w:t>
      </w:r>
      <w:r w:rsidRPr="000A3A07">
        <w:t>bortfall. Dessutom rör det sig om mycket långa tidsperspektiv vilket ökar möjligheterna till anpassningar.</w:t>
      </w:r>
    </w:p>
    <w:p w14:paraId="15F9628B" w14:textId="77777777" w:rsidR="007C11E9" w:rsidRPr="000A3A07" w:rsidRDefault="007C11E9">
      <w:pPr>
        <w:pStyle w:val="Normaltindrag"/>
      </w:pPr>
      <w:r w:rsidRPr="000A3A07">
        <w:t>När det gäller godstransporter tycks utredningen inte räkna med vinstbor</w:t>
      </w:r>
      <w:r w:rsidRPr="000A3A07">
        <w:t>t</w:t>
      </w:r>
      <w:r w:rsidRPr="000A3A07">
        <w:t xml:space="preserve">fall, vilket kan förefalla något inkonsekvent. Sett ur ett längre tidsperspektiv förefaller det dock rimligt att inte räkna med några större vinstbortfall. Så torde t ex antalet nyinköpta lastbilar anpassas efter godstrafikens omfattning. </w:t>
      </w:r>
    </w:p>
    <w:p w14:paraId="1B4635C1" w14:textId="77777777" w:rsidR="007C11E9" w:rsidRPr="000A3A07" w:rsidRDefault="007C11E9">
      <w:pPr>
        <w:pStyle w:val="Normaltindrag"/>
      </w:pPr>
      <w:r w:rsidRPr="000A3A07">
        <w:t>Utredningens behandling av subventioner är korrekt. Behandlingen av skatter följer den praxis SIKA använder för infrastrukturinvesteringar. De</w:t>
      </w:r>
      <w:r w:rsidRPr="000A3A07">
        <w:t>t</w:t>
      </w:r>
      <w:r w:rsidRPr="000A3A07">
        <w:t>samma gäller valet av diskonteringsränta (4 procent). Man kan självfallet diskutera dessa antaganden. Botniautredningens antaganden förefaller dock inte på något sätt orealistiska, även om känslighetsanalyser hade varit öns</w:t>
      </w:r>
      <w:r w:rsidRPr="000A3A07">
        <w:t>k</w:t>
      </w:r>
      <w:r w:rsidRPr="000A3A07">
        <w:t xml:space="preserve">värda. </w:t>
      </w:r>
    </w:p>
    <w:p w14:paraId="6F88FCFC" w14:textId="77777777" w:rsidR="007C11E9" w:rsidRPr="000A3A07" w:rsidRDefault="007C11E9">
      <w:pPr>
        <w:pStyle w:val="Normaltindrag"/>
      </w:pPr>
      <w:r w:rsidRPr="000A3A07">
        <w:t>Däremot är utredningens sätt att basera kalkylen på en mängd antaganden om den ekonomiska utvecklingen till år 2010 (och även därefter) något pr</w:t>
      </w:r>
      <w:r w:rsidRPr="000A3A07">
        <w:t>o</w:t>
      </w:r>
      <w:r w:rsidRPr="000A3A07">
        <w:t>blematisk. Även för den läsare som har vana vid samhällsekonomiska b</w:t>
      </w:r>
      <w:r w:rsidRPr="000A3A07">
        <w:t>e</w:t>
      </w:r>
      <w:r w:rsidRPr="000A3A07">
        <w:t>dömningar är det närmast omöjligt att bedöma eller ens gissa vad olika ant</w:t>
      </w:r>
      <w:r w:rsidRPr="000A3A07">
        <w:t>a</w:t>
      </w:r>
      <w:r w:rsidRPr="000A3A07">
        <w:t>ganden (och diskonteringsförfaranden) innebär för ka</w:t>
      </w:r>
      <w:r w:rsidRPr="000A3A07">
        <w:t>l</w:t>
      </w:r>
      <w:r w:rsidRPr="000A3A07">
        <w:t xml:space="preserve">kylresultatet. </w:t>
      </w:r>
    </w:p>
    <w:p w14:paraId="755E4183" w14:textId="77777777" w:rsidR="007C11E9" w:rsidRPr="000A3A07" w:rsidRDefault="007C11E9">
      <w:pPr>
        <w:pStyle w:val="Normaltindrag"/>
      </w:pPr>
      <w:r w:rsidRPr="000A3A07">
        <w:t>Ett rimligt angreppsätt kan vara att basera en baskalkyl på dagens priser och efterfrågeförhållanden (som vi ju känner). Den jämförs sedan med h</w:t>
      </w:r>
      <w:r w:rsidRPr="000A3A07">
        <w:t>u</w:t>
      </w:r>
      <w:r w:rsidRPr="000A3A07">
        <w:t>vudkalkylen, som avser förhållandena då banan tas i drift, kanske 10-15 år framåt i tiden. Läsaren får då en viss möjlighet att bedöma hur kalkylresu</w:t>
      </w:r>
      <w:r w:rsidRPr="000A3A07">
        <w:t>l</w:t>
      </w:r>
      <w:r w:rsidRPr="000A3A07">
        <w:t>tatet påverkas av den antagna ekonomiska utvecklingen. Botniautredningen redovisar visserligen känslighetsanalyser vad avser nyckelparametrar men när förutsättningarna för huvudkalkylen inte är uppenbara blir känslighe</w:t>
      </w:r>
      <w:r w:rsidRPr="000A3A07">
        <w:t>t</w:t>
      </w:r>
      <w:r w:rsidRPr="000A3A07">
        <w:t>s-analyserna av mindre värde.</w:t>
      </w:r>
    </w:p>
    <w:p w14:paraId="3C042312" w14:textId="77777777" w:rsidR="007C11E9" w:rsidRPr="000A3A07" w:rsidRDefault="007C11E9">
      <w:pPr>
        <w:pStyle w:val="Normaltindrag"/>
      </w:pPr>
      <w:r w:rsidRPr="000A3A07">
        <w:t>Botniautredningen räknar med att Botniabanan medför i stort sett en fö</w:t>
      </w:r>
      <w:r w:rsidRPr="000A3A07">
        <w:t>r</w:t>
      </w:r>
      <w:r w:rsidRPr="000A3A07">
        <w:t>dubbling av det långväga tågresandet på övre Norrland. Med Botniabanan bedöms järnvägen svara för 20 procent av det långväga resandet år 2010. I riket som helhet bedöms järnvägen samma år svara för drygt 10 procent av det långväga resandet. Det kan också noteras att järnvägen 1995 svarade för ca 10 procent av resandet mellan Skåne och Stockholmsregionen (SOU 1996:95, sidan 105). Man kan trots detta inte avvisa Botniautredningens prognos som helt orealistisk. Tillgängliga studier tyder på att restidsförkor</w:t>
      </w:r>
      <w:r w:rsidRPr="000A3A07">
        <w:t>t</w:t>
      </w:r>
      <w:r w:rsidRPr="000A3A07">
        <w:t>ningar ger en kraftig efterfrågeökning. Enligt SIKA tycks restidselasticiteten vara ca -1, dvs förkortas restiden med 10 procent så ökar efterfrågan med 10 procent. En djärv (över-) tolkning av denna elasticitet är att en halvering av restiden leder till en fördubbling av antalet resor, vilket ungefär är vad Botn</w:t>
      </w:r>
      <w:r w:rsidRPr="000A3A07">
        <w:t>i</w:t>
      </w:r>
      <w:r w:rsidRPr="000A3A07">
        <w:t xml:space="preserve">autredningen antar. </w:t>
      </w:r>
    </w:p>
    <w:p w14:paraId="05C23359" w14:textId="77777777" w:rsidR="007C11E9" w:rsidRPr="000A3A07" w:rsidRDefault="007C11E9">
      <w:pPr>
        <w:pStyle w:val="Normaltindrag"/>
      </w:pPr>
      <w:r w:rsidRPr="000A3A07">
        <w:t>Utredningen bedömer det dock som troligare att man överskattat än unde</w:t>
      </w:r>
      <w:r w:rsidRPr="000A3A07">
        <w:t>r</w:t>
      </w:r>
      <w:r w:rsidRPr="000A3A07">
        <w:t>skattat resandeutvecklingen (SOU 1996:95, sidan 106). Ett problem i sa</w:t>
      </w:r>
      <w:r w:rsidRPr="000A3A07">
        <w:t>m</w:t>
      </w:r>
      <w:r w:rsidRPr="000A3A07">
        <w:t>manhanget är att erfarenheterna från t ex den nya snabbtågstrafiken i Mäla</w:t>
      </w:r>
      <w:r w:rsidRPr="000A3A07">
        <w:t>r</w:t>
      </w:r>
      <w:r w:rsidRPr="000A3A07">
        <w:t>dalen inte ger någon vägledning när det gäller resor på Botniabanan eftersom restiderna är så olika. De restidselasticiteter som skattats torde även de avse kortare resor än vad som är aktuellt på Botniabanan och skall rimligen tolkas i termer av relativt små variationer i restid. Det kan även ifrågasättas om de kan appliceras på det mycket speciella fall där det</w:t>
      </w:r>
      <w:r w:rsidRPr="000A3A07">
        <w:t xml:space="preserve"> utan utbyggnad inte finns någon förbindelse med dagtåg. </w:t>
      </w:r>
    </w:p>
    <w:p w14:paraId="06388D97" w14:textId="77777777" w:rsidR="007C11E9" w:rsidRPr="000A3A07" w:rsidRDefault="007C11E9">
      <w:pPr>
        <w:pStyle w:val="Normaltindrag"/>
      </w:pPr>
      <w:r w:rsidRPr="000A3A07">
        <w:t>Om Botniabanans marknadsandel blir 15 snarare än 20 procent bedömer utredningen att det samhällsekonomiska resultatet försämras med ca 90 miljoner kr, medan resultatet förbättras med lika mycket om marknadsand</w:t>
      </w:r>
      <w:r w:rsidRPr="000A3A07">
        <w:t>e</w:t>
      </w:r>
      <w:r w:rsidRPr="000A3A07">
        <w:t>len blir 25 procent. Kalkylen är således känslig för efterfrågeutvecklingen. Förmodligen överdrivs dock beroendet. De marginella resenärer som berörs av efterfrågeändringar gör sannolikt mindre konsumentöverskottsvinster än genomsnittsresenären.</w:t>
      </w:r>
    </w:p>
    <w:p w14:paraId="429C8C6F" w14:textId="77777777" w:rsidR="007C11E9" w:rsidRPr="000A3A07" w:rsidRDefault="007C11E9">
      <w:pPr>
        <w:pStyle w:val="Normaltindrag"/>
      </w:pPr>
      <w:r w:rsidRPr="000A3A07">
        <w:t>Ett problem i sammanhanget är den så kallade tretimmarsregeln. Enligt denna grova tumregel får den totala restiden för en enkelresa vara högst ca tre timmar för att de för lönsa</w:t>
      </w:r>
      <w:r w:rsidRPr="000A3A07">
        <w:t>m</w:t>
      </w:r>
      <w:r w:rsidRPr="000A3A07">
        <w:t>heten så viktiga (fullbetalande) över-dagen-resenärerna skall finna ett transportalternativ konkurrenskraftigt. Botniab</w:t>
      </w:r>
      <w:r w:rsidRPr="000A3A07">
        <w:t>a</w:t>
      </w:r>
      <w:r w:rsidRPr="000A3A07">
        <w:t>nan klarar självfallet inte denna grova tumregel. Tyvärr för inte Botniautre</w:t>
      </w:r>
      <w:r w:rsidRPr="000A3A07">
        <w:t>d</w:t>
      </w:r>
      <w:r w:rsidRPr="000A3A07">
        <w:t>ningen något resonemang kring denna för snabbtågstrafik så viktiga lönsa</w:t>
      </w:r>
      <w:r w:rsidRPr="000A3A07">
        <w:t>m</w:t>
      </w:r>
      <w:r w:rsidRPr="000A3A07">
        <w:t xml:space="preserve">hetsproblematik. </w:t>
      </w:r>
    </w:p>
    <w:p w14:paraId="0AC4491B" w14:textId="77777777" w:rsidR="007C11E9" w:rsidRPr="000A3A07" w:rsidRDefault="007C11E9">
      <w:pPr>
        <w:pStyle w:val="Normaltindrag"/>
      </w:pPr>
      <w:r w:rsidRPr="000A3A07">
        <w:t>Mellan 1986 och 1996 ökade det reala biljettpriset för tågresor med ca 15 procent. Trots det räknar Botniautredningen med att priserna skall kunna sänkas något jämfört med rådande prisnivå därför att resvägen blir något kor</w:t>
      </w:r>
      <w:r w:rsidRPr="000A3A07">
        <w:t>tare (SOU 1996:95, sidan 95). Det kan kanske förefalla något optimi</w:t>
      </w:r>
      <w:r w:rsidRPr="000A3A07">
        <w:t>s</w:t>
      </w:r>
      <w:r w:rsidRPr="000A3A07">
        <w:t>tiskt. Ytterst kommer dock priserna att bestämmas av efterfråge- och utbud</w:t>
      </w:r>
      <w:r w:rsidRPr="000A3A07">
        <w:t>s</w:t>
      </w:r>
      <w:r w:rsidRPr="000A3A07">
        <w:t xml:space="preserve">faktorer. </w:t>
      </w:r>
    </w:p>
    <w:p w14:paraId="27354EED" w14:textId="77777777" w:rsidR="007C11E9" w:rsidRPr="000A3A07" w:rsidRDefault="007C11E9">
      <w:pPr>
        <w:pStyle w:val="Normaltindrag"/>
      </w:pPr>
      <w:r w:rsidRPr="000A3A07">
        <w:t>Sammanfattningsvis förefaller Botniautredningens trafikprognoser måhä</w:t>
      </w:r>
      <w:r w:rsidRPr="000A3A07">
        <w:t>n</w:t>
      </w:r>
      <w:r w:rsidRPr="000A3A07">
        <w:t>da optimistiska, men utredningen genomför känslighetsanalyser för att visa hur kalkylresultatet påverkas av efterfrågeförändringar. Även det företag</w:t>
      </w:r>
      <w:r w:rsidRPr="000A3A07">
        <w:t>s</w:t>
      </w:r>
      <w:r w:rsidRPr="000A3A07">
        <w:t>ekonomiska utfallet påverkas av antalet resenärer. SJ gör tydligen bedö</w:t>
      </w:r>
      <w:r w:rsidRPr="000A3A07">
        <w:t>m</w:t>
      </w:r>
      <w:r w:rsidRPr="000A3A07">
        <w:t>ningen att en ökning med 20 procent i förhållande till Botniautredningens prognos förbättrar resultatet med några tiotal miljoner kr (SOU 1996:95, sidan 96), vilket bara marginellt påverkar utfallet av den samhällsekonomi</w:t>
      </w:r>
      <w:r w:rsidRPr="000A3A07">
        <w:t>s</w:t>
      </w:r>
      <w:r w:rsidRPr="000A3A07">
        <w:t>ka kalkylen.</w:t>
      </w:r>
    </w:p>
    <w:p w14:paraId="4321A3D4" w14:textId="77777777" w:rsidR="007C11E9" w:rsidRPr="000A3A07" w:rsidRDefault="007C11E9">
      <w:pPr>
        <w:pStyle w:val="Normaltindrag"/>
      </w:pPr>
      <w:r w:rsidRPr="000A3A07">
        <w:t>Det bör dock påpekas att utredningen förutsätter en ”au</w:t>
      </w:r>
      <w:r w:rsidRPr="000A3A07">
        <w:t>tonom” efterfråg</w:t>
      </w:r>
      <w:r w:rsidRPr="000A3A07">
        <w:t>e</w:t>
      </w:r>
      <w:r w:rsidRPr="000A3A07">
        <w:t>utveckling bortom år 2010. Antalet resenärer förväntas vara ca 40–50 pr</w:t>
      </w:r>
      <w:r w:rsidRPr="000A3A07">
        <w:t>o</w:t>
      </w:r>
      <w:r w:rsidRPr="000A3A07">
        <w:t>cent fler i slutet av driftsperioden, dvs omkring år 2065–2070, än år 2010. (Se SIKA Rapport 1996:1, bilaga 1, sidan 24, där efterfrågan förutsätts öka med 1.2 procent per år 2010–2019 och 0.5 procent per år därefter). Tyvärr framgår det inte av utredningen hur kraftigt antagandet påverkar kalkylens utfall. En grov överslagsberäkning tyder på att antagandet medför att intä</w:t>
      </w:r>
      <w:r w:rsidRPr="000A3A07">
        <w:t>k</w:t>
      </w:r>
      <w:r w:rsidRPr="000A3A07">
        <w:t>terna ökar med 15–20 procent</w:t>
      </w:r>
      <w:r w:rsidRPr="000A3A07">
        <w:rPr>
          <w:rStyle w:val="Slutnotsreferens"/>
          <w:sz w:val="24"/>
        </w:rPr>
        <w:endnoteReference w:id="28"/>
      </w:r>
      <w:r w:rsidRPr="000A3A07">
        <w:t xml:space="preserve">. </w:t>
      </w:r>
    </w:p>
    <w:p w14:paraId="7C96CBA9" w14:textId="77777777" w:rsidR="007C11E9" w:rsidRPr="000A3A07" w:rsidRDefault="007C11E9">
      <w:pPr>
        <w:pStyle w:val="Normaltindrag"/>
      </w:pPr>
      <w:r w:rsidRPr="000A3A07">
        <w:t>Alternativet till Botniabanan antas vara ett traditionellt nollalternativ. Det är inte på något sätt orimligt. Det hade dock varit förtjänstfullt om utrednin</w:t>
      </w:r>
      <w:r w:rsidRPr="000A3A07">
        <w:t>g</w:t>
      </w:r>
      <w:r w:rsidRPr="000A3A07">
        <w:t>en relaterat Botniabanans samhällsekonomiska lönsamhet till den uppskatt</w:t>
      </w:r>
      <w:r w:rsidRPr="000A3A07">
        <w:t>a</w:t>
      </w:r>
      <w:r w:rsidRPr="000A3A07">
        <w:t>de lönsamheten för andra stora infrastrukturinvesteringar. Sådana jämförelser framstår som särskilt relevanta om Botniabanan kan förmodas konkurrera om en mer eller mindre begränsad ”budget” för offentliga infrastrukturinvest</w:t>
      </w:r>
      <w:r w:rsidRPr="000A3A07">
        <w:t>e</w:t>
      </w:r>
      <w:r w:rsidRPr="000A3A07">
        <w:t>ringar. De antaganden som används av Botniautredningen sammanfaller väsentligen med de antaganden som används för att bedöma infrastrukturi</w:t>
      </w:r>
      <w:r w:rsidRPr="000A3A07">
        <w:t>n</w:t>
      </w:r>
      <w:r w:rsidRPr="000A3A07">
        <w:t>vesteringars samhällsekonomiska lönsamhet. Det borde därför ha varit rel</w:t>
      </w:r>
      <w:r w:rsidRPr="000A3A07">
        <w:t>a</w:t>
      </w:r>
      <w:r w:rsidRPr="000A3A07">
        <w:t>tivt enkelt att komplettera utredningen med en översiktlig diskussion om andra aktuella infrastrukturinvesteringars lönsamhet. Utredningen diskuterar bland annat ett alternativ som innebär nya lok för att öka kapaciteten på stambanan samt ett alternativ som innebär utökad hamnkapacitet. Det hade varit värdefullt om lönsamheten för dessa investeringar hade jämförts med Botniab</w:t>
      </w:r>
      <w:r w:rsidRPr="000A3A07">
        <w:t>a</w:t>
      </w:r>
      <w:r w:rsidRPr="000A3A07">
        <w:t>nans lönsamhet.</w:t>
      </w:r>
    </w:p>
    <w:p w14:paraId="401015D2" w14:textId="77777777" w:rsidR="007C11E9" w:rsidRPr="000A3A07" w:rsidRDefault="007C11E9">
      <w:pPr>
        <w:pStyle w:val="Normaltindrag"/>
      </w:pPr>
      <w:r w:rsidRPr="000A3A07">
        <w:t>Man skulle naturligtvis också kunna tänka sig ett framtidsscenario med dramatiskt höjda skatter på flygresor och dri</w:t>
      </w:r>
      <w:r w:rsidRPr="000A3A07">
        <w:t>vmedel för person- och lastbilar. Det skulle förändra förutsättningarna för Botniabanan. Det reser dock även mer fundamentala frågor, t ex om Umeås möjlighet att fungera som ett til</w:t>
      </w:r>
      <w:r w:rsidRPr="000A3A07">
        <w:t>l</w:t>
      </w:r>
      <w:r w:rsidRPr="000A3A07">
        <w:t xml:space="preserve">växtcentrum för övre Norrland. Umeå hamnar ju, åtminstone i termer av res- och transportkostnader, längre från övriga tillväxtcentra.  </w:t>
      </w:r>
    </w:p>
    <w:p w14:paraId="4421E3D8" w14:textId="77777777" w:rsidR="007C11E9" w:rsidRPr="000A3A07" w:rsidRDefault="007C11E9">
      <w:pPr>
        <w:pStyle w:val="Normaltindrag"/>
      </w:pPr>
      <w:r w:rsidRPr="000A3A07">
        <w:t>Botniautredningen menar att Botniabanan knappast genererar betydande regionalekonomiska vinster utöver dem som fångas in av en samhällsekon</w:t>
      </w:r>
      <w:r w:rsidRPr="000A3A07">
        <w:t>o</w:t>
      </w:r>
      <w:r w:rsidRPr="000A3A07">
        <w:t>misk bedömning. Jag delar den uppfattningen. På basis av den kunskap som föreligger, se t ex SOU 1996:95, sidorna 46-47, förefaller det mindre sann</w:t>
      </w:r>
      <w:r w:rsidRPr="000A3A07">
        <w:t>o</w:t>
      </w:r>
      <w:r w:rsidRPr="000A3A07">
        <w:t>likt att en infrastrukturinvestering av det slag som är aktuell här (med långa avstånd mellan de större regionala knutpunkterna) genererar påtagliga e</w:t>
      </w:r>
      <w:r w:rsidRPr="000A3A07">
        <w:t>f</w:t>
      </w:r>
      <w:r w:rsidRPr="000A3A07">
        <w:t xml:space="preserve">fekter utöver dem som beaktats i utredningen. </w:t>
      </w:r>
    </w:p>
    <w:p w14:paraId="632EA50A" w14:textId="77777777" w:rsidR="007C11E9" w:rsidRPr="000A3A07" w:rsidRDefault="007C11E9">
      <w:pPr>
        <w:pStyle w:val="Rubrik1"/>
        <w:ind w:left="357" w:hanging="357"/>
      </w:pPr>
      <w:r w:rsidRPr="000A3A07">
        <w:br w:type="page"/>
      </w:r>
      <w:bookmarkStart w:id="259" w:name="_Toc495906674"/>
      <w:bookmarkStart w:id="260" w:name="_Toc496510269"/>
      <w:bookmarkStart w:id="261" w:name="_Toc506341004"/>
      <w:r w:rsidRPr="000A3A07">
        <w:t>Sammanfattande synpunkter på Botniautredningens samhällsekonomiska analys</w:t>
      </w:r>
      <w:bookmarkEnd w:id="259"/>
      <w:bookmarkEnd w:id="260"/>
      <w:bookmarkEnd w:id="261"/>
    </w:p>
    <w:p w14:paraId="0F7E6D18" w14:textId="77777777" w:rsidR="007C11E9" w:rsidRPr="000A3A07" w:rsidRDefault="007C11E9">
      <w:r w:rsidRPr="000A3A07">
        <w:t>Jag har granskat Botniautredningens samhällsekonomiska kalkyl på ett antal punkter. Mitt huvudintryck är att utredningen har gjort ett habilt arbete. På några punkter finns det dock anledning att kommentera utredningens meto</w:t>
      </w:r>
      <w:r w:rsidRPr="000A3A07">
        <w:t>d</w:t>
      </w:r>
      <w:r w:rsidRPr="000A3A07">
        <w:t>val och/eller slutsatser.</w:t>
      </w:r>
    </w:p>
    <w:p w14:paraId="002BD9E2" w14:textId="77777777" w:rsidR="007C11E9" w:rsidRPr="000A3A07" w:rsidRDefault="007C11E9">
      <w:pPr>
        <w:pStyle w:val="Normaltindrag"/>
      </w:pPr>
    </w:p>
    <w:p w14:paraId="2D52745E" w14:textId="77777777" w:rsidR="007C11E9" w:rsidRPr="000A3A07" w:rsidRDefault="007C11E9">
      <w:pPr>
        <w:pStyle w:val="Normaltindrag"/>
        <w:numPr>
          <w:ilvl w:val="0"/>
          <w:numId w:val="93"/>
        </w:numPr>
      </w:pPr>
      <w:r w:rsidRPr="000A3A07">
        <w:t>Utredningen räknar med att resenärer som berörs av Botniabanan erhå</w:t>
      </w:r>
      <w:r w:rsidRPr="000A3A07">
        <w:t>l</w:t>
      </w:r>
      <w:r w:rsidRPr="000A3A07">
        <w:t>ler ett konsumentöverskott, främst via kortare restider. Beräkningen b</w:t>
      </w:r>
      <w:r w:rsidRPr="000A3A07">
        <w:t>a</w:t>
      </w:r>
      <w:r w:rsidRPr="000A3A07">
        <w:t>seras på en metod som ofta används för att värdera infrastrukturinvest</w:t>
      </w:r>
      <w:r w:rsidRPr="000A3A07">
        <w:t>e</w:t>
      </w:r>
      <w:r w:rsidRPr="000A3A07">
        <w:t>ringar i Sverige. Enligt utredningen indikerar ansatsen i sin traditionella eller mest renodlade tappning att det totala konsumentöverskottet up</w:t>
      </w:r>
      <w:r w:rsidRPr="000A3A07">
        <w:t>p</w:t>
      </w:r>
      <w:r w:rsidRPr="000A3A07">
        <w:t xml:space="preserve">går till ca 535 miljoner kr. </w:t>
      </w:r>
    </w:p>
    <w:p w14:paraId="4F46F5A4" w14:textId="77777777" w:rsidR="007C11E9" w:rsidRPr="000A3A07" w:rsidRDefault="007C11E9">
      <w:pPr>
        <w:pStyle w:val="Normaltindrag"/>
        <w:numPr>
          <w:ilvl w:val="0"/>
          <w:numId w:val="93"/>
        </w:numPr>
      </w:pPr>
      <w:r w:rsidRPr="000A3A07">
        <w:t>Den föga trovärdiga konsekvensen blir att den typiske privatresenären på t ex sträckan Stockholm–Umeå väljer snabbtåget även om tågresan skulle kosta mer än en flygresa</w:t>
      </w:r>
      <w:r w:rsidRPr="000A3A07">
        <w:rPr>
          <w:rStyle w:val="Slutnotsreferens"/>
          <w:sz w:val="24"/>
        </w:rPr>
        <w:endnoteReference w:id="29"/>
      </w:r>
      <w:r w:rsidRPr="000A3A07">
        <w:t>. Detta trots att tågalternativet fö</w:t>
      </w:r>
      <w:r w:rsidRPr="000A3A07">
        <w:t>r</w:t>
      </w:r>
      <w:r w:rsidRPr="000A3A07">
        <w:t xml:space="preserve">länger restiden med ca 5 timmar t/r.  </w:t>
      </w:r>
    </w:p>
    <w:p w14:paraId="704A8558" w14:textId="77777777" w:rsidR="007C11E9" w:rsidRPr="000A3A07" w:rsidRDefault="007C11E9">
      <w:pPr>
        <w:pStyle w:val="Normaltindrag"/>
        <w:numPr>
          <w:ilvl w:val="0"/>
          <w:numId w:val="93"/>
        </w:numPr>
      </w:pPr>
      <w:r w:rsidRPr="000A3A07">
        <w:t>Utredningen har gjort ett förtjänstfullt arbete genom att indikera vilka säregna resultat ansatsen kan leda till i sin mest ”renodlade” form. Det totala konsumentöverskottet justeras också av utredningen ned från ”basfallets” 535 miljoner kr till de 300 miljoner kr som tas upp i kalk</w:t>
      </w:r>
      <w:r w:rsidRPr="000A3A07">
        <w:t>y</w:t>
      </w:r>
      <w:r w:rsidRPr="000A3A07">
        <w:t>len.</w:t>
      </w:r>
    </w:p>
    <w:p w14:paraId="75EA68F7" w14:textId="77777777" w:rsidR="007C11E9" w:rsidRPr="000A3A07" w:rsidRDefault="007C11E9">
      <w:pPr>
        <w:pStyle w:val="Normaltindrag"/>
        <w:numPr>
          <w:ilvl w:val="0"/>
          <w:numId w:val="93"/>
        </w:numPr>
      </w:pPr>
      <w:r w:rsidRPr="000A3A07">
        <w:t>Ansatsen är dock, trots de korrigeringar som utredningen genomför, inte meningsfull i det aktuella fallet. Flertalet resenärer står inför andra val än de som kan hanteras inom ramen för utredningens ansats. En bedö</w:t>
      </w:r>
      <w:r w:rsidRPr="000A3A07">
        <w:t>m</w:t>
      </w:r>
      <w:r w:rsidRPr="000A3A07">
        <w:t>ning baserad på detta faktum ger sannolikt ett betydligt lägre kons</w:t>
      </w:r>
      <w:r w:rsidRPr="000A3A07">
        <w:t>u</w:t>
      </w:r>
      <w:r w:rsidRPr="000A3A07">
        <w:t>mentöverskott än vad Botnia-utredningens korr</w:t>
      </w:r>
      <w:r w:rsidRPr="000A3A07">
        <w:t>i</w:t>
      </w:r>
      <w:r w:rsidRPr="000A3A07">
        <w:t>gerade ansats indikerar.</w:t>
      </w:r>
    </w:p>
    <w:p w14:paraId="3CC9D06E" w14:textId="77777777" w:rsidR="007C11E9" w:rsidRPr="000A3A07" w:rsidRDefault="007C11E9">
      <w:pPr>
        <w:pStyle w:val="Normaltindrag"/>
        <w:numPr>
          <w:ilvl w:val="0"/>
          <w:numId w:val="93"/>
        </w:numPr>
      </w:pPr>
      <w:r w:rsidRPr="000A3A07">
        <w:t>Utredningen räknar med stora vinster för godstransportören till följd av Botniabanan. Transportföretaget förväntas teoretiskt kunna sänka sina kostnader med ca 170 miljoner kr per år. Det synes dock förutsätta att kunderna kan anpassa sig till transportföretagets krav. Sannolikt öve</w:t>
      </w:r>
      <w:r w:rsidRPr="000A3A07">
        <w:t>r</w:t>
      </w:r>
      <w:r w:rsidRPr="000A3A07">
        <w:t>skattar utrednin</w:t>
      </w:r>
      <w:r w:rsidRPr="000A3A07">
        <w:t>g</w:t>
      </w:r>
      <w:r w:rsidRPr="000A3A07">
        <w:t xml:space="preserve">en de kostnadsbesparingar som går att realisera. </w:t>
      </w:r>
    </w:p>
    <w:p w14:paraId="254DD9D0" w14:textId="77777777" w:rsidR="007C11E9" w:rsidRPr="000A3A07" w:rsidRDefault="007C11E9">
      <w:pPr>
        <w:pStyle w:val="Normaltindrag"/>
        <w:numPr>
          <w:ilvl w:val="0"/>
          <w:numId w:val="93"/>
        </w:numPr>
      </w:pPr>
      <w:r w:rsidRPr="000A3A07">
        <w:t>Utredningen tillskriver Botniabanan vissa positiva miljöeffekter. Det kan hävdas att dessa vinster är överdrivna. Utredningen avstår t ex från att värdera de bullerproblem som, i synnerhet nattetid, följer av en o</w:t>
      </w:r>
      <w:r w:rsidRPr="000A3A07">
        <w:t>m</w:t>
      </w:r>
      <w:r w:rsidRPr="000A3A07">
        <w:t>fattande tågtrafik i tätbefolkade områden. Vidare värderas inte kostn</w:t>
      </w:r>
      <w:r w:rsidRPr="000A3A07">
        <w:t>a</w:t>
      </w:r>
      <w:r w:rsidRPr="000A3A07">
        <w:t>den för de intrång i natur- och kulturmiljöer som banan oundgängligen medför (utöver de åtgärder som kan rymmas inom ramen för den anta</w:t>
      </w:r>
      <w:r w:rsidRPr="000A3A07">
        <w:t>g</w:t>
      </w:r>
      <w:r w:rsidRPr="000A3A07">
        <w:t>na investeringskostn</w:t>
      </w:r>
      <w:r w:rsidRPr="000A3A07">
        <w:t>a</w:t>
      </w:r>
      <w:r w:rsidRPr="000A3A07">
        <w:t xml:space="preserve">den). </w:t>
      </w:r>
    </w:p>
    <w:p w14:paraId="36A9CFD6" w14:textId="77777777" w:rsidR="007C11E9" w:rsidRPr="000A3A07" w:rsidRDefault="007C11E9">
      <w:pPr>
        <w:pStyle w:val="Normaltindrag"/>
        <w:numPr>
          <w:ilvl w:val="0"/>
          <w:numId w:val="93"/>
        </w:numPr>
      </w:pPr>
      <w:r w:rsidRPr="000A3A07">
        <w:t>Utredningen diskuterar inte sysselsättningseffekter av Botniabanan. Det kan förefalla förvånande eftersom banan berör områden med sysselsät</w:t>
      </w:r>
      <w:r w:rsidRPr="000A3A07">
        <w:t>t</w:t>
      </w:r>
      <w:r w:rsidRPr="000A3A07">
        <w:t>ningsproblem. För den samhällsekonomiska kalkylen finns dock sann</w:t>
      </w:r>
      <w:r w:rsidRPr="000A3A07">
        <w:t>o</w:t>
      </w:r>
      <w:r w:rsidRPr="000A3A07">
        <w:t>likt inte några större vinster att hämta via positiva sysselsättningseffe</w:t>
      </w:r>
      <w:r w:rsidRPr="000A3A07">
        <w:t>k</w:t>
      </w:r>
      <w:r w:rsidRPr="000A3A07">
        <w:t>ter.</w:t>
      </w:r>
    </w:p>
    <w:p w14:paraId="2B972554" w14:textId="77777777" w:rsidR="007C11E9" w:rsidRPr="000A3A07" w:rsidRDefault="007C11E9">
      <w:pPr>
        <w:pStyle w:val="Normaltindrag"/>
        <w:numPr>
          <w:ilvl w:val="0"/>
          <w:numId w:val="93"/>
        </w:numPr>
      </w:pPr>
      <w:r w:rsidRPr="000A3A07">
        <w:t>Utredningen beräknar kostnaden för vissa kringinvesteringar till 1.4-2.7 miljarder kr. Efter ett antal operationer väljer utredningen att belasta Botniabanan med 0.5 miljarder kr. Förmodligen innebär förfarandet att invest</w:t>
      </w:r>
      <w:r w:rsidRPr="000A3A07">
        <w:t>e</w:t>
      </w:r>
      <w:r w:rsidRPr="000A3A07">
        <w:t>ringskostnaden underskattas.</w:t>
      </w:r>
    </w:p>
    <w:p w14:paraId="607FC029" w14:textId="77777777" w:rsidR="007C11E9" w:rsidRPr="000A3A07" w:rsidRDefault="007C11E9">
      <w:pPr>
        <w:pStyle w:val="Normaltindrag"/>
        <w:numPr>
          <w:ilvl w:val="0"/>
          <w:numId w:val="93"/>
        </w:numPr>
      </w:pPr>
      <w:r w:rsidRPr="000A3A07">
        <w:t>Utredningen har valt att se alternativet till Botniabygget som ett ko</w:t>
      </w:r>
      <w:r w:rsidRPr="000A3A07">
        <w:t>n</w:t>
      </w:r>
      <w:r w:rsidRPr="000A3A07">
        <w:t>ventionellt nollalternativ, dvs att ingen åtgärd vidtas. Det är i sig i</w:t>
      </w:r>
      <w:r w:rsidRPr="000A3A07">
        <w:t>n</w:t>
      </w:r>
      <w:r w:rsidRPr="000A3A07">
        <w:t>vändningsfritt. Däremot hade det varit värdefullt om utredningen även jämfört Botniainvesteringen med andra tänkbara större infrastrukturi</w:t>
      </w:r>
      <w:r w:rsidRPr="000A3A07">
        <w:t>n</w:t>
      </w:r>
      <w:r w:rsidRPr="000A3A07">
        <w:t>vesteringar, t ex i övre Norrland. Det hade gett en klarare bild av Botn</w:t>
      </w:r>
      <w:r w:rsidRPr="000A3A07">
        <w:t>i</w:t>
      </w:r>
      <w:r w:rsidRPr="000A3A07">
        <w:t>abanans relativa lönsamhet.</w:t>
      </w:r>
    </w:p>
    <w:p w14:paraId="1FFBCB06" w14:textId="77777777" w:rsidR="007C11E9" w:rsidRPr="000A3A07" w:rsidRDefault="007C11E9">
      <w:r w:rsidRPr="000A3A07">
        <w:t>Baserat på det material som Botniautredningen presenterat förefaller det föga sannolikt att Botniainvesteringen är samhällsekonomiskt lönsam ens i det tämligen optimistiska framtidsscenario bedömning</w:t>
      </w:r>
      <w:r w:rsidRPr="000A3A07">
        <w:t>en baseras på. Det är att beklaga att utredningen inte gör en baskalkyl baserad på dagens priser och efterfrågeförhållanden. En sådan kalkyl, baserad på kända förhållanden, kan sedan jämföras med kalkyler baserade på prognoser för framtida priser och efterfrågeförhållanden. Ett sådant tillvägagångssätt hade gjort det lättare att bedöma om och i så fall när det kan vara samhällsekonomiskt försvarbart att påbörja investeringen. Utredningen hade förmodligen också blivit mer robust mot kritik baserad på optimis</w:t>
      </w:r>
      <w:r w:rsidRPr="000A3A07">
        <w:t xml:space="preserve">tiska prognoser beträffande efterfrågeläget om 10-15 år. </w:t>
      </w:r>
    </w:p>
    <w:p w14:paraId="19A86EC3" w14:textId="77777777" w:rsidR="007C11E9" w:rsidRPr="000A3A07" w:rsidRDefault="007C11E9">
      <w:pPr>
        <w:pStyle w:val="Normaltindrag"/>
      </w:pPr>
    </w:p>
    <w:p w14:paraId="6DADF08D" w14:textId="77777777" w:rsidR="007C11E9" w:rsidRPr="000A3A07" w:rsidRDefault="007C11E9">
      <w:pPr>
        <w:pStyle w:val="Normaltindrag"/>
      </w:pPr>
    </w:p>
    <w:p w14:paraId="44F23687" w14:textId="77777777" w:rsidR="007C11E9" w:rsidRPr="000A3A07" w:rsidRDefault="007C11E9">
      <w:pPr>
        <w:pStyle w:val="Normaltindrag"/>
      </w:pPr>
    </w:p>
    <w:p w14:paraId="1B22A2B3" w14:textId="77777777" w:rsidR="007C11E9" w:rsidRPr="000A3A07" w:rsidRDefault="007C11E9">
      <w:pPr>
        <w:pStyle w:val="RubrikUtanNr"/>
      </w:pPr>
      <w:r w:rsidRPr="000A3A07">
        <w:br w:type="page"/>
      </w:r>
      <w:bookmarkStart w:id="262" w:name="_Toc495906675"/>
      <w:bookmarkStart w:id="263" w:name="_Toc496510270"/>
      <w:bookmarkStart w:id="264" w:name="_Toc506341005"/>
      <w:r w:rsidRPr="000A3A07">
        <w:t>Referenser</w:t>
      </w:r>
      <w:bookmarkEnd w:id="262"/>
      <w:bookmarkEnd w:id="263"/>
      <w:bookmarkEnd w:id="264"/>
    </w:p>
    <w:p w14:paraId="1AC875B6" w14:textId="77777777" w:rsidR="007C11E9" w:rsidRPr="000A3A07" w:rsidRDefault="007C11E9">
      <w:pPr>
        <w:tabs>
          <w:tab w:val="left" w:pos="284"/>
        </w:tabs>
      </w:pPr>
      <w:r w:rsidRPr="000A3A07">
        <w:t>Banverket (1991) Botniabanan – En samhällsekonomisk bedömning. Förstu-</w:t>
      </w:r>
      <w:r w:rsidRPr="000A3A07">
        <w:tab/>
        <w:t xml:space="preserve">die, december 1991. Rapport P 1991:3. Borlänge. </w:t>
      </w:r>
    </w:p>
    <w:p w14:paraId="175881F0" w14:textId="77777777" w:rsidR="007C11E9" w:rsidRPr="000A3A07" w:rsidRDefault="007C11E9">
      <w:pPr>
        <w:tabs>
          <w:tab w:val="left" w:pos="284"/>
        </w:tabs>
      </w:pPr>
      <w:r w:rsidRPr="000A3A07">
        <w:t xml:space="preserve">Bergkvist, E., Johansson, B. och Westin, L. (1996) Regional utveckling och </w:t>
      </w:r>
      <w:r w:rsidRPr="000A3A07">
        <w:tab/>
        <w:t>högfartståg. Exemplet Botniabanan. Kommunikationsforskningsbered-</w:t>
      </w:r>
      <w:r w:rsidRPr="000A3A07">
        <w:tab/>
        <w:t>ningen, KFB-Rapport 1996:10.</w:t>
      </w:r>
    </w:p>
    <w:p w14:paraId="397D9E38" w14:textId="77777777" w:rsidR="007C11E9" w:rsidRPr="000A3A07" w:rsidRDefault="007C11E9">
      <w:pPr>
        <w:tabs>
          <w:tab w:val="left" w:pos="284"/>
        </w:tabs>
      </w:pPr>
      <w:r w:rsidRPr="000A3A07">
        <w:t xml:space="preserve">Carlsson, F. (1999) Private vs. business and rail vs. air passengers: </w:t>
      </w:r>
      <w:r w:rsidRPr="000A3A07">
        <w:tab/>
        <w:t xml:space="preserve">Willingness to pay for transport attributes. Working Paper in Economics </w:t>
      </w:r>
      <w:r w:rsidRPr="000A3A07">
        <w:tab/>
        <w:t>No. 14, Department of Economics, Go</w:t>
      </w:r>
      <w:r w:rsidRPr="000A3A07">
        <w:t>t</w:t>
      </w:r>
      <w:r w:rsidRPr="000A3A07">
        <w:t>henburg University.</w:t>
      </w:r>
    </w:p>
    <w:p w14:paraId="232B8F81" w14:textId="77777777" w:rsidR="007C11E9" w:rsidRPr="000A3A07" w:rsidRDefault="007C11E9">
      <w:pPr>
        <w:tabs>
          <w:tab w:val="left" w:pos="284"/>
        </w:tabs>
      </w:pPr>
      <w:r w:rsidRPr="000A3A07">
        <w:t xml:space="preserve">Engström, M.-G., Eriksson, G. och Wenninger, T. (1997) Flyg och snabbtåg </w:t>
      </w:r>
      <w:r w:rsidRPr="000A3A07">
        <w:tab/>
        <w:t>i trafiksystem. Konkurrens och komplementaritet. Kommunikations-</w:t>
      </w:r>
      <w:r w:rsidRPr="000A3A07">
        <w:tab/>
        <w:t>forskningsberedningen, KFB-Rapport 1997:10, Stockholm.</w:t>
      </w:r>
    </w:p>
    <w:p w14:paraId="592D1470" w14:textId="77777777" w:rsidR="007C11E9" w:rsidRPr="000A3A07" w:rsidRDefault="007C11E9">
      <w:pPr>
        <w:tabs>
          <w:tab w:val="left" w:pos="284"/>
        </w:tabs>
      </w:pPr>
      <w:r w:rsidRPr="000A3A07">
        <w:t>Hesselborn, P.-O. och Swahn, H. (1998) Ekonomiska styrmedel i trafikpoli-</w:t>
      </w:r>
      <w:r w:rsidRPr="000A3A07">
        <w:tab/>
        <w:t xml:space="preserve">tiken. Förslag till utveckling av den svenska modellen. Statens institut för </w:t>
      </w:r>
      <w:r w:rsidRPr="000A3A07">
        <w:tab/>
        <w:t>kommunikationsanalys, S</w:t>
      </w:r>
      <w:r w:rsidRPr="000A3A07">
        <w:t>I</w:t>
      </w:r>
      <w:r w:rsidRPr="000A3A07">
        <w:t>KA Dokument 1998:1.</w:t>
      </w:r>
    </w:p>
    <w:p w14:paraId="3175FEF4" w14:textId="77777777" w:rsidR="007C11E9" w:rsidRPr="000A3A07" w:rsidRDefault="007C11E9">
      <w:pPr>
        <w:tabs>
          <w:tab w:val="left" w:pos="284"/>
        </w:tabs>
      </w:pPr>
      <w:r w:rsidRPr="000A3A07">
        <w:t xml:space="preserve">Johansson, P.-O. (1993) Cost-benefit analysis of environmental change. </w:t>
      </w:r>
      <w:r w:rsidRPr="000A3A07">
        <w:tab/>
        <w:t>Cambridge University Press, Cambridge.</w:t>
      </w:r>
    </w:p>
    <w:p w14:paraId="16C2B08F" w14:textId="77777777" w:rsidR="007C11E9" w:rsidRPr="000A3A07" w:rsidRDefault="007C11E9">
      <w:pPr>
        <w:tabs>
          <w:tab w:val="left" w:pos="284"/>
        </w:tabs>
      </w:pPr>
      <w:r w:rsidRPr="000A3A07">
        <w:t xml:space="preserve">Laitila, T. och Westin, K. (1997) Utvärdering av några analystekniker vid </w:t>
      </w:r>
      <w:r w:rsidRPr="000A3A07">
        <w:tab/>
        <w:t>Stated Preference undersökningar. Kommunikationsforskningsbered-</w:t>
      </w:r>
      <w:r w:rsidRPr="000A3A07">
        <w:tab/>
        <w:t xml:space="preserve">ningen, KFB-Meddelande 1997:14, Stockholm. </w:t>
      </w:r>
    </w:p>
    <w:p w14:paraId="45FC103A" w14:textId="77777777" w:rsidR="007C11E9" w:rsidRPr="000A3A07" w:rsidRDefault="007C11E9">
      <w:r w:rsidRPr="000A3A07">
        <w:t>SAS. Hemsida, http://www.sas.se/ (2000-04-04). Prisup</w:t>
      </w:r>
      <w:r w:rsidRPr="000A3A07">
        <w:t>p</w:t>
      </w:r>
      <w:r w:rsidRPr="000A3A07">
        <w:t>gifter.</w:t>
      </w:r>
    </w:p>
    <w:p w14:paraId="72075656" w14:textId="77777777" w:rsidR="007C11E9" w:rsidRPr="000A3A07" w:rsidRDefault="007C11E9">
      <w:r w:rsidRPr="000A3A07">
        <w:t>SJ. Hemsida, http://www.sj.se/ (2000-04-04). Prisuppgifter, tidtabeller.</w:t>
      </w:r>
    </w:p>
    <w:p w14:paraId="1E881635" w14:textId="77777777" w:rsidR="007C11E9" w:rsidRPr="000A3A07" w:rsidRDefault="007C11E9">
      <w:pPr>
        <w:tabs>
          <w:tab w:val="left" w:pos="284"/>
        </w:tabs>
      </w:pPr>
      <w:r w:rsidRPr="000A3A07">
        <w:t>Statens institut för kommunikationsanalys (1996) Botniabanan – en sam-</w:t>
      </w:r>
      <w:r w:rsidRPr="000A3A07">
        <w:tab/>
        <w:t>hällsekonomisk analys, SIKA Rapport 1996:1.</w:t>
      </w:r>
    </w:p>
    <w:p w14:paraId="65C8B78F" w14:textId="77777777" w:rsidR="007C11E9" w:rsidRPr="000A3A07" w:rsidRDefault="007C11E9">
      <w:pPr>
        <w:tabs>
          <w:tab w:val="left" w:pos="284"/>
        </w:tabs>
      </w:pPr>
      <w:r w:rsidRPr="000A3A07">
        <w:t xml:space="preserve">Statens offentliga utredningar (1996) Botniabanan, SOU 1996:95. Norstedts </w:t>
      </w:r>
      <w:r w:rsidRPr="000A3A07">
        <w:tab/>
        <w:t>tryckeri, Stockholm.</w:t>
      </w:r>
    </w:p>
    <w:p w14:paraId="6036CDA7" w14:textId="77777777" w:rsidR="007C11E9" w:rsidRPr="000A3A07" w:rsidRDefault="007C11E9">
      <w:pPr>
        <w:tabs>
          <w:tab w:val="left" w:pos="284"/>
        </w:tabs>
      </w:pPr>
      <w:r w:rsidRPr="000A3A07">
        <w:t>Tågkompaniet. Hemsida, http://www.tagkompaniet.se/ (2000-04-04). Pris-</w:t>
      </w:r>
      <w:r w:rsidRPr="000A3A07">
        <w:tab/>
        <w:t>uppgifter, tidtabeller.</w:t>
      </w:r>
    </w:p>
    <w:p w14:paraId="317C5E4E" w14:textId="77777777" w:rsidR="007C11E9" w:rsidRPr="000A3A07" w:rsidRDefault="007C11E9">
      <w:pPr>
        <w:tabs>
          <w:tab w:val="left" w:pos="284"/>
        </w:tabs>
      </w:pPr>
      <w:r w:rsidRPr="000A3A07">
        <w:t xml:space="preserve">Widlert, S. (2000) Frågor om den samhällsekonomiska bedömningen av </w:t>
      </w:r>
      <w:r w:rsidRPr="000A3A07">
        <w:tab/>
        <w:t xml:space="preserve">Botniabanan. Brev till Riksdagens revisorer, 2000-05-15 (122-212-00). </w:t>
      </w:r>
      <w:r w:rsidRPr="000A3A07">
        <w:tab/>
        <w:t>Statens institut för kommunik</w:t>
      </w:r>
      <w:r w:rsidRPr="000A3A07">
        <w:t>a</w:t>
      </w:r>
      <w:r w:rsidRPr="000A3A07">
        <w:t>tionsanalys.</w:t>
      </w:r>
    </w:p>
    <w:p w14:paraId="0B3A99A0" w14:textId="77777777" w:rsidR="007C11E9" w:rsidRPr="000A3A07" w:rsidRDefault="007C11E9">
      <w:pPr>
        <w:tabs>
          <w:tab w:val="left" w:pos="284"/>
        </w:tabs>
      </w:pPr>
      <w:r w:rsidRPr="000A3A07">
        <w:t>Ybuss. Hemsida, http://www.ybuss.se/ (2000-04-04). Prisuppgifter, tidtabel-</w:t>
      </w:r>
      <w:r w:rsidRPr="000A3A07">
        <w:tab/>
        <w:t>ler</w:t>
      </w:r>
    </w:p>
    <w:p w14:paraId="622446F2" w14:textId="77777777" w:rsidR="007C11E9" w:rsidRPr="000A3A07" w:rsidRDefault="007C11E9">
      <w:pPr>
        <w:pStyle w:val="Normaltindrag"/>
      </w:pPr>
      <w:r w:rsidRPr="000A3A07">
        <w:br w:type="page"/>
      </w:r>
    </w:p>
    <w:p w14:paraId="24C2981E" w14:textId="77777777" w:rsidR="007C11E9" w:rsidRPr="000A3A07" w:rsidRDefault="007C11E9">
      <w:pPr>
        <w:tabs>
          <w:tab w:val="left" w:pos="284"/>
        </w:tabs>
        <w:sectPr w:rsidR="00000000" w:rsidRPr="000A3A07">
          <w:headerReference w:type="default" r:id="rId51"/>
          <w:footerReference w:type="default" r:id="rId52"/>
          <w:footnotePr>
            <w:numRestart w:val="eachSect"/>
          </w:footnotePr>
          <w:endnotePr>
            <w:numRestart w:val="eachSect"/>
          </w:endnotePr>
          <w:pgSz w:w="11906" w:h="16838" w:code="9"/>
          <w:pgMar w:top="567" w:right="4876" w:bottom="4508" w:left="1134" w:header="227" w:footer="227" w:gutter="0"/>
          <w:cols w:space="720"/>
        </w:sectPr>
      </w:pPr>
    </w:p>
    <w:p w14:paraId="58528772" w14:textId="77777777" w:rsidR="007C11E9" w:rsidRPr="000A3A07" w:rsidRDefault="007C11E9">
      <w:pPr>
        <w:tabs>
          <w:tab w:val="left" w:pos="284"/>
        </w:tabs>
      </w:pPr>
    </w:p>
    <w:p w14:paraId="7123045E" w14:textId="77777777" w:rsidR="007C11E9" w:rsidRPr="000A3A07" w:rsidRDefault="007C11E9">
      <w:pPr>
        <w:pStyle w:val="Normaltindrag"/>
      </w:pPr>
    </w:p>
    <w:p w14:paraId="676B6FD3" w14:textId="77777777" w:rsidR="007C11E9" w:rsidRPr="000A3A07" w:rsidRDefault="007C11E9">
      <w:pPr>
        <w:tabs>
          <w:tab w:val="left" w:pos="284"/>
        </w:tabs>
        <w:sectPr w:rsidR="00000000" w:rsidRPr="000A3A07">
          <w:headerReference w:type="default" r:id="rId53"/>
          <w:footerReference w:type="default" r:id="rId54"/>
          <w:footnotePr>
            <w:numRestart w:val="eachSect"/>
          </w:footnotePr>
          <w:endnotePr>
            <w:numRestart w:val="eachSect"/>
          </w:endnotePr>
          <w:pgSz w:w="11906" w:h="16838" w:code="9"/>
          <w:pgMar w:top="567" w:right="4876" w:bottom="4508" w:left="1134" w:header="227" w:footer="227" w:gutter="0"/>
          <w:cols w:space="720"/>
        </w:sectPr>
      </w:pPr>
    </w:p>
    <w:p w14:paraId="1FADDE3A" w14:textId="77777777" w:rsidR="007C11E9" w:rsidRPr="000A3A07" w:rsidRDefault="007C11E9">
      <w:bookmarkStart w:id="265" w:name="_Toc495906676"/>
      <w:bookmarkStart w:id="266" w:name="_Toc496510271"/>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0A3A07" w14:paraId="5939C717" w14:textId="77777777">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14:paraId="6C33121D" w14:textId="77777777" w:rsidR="007C11E9" w:rsidRPr="000A3A07" w:rsidRDefault="007C11E9">
            <w:pPr>
              <w:pStyle w:val="HuvudRubrik"/>
            </w:pPr>
          </w:p>
          <w:p w14:paraId="7E4AC177" w14:textId="77777777" w:rsidR="007C11E9" w:rsidRPr="000A3A07" w:rsidRDefault="007C11E9">
            <w:pPr>
              <w:pStyle w:val="HuvudRubrik"/>
            </w:pPr>
          </w:p>
          <w:p w14:paraId="14ECF7D5" w14:textId="77777777" w:rsidR="007C11E9" w:rsidRPr="000A3A07" w:rsidRDefault="007C11E9">
            <w:pPr>
              <w:pStyle w:val="HuvudRubrik"/>
            </w:pPr>
          </w:p>
          <w:p w14:paraId="61EC54C2" w14:textId="77777777" w:rsidR="007C11E9" w:rsidRPr="000A3A07" w:rsidRDefault="007C11E9">
            <w:pPr>
              <w:pStyle w:val="HuvudRubrik"/>
            </w:pPr>
          </w:p>
          <w:p w14:paraId="427C8106" w14:textId="77777777" w:rsidR="007C11E9" w:rsidRPr="000A3A07" w:rsidRDefault="007C11E9">
            <w:pPr>
              <w:pStyle w:val="HuvudRubrik"/>
            </w:pPr>
            <w:r w:rsidRPr="000A3A07">
              <w:t>Rapport 2000/01:5</w:t>
            </w:r>
          </w:p>
        </w:tc>
        <w:tc>
          <w:tcPr>
            <w:tcW w:w="2126" w:type="dxa"/>
            <w:gridSpan w:val="2"/>
            <w:tcBorders>
              <w:bottom w:val="single" w:sz="6" w:space="0" w:color="auto"/>
            </w:tcBorders>
          </w:tcPr>
          <w:p w14:paraId="3D6EA842" w14:textId="48B48006" w:rsidR="007C11E9" w:rsidRPr="000A3A07" w:rsidRDefault="000A3A07">
            <w:pPr>
              <w:pStyle w:val="rtal"/>
              <w:spacing w:before="120"/>
              <w:ind w:left="0"/>
            </w:pPr>
            <w:r w:rsidRPr="000A3A07">
              <w:rPr>
                <w:noProof/>
              </w:rPr>
              <w:drawing>
                <wp:inline distT="0" distB="0" distL="0" distR="0" wp14:anchorId="219F96B6" wp14:editId="0F158C50">
                  <wp:extent cx="1094105" cy="109410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0A3A07" w14:paraId="62643299" w14:textId="77777777">
        <w:tblPrEx>
          <w:tblCellMar>
            <w:top w:w="0" w:type="dxa"/>
            <w:bottom w:w="0" w:type="dxa"/>
          </w:tblCellMar>
        </w:tblPrEx>
        <w:trPr>
          <w:cantSplit/>
          <w:trHeight w:hRule="exact" w:val="660"/>
        </w:trPr>
        <w:tc>
          <w:tcPr>
            <w:tcW w:w="3012" w:type="dxa"/>
          </w:tcPr>
          <w:p w14:paraId="18979267" w14:textId="77777777" w:rsidR="007C11E9" w:rsidRPr="000A3A07" w:rsidRDefault="007C11E9">
            <w:pPr>
              <w:pStyle w:val="StatusSida1"/>
            </w:pPr>
          </w:p>
        </w:tc>
        <w:tc>
          <w:tcPr>
            <w:tcW w:w="2445" w:type="dxa"/>
            <w:gridSpan w:val="2"/>
          </w:tcPr>
          <w:p w14:paraId="09D8331E" w14:textId="77777777" w:rsidR="007C11E9" w:rsidRPr="000A3A07" w:rsidRDefault="007C11E9">
            <w:pPr>
              <w:pStyle w:val="UtskriftsdatumSida1"/>
              <w:rPr>
                <w:b/>
                <w:sz w:val="28"/>
              </w:rPr>
            </w:pPr>
          </w:p>
        </w:tc>
        <w:tc>
          <w:tcPr>
            <w:tcW w:w="2126" w:type="dxa"/>
            <w:gridSpan w:val="2"/>
          </w:tcPr>
          <w:p w14:paraId="462DB421" w14:textId="77777777" w:rsidR="007C11E9" w:rsidRPr="000A3A07" w:rsidRDefault="007C11E9"/>
        </w:tc>
      </w:tr>
    </w:tbl>
    <w:p w14:paraId="38F604E7" w14:textId="77777777" w:rsidR="007C11E9" w:rsidRPr="000A3A07" w:rsidRDefault="007C11E9"/>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0A3A07" w14:paraId="5D43623E" w14:textId="77777777">
        <w:tblPrEx>
          <w:tblCellMar>
            <w:top w:w="0" w:type="dxa"/>
            <w:bottom w:w="0" w:type="dxa"/>
          </w:tblCellMar>
        </w:tblPrEx>
        <w:trPr>
          <w:cantSplit/>
        </w:trPr>
        <w:tc>
          <w:tcPr>
            <w:tcW w:w="6036" w:type="dxa"/>
          </w:tcPr>
          <w:p w14:paraId="5126EC48" w14:textId="77777777" w:rsidR="007C11E9" w:rsidRPr="000A3A07" w:rsidRDefault="007C11E9">
            <w:pPr>
              <w:spacing w:before="240"/>
            </w:pPr>
          </w:p>
        </w:tc>
      </w:tr>
      <w:tr w:rsidR="00000000" w:rsidRPr="000A3A07" w14:paraId="7486714D" w14:textId="77777777">
        <w:tblPrEx>
          <w:tblCellMar>
            <w:top w:w="0" w:type="dxa"/>
            <w:bottom w:w="0" w:type="dxa"/>
          </w:tblCellMar>
        </w:tblPrEx>
        <w:trPr>
          <w:cantSplit/>
          <w:trHeight w:val="6000"/>
        </w:trPr>
        <w:tc>
          <w:tcPr>
            <w:tcW w:w="6036" w:type="dxa"/>
          </w:tcPr>
          <w:p w14:paraId="7D1CC76D" w14:textId="77777777" w:rsidR="007C11E9" w:rsidRPr="000A3A07" w:rsidRDefault="007C11E9">
            <w:pPr>
              <w:pStyle w:val="RubrikFrstaSida"/>
            </w:pPr>
            <w:r w:rsidRPr="000A3A07">
              <w:t>Bilaga 3</w:t>
            </w:r>
          </w:p>
          <w:p w14:paraId="541B97CF" w14:textId="77777777" w:rsidR="007C11E9" w:rsidRPr="000A3A07" w:rsidRDefault="007C11E9">
            <w:pPr>
              <w:pStyle w:val="HuvudRubrikRad2"/>
            </w:pPr>
            <w:bookmarkStart w:id="267" w:name="_Toc486738515"/>
            <w:r w:rsidRPr="000A3A07">
              <w:t>Citytunneln; beslutsprocess och beslutsunderlag</w:t>
            </w:r>
            <w:bookmarkEnd w:id="267"/>
          </w:p>
          <w:p w14:paraId="419BB9BD" w14:textId="77777777" w:rsidR="007C11E9" w:rsidRPr="000A3A07" w:rsidRDefault="007C11E9"/>
          <w:p w14:paraId="0E3163D3" w14:textId="77777777" w:rsidR="007C11E9" w:rsidRPr="000A3A07" w:rsidRDefault="007C11E9">
            <w:r w:rsidRPr="000A3A07">
              <w:t>Jan-Eric Nilsson</w:t>
            </w:r>
          </w:p>
          <w:p w14:paraId="17CF592A" w14:textId="77777777" w:rsidR="007C11E9" w:rsidRPr="000A3A07" w:rsidRDefault="007C11E9">
            <w:r w:rsidRPr="000A3A07">
              <w:t>JEN-konsult</w:t>
            </w:r>
          </w:p>
          <w:p w14:paraId="089C6CFD" w14:textId="77777777" w:rsidR="007C11E9" w:rsidRPr="000A3A07" w:rsidRDefault="007C11E9">
            <w:r w:rsidRPr="000A3A07">
              <w:t>Centrum för Transportekonomi</w:t>
            </w:r>
          </w:p>
          <w:p w14:paraId="740DD962" w14:textId="77777777" w:rsidR="007C11E9" w:rsidRPr="000A3A07" w:rsidRDefault="007C11E9">
            <w:r w:rsidRPr="000A3A07">
              <w:t>Box 760</w:t>
            </w:r>
          </w:p>
          <w:p w14:paraId="52597CA3" w14:textId="77777777" w:rsidR="007C11E9" w:rsidRPr="000A3A07" w:rsidRDefault="007C11E9">
            <w:r w:rsidRPr="000A3A07">
              <w:t>781 27  BORLÄNGE</w:t>
            </w:r>
          </w:p>
          <w:p w14:paraId="4E0F52C1" w14:textId="77777777" w:rsidR="007C11E9" w:rsidRPr="000A3A07" w:rsidRDefault="007C11E9">
            <w:r w:rsidRPr="000A3A07">
              <w:t>Tel. 0243 - 736 79</w:t>
            </w:r>
          </w:p>
          <w:p w14:paraId="3CE69247" w14:textId="77777777" w:rsidR="007C11E9" w:rsidRPr="000A3A07" w:rsidRDefault="007C11E9">
            <w:r w:rsidRPr="000A3A07">
              <w:t>Fax 0243 - 736 01</w:t>
            </w:r>
          </w:p>
        </w:tc>
      </w:tr>
    </w:tbl>
    <w:p w14:paraId="64B58A10" w14:textId="77777777" w:rsidR="007C11E9" w:rsidRPr="000A3A07" w:rsidRDefault="007C11E9"/>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0A3A07" w14:paraId="42751557" w14:textId="77777777">
        <w:tblPrEx>
          <w:tblCellMar>
            <w:top w:w="0" w:type="dxa"/>
            <w:bottom w:w="0" w:type="dxa"/>
          </w:tblCellMar>
        </w:tblPrEx>
        <w:trPr>
          <w:cantSplit/>
        </w:trPr>
        <w:tc>
          <w:tcPr>
            <w:tcW w:w="7583" w:type="dxa"/>
            <w:gridSpan w:val="3"/>
          </w:tcPr>
          <w:p w14:paraId="237E61A7" w14:textId="77777777" w:rsidR="007C11E9" w:rsidRPr="000A3A07" w:rsidRDefault="007C11E9">
            <w:pPr>
              <w:pStyle w:val="Citat"/>
              <w:spacing w:before="0" w:line="245" w:lineRule="exact"/>
            </w:pPr>
          </w:p>
        </w:tc>
      </w:tr>
      <w:tr w:rsidR="00000000" w:rsidRPr="000A3A07" w14:paraId="4F95009C" w14:textId="77777777">
        <w:tblPrEx>
          <w:tblCellMar>
            <w:top w:w="0" w:type="dxa"/>
            <w:bottom w:w="0" w:type="dxa"/>
          </w:tblCellMar>
        </w:tblPrEx>
        <w:tc>
          <w:tcPr>
            <w:tcW w:w="2905" w:type="dxa"/>
          </w:tcPr>
          <w:p w14:paraId="20C083FF" w14:textId="77777777" w:rsidR="007C11E9" w:rsidRPr="000A3A07" w:rsidRDefault="007C11E9">
            <w:r w:rsidRPr="000A3A07">
              <w:t>RIKSDAGENS REVIS</w:t>
            </w:r>
            <w:r w:rsidRPr="000A3A07">
              <w:t>O</w:t>
            </w:r>
            <w:r w:rsidRPr="000A3A07">
              <w:t>RER</w:t>
            </w:r>
          </w:p>
        </w:tc>
        <w:tc>
          <w:tcPr>
            <w:tcW w:w="2268" w:type="dxa"/>
          </w:tcPr>
          <w:p w14:paraId="14949BDD" w14:textId="77777777" w:rsidR="007C11E9" w:rsidRPr="000A3A07" w:rsidRDefault="007C11E9">
            <w:r w:rsidRPr="000A3A07">
              <w:t>TEL 08-786 40 00</w:t>
            </w:r>
          </w:p>
        </w:tc>
        <w:tc>
          <w:tcPr>
            <w:tcW w:w="2410" w:type="dxa"/>
          </w:tcPr>
          <w:p w14:paraId="242C390A" w14:textId="77777777" w:rsidR="007C11E9" w:rsidRPr="000A3A07" w:rsidRDefault="007C11E9">
            <w:r w:rsidRPr="000A3A07">
              <w:t>www.riksdagen.se/rr</w:t>
            </w:r>
          </w:p>
        </w:tc>
      </w:tr>
      <w:tr w:rsidR="00000000" w:rsidRPr="000A3A07" w14:paraId="2B3C2B38" w14:textId="77777777">
        <w:tblPrEx>
          <w:tblCellMar>
            <w:top w:w="0" w:type="dxa"/>
            <w:bottom w:w="0" w:type="dxa"/>
          </w:tblCellMar>
        </w:tblPrEx>
        <w:tc>
          <w:tcPr>
            <w:tcW w:w="2905" w:type="dxa"/>
          </w:tcPr>
          <w:p w14:paraId="2245418E" w14:textId="77777777" w:rsidR="007C11E9" w:rsidRPr="000A3A07" w:rsidRDefault="007C11E9">
            <w:r w:rsidRPr="000A3A07">
              <w:t>100 12 STOCKHOLM</w:t>
            </w:r>
          </w:p>
        </w:tc>
        <w:tc>
          <w:tcPr>
            <w:tcW w:w="2268" w:type="dxa"/>
          </w:tcPr>
          <w:p w14:paraId="55F0B91B" w14:textId="77777777" w:rsidR="007C11E9" w:rsidRPr="000A3A07" w:rsidRDefault="007C11E9">
            <w:r w:rsidRPr="000A3A07">
              <w:t>FAX 08-786 61 88</w:t>
            </w:r>
          </w:p>
        </w:tc>
        <w:tc>
          <w:tcPr>
            <w:tcW w:w="2410" w:type="dxa"/>
          </w:tcPr>
          <w:p w14:paraId="0EFA1674" w14:textId="77777777" w:rsidR="007C11E9" w:rsidRPr="000A3A07" w:rsidRDefault="007C11E9"/>
        </w:tc>
      </w:tr>
    </w:tbl>
    <w:p w14:paraId="3E52DD55" w14:textId="77777777" w:rsidR="007C11E9" w:rsidRPr="000A3A07" w:rsidRDefault="007C11E9">
      <w:pPr>
        <w:sectPr w:rsidR="00000000" w:rsidRPr="000A3A07">
          <w:headerReference w:type="default" r:id="rId55"/>
          <w:footerReference w:type="default" r:id="rId56"/>
          <w:footnotePr>
            <w:numRestart w:val="eachSect"/>
          </w:footnotePr>
          <w:endnotePr>
            <w:numRestart w:val="eachSect"/>
          </w:endnotePr>
          <w:pgSz w:w="11906" w:h="16838" w:code="9"/>
          <w:pgMar w:top="567" w:right="4876" w:bottom="4508" w:left="1134" w:header="227" w:footer="227" w:gutter="0"/>
          <w:cols w:space="720"/>
        </w:sectPr>
      </w:pPr>
    </w:p>
    <w:p w14:paraId="0C01E57E" w14:textId="77777777" w:rsidR="007C11E9" w:rsidRPr="000A3A07" w:rsidRDefault="007C11E9"/>
    <w:p w14:paraId="3FCDBD8F" w14:textId="77777777" w:rsidR="007C11E9" w:rsidRPr="000A3A07" w:rsidRDefault="007C11E9">
      <w:pPr>
        <w:pStyle w:val="Normaltindrag"/>
      </w:pPr>
    </w:p>
    <w:p w14:paraId="52EDE5EC" w14:textId="77777777" w:rsidR="007C11E9" w:rsidRPr="000A3A07" w:rsidRDefault="007C11E9">
      <w:pPr>
        <w:pStyle w:val="Normaltindrag"/>
        <w:sectPr w:rsidR="00000000" w:rsidRPr="000A3A07">
          <w:headerReference w:type="default" r:id="rId57"/>
          <w:footerReference w:type="default" r:id="rId58"/>
          <w:footnotePr>
            <w:numRestart w:val="eachSect"/>
          </w:footnotePr>
          <w:endnotePr>
            <w:numRestart w:val="eachSect"/>
          </w:endnotePr>
          <w:pgSz w:w="11906" w:h="16838" w:code="9"/>
          <w:pgMar w:top="567" w:right="4876" w:bottom="4508" w:left="1134" w:header="227" w:footer="227" w:gutter="0"/>
          <w:cols w:space="720"/>
        </w:sectPr>
      </w:pPr>
    </w:p>
    <w:p w14:paraId="0B9A79CF" w14:textId="77777777" w:rsidR="007C11E9" w:rsidRPr="000A3A07" w:rsidRDefault="007C11E9">
      <w:pPr>
        <w:pStyle w:val="RubrikUtanNr"/>
      </w:pPr>
      <w:bookmarkStart w:id="268" w:name="_Toc486738516"/>
      <w:bookmarkStart w:id="269" w:name="_Toc496511374"/>
      <w:bookmarkStart w:id="270" w:name="_Toc506341006"/>
      <w:r w:rsidRPr="000A3A07">
        <w:t>Sammanfattning</w:t>
      </w:r>
      <w:bookmarkEnd w:id="268"/>
      <w:bookmarkEnd w:id="269"/>
      <w:bookmarkEnd w:id="270"/>
    </w:p>
    <w:p w14:paraId="403FC354" w14:textId="77777777" w:rsidR="007C11E9" w:rsidRPr="000A3A07" w:rsidRDefault="007C11E9">
      <w:r w:rsidRPr="000A3A07">
        <w:t>I detta PM redovisas en genomgång av regeringens underlag för att ta beslut om den så kallade Citytunneln i Malmö. Avsikten med projektet är att u</w:t>
      </w:r>
      <w:r w:rsidRPr="000A3A07">
        <w:t>n</w:t>
      </w:r>
      <w:r w:rsidRPr="000A3A07">
        <w:t>derlätta tågtrafiken till och från Danmark och att ge möjligheter till utökad lokal pendeltågstrafik. Detta görs genom att bygga en tunnel som förkortar tågens gångtid och som öppnar två nya järnvägsstati</w:t>
      </w:r>
      <w:r w:rsidRPr="000A3A07">
        <w:t>o</w:t>
      </w:r>
      <w:r w:rsidRPr="000A3A07">
        <w:t>ner.</w:t>
      </w:r>
    </w:p>
    <w:p w14:paraId="69355224" w14:textId="77777777" w:rsidR="007C11E9" w:rsidRPr="000A3A07" w:rsidRDefault="007C11E9">
      <w:pPr>
        <w:pStyle w:val="Normaltindrag"/>
      </w:pPr>
      <w:r w:rsidRPr="000A3A07">
        <w:t>Genomgången har identifierat vissa brister med den samhällsekonomiska kalkyl som redovisats. Inga av dessa brister påverkar den huvudslutsats som kan dras vad gäller projektets lönsamhet: En Citytunnel i Malmö är en sa</w:t>
      </w:r>
      <w:r w:rsidRPr="000A3A07">
        <w:t>m</w:t>
      </w:r>
      <w:r w:rsidRPr="000A3A07">
        <w:t>hällsekonomiskt olönsam affär vilket innebär att de resurser som krävs för att genomföra åtgärden överstiger dess positiva effekter. De prognostiserade byggkostnaderna har också stigit med tiden. Detta gör att projektets lönsa</w:t>
      </w:r>
      <w:r w:rsidRPr="000A3A07">
        <w:t>m</w:t>
      </w:r>
      <w:r w:rsidRPr="000A3A07">
        <w:t xml:space="preserve">het minskat ytterligare i takt med att tidpunkten för projektets byggstart kommer närmare. </w:t>
      </w:r>
    </w:p>
    <w:p w14:paraId="3D9D2D1C" w14:textId="77777777" w:rsidR="007C11E9" w:rsidRPr="000A3A07" w:rsidRDefault="007C11E9">
      <w:pPr>
        <w:pStyle w:val="Normaltindrag"/>
      </w:pPr>
      <w:r w:rsidRPr="000A3A07">
        <w:t>De brister som påtalas kan till en del bero på att utredarna haft otillräcklig tid till sitt förfogande. Detta förhållande är anmärkningsvärt av åtminstone två skäl. Dels medför projektet myck</w:t>
      </w:r>
      <w:r w:rsidRPr="000A3A07">
        <w:t xml:space="preserve">et stora byggkostnader, något som i sig bör föranleda höga krav på beslutsunderlag. Dels har regeringen givit sig själv mycket längre rådrum än vad man avsatt för att ta fram beslutsunderlag. Det framgår till exempel att två år förflöt från det att en kalkyl lämnades till regeringen, till dess att beslut togs i ärendet. </w:t>
      </w:r>
    </w:p>
    <w:p w14:paraId="51D85294" w14:textId="77777777" w:rsidR="007C11E9" w:rsidRPr="000A3A07" w:rsidRDefault="007C11E9">
      <w:pPr>
        <w:pStyle w:val="Normaltindrag"/>
      </w:pPr>
      <w:r w:rsidRPr="000A3A07">
        <w:t>Det har vidare framgått att en huvudintressent i projektet - företrädare för regionen - spelat en framträdande roll vad gäller framtagandet av beslutsu</w:t>
      </w:r>
      <w:r w:rsidRPr="000A3A07">
        <w:t>n</w:t>
      </w:r>
      <w:r w:rsidRPr="000A3A07">
        <w:t>derlag. Detta är anmärkningsvärt med tanke på att statskassan i slutänden kan komma att få bära huvuddelen av projektets finansi</w:t>
      </w:r>
      <w:r w:rsidRPr="000A3A07">
        <w:t>e</w:t>
      </w:r>
      <w:r w:rsidRPr="000A3A07">
        <w:t>ring.</w:t>
      </w:r>
    </w:p>
    <w:p w14:paraId="72E4D593" w14:textId="77777777" w:rsidR="007C11E9" w:rsidRPr="000A3A07" w:rsidRDefault="007C11E9">
      <w:pPr>
        <w:pStyle w:val="Normaltindrag"/>
      </w:pPr>
      <w:r w:rsidRPr="000A3A07">
        <w:t>Regeringen har i sitt beslut också hänvisat till att alternativet till att bygga en Citytunnel - nämligen att låta trafiken använda den så kallade Kontine</w:t>
      </w:r>
      <w:r w:rsidRPr="000A3A07">
        <w:t>n</w:t>
      </w:r>
      <w:r w:rsidRPr="000A3A07">
        <w:t>talbanan - inte är acceptabelt av miljöskäl. Några analyser av andra åtgärder för att medge trafik till Öresundsbron eller för att begränsa sådana miljöstö</w:t>
      </w:r>
      <w:r w:rsidRPr="000A3A07">
        <w:t>r</w:t>
      </w:r>
      <w:r w:rsidRPr="000A3A07">
        <w:t>ningar redovisas däremot inte.</w:t>
      </w:r>
    </w:p>
    <w:p w14:paraId="4FE25220" w14:textId="77777777" w:rsidR="007C11E9" w:rsidRPr="000A3A07" w:rsidRDefault="007C11E9">
      <w:pPr>
        <w:pStyle w:val="Normaltindrag"/>
      </w:pPr>
      <w:r w:rsidRPr="000A3A07">
        <w:t>Sammanfattningsvis kan man konstatera att den samhällsekonomiska ka</w:t>
      </w:r>
      <w:r w:rsidRPr="000A3A07">
        <w:t>l</w:t>
      </w:r>
      <w:r w:rsidRPr="000A3A07">
        <w:t>kylen tycks ha spelat en undanskymd roll i den process som lett fram till regeringens beslut att låta bygga Citytunneln. Detta gäller såväl de formella kalkylresultat som redovisas som vad gäller det tänkesätt som kalkylen r</w:t>
      </w:r>
      <w:r w:rsidRPr="000A3A07">
        <w:t>e</w:t>
      </w:r>
      <w:r w:rsidRPr="000A3A07">
        <w:t>presenterar; att systematiskt klargöra ett projekts positiva effekter och att ställa dessa mot dess kostnader i vid bemärkelse, inklusive miljöhänsyn. Vilka bevekelsegrunder som i stället varit avgörande för beslutet framgår inte av regerin</w:t>
      </w:r>
      <w:r w:rsidRPr="000A3A07">
        <w:t>g</w:t>
      </w:r>
      <w:r w:rsidRPr="000A3A07">
        <w:t>ens proposition.</w:t>
      </w:r>
    </w:p>
    <w:p w14:paraId="38757ADB" w14:textId="77777777" w:rsidR="007C11E9" w:rsidRPr="000A3A07" w:rsidRDefault="007C11E9"/>
    <w:p w14:paraId="0DF6E640" w14:textId="77777777" w:rsidR="007C11E9" w:rsidRPr="000A3A07" w:rsidRDefault="007C11E9">
      <w:pPr>
        <w:pStyle w:val="Rubrik1"/>
        <w:numPr>
          <w:ilvl w:val="0"/>
          <w:numId w:val="177"/>
        </w:numPr>
      </w:pPr>
      <w:r w:rsidRPr="000A3A07">
        <w:br w:type="page"/>
      </w:r>
      <w:bookmarkStart w:id="271" w:name="_Toc486738517"/>
      <w:bookmarkStart w:id="272" w:name="_Toc496511375"/>
      <w:bookmarkStart w:id="273" w:name="_Toc506341007"/>
      <w:r w:rsidRPr="000A3A07">
        <w:t>Inledning</w:t>
      </w:r>
      <w:bookmarkEnd w:id="271"/>
      <w:bookmarkEnd w:id="272"/>
      <w:bookmarkEnd w:id="273"/>
    </w:p>
    <w:p w14:paraId="53EBCBB0" w14:textId="77777777" w:rsidR="007C11E9" w:rsidRPr="000A3A07" w:rsidRDefault="007C11E9">
      <w:r w:rsidRPr="000A3A07">
        <w:t>Den 22 maj 1997 lämnade regeringen propositionen 1996/97:161 "Öresund</w:t>
      </w:r>
      <w:r w:rsidRPr="000A3A07">
        <w:t>s</w:t>
      </w:r>
      <w:r w:rsidRPr="000A3A07">
        <w:t>förbindelsen och Citytunneln" till Riksdagen som sedermera fattade beslut i ärendet. En del av detta beslut innebar att en verksamhet som syftar till att bygga Citytunneln i Malmö påbörjades. Huvudsyftet med detta PM är att granska det beslutsunderlaget i form av samhällsekonomiska kalkyler som låg till grund för regeringens beslut. Dessutom presenterats i korthet den beslutsprocess som föregick detta beslut.</w:t>
      </w:r>
    </w:p>
    <w:p w14:paraId="17F1FFBF" w14:textId="77777777" w:rsidR="007C11E9" w:rsidRPr="000A3A07" w:rsidRDefault="007C11E9">
      <w:pPr>
        <w:pStyle w:val="Normaltindrag"/>
      </w:pPr>
      <w:r w:rsidRPr="000A3A07">
        <w:t>Vi inleder med att i avsnitt 2 ge en beskrivning av projektets framväxt. I</w:t>
      </w:r>
      <w:r w:rsidRPr="000A3A07">
        <w:t>n</w:t>
      </w:r>
      <w:r w:rsidRPr="000A3A07">
        <w:t>nebörden av projek</w:t>
      </w:r>
      <w:r w:rsidRPr="000A3A07">
        <w:softHyphen/>
        <w:t>tet presenteras i avsnitt 3. En översiktlig beskrivning av det utredningsmaterial som fanns till</w:t>
      </w:r>
      <w:r w:rsidRPr="000A3A07">
        <w:softHyphen/>
        <w:t>gängligt för regeringen när beslut fatt</w:t>
      </w:r>
      <w:r w:rsidRPr="000A3A07">
        <w:t>a</w:t>
      </w:r>
      <w:r w:rsidRPr="000A3A07">
        <w:t>des om att projektet skulle genomföras ges i avsnitt 4.</w:t>
      </w:r>
    </w:p>
    <w:p w14:paraId="39ED0FF0" w14:textId="77777777" w:rsidR="007C11E9" w:rsidRPr="000A3A07" w:rsidRDefault="007C11E9">
      <w:pPr>
        <w:pStyle w:val="Normaltindrag"/>
      </w:pPr>
      <w:r w:rsidRPr="000A3A07">
        <w:t>Avsnitt 5 behandlar den samhällsekonomiska kalkyl som genomfördes i samband med att statens särskilde utredare, Bengt Dennis, lämnade sin ra</w:t>
      </w:r>
      <w:r w:rsidRPr="000A3A07">
        <w:t>p</w:t>
      </w:r>
      <w:r w:rsidRPr="000A3A07">
        <w:t>port 1994 medan avsnitt 6 diskuterar en kompletterande samhällsekonomisk bedömning från 1996. Avsnitt 7 sammanfattar de remissvar som inkom till regeringen på 1996 års utredningar, avsnitt 8 redovisar regeringens argument för sitt beslut att låta bygga Citytunneln medan avsnitt 9 sammanfattar de slutsatser som kan dras av genomgången.</w:t>
      </w:r>
    </w:p>
    <w:p w14:paraId="568943F3" w14:textId="77777777" w:rsidR="007C11E9" w:rsidRPr="000A3A07" w:rsidRDefault="007C11E9">
      <w:pPr>
        <w:pStyle w:val="Normaltindrag"/>
      </w:pPr>
      <w:r w:rsidRPr="000A3A07">
        <w:t>Under det att projektet vuxit fram har också dess finansiering, det vill säga frågan vem som i slutänden ska betala för investeringen, diskuterats. Vi kommer här att identifi</w:t>
      </w:r>
      <w:r w:rsidRPr="000A3A07">
        <w:t>era den huvudsakliga fördelningen av kostnader me</w:t>
      </w:r>
      <w:r w:rsidRPr="000A3A07">
        <w:t>l</w:t>
      </w:r>
      <w:r w:rsidRPr="000A3A07">
        <w:t>lan olika intressenter men avstår från att behandla de olika finansieringslö</w:t>
      </w:r>
      <w:r w:rsidRPr="000A3A07">
        <w:t>s</w:t>
      </w:r>
      <w:r w:rsidRPr="000A3A07">
        <w:t>ningarnas tekniska uppläggning.</w:t>
      </w:r>
    </w:p>
    <w:p w14:paraId="6B00B258" w14:textId="77777777" w:rsidR="007C11E9" w:rsidRPr="000A3A07" w:rsidRDefault="007C11E9">
      <w:pPr>
        <w:pStyle w:val="Rubrik1"/>
      </w:pPr>
      <w:bookmarkStart w:id="274" w:name="_Toc486738518"/>
      <w:bookmarkStart w:id="275" w:name="_Toc496511376"/>
      <w:bookmarkStart w:id="276" w:name="_Toc506341008"/>
      <w:r w:rsidRPr="000A3A07">
        <w:t>Ärendets hantering</w:t>
      </w:r>
      <w:r w:rsidRPr="000A3A07">
        <w:rPr>
          <w:rStyle w:val="Fotnotsreferens"/>
        </w:rPr>
        <w:footnoteReference w:id="26"/>
      </w:r>
      <w:bookmarkEnd w:id="274"/>
      <w:bookmarkEnd w:id="275"/>
      <w:bookmarkEnd w:id="276"/>
    </w:p>
    <w:p w14:paraId="14C6B77B" w14:textId="77777777" w:rsidR="007C11E9" w:rsidRPr="000A3A07" w:rsidRDefault="007C11E9">
      <w:r w:rsidRPr="000A3A07">
        <w:t xml:space="preserve">Sveriges och Danmarks regeringar slöt i </w:t>
      </w:r>
      <w:r w:rsidRPr="000A3A07">
        <w:rPr>
          <w:b/>
        </w:rPr>
        <w:t>mars 1991</w:t>
      </w:r>
      <w:r w:rsidRPr="000A3A07">
        <w:t xml:space="preserve"> ett avtal om en fast förbindelse över Öresund. I avtalet sägs att den svenska spåranslutningen till den fasta förbindelsen ska utgöras av en dubbelspårig järnväg som ansluter till den b</w:t>
      </w:r>
      <w:r w:rsidRPr="000A3A07">
        <w:t>e</w:t>
      </w:r>
      <w:r w:rsidRPr="000A3A07">
        <w:t xml:space="preserve">fintliga Trelleborgsbanan. </w:t>
      </w:r>
    </w:p>
    <w:p w14:paraId="2679B789" w14:textId="77777777" w:rsidR="007C11E9" w:rsidRPr="000A3A07" w:rsidRDefault="007C11E9">
      <w:pPr>
        <w:pStyle w:val="Normaltindrag"/>
      </w:pPr>
      <w:r w:rsidRPr="000A3A07">
        <w:t xml:space="preserve">Mot denna bakgrund beslöt regeringen i </w:t>
      </w:r>
      <w:r w:rsidRPr="000A3A07">
        <w:rPr>
          <w:b/>
        </w:rPr>
        <w:t>augusti 1991</w:t>
      </w:r>
      <w:r w:rsidRPr="000A3A07">
        <w:t xml:space="preserve"> att tillkalla en fö</w:t>
      </w:r>
      <w:r w:rsidRPr="000A3A07">
        <w:t>r</w:t>
      </w:r>
      <w:r w:rsidRPr="000A3A07">
        <w:t>handlare för trafik och miljö i Malmöregionen. Uppdraget var bland annat att utarbeta en överenskommelse mellan berörda parter om hur väg-, järnvägs- och kollektivtrafiksystemen skulle utformas och anslutas till den fasta fö</w:t>
      </w:r>
      <w:r w:rsidRPr="000A3A07">
        <w:t>r</w:t>
      </w:r>
      <w:r w:rsidRPr="000A3A07">
        <w:t xml:space="preserve">bindelsen över Öresund.  </w:t>
      </w:r>
    </w:p>
    <w:p w14:paraId="2682D20C" w14:textId="77777777" w:rsidR="007C11E9" w:rsidRPr="000A3A07" w:rsidRDefault="007C11E9">
      <w:pPr>
        <w:pStyle w:val="Normaltindrag"/>
      </w:pPr>
      <w:r w:rsidRPr="000A3A07">
        <w:t>Med anledning av avtalet om den fasta förbindelsen bildades i Sverige Svensk-Danska Broförbindelsen (SVEDAB AB) och i Danmark A/S Ør</w:t>
      </w:r>
      <w:r w:rsidRPr="000A3A07">
        <w:t>e</w:t>
      </w:r>
      <w:r w:rsidRPr="000A3A07">
        <w:t xml:space="preserve">sundsforbindelsen. Dessa två helstatligt ägda bolag bildade den 27 </w:t>
      </w:r>
      <w:r w:rsidRPr="000A3A07">
        <w:rPr>
          <w:b/>
        </w:rPr>
        <w:t>januari 1992</w:t>
      </w:r>
      <w:r w:rsidRPr="000A3A07">
        <w:t xml:space="preserve"> ett konsortium som gavs namnet Öresundskonsortiet.  </w:t>
      </w:r>
    </w:p>
    <w:p w14:paraId="03C0D095" w14:textId="77777777" w:rsidR="007C11E9" w:rsidRPr="000A3A07" w:rsidRDefault="007C11E9">
      <w:pPr>
        <w:pStyle w:val="Normaltindrag"/>
      </w:pPr>
      <w:r w:rsidRPr="000A3A07">
        <w:t xml:space="preserve">Den 1 </w:t>
      </w:r>
      <w:r w:rsidRPr="000A3A07">
        <w:rPr>
          <w:b/>
        </w:rPr>
        <w:t>juni 1992</w:t>
      </w:r>
      <w:r w:rsidRPr="000A3A07">
        <w:t xml:space="preserve"> träffade statens förhandlingsman och Kommunalförbu</w:t>
      </w:r>
      <w:r w:rsidRPr="000A3A07">
        <w:t>n</w:t>
      </w:r>
      <w:r w:rsidRPr="000A3A07">
        <w:t xml:space="preserve">det för Malmöhus läns kollektivtrafik en överenskommelse om åtgärder i trafiksystemet i Malmöregionen. Där föreslås att Malmö Central skall knytas till Öresundsbron genom en dubbelspårig järnväg, delvis i tunnel under Malmö. Sträckningen kom att kallas Citytunneln. I överenskommelsen tvingades man konstatera att det inte varit möjligt att lösa frågan om tunnelns finansiering. </w:t>
      </w:r>
    </w:p>
    <w:p w14:paraId="170E9CC7" w14:textId="77777777" w:rsidR="007C11E9" w:rsidRPr="000A3A07" w:rsidRDefault="007C11E9">
      <w:pPr>
        <w:pStyle w:val="Normaltindrag"/>
      </w:pPr>
      <w:r w:rsidRPr="000A3A07">
        <w:t xml:space="preserve">Regeringen beslutade i </w:t>
      </w:r>
      <w:r w:rsidRPr="000A3A07">
        <w:rPr>
          <w:b/>
        </w:rPr>
        <w:t>februari 1994</w:t>
      </w:r>
      <w:r w:rsidRPr="000A3A07">
        <w:t xml:space="preserve"> att ge en ny särskild utredare i up</w:t>
      </w:r>
      <w:r w:rsidRPr="000A3A07">
        <w:t>p</w:t>
      </w:r>
      <w:r w:rsidRPr="000A3A07">
        <w:t xml:space="preserve">drag att lämna förslag till genomförande och finansiering av en Citytunnel i Malmö. I det av utredningsmannen i </w:t>
      </w:r>
      <w:r w:rsidRPr="000A3A07">
        <w:rPr>
          <w:b/>
        </w:rPr>
        <w:t>april 1994</w:t>
      </w:r>
      <w:r w:rsidRPr="000A3A07">
        <w:t xml:space="preserve"> avgivna betänkandet (SOU 1994:78) betecknades Citytunneln som ett byggnadstekniskt komplicerat projekt. Genom att investeringen skapar förutsättningar för ett väsentligt ökat kollektivtrafikresande och för en reduktion av biltrafiken i Malmöregionen uppstår sannolikt miljövinster. Utredaren föreslog att en fördjupad teknisk prövning av t</w:t>
      </w:r>
      <w:r w:rsidRPr="000A3A07">
        <w:t xml:space="preserve">unneln först skulle genomföras och att förutsättningarna för en gemensam finansieringslösning mellan staten och regionen därefter skulle undersökas. </w:t>
      </w:r>
    </w:p>
    <w:p w14:paraId="26A13E0F" w14:textId="77777777" w:rsidR="007C11E9" w:rsidRPr="000A3A07" w:rsidRDefault="007C11E9">
      <w:pPr>
        <w:pStyle w:val="Normaltindrag"/>
      </w:pPr>
      <w:r w:rsidRPr="000A3A07">
        <w:t xml:space="preserve">Regeringen beslöt den 4 </w:t>
      </w:r>
      <w:r w:rsidRPr="000A3A07">
        <w:rPr>
          <w:b/>
        </w:rPr>
        <w:t>maj 1995</w:t>
      </w:r>
      <w:r w:rsidRPr="000A3A07">
        <w:t xml:space="preserve"> att bifalla en begäran från SVEDAB att tillsammans med företrädare för regionen utreda de tekniska förutsättninga</w:t>
      </w:r>
      <w:r w:rsidRPr="000A3A07">
        <w:t>r</w:t>
      </w:r>
      <w:r w:rsidRPr="000A3A07">
        <w:t>na för att bygga en Citytunnel. SVEDAB överlämnade denna utredning (Citytunneln, Utredning om teknik och kostnader) till Kommunikationsd</w:t>
      </w:r>
      <w:r w:rsidRPr="000A3A07">
        <w:t>e</w:t>
      </w:r>
      <w:r w:rsidRPr="000A3A07">
        <w:t xml:space="preserve">partementet den 2 </w:t>
      </w:r>
      <w:r w:rsidRPr="000A3A07">
        <w:rPr>
          <w:b/>
        </w:rPr>
        <w:t>februari 1996</w:t>
      </w:r>
      <w:r w:rsidRPr="000A3A07">
        <w:t xml:space="preserve">. Kommunalförbundet för Malmöhus läns kollektivtrafik överlämnade den 3 </w:t>
      </w:r>
      <w:r w:rsidRPr="000A3A07">
        <w:rPr>
          <w:b/>
        </w:rPr>
        <w:t>mars 1996</w:t>
      </w:r>
      <w:r w:rsidRPr="000A3A07">
        <w:t xml:space="preserve"> till Regeringen två komplett</w:t>
      </w:r>
      <w:r w:rsidRPr="000A3A07">
        <w:t>e</w:t>
      </w:r>
      <w:r w:rsidRPr="000A3A07">
        <w:t>rande utredningar om Citytunnelns effekter på tillgänglighet, resande och lokalisering samt om Citytunnelns be</w:t>
      </w:r>
      <w:r w:rsidRPr="000A3A07">
        <w:t>tydelse för integrationen mellan Da</w:t>
      </w:r>
      <w:r w:rsidRPr="000A3A07">
        <w:t>n</w:t>
      </w:r>
      <w:r w:rsidRPr="000A3A07">
        <w:t>mark och Sverige. Samtliga dessa utredningar r</w:t>
      </w:r>
      <w:r w:rsidRPr="000A3A07">
        <w:t>e</w:t>
      </w:r>
      <w:r w:rsidRPr="000A3A07">
        <w:t xml:space="preserve">missbehandlades.  </w:t>
      </w:r>
    </w:p>
    <w:p w14:paraId="12D68F08" w14:textId="77777777" w:rsidR="007C11E9" w:rsidRPr="000A3A07" w:rsidRDefault="007C11E9">
      <w:pPr>
        <w:pStyle w:val="Normaltindrag"/>
      </w:pPr>
      <w:r w:rsidRPr="000A3A07">
        <w:t>Rapporterna och remissinstansernas yttranden utgjorde grund för Reg</w:t>
      </w:r>
      <w:r w:rsidRPr="000A3A07">
        <w:t>e</w:t>
      </w:r>
      <w:r w:rsidRPr="000A3A07">
        <w:t>ringens avsiktsförklaringen om finansiering och genomförande av Citytu</w:t>
      </w:r>
      <w:r w:rsidRPr="000A3A07">
        <w:t>n</w:t>
      </w:r>
      <w:r w:rsidRPr="000A3A07">
        <w:t xml:space="preserve">neln i </w:t>
      </w:r>
      <w:r w:rsidRPr="000A3A07">
        <w:rPr>
          <w:b/>
        </w:rPr>
        <w:t>oktober 1996</w:t>
      </w:r>
      <w:r w:rsidRPr="000A3A07">
        <w:t xml:space="preserve">. En förhandlingsman tillsattes med uppdrag att, med utgångspunkt från avsiktsförklaringen, förhandla och teckna ett preliminärt avtal om finansiering och byggande av en Citytunnel. Förhandlingsmannen lämnade den 19 </w:t>
      </w:r>
      <w:r w:rsidRPr="000A3A07">
        <w:rPr>
          <w:b/>
        </w:rPr>
        <w:t>februari 1997</w:t>
      </w:r>
      <w:r w:rsidRPr="000A3A07">
        <w:t xml:space="preserve"> ett förslag till avtal om finansiering och by</w:t>
      </w:r>
      <w:r w:rsidRPr="000A3A07">
        <w:t>g</w:t>
      </w:r>
      <w:r w:rsidRPr="000A3A07">
        <w:t>gande av en Citytunnel. Detta material utgjorde underlag för den proposition till Riksdagen som reg</w:t>
      </w:r>
      <w:r w:rsidRPr="000A3A07">
        <w:t>e</w:t>
      </w:r>
      <w:r w:rsidRPr="000A3A07">
        <w:t xml:space="preserve">ringen lade fram i </w:t>
      </w:r>
      <w:r w:rsidRPr="000A3A07">
        <w:rPr>
          <w:b/>
        </w:rPr>
        <w:t>maj 1997</w:t>
      </w:r>
      <w:r w:rsidRPr="000A3A07">
        <w:t xml:space="preserve">.   </w:t>
      </w:r>
    </w:p>
    <w:p w14:paraId="4C39E79E" w14:textId="77777777" w:rsidR="007C11E9" w:rsidRPr="000A3A07" w:rsidRDefault="007C11E9">
      <w:pPr>
        <w:pStyle w:val="Rubrik1"/>
      </w:pPr>
      <w:r w:rsidRPr="000A3A07">
        <w:br w:type="page"/>
      </w:r>
      <w:bookmarkStart w:id="277" w:name="_Toc486738519"/>
      <w:bookmarkStart w:id="278" w:name="_Toc496511377"/>
      <w:bookmarkStart w:id="279" w:name="_Toc506341009"/>
      <w:r w:rsidRPr="000A3A07">
        <w:t>Projektet</w:t>
      </w:r>
      <w:bookmarkEnd w:id="277"/>
      <w:bookmarkEnd w:id="278"/>
      <w:bookmarkEnd w:id="279"/>
    </w:p>
    <w:p w14:paraId="64777DB3" w14:textId="77777777" w:rsidR="007C11E9" w:rsidRPr="000A3A07" w:rsidRDefault="007C11E9">
      <w:r w:rsidRPr="000A3A07">
        <w:t>Syftet med Citytunneln är att "förbättra förutsättningarna för den spårbundna kollektivtrafiken i regionen och över Öresund samt att avlasta Kontinenta</w:t>
      </w:r>
      <w:r w:rsidRPr="000A3A07">
        <w:t>l</w:t>
      </w:r>
      <w:r w:rsidRPr="000A3A07">
        <w:t>banan så att en från miljösynpunkt godtagbar lösning kan nås." (Prop. 1996/97:161 s 6.) I Svedabs utredning (Svedab 1996, s 2) framförs också att tunneln ska förstärka integrationsprocessen inom Öresundsregionen samt att den ska stärka Malmös stadskärna som centrum i staden och i Skåneregi</w:t>
      </w:r>
      <w:r w:rsidRPr="000A3A07">
        <w:t>o</w:t>
      </w:r>
      <w:r w:rsidRPr="000A3A07">
        <w:t>nen.</w:t>
      </w:r>
    </w:p>
    <w:p w14:paraId="571E2C0B" w14:textId="77777777" w:rsidR="007C11E9" w:rsidRPr="000A3A07" w:rsidRDefault="007C11E9">
      <w:pPr>
        <w:pStyle w:val="Normaltindrag"/>
      </w:pPr>
      <w:r w:rsidRPr="000A3A07">
        <w:t>Med Citytunneln avses närmare bestämt de investeringar som krävs för att binda samman spårtrafik öster om Malmö C med Öresundsförbindelsen vid Lernacken via en tunnel under de centrala delarna av Malmö. Vidare ingår</w:t>
      </w:r>
      <w:r w:rsidRPr="000A3A07">
        <w:t xml:space="preserve"> de bandelar som krävs för att tågtrafik via Citytunneln ska kunna bedrivas till Ystad och Trelleborg (se Figur 1).</w:t>
      </w:r>
    </w:p>
    <w:p w14:paraId="3B8C910A" w14:textId="77777777" w:rsidR="007C11E9" w:rsidRPr="000A3A07" w:rsidRDefault="007C11E9">
      <w:pPr>
        <w:pStyle w:val="Normaltindrag"/>
      </w:pPr>
      <w:r w:rsidRPr="000A3A07">
        <w:t>De syften som formulerats uppnås med hjälp av följande åtgärder (Svedab 1996):</w:t>
      </w:r>
    </w:p>
    <w:p w14:paraId="1AA50DD1" w14:textId="77777777" w:rsidR="007C11E9" w:rsidRPr="000A3A07" w:rsidRDefault="007C11E9">
      <w:pPr>
        <w:numPr>
          <w:ilvl w:val="0"/>
          <w:numId w:val="108"/>
        </w:numPr>
      </w:pPr>
      <w:r w:rsidRPr="000A3A07">
        <w:t>En tunnel – Citytunneln – sammanbinder järnvägslinjer norr och söder om Malmö.</w:t>
      </w:r>
    </w:p>
    <w:p w14:paraId="490FD4F4" w14:textId="77777777" w:rsidR="007C11E9" w:rsidRPr="000A3A07" w:rsidRDefault="007C11E9">
      <w:pPr>
        <w:numPr>
          <w:ilvl w:val="0"/>
          <w:numId w:val="108"/>
        </w:numPr>
      </w:pPr>
      <w:r w:rsidRPr="000A3A07">
        <w:t>Tunneln innebär att resandetåg får en kortare linjesträckning jämfört med om man kör från Malmö C mot Köpenhamn via Kontinental- och Öresundsb</w:t>
      </w:r>
      <w:r w:rsidRPr="000A3A07">
        <w:t>a</w:t>
      </w:r>
      <w:r w:rsidRPr="000A3A07">
        <w:t xml:space="preserve">nan. </w:t>
      </w:r>
    </w:p>
    <w:p w14:paraId="7F698029" w14:textId="77777777" w:rsidR="007C11E9" w:rsidRPr="000A3A07" w:rsidRDefault="007C11E9">
      <w:pPr>
        <w:numPr>
          <w:ilvl w:val="0"/>
          <w:numId w:val="108"/>
        </w:numPr>
      </w:pPr>
      <w:r w:rsidRPr="000A3A07">
        <w:t>Malmö C blir en genomgångsstation.</w:t>
      </w:r>
    </w:p>
    <w:p w14:paraId="0D6697D7" w14:textId="77777777" w:rsidR="007C11E9" w:rsidRPr="000A3A07" w:rsidRDefault="007C11E9">
      <w:pPr>
        <w:numPr>
          <w:ilvl w:val="0"/>
          <w:numId w:val="108"/>
        </w:numPr>
      </w:pPr>
      <w:r w:rsidRPr="000A3A07">
        <w:t>Ytterligare en station (Triangeln) öppnas i centrala Malmö för att öka resa</w:t>
      </w:r>
      <w:r w:rsidRPr="000A3A07">
        <w:t>n</w:t>
      </w:r>
      <w:r w:rsidRPr="000A3A07">
        <w:t>deunderlaget.</w:t>
      </w:r>
    </w:p>
    <w:p w14:paraId="33DBB8CC" w14:textId="77777777" w:rsidR="007C11E9" w:rsidRPr="000A3A07" w:rsidRDefault="007C11E9">
      <w:pPr>
        <w:numPr>
          <w:ilvl w:val="0"/>
          <w:numId w:val="108"/>
        </w:numPr>
      </w:pPr>
      <w:r w:rsidRPr="000A3A07">
        <w:t>En station som blir lättillgänglig för boende i södra delen av staden och områdena söder därom tillkommer i södra delarna av Malmö (Hyllie).</w:t>
      </w:r>
    </w:p>
    <w:p w14:paraId="0F4D2B9A" w14:textId="77777777" w:rsidR="007C11E9" w:rsidRPr="000A3A07" w:rsidRDefault="007C11E9">
      <w:pPr>
        <w:pStyle w:val="CTSRapportmall1"/>
        <w:jc w:val="left"/>
        <w:rPr>
          <w:u w:val="single"/>
        </w:rPr>
      </w:pPr>
    </w:p>
    <w:p w14:paraId="1E8E5CFC" w14:textId="77777777" w:rsidR="007C11E9" w:rsidRPr="000A3A07" w:rsidRDefault="007C11E9">
      <w:pPr>
        <w:pStyle w:val="CTSRapportmall1"/>
        <w:jc w:val="left"/>
        <w:rPr>
          <w:u w:val="single"/>
        </w:rPr>
      </w:pPr>
    </w:p>
    <w:p w14:paraId="5691DF33" w14:textId="77777777" w:rsidR="007C11E9" w:rsidRPr="000A3A07" w:rsidRDefault="007C11E9">
      <w:pPr>
        <w:pStyle w:val="CTSRapportmall1"/>
        <w:jc w:val="left"/>
        <w:rPr>
          <w:u w:val="single"/>
        </w:rPr>
      </w:pPr>
    </w:p>
    <w:p w14:paraId="352C9573" w14:textId="77777777" w:rsidR="007C11E9" w:rsidRPr="000A3A07" w:rsidRDefault="007C11E9">
      <w:pPr>
        <w:pStyle w:val="CTSRapportmall1"/>
        <w:jc w:val="left"/>
        <w:rPr>
          <w:u w:val="single"/>
        </w:rPr>
      </w:pPr>
    </w:p>
    <w:p w14:paraId="0A6E222A" w14:textId="77777777" w:rsidR="007C11E9" w:rsidRPr="000A3A07" w:rsidRDefault="007C11E9">
      <w:pPr>
        <w:pStyle w:val="CTSRapportmall1"/>
        <w:jc w:val="left"/>
        <w:rPr>
          <w:u w:val="single"/>
        </w:rPr>
      </w:pPr>
    </w:p>
    <w:p w14:paraId="3E216060" w14:textId="77777777" w:rsidR="007C11E9" w:rsidRPr="000A3A07" w:rsidRDefault="007C11E9">
      <w:pPr>
        <w:pStyle w:val="CTSRapportmall1"/>
        <w:jc w:val="left"/>
        <w:rPr>
          <w:u w:val="single"/>
        </w:rPr>
      </w:pPr>
    </w:p>
    <w:p w14:paraId="217B28C8" w14:textId="77777777" w:rsidR="007C11E9" w:rsidRPr="000A3A07" w:rsidRDefault="007C11E9">
      <w:pPr>
        <w:pStyle w:val="CTSRapportmall1"/>
        <w:jc w:val="left"/>
        <w:rPr>
          <w:u w:val="single"/>
        </w:rPr>
      </w:pPr>
    </w:p>
    <w:p w14:paraId="0CD83556" w14:textId="77777777" w:rsidR="007C11E9" w:rsidRPr="000A3A07" w:rsidRDefault="007C11E9">
      <w:pPr>
        <w:pStyle w:val="CTSRapportmall1"/>
        <w:jc w:val="left"/>
        <w:rPr>
          <w:u w:val="single"/>
        </w:rPr>
      </w:pPr>
    </w:p>
    <w:p w14:paraId="5D82CBF4" w14:textId="77777777" w:rsidR="007C11E9" w:rsidRPr="000A3A07" w:rsidRDefault="007C11E9">
      <w:pPr>
        <w:pStyle w:val="CTSRapportmall1"/>
        <w:jc w:val="left"/>
        <w:rPr>
          <w:u w:val="single"/>
        </w:rPr>
      </w:pPr>
    </w:p>
    <w:p w14:paraId="7DD733D1" w14:textId="77777777" w:rsidR="007C11E9" w:rsidRPr="000A3A07" w:rsidRDefault="007C11E9">
      <w:pPr>
        <w:pStyle w:val="CTSRapportmall1"/>
        <w:jc w:val="left"/>
        <w:rPr>
          <w:u w:val="single"/>
        </w:rPr>
      </w:pPr>
    </w:p>
    <w:p w14:paraId="43EBD382" w14:textId="77777777" w:rsidR="007C11E9" w:rsidRPr="000A3A07" w:rsidRDefault="007C11E9">
      <w:pPr>
        <w:pStyle w:val="CTSRapportmall1"/>
        <w:jc w:val="left"/>
        <w:rPr>
          <w:u w:val="single"/>
        </w:rPr>
      </w:pPr>
    </w:p>
    <w:p w14:paraId="491E025C" w14:textId="77777777" w:rsidR="007C11E9" w:rsidRPr="000A3A07" w:rsidRDefault="007C11E9">
      <w:pPr>
        <w:pStyle w:val="CTSRapportmall1"/>
        <w:jc w:val="left"/>
        <w:rPr>
          <w:u w:val="single"/>
        </w:rPr>
      </w:pPr>
    </w:p>
    <w:p w14:paraId="1F4D5EFD" w14:textId="77777777" w:rsidR="007C11E9" w:rsidRPr="000A3A07" w:rsidRDefault="007C11E9">
      <w:pPr>
        <w:pStyle w:val="CTSRapportmall1"/>
        <w:jc w:val="left"/>
        <w:rPr>
          <w:u w:val="single"/>
        </w:rPr>
      </w:pPr>
    </w:p>
    <w:p w14:paraId="7641C209" w14:textId="77777777" w:rsidR="007C11E9" w:rsidRPr="000A3A07" w:rsidRDefault="007C11E9">
      <w:pPr>
        <w:pStyle w:val="CTSRapportmall1"/>
        <w:jc w:val="left"/>
        <w:rPr>
          <w:u w:val="single"/>
        </w:rPr>
      </w:pPr>
    </w:p>
    <w:p w14:paraId="53BDC0F7" w14:textId="77777777" w:rsidR="007C11E9" w:rsidRPr="000A3A07" w:rsidRDefault="007C11E9">
      <w:pPr>
        <w:pStyle w:val="CTSRapportmall1"/>
        <w:jc w:val="left"/>
        <w:rPr>
          <w:u w:val="single"/>
        </w:rPr>
      </w:pPr>
    </w:p>
    <w:p w14:paraId="31A09A93" w14:textId="77777777" w:rsidR="007C11E9" w:rsidRPr="000A3A07" w:rsidRDefault="007C11E9">
      <w:pPr>
        <w:pStyle w:val="CTSRapportmall1"/>
        <w:jc w:val="left"/>
        <w:rPr>
          <w:u w:val="single"/>
        </w:rPr>
      </w:pPr>
    </w:p>
    <w:p w14:paraId="7956C0E1" w14:textId="77777777" w:rsidR="007C11E9" w:rsidRPr="000A3A07" w:rsidRDefault="007C11E9">
      <w:pPr>
        <w:rPr>
          <w:b/>
          <w:sz w:val="22"/>
        </w:rPr>
      </w:pPr>
      <w:r w:rsidRPr="000A3A07">
        <w:rPr>
          <w:b/>
          <w:sz w:val="22"/>
        </w:rPr>
        <w:t>Figur 1. Föreslagen sträckning för Citytunnelbanan inklusive förbindelsespår mot Öresundsbanan österut och mot Ystads- och Trelleborgsbanorna.</w:t>
      </w:r>
    </w:p>
    <w:p w14:paraId="103282E2" w14:textId="6DE3917A" w:rsidR="007C11E9" w:rsidRPr="000A3A07" w:rsidRDefault="000A3A07">
      <w:pPr>
        <w:pStyle w:val="CTSRapportmall1"/>
        <w:jc w:val="left"/>
      </w:pPr>
      <w:r w:rsidRPr="000A3A07">
        <w:rPr>
          <w:noProof/>
        </w:rPr>
        <w:drawing>
          <wp:inline distT="0" distB="0" distL="0" distR="0" wp14:anchorId="02659891" wp14:editId="3A3F9F4D">
            <wp:extent cx="3668395" cy="275971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cstate="print">
                      <a:grayscl/>
                      <a:extLst>
                        <a:ext uri="{28A0092B-C50C-407E-A947-70E740481C1C}">
                          <a14:useLocalDpi xmlns:a14="http://schemas.microsoft.com/office/drawing/2010/main" val="0"/>
                        </a:ext>
                      </a:extLst>
                    </a:blip>
                    <a:srcRect/>
                    <a:stretch>
                      <a:fillRect/>
                    </a:stretch>
                  </pic:blipFill>
                  <pic:spPr bwMode="auto">
                    <a:xfrm>
                      <a:off x="0" y="0"/>
                      <a:ext cx="3668395" cy="2759710"/>
                    </a:xfrm>
                    <a:prstGeom prst="rect">
                      <a:avLst/>
                    </a:prstGeom>
                    <a:noFill/>
                    <a:ln>
                      <a:noFill/>
                    </a:ln>
                  </pic:spPr>
                </pic:pic>
              </a:graphicData>
            </a:graphic>
          </wp:inline>
        </w:drawing>
      </w:r>
    </w:p>
    <w:p w14:paraId="7CD3D76A" w14:textId="77777777" w:rsidR="007C11E9" w:rsidRPr="000A3A07" w:rsidRDefault="007C11E9">
      <w:pPr>
        <w:pStyle w:val="Tabell"/>
      </w:pPr>
      <w:r w:rsidRPr="000A3A07">
        <w:t>Källa: Svedab (1996), s 3.</w:t>
      </w:r>
    </w:p>
    <w:p w14:paraId="65FBEA01" w14:textId="77777777" w:rsidR="007C11E9" w:rsidRPr="000A3A07" w:rsidRDefault="007C11E9">
      <w:r w:rsidRPr="000A3A07">
        <w:t>I projektet ingår endast den byggnation som behövs för att bedriva tågtrafik samt för att de resande ska kunna ta sig till och från tågen från stationsentr</w:t>
      </w:r>
      <w:r w:rsidRPr="000A3A07">
        <w:t>é</w:t>
      </w:r>
      <w:r w:rsidRPr="000A3A07">
        <w:t>erna. Däremot ingår inte de tillfarter till stationerna eller de kommersiella anläggningar som kan behövas. Inte heller ingår i projektkostnaderna de utgifter som kan uppstå om man behöver införskaffa rullande materiel.</w:t>
      </w:r>
    </w:p>
    <w:p w14:paraId="0C4D02CE" w14:textId="77777777" w:rsidR="007C11E9" w:rsidRPr="000A3A07" w:rsidRDefault="007C11E9">
      <w:pPr>
        <w:pStyle w:val="Normaltindrag"/>
      </w:pPr>
      <w:r w:rsidRPr="000A3A07">
        <w:t>För järnvägstrafiken innebär Citytunneln att flertalet svenska (långdistanta) snabbtåg kommer att fortsätta vidare från Malmö till Köpenhamn via tunneln i stället för att ändra riktning på Malmö C. Detta förkortar restiden jämfört med att köra tågen i en halvcirkel runt centrala Malmö. Mots</w:t>
      </w:r>
      <w:r w:rsidRPr="000A3A07">
        <w:t>varande tidsb</w:t>
      </w:r>
      <w:r w:rsidRPr="000A3A07">
        <w:t>e</w:t>
      </w:r>
      <w:r w:rsidRPr="000A3A07">
        <w:t xml:space="preserve">sparingar görs också av de så kallade regionaltågen, det vill säga de tåg som går från (till) Helsingör/Köpenhamn på den danska sidan till Malmö och som fortsätter vidare till (från) Höör, Helsingborg etc. på den svenska. I SOU 1992:114 s 10 sägs att resavståndet Malmö C – Köpenhamn minskar med ca 7 km och att restiden Lund–Köpenhamn minskas med 8 – 13 minuter. Det sägs vidare att Pågatågen – den regionala pendeltrafiken – kan knyta ihop linjer från norr och söder och därmed skapa effektivare </w:t>
      </w:r>
      <w:r w:rsidRPr="000A3A07">
        <w:t xml:space="preserve">trafikupplägg.  </w:t>
      </w:r>
    </w:p>
    <w:p w14:paraId="01715588" w14:textId="77777777" w:rsidR="007C11E9" w:rsidRPr="000A3A07" w:rsidRDefault="007C11E9">
      <w:pPr>
        <w:pStyle w:val="Normaltindrag"/>
      </w:pPr>
      <w:r w:rsidRPr="000A3A07">
        <w:t>Citytunneln innebär att ytterligare 70 000 boende och 22 000 sysselsatta i Malmö - tack vare de två nya stationerna - får tillgång till en tågstation inom 2 km avstånd. Tack vare det ökade resandeunderlaget kan frekvensen i tå</w:t>
      </w:r>
      <w:r w:rsidRPr="000A3A07">
        <w:t>g</w:t>
      </w:r>
      <w:r w:rsidRPr="000A3A07">
        <w:t xml:space="preserve">trafiken ökas, nya linjer etableras och bussar ersättas med tåg. </w:t>
      </w:r>
    </w:p>
    <w:p w14:paraId="73EAFAD3" w14:textId="77777777" w:rsidR="007C11E9" w:rsidRPr="000A3A07" w:rsidRDefault="007C11E9">
      <w:pPr>
        <w:pStyle w:val="Rubrik1"/>
      </w:pPr>
      <w:bookmarkStart w:id="280" w:name="_Toc486738520"/>
      <w:bookmarkStart w:id="281" w:name="_Toc496511378"/>
      <w:bookmarkStart w:id="282" w:name="_Toc506341010"/>
      <w:r w:rsidRPr="000A3A07">
        <w:t>Utredningsmaterialet</w:t>
      </w:r>
      <w:bookmarkEnd w:id="280"/>
      <w:bookmarkEnd w:id="281"/>
      <w:bookmarkEnd w:id="282"/>
    </w:p>
    <w:p w14:paraId="18A5683E" w14:textId="77777777" w:rsidR="007C11E9" w:rsidRPr="000A3A07" w:rsidRDefault="007C11E9">
      <w:pPr>
        <w:pStyle w:val="Rubrik2"/>
      </w:pPr>
      <w:bookmarkStart w:id="283" w:name="_Toc486738521"/>
      <w:bookmarkStart w:id="284" w:name="_Toc496511379"/>
      <w:bookmarkStart w:id="285" w:name="_Toc506341011"/>
      <w:r w:rsidRPr="000A3A07">
        <w:t>Malmöhusförhandlingarna</w:t>
      </w:r>
      <w:bookmarkEnd w:id="283"/>
      <w:bookmarkEnd w:id="284"/>
      <w:bookmarkEnd w:id="285"/>
    </w:p>
    <w:p w14:paraId="1C9CCDA5" w14:textId="77777777" w:rsidR="007C11E9" w:rsidRPr="000A3A07" w:rsidRDefault="007C11E9">
      <w:r w:rsidRPr="000A3A07">
        <w:t>Regeringen tillkallade i augusti 1991 en förhandlare för trafik- och miljöfr</w:t>
      </w:r>
      <w:r w:rsidRPr="000A3A07">
        <w:t>å</w:t>
      </w:r>
      <w:r w:rsidRPr="000A3A07">
        <w:t>gor i Malmöregionen. Uppgiften var att med berörda parter - bland annat Kommunalförbundet för Malmöhus läns Kollektivtrafik - utarbeta en öve</w:t>
      </w:r>
      <w:r w:rsidRPr="000A3A07">
        <w:t>r</w:t>
      </w:r>
      <w:r w:rsidRPr="000A3A07">
        <w:t>enskommelse om hur väg-, järnvägs- och kollektivtrafiksystemen i regionen skulle utformas och hur de olika delsystemen skulle anslutas till den fasta förbinde</w:t>
      </w:r>
      <w:r w:rsidRPr="000A3A07">
        <w:t>l</w:t>
      </w:r>
      <w:r w:rsidRPr="000A3A07">
        <w:t>sen över Öresund.</w:t>
      </w:r>
    </w:p>
    <w:p w14:paraId="4689F27B" w14:textId="77777777" w:rsidR="007C11E9" w:rsidRPr="000A3A07" w:rsidRDefault="007C11E9">
      <w:pPr>
        <w:pStyle w:val="Normaltindrag"/>
      </w:pPr>
      <w:r w:rsidRPr="000A3A07">
        <w:t>Den överenskommelse som slöts innehöll förslag om åtgärder i trafiksy</w:t>
      </w:r>
      <w:r w:rsidRPr="000A3A07">
        <w:t>s</w:t>
      </w:r>
      <w:r w:rsidRPr="000A3A07">
        <w:t>temet i regionen. Bland annat föreslogs att en dubbelspårig järnvägsanslu</w:t>
      </w:r>
      <w:r w:rsidRPr="000A3A07">
        <w:t>t</w:t>
      </w:r>
      <w:r w:rsidRPr="000A3A07">
        <w:t>ning, delvis i tunnel, mellan Malmö C och brofästet skulle byggas för pe</w:t>
      </w:r>
      <w:r w:rsidRPr="000A3A07">
        <w:t>r</w:t>
      </w:r>
      <w:r w:rsidRPr="000A3A07">
        <w:t>sontrafiken. Man kunde däremot inte komma överens om hur denna tunnel skulle finansieras. Ett skäl var att kostnadsbedömningen ansågs allt för os</w:t>
      </w:r>
      <w:r w:rsidRPr="000A3A07">
        <w:t>ä</w:t>
      </w:r>
      <w:r w:rsidRPr="000A3A07">
        <w:t xml:space="preserve">ker. En annan anledning var att det fortfarande var oklart hur avgränsningen av Svedabs respektive Banverkets ansvar gentemot Öresundsbrokonsortiet skulle utformas, det vill säga vilken part som var ansvarig för vilka </w:t>
      </w:r>
      <w:r w:rsidRPr="000A3A07">
        <w:t>kostnader för landanslutningar till den nya bron.</w:t>
      </w:r>
    </w:p>
    <w:p w14:paraId="352833B9" w14:textId="77777777" w:rsidR="007C11E9" w:rsidRPr="000A3A07" w:rsidRDefault="007C11E9">
      <w:pPr>
        <w:pStyle w:val="Normaltindrag"/>
      </w:pPr>
      <w:r w:rsidRPr="000A3A07">
        <w:t>Utredaren ansåg emellertid att Svedab borde ges huvudansvaret för u</w:t>
      </w:r>
      <w:r w:rsidRPr="000A3A07">
        <w:t>t</w:t>
      </w:r>
      <w:r w:rsidRPr="000A3A07">
        <w:t>byggnaden av Citytunneln. Eftersom ett genomförande i olika former skulle förutsätta medverkan från Banverket, Malmöhus Trafik och Malmö stad angavs att dessa parter också gemensamt borde svara för det fortsatta utre</w:t>
      </w:r>
      <w:r w:rsidRPr="000A3A07">
        <w:t>d</w:t>
      </w:r>
      <w:r w:rsidRPr="000A3A07">
        <w:t>ningsa</w:t>
      </w:r>
      <w:r w:rsidRPr="000A3A07">
        <w:t>r</w:t>
      </w:r>
      <w:r w:rsidRPr="000A3A07">
        <w:t>betet.</w:t>
      </w:r>
    </w:p>
    <w:p w14:paraId="62550E48" w14:textId="77777777" w:rsidR="007C11E9" w:rsidRPr="000A3A07" w:rsidRDefault="007C11E9">
      <w:pPr>
        <w:pStyle w:val="Normaltindrag"/>
      </w:pPr>
      <w:r w:rsidRPr="000A3A07">
        <w:t>Utredarens bedömning var vidare att den grundläggande finansieringen bör ske genom att utnyttja de medel Svedab disponerar för anslutningarna till bron. Till effekterna av tunneln hör minskade restider, ökat resande på jär</w:t>
      </w:r>
      <w:r w:rsidRPr="000A3A07">
        <w:t>n</w:t>
      </w:r>
      <w:r w:rsidRPr="000A3A07">
        <w:t>vägen och minskade trafikeringskostnader. Med tanke på att karaktären av dessa effekter ansågs vara sådana att investeringen bör betraktas som ett nationellt projekt skulle Banverket behöva bära en väsentlig del av finansi</w:t>
      </w:r>
      <w:r w:rsidRPr="000A3A07">
        <w:t>e</w:t>
      </w:r>
      <w:r w:rsidRPr="000A3A07">
        <w:t>ringen.</w:t>
      </w:r>
    </w:p>
    <w:p w14:paraId="7411C455" w14:textId="77777777" w:rsidR="007C11E9" w:rsidRPr="000A3A07" w:rsidRDefault="007C11E9">
      <w:pPr>
        <w:pStyle w:val="Normaltindrag"/>
      </w:pPr>
      <w:r w:rsidRPr="000A3A07">
        <w:t>Utredaren ansåg emellertid att det också kunde bli nödvändigt för regionen att bidra till byggandet av Citytunneln. (Ibid., s 6.) Skälet till denna bedö</w:t>
      </w:r>
      <w:r w:rsidRPr="000A3A07">
        <w:t>m</w:t>
      </w:r>
      <w:r w:rsidRPr="000A3A07">
        <w:t>ning var att Citytunneln bedömdes vara viktig bland annat för arbets-, b</w:t>
      </w:r>
      <w:r w:rsidRPr="000A3A07">
        <w:t>o</w:t>
      </w:r>
      <w:r w:rsidRPr="000A3A07">
        <w:t>stads- och servicemarknaderna i Malmöregionen, för Malmös roll som cen</w:t>
      </w:r>
      <w:r w:rsidRPr="000A3A07">
        <w:t>t</w:t>
      </w:r>
      <w:r w:rsidRPr="000A3A07">
        <w:t>rum i regionen liksom för stadsbyggandet i övrigt. Till en del skulle regi</w:t>
      </w:r>
      <w:r w:rsidRPr="000A3A07">
        <w:t>o</w:t>
      </w:r>
      <w:r w:rsidRPr="000A3A07">
        <w:t>nens medverkan ske genom de medel Svedab skulle betala till Citytunneln, intäkter som i sin tur genereras genom trafikantavgifter från Öresundsbron. Men regionen skulle också behöva lämna ett direkt finansiellt stöd till tu</w:t>
      </w:r>
      <w:r w:rsidRPr="000A3A07">
        <w:t>n</w:t>
      </w:r>
      <w:r w:rsidRPr="000A3A07">
        <w:t>nelprojektet. Företrädare för Malmö Stad förklarade också under hand</w:t>
      </w:r>
      <w:r w:rsidRPr="000A3A07">
        <w:t xml:space="preserve"> att man var beredd att garantera en kostnadskalkyl för tunneln på 3 milja</w:t>
      </w:r>
      <w:r w:rsidRPr="000A3A07">
        <w:t>r</w:t>
      </w:r>
      <w:r w:rsidRPr="000A3A07">
        <w:t xml:space="preserve">der kr. </w:t>
      </w:r>
    </w:p>
    <w:p w14:paraId="68A5EB76" w14:textId="77777777" w:rsidR="007C11E9" w:rsidRPr="000A3A07" w:rsidRDefault="007C11E9">
      <w:pPr>
        <w:pStyle w:val="Normaltindrag"/>
      </w:pPr>
      <w:r w:rsidRPr="000A3A07">
        <w:t>En anslutning av järnvägen till Öresundsbron kostnadsberäknades i den ursprungliga svensk-danska överenskommelsen till 1,5 Milj kr. Anläg</w:t>
      </w:r>
      <w:r w:rsidRPr="000A3A07">
        <w:t>g</w:t>
      </w:r>
      <w:r w:rsidRPr="000A3A07">
        <w:t>ningskostnaden för tunneln beräknas uppgå till 2,9 – 3,5 miljarder kr (prisn</w:t>
      </w:r>
      <w:r w:rsidRPr="000A3A07">
        <w:t>i</w:t>
      </w:r>
      <w:r w:rsidRPr="000A3A07">
        <w:t>vå januari 1993). Ansvarig för denna bedömning var Malmö Stad. Bygga</w:t>
      </w:r>
      <w:r w:rsidRPr="000A3A07">
        <w:t>n</w:t>
      </w:r>
      <w:r w:rsidRPr="000A3A07">
        <w:t>det av Citytunneln sägs emellertid innebära att väsentliga delar av de åtgä</w:t>
      </w:r>
      <w:r w:rsidRPr="000A3A07">
        <w:t>r</w:t>
      </w:r>
      <w:r w:rsidRPr="000A3A07">
        <w:t>der som ingår i anslutningen kan utgå eller sen</w:t>
      </w:r>
      <w:r w:rsidRPr="000A3A07">
        <w:t>a</w:t>
      </w:r>
      <w:r w:rsidRPr="000A3A07">
        <w:t>reläggas.</w:t>
      </w:r>
    </w:p>
    <w:p w14:paraId="4046EE00" w14:textId="77777777" w:rsidR="007C11E9" w:rsidRPr="000A3A07" w:rsidRDefault="007C11E9">
      <w:pPr>
        <w:pStyle w:val="Rubrik2"/>
      </w:pPr>
      <w:bookmarkStart w:id="286" w:name="_Toc486738522"/>
      <w:bookmarkStart w:id="287" w:name="_Toc496511380"/>
      <w:bookmarkStart w:id="288" w:name="_Toc506341012"/>
      <w:r w:rsidRPr="000A3A07">
        <w:t>Dennisutredningen</w:t>
      </w:r>
      <w:bookmarkEnd w:id="286"/>
      <w:bookmarkEnd w:id="287"/>
      <w:bookmarkEnd w:id="288"/>
    </w:p>
    <w:p w14:paraId="7C25518F" w14:textId="77777777" w:rsidR="007C11E9" w:rsidRPr="000A3A07" w:rsidRDefault="007C11E9">
      <w:r w:rsidRPr="000A3A07">
        <w:t>I februari 1994 tillkallades en särskild utredare med uppgift att för en eve</w:t>
      </w:r>
      <w:r w:rsidRPr="000A3A07">
        <w:t>n</w:t>
      </w:r>
      <w:r w:rsidRPr="000A3A07">
        <w:t>tuell Citytunnel i Malmö bland annat</w:t>
      </w:r>
    </w:p>
    <w:p w14:paraId="3EB6D9CE" w14:textId="77777777" w:rsidR="007C11E9" w:rsidRPr="000A3A07" w:rsidRDefault="007C11E9">
      <w:pPr>
        <w:pStyle w:val="Citat"/>
        <w:numPr>
          <w:ilvl w:val="0"/>
          <w:numId w:val="109"/>
        </w:numPr>
      </w:pPr>
      <w:r w:rsidRPr="000A3A07">
        <w:t>"redovisa ett förslag på lokalisering, utformning och byggande som minimerar ingreppen i natur- och kultu</w:t>
      </w:r>
      <w:r w:rsidRPr="000A3A07">
        <w:t>r</w:t>
      </w:r>
      <w:r w:rsidRPr="000A3A07">
        <w:t>miljöer,</w:t>
      </w:r>
    </w:p>
    <w:p w14:paraId="07CE7B3F" w14:textId="77777777" w:rsidR="007C11E9" w:rsidRPr="000A3A07" w:rsidRDefault="007C11E9">
      <w:pPr>
        <w:pStyle w:val="Citat"/>
        <w:numPr>
          <w:ilvl w:val="0"/>
          <w:numId w:val="109"/>
        </w:numPr>
      </w:pPr>
      <w:r w:rsidRPr="000A3A07">
        <w:t>belysa projektets samhälls- och företagsekonomiska förutsättningar och möjligheter till finansiering av olika intressenter, …" (SOU 1994:78, s 4.)</w:t>
      </w:r>
    </w:p>
    <w:p w14:paraId="175AD756" w14:textId="77777777" w:rsidR="007C11E9" w:rsidRPr="000A3A07" w:rsidRDefault="007C11E9">
      <w:r w:rsidRPr="000A3A07">
        <w:t xml:space="preserve">Tre månader senare redovisades utredningsförslaget i form av SOU 1994:78. Projektets lokalisering förändras inte jämfört med tidigare utredningsförslag. Med hänsyn till osäkerhet i skattningarna bedöms </w:t>
      </w:r>
      <w:r w:rsidRPr="000A3A07">
        <w:rPr>
          <w:u w:val="single"/>
        </w:rPr>
        <w:t>kostnaderna</w:t>
      </w:r>
      <w:r w:rsidRPr="000A3A07">
        <w:t xml:space="preserve"> i prisläge januari 1994 uppgå till ca 4 miljarder kr. Kostnadsbedömningen har även denna gång gjorts av Malmö kommun.</w:t>
      </w:r>
    </w:p>
    <w:p w14:paraId="1303C19B" w14:textId="77777777" w:rsidR="007C11E9" w:rsidRPr="000A3A07" w:rsidRDefault="007C11E9">
      <w:pPr>
        <w:pStyle w:val="Normaltindrag"/>
      </w:pPr>
      <w:r w:rsidRPr="000A3A07">
        <w:t>Den konsult som utnyttjats betecknar Citytunneln som ett byggnadste</w:t>
      </w:r>
      <w:r w:rsidRPr="000A3A07">
        <w:t>k</w:t>
      </w:r>
      <w:r w:rsidRPr="000A3A07">
        <w:t>niskt komplicerat projekt. De största osäkerheterna i kostnadskalkylen hänför sig till bergets kvalitet samt de geohydrologiska och grundvattenspecifika förhållandena. Osäkerheten gör att utredaren förordar att kompletterande studier omgående påbörjas.</w:t>
      </w:r>
    </w:p>
    <w:p w14:paraId="1227161A" w14:textId="77777777" w:rsidR="007C11E9" w:rsidRPr="000A3A07" w:rsidRDefault="007C11E9">
      <w:pPr>
        <w:pStyle w:val="Normaltindrag"/>
      </w:pPr>
      <w:r w:rsidRPr="000A3A07">
        <w:t xml:space="preserve">I utredningen presenteras en </w:t>
      </w:r>
      <w:r w:rsidRPr="000A3A07">
        <w:rPr>
          <w:u w:val="single"/>
        </w:rPr>
        <w:t>samhällsekonomisk kalkyl</w:t>
      </w:r>
      <w:r w:rsidRPr="000A3A07">
        <w:t xml:space="preserve"> som utförts vid Banverkets södra region i samråd med Malmöhus Trafik och Malmö ko</w:t>
      </w:r>
      <w:r w:rsidRPr="000A3A07">
        <w:t>m</w:t>
      </w:r>
      <w:r w:rsidRPr="000A3A07">
        <w:t>mun. Av kalkylen framgår att Citytunneln inte kan hävda sig vid en jämf</w:t>
      </w:r>
      <w:r w:rsidRPr="000A3A07">
        <w:t>ö</w:t>
      </w:r>
      <w:r w:rsidRPr="000A3A07">
        <w:t>relse med en upprustning av Kontinentalbanan. Malmö kommun och Ma</w:t>
      </w:r>
      <w:r w:rsidRPr="000A3A07">
        <w:t>l</w:t>
      </w:r>
      <w:r w:rsidRPr="000A3A07">
        <w:t>möhus Trafik pekar emellertid på tunnelns regionalpolitiska och strukturella effekter. En fördjupad granskning av denna samhällsekonomiska kalkyl present</w:t>
      </w:r>
      <w:r w:rsidRPr="000A3A07">
        <w:t>e</w:t>
      </w:r>
      <w:r w:rsidRPr="000A3A07">
        <w:t>ras i avsnitt 5 nedan.</w:t>
      </w:r>
    </w:p>
    <w:p w14:paraId="00879F2B" w14:textId="77777777" w:rsidR="007C11E9" w:rsidRPr="000A3A07" w:rsidRDefault="007C11E9">
      <w:pPr>
        <w:pStyle w:val="Normaltindrag"/>
      </w:pPr>
      <w:r w:rsidRPr="000A3A07">
        <w:t xml:space="preserve">En Citytunnel skulle ge möjligheter att utveckla </w:t>
      </w:r>
      <w:r w:rsidRPr="000A3A07">
        <w:rPr>
          <w:u w:val="single"/>
        </w:rPr>
        <w:t>trafiken</w:t>
      </w:r>
      <w:r w:rsidRPr="000A3A07">
        <w:t xml:space="preserve"> och därmed ko</w:t>
      </w:r>
      <w:r w:rsidRPr="000A3A07">
        <w:t>l</w:t>
      </w:r>
      <w:r w:rsidRPr="000A3A07">
        <w:t>lektivresandet i regionen, bland annat genom att två nya stationer i Malmö stad tillkommer. En tunnel ökar tillgängligheten, ger kortare restider och väntetider samt tidsvinster för genomgående trafik. Medan långväga traf</w:t>
      </w:r>
      <w:r w:rsidRPr="000A3A07">
        <w:t>i</w:t>
      </w:r>
      <w:r w:rsidRPr="000A3A07">
        <w:t>kanter gör tidsvinster är emellertid bedömningen att det totala antalet resen</w:t>
      </w:r>
      <w:r w:rsidRPr="000A3A07">
        <w:t>ä</w:t>
      </w:r>
      <w:r w:rsidRPr="000A3A07">
        <w:t>rer påverkas e</w:t>
      </w:r>
      <w:r w:rsidRPr="000A3A07">
        <w:t>n</w:t>
      </w:r>
      <w:r w:rsidRPr="000A3A07">
        <w:t>dast marginellt.</w:t>
      </w:r>
    </w:p>
    <w:p w14:paraId="6DF1DF2E" w14:textId="77777777" w:rsidR="007C11E9" w:rsidRPr="000A3A07" w:rsidRDefault="007C11E9">
      <w:pPr>
        <w:pStyle w:val="Normaltindrag"/>
      </w:pPr>
      <w:r w:rsidRPr="000A3A07">
        <w:t xml:space="preserve">Projektet sägs ha </w:t>
      </w:r>
      <w:r w:rsidRPr="000A3A07">
        <w:rPr>
          <w:u w:val="single"/>
        </w:rPr>
        <w:t>miljökonsekvenser</w:t>
      </w:r>
      <w:r w:rsidRPr="000A3A07">
        <w:t xml:space="preserve"> i så måtto att förutsättningar skapas för ett väsentligt ökat kollektivresande och en reduktion av biltrafiken i Malmö. Detta ger minskade emissioner, förbättrad trafiksäkerhet och min</w:t>
      </w:r>
      <w:r w:rsidRPr="000A3A07">
        <w:t>s</w:t>
      </w:r>
      <w:r w:rsidRPr="000A3A07">
        <w:t>kad trän</w:t>
      </w:r>
      <w:r w:rsidRPr="000A3A07">
        <w:t>g</w:t>
      </w:r>
      <w:r w:rsidRPr="000A3A07">
        <w:t>sel.</w:t>
      </w:r>
    </w:p>
    <w:p w14:paraId="730BC824" w14:textId="77777777" w:rsidR="007C11E9" w:rsidRPr="000A3A07" w:rsidRDefault="007C11E9">
      <w:pPr>
        <w:pStyle w:val="Normaltindrag"/>
      </w:pPr>
      <w:r w:rsidRPr="000A3A07">
        <w:t>Eftersom Citytunneln inte är kommersiellt bärkraftig och inte kan hävda sig vid en jämförelse med de investeringar i infrastruktur som normalt fina</w:t>
      </w:r>
      <w:r w:rsidRPr="000A3A07">
        <w:t>n</w:t>
      </w:r>
      <w:r w:rsidRPr="000A3A07">
        <w:t xml:space="preserve">sieras av staten över Banverkets stomnätsplan, kan den endast komma till stånd genom att staten och Malmöregionen tillsammans svarar för </w:t>
      </w:r>
      <w:r w:rsidRPr="000A3A07">
        <w:rPr>
          <w:u w:val="single"/>
        </w:rPr>
        <w:t>finansi</w:t>
      </w:r>
      <w:r w:rsidRPr="000A3A07">
        <w:rPr>
          <w:u w:val="single"/>
        </w:rPr>
        <w:t>e</w:t>
      </w:r>
      <w:r w:rsidRPr="000A3A07">
        <w:rPr>
          <w:u w:val="single"/>
        </w:rPr>
        <w:t>ringen</w:t>
      </w:r>
      <w:r w:rsidRPr="000A3A07">
        <w:t>. Tunneln har stor betydelse för regionen och projektet bör enligt u</w:t>
      </w:r>
      <w:r w:rsidRPr="000A3A07">
        <w:t>t</w:t>
      </w:r>
      <w:r w:rsidRPr="000A3A07">
        <w:t>redningsmannen därför inte förverkligas om staten ensamt skall stå för fina</w:t>
      </w:r>
      <w:r w:rsidRPr="000A3A07">
        <w:t>n</w:t>
      </w:r>
      <w:r w:rsidRPr="000A3A07">
        <w:t>sieringen.</w:t>
      </w:r>
    </w:p>
    <w:p w14:paraId="260A1021" w14:textId="77777777" w:rsidR="007C11E9" w:rsidRPr="000A3A07" w:rsidRDefault="007C11E9">
      <w:pPr>
        <w:pStyle w:val="Rubrik2"/>
      </w:pPr>
      <w:bookmarkStart w:id="289" w:name="_Toc486738523"/>
      <w:bookmarkStart w:id="290" w:name="_Toc496511381"/>
      <w:r w:rsidRPr="000A3A07">
        <w:br w:type="page"/>
      </w:r>
      <w:bookmarkStart w:id="291" w:name="_Toc506341013"/>
      <w:r w:rsidRPr="000A3A07">
        <w:t>1996 års utredningar</w:t>
      </w:r>
      <w:bookmarkEnd w:id="289"/>
      <w:bookmarkEnd w:id="290"/>
      <w:bookmarkEnd w:id="291"/>
    </w:p>
    <w:p w14:paraId="6B198FFD" w14:textId="77777777" w:rsidR="007C11E9" w:rsidRPr="000A3A07" w:rsidRDefault="007C11E9">
      <w:r w:rsidRPr="000A3A07">
        <w:t>På uppdrag av regeringen genomfördes under 1995 tre kompletterande u</w:t>
      </w:r>
      <w:r w:rsidRPr="000A3A07">
        <w:t>t</w:t>
      </w:r>
      <w:r w:rsidRPr="000A3A07">
        <w:t>redningar som kom att färdigställas under 1996. Den första innehöll en te</w:t>
      </w:r>
      <w:r w:rsidRPr="000A3A07">
        <w:t>k</w:t>
      </w:r>
      <w:r w:rsidRPr="000A3A07">
        <w:t>nisk komplettering av tidigare utredningar om Citytunneln. Kostnadsberä</w:t>
      </w:r>
      <w:r w:rsidRPr="000A3A07">
        <w:t>k</w:t>
      </w:r>
      <w:r w:rsidRPr="000A3A07">
        <w:t>ningen landade denna gång på 5 miljarder kr i prisnivå januari 1996. Utre</w:t>
      </w:r>
      <w:r w:rsidRPr="000A3A07">
        <w:t>d</w:t>
      </w:r>
      <w:r w:rsidRPr="000A3A07">
        <w:t>ningen bekostades av Svedab och arbetet utfördes i samarbete med Malm</w:t>
      </w:r>
      <w:r w:rsidRPr="000A3A07">
        <w:t>ö</w:t>
      </w:r>
      <w:r w:rsidRPr="000A3A07">
        <w:t>hus Trafik och finns redovisad som Sv</w:t>
      </w:r>
      <w:r w:rsidRPr="000A3A07">
        <w:t>e</w:t>
      </w:r>
      <w:r w:rsidRPr="000A3A07">
        <w:t>dab (1996).</w:t>
      </w:r>
    </w:p>
    <w:p w14:paraId="4EB5BA1F" w14:textId="77777777" w:rsidR="007C11E9" w:rsidRPr="000A3A07" w:rsidRDefault="007C11E9">
      <w:pPr>
        <w:pStyle w:val="Normaltindrag"/>
      </w:pPr>
      <w:r w:rsidRPr="000A3A07">
        <w:t>På uppdrag av Malmöhus Trafik AB genomförde konsultföretaget Inregia analyser av Citytunnelns strukturerande effekter för trafik och bebyggelse i Öresundsregionen, publice</w:t>
      </w:r>
      <w:r w:rsidRPr="000A3A07">
        <w:t>rade som Inregia (1995) och Inregia (1996). Syftet var att kvantifiera förväntade effekter på arbetsresande, tillgänglighet och lokalisering i Öresundsregionen år 2010 med respektive utan C</w:t>
      </w:r>
      <w:r w:rsidRPr="000A3A07">
        <w:t>i</w:t>
      </w:r>
      <w:r w:rsidRPr="000A3A07">
        <w:t xml:space="preserve">tytunnel. </w:t>
      </w:r>
    </w:p>
    <w:p w14:paraId="2CB20F9B" w14:textId="77777777" w:rsidR="007C11E9" w:rsidRPr="000A3A07" w:rsidRDefault="007C11E9">
      <w:pPr>
        <w:pStyle w:val="Normaltindrag"/>
      </w:pPr>
      <w:r w:rsidRPr="000A3A07">
        <w:t>Resultatet av studierna gav också underlag för att uttala sig om projektets samhällsekonomiska lönsamhet. Man gör därvid bedömningen att nyttan av Citytunneln uppgår till ca 5 miljarder kronor och att investeringen därför skulle vara berättigad. Denna analys diskuteras ytterligare i avsnitt 6 ne</w:t>
      </w:r>
      <w:r w:rsidRPr="000A3A07">
        <w:t>d</w:t>
      </w:r>
      <w:r w:rsidRPr="000A3A07">
        <w:t>an.</w:t>
      </w:r>
    </w:p>
    <w:p w14:paraId="460D66B4" w14:textId="77777777" w:rsidR="007C11E9" w:rsidRPr="000A3A07" w:rsidRDefault="007C11E9">
      <w:pPr>
        <w:pStyle w:val="Rubrik1"/>
        <w:ind w:left="357" w:hanging="357"/>
      </w:pPr>
      <w:r w:rsidRPr="000A3A07">
        <w:br w:type="page"/>
      </w:r>
      <w:bookmarkStart w:id="292" w:name="_Toc486738524"/>
      <w:bookmarkStart w:id="293" w:name="_Toc496511382"/>
      <w:bookmarkStart w:id="294" w:name="_Toc506341014"/>
      <w:r w:rsidRPr="000A3A07">
        <w:t>Den samhällsekonomiska kalkylen i Dennisutredningen</w:t>
      </w:r>
      <w:bookmarkEnd w:id="292"/>
      <w:bookmarkEnd w:id="293"/>
      <w:bookmarkEnd w:id="294"/>
    </w:p>
    <w:p w14:paraId="0B29E67A" w14:textId="77777777" w:rsidR="007C11E9" w:rsidRPr="000A3A07" w:rsidRDefault="007C11E9">
      <w:r w:rsidRPr="000A3A07">
        <w:t>På uppdrag av Dennisutredningen utförde Banverkets södra region en sa</w:t>
      </w:r>
      <w:r w:rsidRPr="000A3A07">
        <w:t>m</w:t>
      </w:r>
      <w:r w:rsidRPr="000A3A07">
        <w:t>hällsekonomisk kalkyl av Citytunneln. Uppgifter om de beräknade kostn</w:t>
      </w:r>
      <w:r w:rsidRPr="000A3A07">
        <w:t>a</w:t>
      </w:r>
      <w:r w:rsidRPr="000A3A07">
        <w:t>derna för tunnelbygget erhölls från Malmö kommun medan SJ och företräd</w:t>
      </w:r>
      <w:r w:rsidRPr="000A3A07">
        <w:t>a</w:t>
      </w:r>
      <w:r w:rsidRPr="000A3A07">
        <w:t xml:space="preserve">re för regiontrafiken lämnade uppgifter om trafikens omfattning. Kalkylen ingår som Bilaga 2 i SOU 1994:78. </w:t>
      </w:r>
    </w:p>
    <w:p w14:paraId="617B9D0D" w14:textId="77777777" w:rsidR="007C11E9" w:rsidRPr="000A3A07" w:rsidRDefault="007C11E9">
      <w:pPr>
        <w:pStyle w:val="Normaltindrag"/>
      </w:pPr>
      <w:r w:rsidRPr="000A3A07">
        <w:t>Tabell 1 sammanfattar kalkylresultatet. Tabellen visar att projektets berä</w:t>
      </w:r>
      <w:r w:rsidRPr="000A3A07">
        <w:t>k</w:t>
      </w:r>
      <w:r w:rsidRPr="000A3A07">
        <w:t>nade kostnader är nästan 900 Milj kr större än dess beräknade nyttoeffekter. Projektet har därför en negativ så kallad nettonuvärdekvot om –0,22 vilket innebär att man får tillbaka mindre än 80 öre av varje investerad krona. Med tanke på att Banverket har ett betydande antal investeringar som är samhäll</w:t>
      </w:r>
      <w:r w:rsidRPr="000A3A07">
        <w:t>s</w:t>
      </w:r>
      <w:r w:rsidRPr="000A3A07">
        <w:t>ekonomiskt lönsamma (kvoten är större än 0) drar utredningen slutsatsen att man får sämre avkastning av de resurser som myndigheten tilldelas för jär</w:t>
      </w:r>
      <w:r w:rsidRPr="000A3A07">
        <w:t>n</w:t>
      </w:r>
      <w:r w:rsidRPr="000A3A07">
        <w:t>vägsbyggande om det nu aktuella beloppet skulle invester</w:t>
      </w:r>
      <w:r w:rsidRPr="000A3A07">
        <w:t>as i Citytunneln.</w:t>
      </w:r>
    </w:p>
    <w:p w14:paraId="5E44E78B" w14:textId="77777777" w:rsidR="007C11E9" w:rsidRPr="000A3A07" w:rsidRDefault="007C11E9">
      <w:pPr>
        <w:rPr>
          <w:b/>
          <w:sz w:val="22"/>
        </w:rPr>
      </w:pPr>
      <w:r w:rsidRPr="000A3A07">
        <w:rPr>
          <w:b/>
          <w:sz w:val="22"/>
        </w:rPr>
        <w:t>Tabell 1. Samhällsekonomiskt utfall av en investering i C</w:t>
      </w:r>
      <w:r w:rsidRPr="000A3A07">
        <w:rPr>
          <w:b/>
          <w:sz w:val="22"/>
        </w:rPr>
        <w:t>i</w:t>
      </w:r>
      <w:r w:rsidRPr="000A3A07">
        <w:rPr>
          <w:b/>
          <w:sz w:val="22"/>
        </w:rPr>
        <w:t>tytunneln, altern</w:t>
      </w:r>
      <w:r w:rsidRPr="000A3A07">
        <w:rPr>
          <w:b/>
          <w:sz w:val="22"/>
        </w:rPr>
        <w:t>a</w:t>
      </w:r>
      <w:r w:rsidRPr="000A3A07">
        <w:rPr>
          <w:b/>
          <w:sz w:val="22"/>
        </w:rPr>
        <w:t>tiv "borrad".</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AF" w:firstRow="1" w:lastRow="0" w:firstColumn="1" w:lastColumn="0" w:noHBand="0" w:noVBand="0"/>
      </w:tblPr>
      <w:tblGrid>
        <w:gridCol w:w="2905"/>
        <w:gridCol w:w="1134"/>
        <w:gridCol w:w="1843"/>
      </w:tblGrid>
      <w:tr w:rsidR="00000000" w:rsidRPr="000A3A07" w14:paraId="51991813" w14:textId="77777777">
        <w:tblPrEx>
          <w:tblCellMar>
            <w:top w:w="0" w:type="dxa"/>
            <w:bottom w:w="0" w:type="dxa"/>
          </w:tblCellMar>
        </w:tblPrEx>
        <w:trPr>
          <w:cantSplit/>
        </w:trPr>
        <w:tc>
          <w:tcPr>
            <w:tcW w:w="2905" w:type="dxa"/>
            <w:tcBorders>
              <w:bottom w:val="single" w:sz="6" w:space="0" w:color="000000"/>
            </w:tcBorders>
            <w:shd w:val="pct30" w:color="FFFF00" w:fill="FFFFFF"/>
          </w:tcPr>
          <w:p w14:paraId="1473A7F3" w14:textId="77777777" w:rsidR="007C11E9" w:rsidRPr="000A3A07" w:rsidRDefault="007C11E9">
            <w:pPr>
              <w:spacing w:before="0"/>
            </w:pPr>
            <w:r w:rsidRPr="000A3A07">
              <w:t>Kostnad/nytta</w:t>
            </w:r>
          </w:p>
        </w:tc>
        <w:tc>
          <w:tcPr>
            <w:tcW w:w="2977" w:type="dxa"/>
            <w:gridSpan w:val="2"/>
            <w:tcBorders>
              <w:bottom w:val="single" w:sz="6" w:space="0" w:color="000000"/>
            </w:tcBorders>
            <w:shd w:val="pct30" w:color="FFFF00" w:fill="FFFFFF"/>
          </w:tcPr>
          <w:p w14:paraId="33FED0B2" w14:textId="77777777" w:rsidR="007C11E9" w:rsidRPr="000A3A07" w:rsidRDefault="007C11E9">
            <w:pPr>
              <w:spacing w:before="0"/>
            </w:pPr>
            <w:r w:rsidRPr="000A3A07">
              <w:t>Nuvärde, miljoner kronor</w:t>
            </w:r>
          </w:p>
        </w:tc>
      </w:tr>
      <w:tr w:rsidR="00000000" w:rsidRPr="000A3A07" w14:paraId="0A34FF82" w14:textId="77777777">
        <w:tblPrEx>
          <w:tblCellMar>
            <w:top w:w="0" w:type="dxa"/>
            <w:bottom w:w="0" w:type="dxa"/>
          </w:tblCellMar>
        </w:tblPrEx>
        <w:tc>
          <w:tcPr>
            <w:tcW w:w="2905" w:type="dxa"/>
            <w:tcBorders>
              <w:top w:val="nil"/>
            </w:tcBorders>
          </w:tcPr>
          <w:p w14:paraId="793D81D1" w14:textId="77777777" w:rsidR="007C11E9" w:rsidRPr="000A3A07" w:rsidRDefault="007C11E9">
            <w:pPr>
              <w:spacing w:before="0"/>
            </w:pPr>
            <w:r w:rsidRPr="000A3A07">
              <w:t>Anläggningskostnad</w:t>
            </w:r>
          </w:p>
        </w:tc>
        <w:tc>
          <w:tcPr>
            <w:tcW w:w="1134" w:type="dxa"/>
            <w:tcBorders>
              <w:top w:val="nil"/>
              <w:right w:val="nil"/>
            </w:tcBorders>
          </w:tcPr>
          <w:p w14:paraId="47AA24DD" w14:textId="77777777" w:rsidR="007C11E9" w:rsidRPr="000A3A07" w:rsidRDefault="007C11E9">
            <w:pPr>
              <w:spacing w:before="0"/>
              <w:jc w:val="right"/>
            </w:pPr>
            <w:r w:rsidRPr="000A3A07">
              <w:t>-3780</w:t>
            </w:r>
          </w:p>
        </w:tc>
        <w:tc>
          <w:tcPr>
            <w:tcW w:w="1843" w:type="dxa"/>
            <w:tcBorders>
              <w:top w:val="nil"/>
              <w:left w:val="nil"/>
            </w:tcBorders>
          </w:tcPr>
          <w:p w14:paraId="65550887" w14:textId="77777777" w:rsidR="007C11E9" w:rsidRPr="000A3A07" w:rsidRDefault="007C11E9">
            <w:pPr>
              <w:spacing w:before="0"/>
              <w:jc w:val="center"/>
            </w:pPr>
          </w:p>
        </w:tc>
      </w:tr>
      <w:tr w:rsidR="00000000" w:rsidRPr="000A3A07" w14:paraId="6C93231E" w14:textId="77777777">
        <w:tblPrEx>
          <w:tblCellMar>
            <w:top w:w="0" w:type="dxa"/>
            <w:bottom w:w="0" w:type="dxa"/>
          </w:tblCellMar>
        </w:tblPrEx>
        <w:tc>
          <w:tcPr>
            <w:tcW w:w="2905" w:type="dxa"/>
          </w:tcPr>
          <w:p w14:paraId="2E3AD740" w14:textId="77777777" w:rsidR="007C11E9" w:rsidRPr="000A3A07" w:rsidRDefault="007C11E9">
            <w:pPr>
              <w:spacing w:before="0"/>
            </w:pPr>
            <w:r w:rsidRPr="000A3A07">
              <w:t>Drift, underhåll, förnyelse</w:t>
            </w:r>
          </w:p>
        </w:tc>
        <w:tc>
          <w:tcPr>
            <w:tcW w:w="1134" w:type="dxa"/>
            <w:tcBorders>
              <w:right w:val="nil"/>
            </w:tcBorders>
          </w:tcPr>
          <w:p w14:paraId="22606E7F" w14:textId="77777777" w:rsidR="007C11E9" w:rsidRPr="000A3A07" w:rsidRDefault="007C11E9">
            <w:pPr>
              <w:spacing w:before="0"/>
              <w:jc w:val="right"/>
            </w:pPr>
            <w:r w:rsidRPr="000A3A07">
              <w:t>-135</w:t>
            </w:r>
          </w:p>
        </w:tc>
        <w:tc>
          <w:tcPr>
            <w:tcW w:w="1843" w:type="dxa"/>
            <w:tcBorders>
              <w:left w:val="nil"/>
            </w:tcBorders>
          </w:tcPr>
          <w:p w14:paraId="687BB31C" w14:textId="77777777" w:rsidR="007C11E9" w:rsidRPr="000A3A07" w:rsidRDefault="007C11E9">
            <w:pPr>
              <w:spacing w:before="0"/>
              <w:jc w:val="center"/>
            </w:pPr>
          </w:p>
        </w:tc>
      </w:tr>
      <w:tr w:rsidR="00000000" w:rsidRPr="000A3A07" w14:paraId="1A485360" w14:textId="77777777">
        <w:tblPrEx>
          <w:tblCellMar>
            <w:top w:w="0" w:type="dxa"/>
            <w:bottom w:w="0" w:type="dxa"/>
          </w:tblCellMar>
        </w:tblPrEx>
        <w:tc>
          <w:tcPr>
            <w:tcW w:w="2905" w:type="dxa"/>
          </w:tcPr>
          <w:p w14:paraId="63B72FF4" w14:textId="77777777" w:rsidR="007C11E9" w:rsidRPr="000A3A07" w:rsidRDefault="007C11E9">
            <w:pPr>
              <w:spacing w:before="0"/>
            </w:pPr>
            <w:r w:rsidRPr="000A3A07">
              <w:t>Summa kostnader</w:t>
            </w:r>
          </w:p>
        </w:tc>
        <w:tc>
          <w:tcPr>
            <w:tcW w:w="1134" w:type="dxa"/>
            <w:tcBorders>
              <w:right w:val="nil"/>
            </w:tcBorders>
          </w:tcPr>
          <w:p w14:paraId="05B79FCD" w14:textId="77777777" w:rsidR="007C11E9" w:rsidRPr="000A3A07" w:rsidRDefault="007C11E9">
            <w:pPr>
              <w:spacing w:before="0"/>
              <w:jc w:val="right"/>
            </w:pPr>
          </w:p>
        </w:tc>
        <w:tc>
          <w:tcPr>
            <w:tcW w:w="1843" w:type="dxa"/>
            <w:tcBorders>
              <w:left w:val="nil"/>
            </w:tcBorders>
          </w:tcPr>
          <w:p w14:paraId="707A2E1F" w14:textId="77777777" w:rsidR="007C11E9" w:rsidRPr="000A3A07" w:rsidRDefault="007C11E9">
            <w:pPr>
              <w:spacing w:before="0"/>
              <w:jc w:val="center"/>
            </w:pPr>
            <w:r w:rsidRPr="000A3A07">
              <w:t>-3915</w:t>
            </w:r>
          </w:p>
        </w:tc>
      </w:tr>
      <w:tr w:rsidR="00000000" w:rsidRPr="000A3A07" w14:paraId="3C055047" w14:textId="77777777">
        <w:tblPrEx>
          <w:tblCellMar>
            <w:top w:w="0" w:type="dxa"/>
            <w:bottom w:w="0" w:type="dxa"/>
          </w:tblCellMar>
        </w:tblPrEx>
        <w:tc>
          <w:tcPr>
            <w:tcW w:w="2905" w:type="dxa"/>
          </w:tcPr>
          <w:p w14:paraId="63B343F1" w14:textId="77777777" w:rsidR="007C11E9" w:rsidRPr="000A3A07" w:rsidRDefault="007C11E9">
            <w:pPr>
              <w:spacing w:before="0"/>
            </w:pPr>
            <w:r w:rsidRPr="000A3A07">
              <w:t>Nettoeffekt, tågtrafik</w:t>
            </w:r>
          </w:p>
        </w:tc>
        <w:tc>
          <w:tcPr>
            <w:tcW w:w="1134" w:type="dxa"/>
            <w:tcBorders>
              <w:right w:val="nil"/>
            </w:tcBorders>
          </w:tcPr>
          <w:p w14:paraId="6F426BFC" w14:textId="77777777" w:rsidR="007C11E9" w:rsidRPr="000A3A07" w:rsidRDefault="007C11E9">
            <w:pPr>
              <w:spacing w:before="0"/>
              <w:jc w:val="right"/>
            </w:pPr>
            <w:r w:rsidRPr="000A3A07">
              <w:t>1040</w:t>
            </w:r>
          </w:p>
        </w:tc>
        <w:tc>
          <w:tcPr>
            <w:tcW w:w="1843" w:type="dxa"/>
            <w:tcBorders>
              <w:left w:val="nil"/>
            </w:tcBorders>
          </w:tcPr>
          <w:p w14:paraId="623590EA" w14:textId="77777777" w:rsidR="007C11E9" w:rsidRPr="000A3A07" w:rsidRDefault="007C11E9">
            <w:pPr>
              <w:spacing w:before="0"/>
              <w:jc w:val="center"/>
            </w:pPr>
          </w:p>
        </w:tc>
      </w:tr>
      <w:tr w:rsidR="00000000" w:rsidRPr="000A3A07" w14:paraId="42974464" w14:textId="77777777">
        <w:tblPrEx>
          <w:tblCellMar>
            <w:top w:w="0" w:type="dxa"/>
            <w:bottom w:w="0" w:type="dxa"/>
          </w:tblCellMar>
        </w:tblPrEx>
        <w:tc>
          <w:tcPr>
            <w:tcW w:w="2905" w:type="dxa"/>
          </w:tcPr>
          <w:p w14:paraId="32E58385" w14:textId="77777777" w:rsidR="007C11E9" w:rsidRPr="000A3A07" w:rsidRDefault="007C11E9">
            <w:pPr>
              <w:spacing w:before="0"/>
            </w:pPr>
            <w:r w:rsidRPr="000A3A07">
              <w:t>Resuppoffring (tidsvinst)</w:t>
            </w:r>
          </w:p>
        </w:tc>
        <w:tc>
          <w:tcPr>
            <w:tcW w:w="1134" w:type="dxa"/>
            <w:tcBorders>
              <w:right w:val="nil"/>
            </w:tcBorders>
          </w:tcPr>
          <w:p w14:paraId="29F342FC" w14:textId="77777777" w:rsidR="007C11E9" w:rsidRPr="000A3A07" w:rsidRDefault="007C11E9">
            <w:pPr>
              <w:spacing w:before="0"/>
              <w:jc w:val="right"/>
            </w:pPr>
            <w:r w:rsidRPr="000A3A07">
              <w:t>1885</w:t>
            </w:r>
          </w:p>
        </w:tc>
        <w:tc>
          <w:tcPr>
            <w:tcW w:w="1843" w:type="dxa"/>
            <w:tcBorders>
              <w:left w:val="nil"/>
            </w:tcBorders>
          </w:tcPr>
          <w:p w14:paraId="745D83D4" w14:textId="77777777" w:rsidR="007C11E9" w:rsidRPr="000A3A07" w:rsidRDefault="007C11E9">
            <w:pPr>
              <w:spacing w:before="0"/>
              <w:jc w:val="center"/>
            </w:pPr>
          </w:p>
        </w:tc>
      </w:tr>
      <w:tr w:rsidR="00000000" w:rsidRPr="000A3A07" w14:paraId="0E81E948" w14:textId="77777777">
        <w:tblPrEx>
          <w:tblCellMar>
            <w:top w:w="0" w:type="dxa"/>
            <w:bottom w:w="0" w:type="dxa"/>
          </w:tblCellMar>
        </w:tblPrEx>
        <w:tc>
          <w:tcPr>
            <w:tcW w:w="2905" w:type="dxa"/>
            <w:tcBorders>
              <w:bottom w:val="single" w:sz="4" w:space="0" w:color="auto"/>
            </w:tcBorders>
          </w:tcPr>
          <w:p w14:paraId="40278B37" w14:textId="77777777" w:rsidR="007C11E9" w:rsidRPr="000A3A07" w:rsidRDefault="007C11E9">
            <w:pPr>
              <w:spacing w:before="0"/>
            </w:pPr>
            <w:r w:rsidRPr="000A3A07">
              <w:t>Miljö</w:t>
            </w:r>
          </w:p>
        </w:tc>
        <w:tc>
          <w:tcPr>
            <w:tcW w:w="1134" w:type="dxa"/>
            <w:tcBorders>
              <w:bottom w:val="single" w:sz="4" w:space="0" w:color="auto"/>
              <w:right w:val="nil"/>
            </w:tcBorders>
          </w:tcPr>
          <w:p w14:paraId="4814A37B" w14:textId="77777777" w:rsidR="007C11E9" w:rsidRPr="000A3A07" w:rsidRDefault="007C11E9">
            <w:pPr>
              <w:spacing w:before="0"/>
              <w:jc w:val="right"/>
            </w:pPr>
            <w:r w:rsidRPr="000A3A07">
              <w:t>120</w:t>
            </w:r>
          </w:p>
        </w:tc>
        <w:tc>
          <w:tcPr>
            <w:tcW w:w="1843" w:type="dxa"/>
            <w:tcBorders>
              <w:left w:val="nil"/>
              <w:bottom w:val="single" w:sz="4" w:space="0" w:color="auto"/>
            </w:tcBorders>
          </w:tcPr>
          <w:p w14:paraId="5AD0921B" w14:textId="77777777" w:rsidR="007C11E9" w:rsidRPr="000A3A07" w:rsidRDefault="007C11E9">
            <w:pPr>
              <w:spacing w:before="0"/>
              <w:jc w:val="center"/>
            </w:pPr>
          </w:p>
        </w:tc>
      </w:tr>
      <w:tr w:rsidR="00000000" w:rsidRPr="000A3A07" w14:paraId="642D3CDB" w14:textId="77777777">
        <w:tblPrEx>
          <w:tblCellMar>
            <w:top w:w="0" w:type="dxa"/>
            <w:bottom w:w="0" w:type="dxa"/>
          </w:tblCellMar>
        </w:tblPrEx>
        <w:tc>
          <w:tcPr>
            <w:tcW w:w="2905" w:type="dxa"/>
            <w:tcBorders>
              <w:top w:val="nil"/>
            </w:tcBorders>
          </w:tcPr>
          <w:p w14:paraId="28DF2FF9" w14:textId="77777777" w:rsidR="007C11E9" w:rsidRPr="000A3A07" w:rsidRDefault="007C11E9">
            <w:pPr>
              <w:spacing w:before="0"/>
            </w:pPr>
            <w:r w:rsidRPr="000A3A07">
              <w:t>Summa nyttoeffekter</w:t>
            </w:r>
          </w:p>
        </w:tc>
        <w:tc>
          <w:tcPr>
            <w:tcW w:w="1134" w:type="dxa"/>
            <w:tcBorders>
              <w:top w:val="nil"/>
              <w:bottom w:val="single" w:sz="6" w:space="0" w:color="000000"/>
              <w:right w:val="nil"/>
            </w:tcBorders>
          </w:tcPr>
          <w:p w14:paraId="15401B82" w14:textId="77777777" w:rsidR="007C11E9" w:rsidRPr="000A3A07" w:rsidRDefault="007C11E9">
            <w:pPr>
              <w:spacing w:before="0"/>
            </w:pPr>
          </w:p>
        </w:tc>
        <w:tc>
          <w:tcPr>
            <w:tcW w:w="1843" w:type="dxa"/>
            <w:tcBorders>
              <w:top w:val="nil"/>
              <w:left w:val="nil"/>
            </w:tcBorders>
          </w:tcPr>
          <w:p w14:paraId="576BF89B" w14:textId="77777777" w:rsidR="007C11E9" w:rsidRPr="000A3A07" w:rsidRDefault="007C11E9">
            <w:pPr>
              <w:spacing w:before="0"/>
              <w:jc w:val="center"/>
            </w:pPr>
            <w:r w:rsidRPr="000A3A07">
              <w:t>3045</w:t>
            </w:r>
          </w:p>
        </w:tc>
      </w:tr>
    </w:tbl>
    <w:p w14:paraId="368482A3" w14:textId="77777777" w:rsidR="007C11E9" w:rsidRPr="000A3A07" w:rsidRDefault="007C11E9">
      <w:pPr>
        <w:pStyle w:val="Tabell"/>
      </w:pPr>
      <w:r w:rsidRPr="000A3A07">
        <w:t>Från SOU 1994:78, s 63.</w:t>
      </w:r>
    </w:p>
    <w:p w14:paraId="14948255" w14:textId="77777777" w:rsidR="007C11E9" w:rsidRPr="000A3A07" w:rsidRDefault="007C11E9">
      <w:r w:rsidRPr="000A3A07">
        <w:t>Resterande del av detta avsnitt granskar de komponenter som bygger upp kalkylresultatet som detta redovisas i Tabell 1. Delavsnitt 5.1 diskuterar kostnadsberäkningen, 5.2 behandlar effekter för tågtrafiken, 5.3 tidsvinsterna medan delavsnitt 5.4 kommenterar bedömningen av investeringens konse</w:t>
      </w:r>
      <w:r w:rsidRPr="000A3A07">
        <w:t>k</w:t>
      </w:r>
      <w:r w:rsidRPr="000A3A07">
        <w:t>venser för miljön. De slutsatser som kan dras av genomgången sammanfattas i avsnitt 5.5.</w:t>
      </w:r>
    </w:p>
    <w:p w14:paraId="2058A590" w14:textId="77777777" w:rsidR="007C11E9" w:rsidRPr="000A3A07" w:rsidRDefault="007C11E9">
      <w:pPr>
        <w:pStyle w:val="Normaltindrag"/>
      </w:pPr>
      <w:r w:rsidRPr="000A3A07">
        <w:t>Den kalkyl som redovisas i SOU 1994:78 bygger i allt väsentligt på den modellstruktur som används av Banverket för att genomföra samhällsek</w:t>
      </w:r>
      <w:r w:rsidRPr="000A3A07">
        <w:t>o</w:t>
      </w:r>
      <w:r w:rsidRPr="000A3A07">
        <w:t>nomiska kalkyler. Flera granskningar som tidigare genomförts visar att m</w:t>
      </w:r>
      <w:r w:rsidRPr="000A3A07">
        <w:t>o</w:t>
      </w:r>
      <w:r w:rsidRPr="000A3A07">
        <w:t>dellen som sådan inte är behäftad med principiellt felaktiga resonemang. Men även om metodiken som sådan hade varit förenad med problem finns ett värde i att använda ett enhetligt tillvägagångssätt för samtliga järnvägsi</w:t>
      </w:r>
      <w:r w:rsidRPr="000A3A07">
        <w:t>n</w:t>
      </w:r>
      <w:r w:rsidRPr="000A3A07">
        <w:t>vesteringar. Inga metodfrågor av denna art tas därför upp här.</w:t>
      </w:r>
    </w:p>
    <w:p w14:paraId="03D43F03" w14:textId="77777777" w:rsidR="007C11E9" w:rsidRPr="000A3A07" w:rsidRDefault="007C11E9">
      <w:pPr>
        <w:pStyle w:val="Rubrik2"/>
      </w:pPr>
      <w:bookmarkStart w:id="295" w:name="_Toc486738525"/>
      <w:bookmarkStart w:id="296" w:name="_Toc496511383"/>
      <w:bookmarkStart w:id="297" w:name="_Toc506341015"/>
      <w:r w:rsidRPr="000A3A07">
        <w:t>Kostnader</w:t>
      </w:r>
      <w:bookmarkEnd w:id="295"/>
      <w:bookmarkEnd w:id="296"/>
      <w:bookmarkEnd w:id="297"/>
    </w:p>
    <w:p w14:paraId="00820453" w14:textId="77777777" w:rsidR="007C11E9" w:rsidRPr="000A3A07" w:rsidRDefault="007C11E9">
      <w:pPr>
        <w:rPr>
          <w:b/>
        </w:rPr>
      </w:pPr>
      <w:r w:rsidRPr="000A3A07">
        <w:t>Som redan påpekats finns betydande svårigheter att bedöma kostnaden för att bygga en tunnel av Citytunnelns typ, framför allt vad gäller tunnelns geote</w:t>
      </w:r>
      <w:r w:rsidRPr="000A3A07">
        <w:t>k</w:t>
      </w:r>
      <w:r w:rsidRPr="000A3A07">
        <w:t>niska aspekter. Vi återkommer därför i den slutliga diskussionen till den kostnadsskattning som ligger till grund för den samhällsekonomiska bedö</w:t>
      </w:r>
      <w:r w:rsidRPr="000A3A07">
        <w:t>m</w:t>
      </w:r>
      <w:r w:rsidRPr="000A3A07">
        <w:t>ningen, varför denna beräkning i sig inte behandlas ytterlig</w:t>
      </w:r>
      <w:r w:rsidRPr="000A3A07">
        <w:t>a</w:t>
      </w:r>
      <w:r w:rsidRPr="000A3A07">
        <w:t xml:space="preserve">re här. </w:t>
      </w:r>
    </w:p>
    <w:p w14:paraId="16EC9A67" w14:textId="77777777" w:rsidR="007C11E9" w:rsidRPr="000A3A07" w:rsidRDefault="007C11E9">
      <w:pPr>
        <w:pStyle w:val="Normaltindrag"/>
      </w:pPr>
      <w:r w:rsidRPr="000A3A07">
        <w:t>Den samhällsekonomiska kostnaden för ett projekt ska beräknas genom att ställa de kostnader som åtgärden innebär mot de kostnader som man annars hade haft. I den utsträckning som man i ett sådant så kallat jämförelsealte</w:t>
      </w:r>
      <w:r w:rsidRPr="000A3A07">
        <w:t>r</w:t>
      </w:r>
      <w:r w:rsidRPr="000A3A07">
        <w:t>nativ (JA) hade tvingats till utgifter som man slipper i utredningsalternativet (UA) blir nettokostnaden för investeringen lägre än vad den annars skulle vara. Det är bara nettoökningen av kostnader som innebär att ytterligare samhällsekonomiska resurser tas i anspråk.</w:t>
      </w:r>
    </w:p>
    <w:p w14:paraId="0DEC2861" w14:textId="77777777" w:rsidR="007C11E9" w:rsidRPr="000A3A07" w:rsidRDefault="007C11E9">
      <w:pPr>
        <w:pStyle w:val="Normaltindrag"/>
      </w:pPr>
      <w:r w:rsidRPr="000A3A07">
        <w:t>I kalkylen sägs att vissa åtgärder som skulle ha ingått i "Svedabs paket" bortfaller till följd av att Citytunneln byggs. Skälet är att samtliga resandetåg i JA skulle ha utnyttjat Kontinentalbanan för resor mellan Malmö och K</w:t>
      </w:r>
      <w:r w:rsidRPr="000A3A07">
        <w:t>ö</w:t>
      </w:r>
      <w:r w:rsidRPr="000A3A07">
        <w:t>penhamn. Man skulle i så fall ha behövt spendera 430 milj. kr mer än vad som nu behövs på Kontinentalbanan. Kostnaden för Citytunneln minskas därför med detta belopp.</w:t>
      </w:r>
    </w:p>
    <w:p w14:paraId="37D5D0BE" w14:textId="77777777" w:rsidR="007C11E9" w:rsidRPr="000A3A07" w:rsidRDefault="007C11E9">
      <w:pPr>
        <w:pStyle w:val="Normaltindrag"/>
      </w:pPr>
      <w:r w:rsidRPr="000A3A07">
        <w:t>Det finns ingen grund för att ifrågasätta vare sig principresonemanget eller beloppet i sig. Man kan däremot konstatera att utredningen just använder sig av Kontinentalbanan som jämförelsealternativ. Inga andra åtgärder som i stället för tunneln eller Kontinentalbanan hade kunnat säkerställa den framt</w:t>
      </w:r>
      <w:r w:rsidRPr="000A3A07">
        <w:t>i</w:t>
      </w:r>
      <w:r w:rsidRPr="000A3A07">
        <w:t>da trafiken till Öresundsbron har analyserats. Det är därmed inte heller mö</w:t>
      </w:r>
      <w:r w:rsidRPr="000A3A07">
        <w:t>j</w:t>
      </w:r>
      <w:r w:rsidRPr="000A3A07">
        <w:t xml:space="preserve">ligt att uttala sig om huruvida tunneln är den åtgärd som på </w:t>
      </w:r>
      <w:r w:rsidRPr="000A3A07">
        <w:rPr>
          <w:u w:val="single"/>
        </w:rPr>
        <w:t>bästa</w:t>
      </w:r>
      <w:r w:rsidRPr="000A3A07">
        <w:t xml:space="preserve"> tänkbara sätt gör att det svenska järnvägsnätet kan anslutas till den nya bron. Kalkylen visar endast att Citytunneln är sämre än Kontinentalbanan, inge</w:t>
      </w:r>
      <w:r w:rsidRPr="000A3A07">
        <w:t>n</w:t>
      </w:r>
      <w:r w:rsidRPr="000A3A07">
        <w:t>ting annat.</w:t>
      </w:r>
    </w:p>
    <w:p w14:paraId="20B5CD66" w14:textId="77777777" w:rsidR="007C11E9" w:rsidRPr="000A3A07" w:rsidRDefault="007C11E9">
      <w:pPr>
        <w:pStyle w:val="Rubrik2"/>
      </w:pPr>
      <w:bookmarkStart w:id="298" w:name="_Toc486738526"/>
      <w:bookmarkStart w:id="299" w:name="_Toc496511384"/>
      <w:bookmarkStart w:id="300" w:name="_Toc506341016"/>
      <w:r w:rsidRPr="000A3A07">
        <w:t>Kostnader för och intäkter från tågtrafiken</w:t>
      </w:r>
      <w:bookmarkEnd w:id="298"/>
      <w:bookmarkEnd w:id="299"/>
      <w:bookmarkEnd w:id="300"/>
    </w:p>
    <w:p w14:paraId="79957F0B" w14:textId="77777777" w:rsidR="007C11E9" w:rsidRPr="000A3A07" w:rsidRDefault="007C11E9">
      <w:r w:rsidRPr="000A3A07">
        <w:t>I jämförelsealternativet körs ett visst antal person- och godståg via Kont</w:t>
      </w:r>
      <w:r w:rsidRPr="000A3A07">
        <w:t>i</w:t>
      </w:r>
      <w:r w:rsidRPr="000A3A07">
        <w:t>nentalbanan. I utredningsalternativet använder sig huvuddelen av resandet</w:t>
      </w:r>
      <w:r w:rsidRPr="000A3A07">
        <w:t>å</w:t>
      </w:r>
      <w:r w:rsidRPr="000A3A07">
        <w:t>gen av Citytunneln medan samtliga godståg går kvar på Kontinentalbanan.</w:t>
      </w:r>
      <w:r w:rsidRPr="000A3A07">
        <w:rPr>
          <w:rStyle w:val="Fotnotsreferens"/>
        </w:rPr>
        <w:footnoteReference w:id="27"/>
      </w:r>
      <w:r w:rsidRPr="000A3A07">
        <w:t xml:space="preserve"> Uppgiften är i denna del av analysen att undersöka vilka intäkter från resen</w:t>
      </w:r>
      <w:r w:rsidRPr="000A3A07">
        <w:t>ä</w:t>
      </w:r>
      <w:r w:rsidRPr="000A3A07">
        <w:t xml:space="preserve">rerna, och vilka kostnader för trafikutövarna, som uppstår med respektive utan tunneln. </w:t>
      </w:r>
    </w:p>
    <w:p w14:paraId="7737C3A7" w14:textId="77777777" w:rsidR="007C11E9" w:rsidRPr="000A3A07" w:rsidRDefault="007C11E9">
      <w:pPr>
        <w:pStyle w:val="Normaltindrag"/>
      </w:pPr>
      <w:r w:rsidRPr="000A3A07">
        <w:t>Utgångspunkten för denna typ av bedömning ges av den "trafikutläggning" som man antar: Hur många tåg skulle köras om all trafik går via Kontine</w:t>
      </w:r>
      <w:r w:rsidRPr="000A3A07">
        <w:t>n</w:t>
      </w:r>
      <w:r w:rsidRPr="000A3A07">
        <w:t>talbanan respektive om man använder såväl Kontinentalbanan (där det finns ett par stationer för av- och påstigning för lokaltågsresenärer) som Citytu</w:t>
      </w:r>
      <w:r w:rsidRPr="000A3A07">
        <w:t>n</w:t>
      </w:r>
      <w:r w:rsidRPr="000A3A07">
        <w:t>neln? Vilka kostnader och intäkter uppstår i respekt</w:t>
      </w:r>
      <w:r w:rsidRPr="000A3A07">
        <w:t>i</w:t>
      </w:r>
      <w:r w:rsidRPr="000A3A07">
        <w:t>ve fall?</w:t>
      </w:r>
      <w:r w:rsidRPr="000A3A07">
        <w:rPr>
          <w:rStyle w:val="Fotnotsreferens"/>
        </w:rPr>
        <w:t xml:space="preserve"> </w:t>
      </w:r>
    </w:p>
    <w:p w14:paraId="3159C4D8" w14:textId="77777777" w:rsidR="007C11E9" w:rsidRPr="000A3A07" w:rsidRDefault="007C11E9">
      <w:pPr>
        <w:pStyle w:val="Normaltindrag"/>
      </w:pPr>
      <w:r w:rsidRPr="000A3A07">
        <w:t>De bedömningar av trafikens omfattning som ligger till grund för analysen redovisas i Tabell 2. Eftersom tunneln sägs vara för brant för att medge trafik med (tunga) godståg finns inga planer på att låta godstrafiken använda C</w:t>
      </w:r>
      <w:r w:rsidRPr="000A3A07">
        <w:t>i</w:t>
      </w:r>
      <w:r w:rsidRPr="000A3A07">
        <w:t>tytu</w:t>
      </w:r>
      <w:r w:rsidRPr="000A3A07">
        <w:t>n</w:t>
      </w:r>
      <w:r w:rsidRPr="000A3A07">
        <w:t>neln</w:t>
      </w:r>
      <w:r w:rsidRPr="000A3A07">
        <w:rPr>
          <w:rStyle w:val="Fotnotsreferens"/>
        </w:rPr>
        <w:t xml:space="preserve"> </w:t>
      </w:r>
      <w:r w:rsidRPr="000A3A07">
        <w:t>.</w:t>
      </w:r>
    </w:p>
    <w:p w14:paraId="5BE170F4" w14:textId="77777777" w:rsidR="007C11E9" w:rsidRPr="000A3A07" w:rsidRDefault="007C11E9">
      <w:pPr>
        <w:pStyle w:val="Normaltindrag"/>
      </w:pPr>
      <w:r w:rsidRPr="000A3A07">
        <w:t xml:space="preserve">Med ett undantag går det lika många interregionala och regionala tåg i jämförelse- som i utredningsalternativet. Undantaget utgörs av ett regionaltåg från Ystad som nu kan komma in till Malmö C via Kontinentalbanan men som kan köra till Köpenhamn via Citytunneln i stället för att gå tillbaka via Kontinentalbanan. </w:t>
      </w:r>
    </w:p>
    <w:p w14:paraId="72B71C5A" w14:textId="77777777" w:rsidR="007C11E9" w:rsidRPr="000A3A07" w:rsidRDefault="007C11E9">
      <w:pPr>
        <w:pStyle w:val="Normaltindrag"/>
      </w:pPr>
      <w:r w:rsidRPr="000A3A07">
        <w:t>Tunneln innebär att de interregionala och regionala tågen behöver gå ko</w:t>
      </w:r>
      <w:r w:rsidRPr="000A3A07">
        <w:t>r</w:t>
      </w:r>
      <w:r w:rsidRPr="000A3A07">
        <w:t>tare sträcka och att man spar tid. Därför minskar också operatörernas kostn</w:t>
      </w:r>
      <w:r w:rsidRPr="000A3A07">
        <w:t>a</w:t>
      </w:r>
      <w:r w:rsidRPr="000A3A07">
        <w:t>der för tågdrift. Tidsb</w:t>
      </w:r>
      <w:r w:rsidRPr="000A3A07">
        <w:t>e</w:t>
      </w:r>
      <w:r w:rsidRPr="000A3A07">
        <w:t xml:space="preserve">sparingen gör också att resandet ökar. </w:t>
      </w:r>
    </w:p>
    <w:p w14:paraId="75C78F1F" w14:textId="77777777" w:rsidR="007C11E9" w:rsidRPr="000A3A07" w:rsidRDefault="007C11E9">
      <w:pPr>
        <w:rPr>
          <w:b/>
          <w:sz w:val="22"/>
        </w:rPr>
      </w:pPr>
      <w:r w:rsidRPr="000A3A07">
        <w:rPr>
          <w:b/>
          <w:sz w:val="22"/>
        </w:rPr>
        <w:t>Tabell 2. Tågtrafik, antal tåg per vardagsdygn i jämförelse- och utredning</w:t>
      </w:r>
      <w:r w:rsidRPr="000A3A07">
        <w:rPr>
          <w:b/>
          <w:sz w:val="22"/>
        </w:rPr>
        <w:t>s</w:t>
      </w:r>
      <w:r w:rsidRPr="000A3A07">
        <w:rPr>
          <w:b/>
          <w:sz w:val="22"/>
        </w:rPr>
        <w:t>alternativen</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EF" w:firstRow="1" w:lastRow="1" w:firstColumn="1" w:lastColumn="0" w:noHBand="0" w:noVBand="0"/>
      </w:tblPr>
      <w:tblGrid>
        <w:gridCol w:w="2197"/>
        <w:gridCol w:w="1417"/>
        <w:gridCol w:w="1205"/>
        <w:gridCol w:w="1205"/>
      </w:tblGrid>
      <w:tr w:rsidR="00000000" w:rsidRPr="000A3A07" w14:paraId="467B0FA1" w14:textId="77777777">
        <w:tblPrEx>
          <w:tblCellMar>
            <w:top w:w="0" w:type="dxa"/>
            <w:bottom w:w="0" w:type="dxa"/>
          </w:tblCellMar>
        </w:tblPrEx>
        <w:trPr>
          <w:cantSplit/>
        </w:trPr>
        <w:tc>
          <w:tcPr>
            <w:tcW w:w="2197" w:type="dxa"/>
            <w:tcBorders>
              <w:bottom w:val="single" w:sz="6" w:space="0" w:color="000000"/>
            </w:tcBorders>
            <w:shd w:val="pct30" w:color="FFFF00" w:fill="FFFFFF"/>
          </w:tcPr>
          <w:p w14:paraId="03CA7DCB" w14:textId="77777777" w:rsidR="007C11E9" w:rsidRPr="000A3A07" w:rsidRDefault="007C11E9">
            <w:pPr>
              <w:spacing w:before="0"/>
            </w:pPr>
          </w:p>
        </w:tc>
        <w:tc>
          <w:tcPr>
            <w:tcW w:w="1417" w:type="dxa"/>
            <w:tcBorders>
              <w:bottom w:val="single" w:sz="6" w:space="0" w:color="000000"/>
            </w:tcBorders>
            <w:shd w:val="pct30" w:color="FFFF00" w:fill="FFFFFF"/>
          </w:tcPr>
          <w:p w14:paraId="0A488D05" w14:textId="77777777" w:rsidR="007C11E9" w:rsidRPr="000A3A07" w:rsidRDefault="007C11E9">
            <w:pPr>
              <w:spacing w:before="0"/>
              <w:jc w:val="left"/>
            </w:pPr>
            <w:r w:rsidRPr="000A3A07">
              <w:t>Utan Citytunnel</w:t>
            </w:r>
          </w:p>
        </w:tc>
        <w:tc>
          <w:tcPr>
            <w:tcW w:w="2410" w:type="dxa"/>
            <w:gridSpan w:val="2"/>
            <w:tcBorders>
              <w:bottom w:val="single" w:sz="6" w:space="0" w:color="000000"/>
            </w:tcBorders>
            <w:shd w:val="pct30" w:color="FFFF00" w:fill="FFFFFF"/>
          </w:tcPr>
          <w:p w14:paraId="1C56BC1B" w14:textId="77777777" w:rsidR="007C11E9" w:rsidRPr="000A3A07" w:rsidRDefault="007C11E9">
            <w:pPr>
              <w:spacing w:before="0"/>
              <w:jc w:val="left"/>
            </w:pPr>
            <w:r w:rsidRPr="000A3A07">
              <w:t>Med Citytunnel</w:t>
            </w:r>
          </w:p>
        </w:tc>
      </w:tr>
      <w:tr w:rsidR="00000000" w:rsidRPr="000A3A07" w14:paraId="039E960E" w14:textId="77777777">
        <w:tblPrEx>
          <w:tblCellMar>
            <w:top w:w="0" w:type="dxa"/>
            <w:bottom w:w="0" w:type="dxa"/>
          </w:tblCellMar>
        </w:tblPrEx>
        <w:tc>
          <w:tcPr>
            <w:tcW w:w="2197" w:type="dxa"/>
            <w:tcBorders>
              <w:top w:val="nil"/>
            </w:tcBorders>
          </w:tcPr>
          <w:p w14:paraId="7A1379B0" w14:textId="77777777" w:rsidR="007C11E9" w:rsidRPr="000A3A07" w:rsidRDefault="007C11E9">
            <w:pPr>
              <w:spacing w:before="0"/>
              <w:jc w:val="left"/>
            </w:pPr>
          </w:p>
        </w:tc>
        <w:tc>
          <w:tcPr>
            <w:tcW w:w="1417" w:type="dxa"/>
            <w:tcBorders>
              <w:top w:val="nil"/>
            </w:tcBorders>
          </w:tcPr>
          <w:p w14:paraId="58304BD9" w14:textId="77777777" w:rsidR="007C11E9" w:rsidRPr="000A3A07" w:rsidRDefault="007C11E9">
            <w:pPr>
              <w:spacing w:before="0"/>
              <w:jc w:val="left"/>
            </w:pPr>
            <w:r w:rsidRPr="000A3A07">
              <w:t>via Konti-nentalb</w:t>
            </w:r>
            <w:r w:rsidRPr="000A3A07">
              <w:t>a</w:t>
            </w:r>
            <w:r w:rsidRPr="000A3A07">
              <w:t>nan</w:t>
            </w:r>
          </w:p>
        </w:tc>
        <w:tc>
          <w:tcPr>
            <w:tcW w:w="1205" w:type="dxa"/>
            <w:tcBorders>
              <w:top w:val="nil"/>
            </w:tcBorders>
          </w:tcPr>
          <w:p w14:paraId="4FDAA7DC" w14:textId="77777777" w:rsidR="007C11E9" w:rsidRPr="000A3A07" w:rsidRDefault="007C11E9">
            <w:pPr>
              <w:spacing w:before="0"/>
              <w:jc w:val="left"/>
            </w:pPr>
            <w:r w:rsidRPr="000A3A07">
              <w:t>via Kont</w:t>
            </w:r>
            <w:r w:rsidRPr="000A3A07">
              <w:t>i</w:t>
            </w:r>
            <w:r w:rsidRPr="000A3A07">
              <w:t>nenta</w:t>
            </w:r>
            <w:r w:rsidRPr="000A3A07">
              <w:t>l</w:t>
            </w:r>
            <w:r w:rsidRPr="000A3A07">
              <w:t>banan</w:t>
            </w:r>
          </w:p>
        </w:tc>
        <w:tc>
          <w:tcPr>
            <w:tcW w:w="1205" w:type="dxa"/>
            <w:tcBorders>
              <w:top w:val="nil"/>
            </w:tcBorders>
          </w:tcPr>
          <w:p w14:paraId="12668F92" w14:textId="77777777" w:rsidR="007C11E9" w:rsidRPr="000A3A07" w:rsidRDefault="007C11E9">
            <w:pPr>
              <w:spacing w:before="0"/>
              <w:jc w:val="left"/>
            </w:pPr>
            <w:r w:rsidRPr="000A3A07">
              <w:t>via Citytu</w:t>
            </w:r>
            <w:r w:rsidRPr="000A3A07">
              <w:t>n</w:t>
            </w:r>
            <w:r w:rsidRPr="000A3A07">
              <w:t>neln</w:t>
            </w:r>
          </w:p>
        </w:tc>
      </w:tr>
      <w:tr w:rsidR="00000000" w:rsidRPr="000A3A07" w14:paraId="0E2457D2" w14:textId="77777777">
        <w:tblPrEx>
          <w:tblCellMar>
            <w:top w:w="0" w:type="dxa"/>
            <w:bottom w:w="0" w:type="dxa"/>
          </w:tblCellMar>
        </w:tblPrEx>
        <w:tc>
          <w:tcPr>
            <w:tcW w:w="2197" w:type="dxa"/>
          </w:tcPr>
          <w:p w14:paraId="75EF4B88" w14:textId="77777777" w:rsidR="007C11E9" w:rsidRPr="000A3A07" w:rsidRDefault="007C11E9">
            <w:pPr>
              <w:spacing w:before="0"/>
              <w:jc w:val="left"/>
              <w:rPr>
                <w:b/>
              </w:rPr>
            </w:pPr>
            <w:r w:rsidRPr="000A3A07">
              <w:rPr>
                <w:b/>
              </w:rPr>
              <w:t>Interregionala tåg</w:t>
            </w:r>
          </w:p>
        </w:tc>
        <w:tc>
          <w:tcPr>
            <w:tcW w:w="1417" w:type="dxa"/>
          </w:tcPr>
          <w:p w14:paraId="7831A64D" w14:textId="77777777" w:rsidR="007C11E9" w:rsidRPr="000A3A07" w:rsidRDefault="007C11E9">
            <w:pPr>
              <w:spacing w:before="0"/>
            </w:pPr>
          </w:p>
        </w:tc>
        <w:tc>
          <w:tcPr>
            <w:tcW w:w="1205" w:type="dxa"/>
          </w:tcPr>
          <w:p w14:paraId="23C5C898" w14:textId="77777777" w:rsidR="007C11E9" w:rsidRPr="000A3A07" w:rsidRDefault="007C11E9">
            <w:pPr>
              <w:spacing w:before="0"/>
            </w:pPr>
          </w:p>
        </w:tc>
        <w:tc>
          <w:tcPr>
            <w:tcW w:w="1205" w:type="dxa"/>
          </w:tcPr>
          <w:p w14:paraId="75AD22FE" w14:textId="77777777" w:rsidR="007C11E9" w:rsidRPr="000A3A07" w:rsidRDefault="007C11E9">
            <w:pPr>
              <w:spacing w:before="0"/>
            </w:pPr>
          </w:p>
        </w:tc>
      </w:tr>
      <w:tr w:rsidR="00000000" w:rsidRPr="000A3A07" w14:paraId="2DFABAFC" w14:textId="77777777">
        <w:tblPrEx>
          <w:tblCellMar>
            <w:top w:w="0" w:type="dxa"/>
            <w:bottom w:w="0" w:type="dxa"/>
          </w:tblCellMar>
        </w:tblPrEx>
        <w:tc>
          <w:tcPr>
            <w:tcW w:w="2197" w:type="dxa"/>
          </w:tcPr>
          <w:p w14:paraId="2349DC59" w14:textId="77777777" w:rsidR="007C11E9" w:rsidRPr="000A3A07" w:rsidRDefault="007C11E9">
            <w:pPr>
              <w:spacing w:before="0"/>
              <w:jc w:val="left"/>
            </w:pPr>
            <w:r w:rsidRPr="000A3A07">
              <w:t>Stockholm – K</w:t>
            </w:r>
            <w:r w:rsidRPr="000A3A07">
              <w:t>ö</w:t>
            </w:r>
            <w:r w:rsidRPr="000A3A07">
              <w:t>penhamn</w:t>
            </w:r>
          </w:p>
        </w:tc>
        <w:tc>
          <w:tcPr>
            <w:tcW w:w="1417" w:type="dxa"/>
          </w:tcPr>
          <w:p w14:paraId="6396F9A1" w14:textId="77777777" w:rsidR="007C11E9" w:rsidRPr="000A3A07" w:rsidRDefault="007C11E9">
            <w:pPr>
              <w:spacing w:before="0"/>
            </w:pPr>
            <w:r w:rsidRPr="000A3A07">
              <w:t>14</w:t>
            </w:r>
          </w:p>
        </w:tc>
        <w:tc>
          <w:tcPr>
            <w:tcW w:w="1205" w:type="dxa"/>
          </w:tcPr>
          <w:p w14:paraId="31F37147" w14:textId="77777777" w:rsidR="007C11E9" w:rsidRPr="000A3A07" w:rsidRDefault="007C11E9">
            <w:pPr>
              <w:spacing w:before="0"/>
            </w:pPr>
            <w:r w:rsidRPr="000A3A07">
              <w:t>0</w:t>
            </w:r>
          </w:p>
        </w:tc>
        <w:tc>
          <w:tcPr>
            <w:tcW w:w="1205" w:type="dxa"/>
          </w:tcPr>
          <w:p w14:paraId="634D77D3" w14:textId="77777777" w:rsidR="007C11E9" w:rsidRPr="000A3A07" w:rsidRDefault="007C11E9">
            <w:pPr>
              <w:spacing w:before="0"/>
            </w:pPr>
            <w:r w:rsidRPr="000A3A07">
              <w:t>14</w:t>
            </w:r>
          </w:p>
        </w:tc>
      </w:tr>
      <w:tr w:rsidR="00000000" w:rsidRPr="000A3A07" w14:paraId="4FDACB4C" w14:textId="77777777">
        <w:tblPrEx>
          <w:tblCellMar>
            <w:top w:w="0" w:type="dxa"/>
            <w:bottom w:w="0" w:type="dxa"/>
          </w:tblCellMar>
        </w:tblPrEx>
        <w:tc>
          <w:tcPr>
            <w:tcW w:w="2197" w:type="dxa"/>
          </w:tcPr>
          <w:p w14:paraId="06E42D84" w14:textId="77777777" w:rsidR="007C11E9" w:rsidRPr="000A3A07" w:rsidRDefault="007C11E9">
            <w:pPr>
              <w:spacing w:before="0"/>
              <w:jc w:val="left"/>
            </w:pPr>
            <w:r w:rsidRPr="000A3A07">
              <w:t>Göteborg/Oslo – Köpe</w:t>
            </w:r>
            <w:r w:rsidRPr="000A3A07">
              <w:t>n</w:t>
            </w:r>
            <w:r w:rsidRPr="000A3A07">
              <w:t>hamn</w:t>
            </w:r>
          </w:p>
        </w:tc>
        <w:tc>
          <w:tcPr>
            <w:tcW w:w="1417" w:type="dxa"/>
          </w:tcPr>
          <w:p w14:paraId="7AB2DDDE" w14:textId="77777777" w:rsidR="007C11E9" w:rsidRPr="000A3A07" w:rsidRDefault="007C11E9">
            <w:pPr>
              <w:spacing w:before="0"/>
            </w:pPr>
            <w:r w:rsidRPr="000A3A07">
              <w:t>26</w:t>
            </w:r>
          </w:p>
        </w:tc>
        <w:tc>
          <w:tcPr>
            <w:tcW w:w="1205" w:type="dxa"/>
          </w:tcPr>
          <w:p w14:paraId="3AF68157" w14:textId="77777777" w:rsidR="007C11E9" w:rsidRPr="000A3A07" w:rsidRDefault="007C11E9">
            <w:pPr>
              <w:spacing w:before="0"/>
            </w:pPr>
            <w:r w:rsidRPr="000A3A07">
              <w:t>0</w:t>
            </w:r>
          </w:p>
        </w:tc>
        <w:tc>
          <w:tcPr>
            <w:tcW w:w="1205" w:type="dxa"/>
          </w:tcPr>
          <w:p w14:paraId="1DCCAB78" w14:textId="77777777" w:rsidR="007C11E9" w:rsidRPr="000A3A07" w:rsidRDefault="007C11E9">
            <w:pPr>
              <w:spacing w:before="0"/>
            </w:pPr>
            <w:r w:rsidRPr="000A3A07">
              <w:t>26</w:t>
            </w:r>
          </w:p>
        </w:tc>
      </w:tr>
      <w:tr w:rsidR="00000000" w:rsidRPr="000A3A07" w14:paraId="25B64822" w14:textId="77777777">
        <w:tblPrEx>
          <w:tblCellMar>
            <w:top w:w="0" w:type="dxa"/>
            <w:bottom w:w="0" w:type="dxa"/>
          </w:tblCellMar>
        </w:tblPrEx>
        <w:tc>
          <w:tcPr>
            <w:tcW w:w="2197" w:type="dxa"/>
          </w:tcPr>
          <w:p w14:paraId="17B5FF00" w14:textId="77777777" w:rsidR="007C11E9" w:rsidRPr="000A3A07" w:rsidRDefault="007C11E9">
            <w:pPr>
              <w:spacing w:before="0"/>
              <w:jc w:val="left"/>
            </w:pPr>
            <w:r w:rsidRPr="000A3A07">
              <w:t>Malmö – Berlin</w:t>
            </w:r>
          </w:p>
        </w:tc>
        <w:tc>
          <w:tcPr>
            <w:tcW w:w="1417" w:type="dxa"/>
          </w:tcPr>
          <w:p w14:paraId="3C04550D" w14:textId="77777777" w:rsidR="007C11E9" w:rsidRPr="000A3A07" w:rsidRDefault="007C11E9">
            <w:pPr>
              <w:spacing w:before="0"/>
            </w:pPr>
            <w:r w:rsidRPr="000A3A07">
              <w:t>6</w:t>
            </w:r>
          </w:p>
        </w:tc>
        <w:tc>
          <w:tcPr>
            <w:tcW w:w="1205" w:type="dxa"/>
          </w:tcPr>
          <w:p w14:paraId="0D3FBA74" w14:textId="77777777" w:rsidR="007C11E9" w:rsidRPr="000A3A07" w:rsidRDefault="007C11E9">
            <w:pPr>
              <w:spacing w:before="0"/>
            </w:pPr>
            <w:r w:rsidRPr="000A3A07">
              <w:t>0</w:t>
            </w:r>
          </w:p>
        </w:tc>
        <w:tc>
          <w:tcPr>
            <w:tcW w:w="1205" w:type="dxa"/>
          </w:tcPr>
          <w:p w14:paraId="60E0A8BD" w14:textId="77777777" w:rsidR="007C11E9" w:rsidRPr="000A3A07" w:rsidRDefault="007C11E9">
            <w:pPr>
              <w:spacing w:before="0"/>
            </w:pPr>
            <w:r w:rsidRPr="000A3A07">
              <w:t>6</w:t>
            </w:r>
          </w:p>
        </w:tc>
      </w:tr>
      <w:tr w:rsidR="00000000" w:rsidRPr="000A3A07" w14:paraId="5D46C8BB" w14:textId="77777777">
        <w:tblPrEx>
          <w:tblCellMar>
            <w:top w:w="0" w:type="dxa"/>
            <w:bottom w:w="0" w:type="dxa"/>
          </w:tblCellMar>
        </w:tblPrEx>
        <w:tc>
          <w:tcPr>
            <w:tcW w:w="2197" w:type="dxa"/>
          </w:tcPr>
          <w:p w14:paraId="5CFA0249" w14:textId="77777777" w:rsidR="007C11E9" w:rsidRPr="000A3A07" w:rsidRDefault="007C11E9">
            <w:pPr>
              <w:spacing w:before="0"/>
              <w:jc w:val="left"/>
              <w:rPr>
                <w:b/>
              </w:rPr>
            </w:pPr>
            <w:r w:rsidRPr="000A3A07">
              <w:rPr>
                <w:b/>
              </w:rPr>
              <w:t>Regionaltåg</w:t>
            </w:r>
          </w:p>
        </w:tc>
        <w:tc>
          <w:tcPr>
            <w:tcW w:w="1417" w:type="dxa"/>
          </w:tcPr>
          <w:p w14:paraId="7E36A4B9" w14:textId="77777777" w:rsidR="007C11E9" w:rsidRPr="000A3A07" w:rsidRDefault="007C11E9">
            <w:pPr>
              <w:spacing w:before="0"/>
            </w:pPr>
            <w:r w:rsidRPr="000A3A07">
              <w:t xml:space="preserve"> </w:t>
            </w:r>
          </w:p>
        </w:tc>
        <w:tc>
          <w:tcPr>
            <w:tcW w:w="1205" w:type="dxa"/>
          </w:tcPr>
          <w:p w14:paraId="115A573A" w14:textId="77777777" w:rsidR="007C11E9" w:rsidRPr="000A3A07" w:rsidRDefault="007C11E9">
            <w:pPr>
              <w:spacing w:before="0"/>
            </w:pPr>
            <w:r w:rsidRPr="000A3A07">
              <w:t xml:space="preserve"> </w:t>
            </w:r>
          </w:p>
        </w:tc>
        <w:tc>
          <w:tcPr>
            <w:tcW w:w="1205" w:type="dxa"/>
          </w:tcPr>
          <w:p w14:paraId="51D11606" w14:textId="77777777" w:rsidR="007C11E9" w:rsidRPr="000A3A07" w:rsidRDefault="007C11E9">
            <w:pPr>
              <w:spacing w:before="0"/>
            </w:pPr>
            <w:r w:rsidRPr="000A3A07">
              <w:t xml:space="preserve"> </w:t>
            </w:r>
          </w:p>
        </w:tc>
      </w:tr>
      <w:tr w:rsidR="00000000" w:rsidRPr="000A3A07" w14:paraId="08EAEB42" w14:textId="77777777">
        <w:tblPrEx>
          <w:tblCellMar>
            <w:top w:w="0" w:type="dxa"/>
            <w:bottom w:w="0" w:type="dxa"/>
          </w:tblCellMar>
        </w:tblPrEx>
        <w:tc>
          <w:tcPr>
            <w:tcW w:w="2197" w:type="dxa"/>
          </w:tcPr>
          <w:p w14:paraId="7F8FA4FE" w14:textId="77777777" w:rsidR="007C11E9" w:rsidRPr="000A3A07" w:rsidRDefault="007C11E9">
            <w:pPr>
              <w:spacing w:before="0"/>
              <w:jc w:val="left"/>
            </w:pPr>
            <w:r w:rsidRPr="000A3A07">
              <w:t>Ystad – Köpe</w:t>
            </w:r>
            <w:r w:rsidRPr="000A3A07">
              <w:t>n</w:t>
            </w:r>
            <w:r w:rsidRPr="000A3A07">
              <w:t>hamn</w:t>
            </w:r>
          </w:p>
        </w:tc>
        <w:tc>
          <w:tcPr>
            <w:tcW w:w="1417" w:type="dxa"/>
          </w:tcPr>
          <w:p w14:paraId="44B9962A" w14:textId="77777777" w:rsidR="007C11E9" w:rsidRPr="000A3A07" w:rsidRDefault="007C11E9">
            <w:pPr>
              <w:spacing w:before="0"/>
            </w:pPr>
            <w:r w:rsidRPr="000A3A07">
              <w:t>48*</w:t>
            </w:r>
          </w:p>
        </w:tc>
        <w:tc>
          <w:tcPr>
            <w:tcW w:w="1205" w:type="dxa"/>
          </w:tcPr>
          <w:p w14:paraId="1EC2A6B2" w14:textId="77777777" w:rsidR="007C11E9" w:rsidRPr="000A3A07" w:rsidRDefault="007C11E9">
            <w:pPr>
              <w:spacing w:before="0"/>
            </w:pPr>
            <w:r w:rsidRPr="000A3A07">
              <w:t>24</w:t>
            </w:r>
          </w:p>
        </w:tc>
        <w:tc>
          <w:tcPr>
            <w:tcW w:w="1205" w:type="dxa"/>
          </w:tcPr>
          <w:p w14:paraId="2C81C18C" w14:textId="77777777" w:rsidR="007C11E9" w:rsidRPr="000A3A07" w:rsidRDefault="007C11E9">
            <w:pPr>
              <w:spacing w:before="0"/>
            </w:pPr>
            <w:r w:rsidRPr="000A3A07">
              <w:t>24</w:t>
            </w:r>
          </w:p>
        </w:tc>
      </w:tr>
      <w:tr w:rsidR="00000000" w:rsidRPr="000A3A07" w14:paraId="10ACB1C5" w14:textId="77777777">
        <w:tblPrEx>
          <w:tblCellMar>
            <w:top w:w="0" w:type="dxa"/>
            <w:bottom w:w="0" w:type="dxa"/>
          </w:tblCellMar>
        </w:tblPrEx>
        <w:tc>
          <w:tcPr>
            <w:tcW w:w="2197" w:type="dxa"/>
          </w:tcPr>
          <w:p w14:paraId="374FFCD2" w14:textId="77777777" w:rsidR="007C11E9" w:rsidRPr="000A3A07" w:rsidRDefault="007C11E9">
            <w:pPr>
              <w:spacing w:before="0"/>
              <w:jc w:val="left"/>
            </w:pPr>
            <w:r w:rsidRPr="000A3A07">
              <w:t>Halmstad – K</w:t>
            </w:r>
            <w:r w:rsidRPr="000A3A07">
              <w:t>ö</w:t>
            </w:r>
            <w:r w:rsidRPr="000A3A07">
              <w:t>penhamn</w:t>
            </w:r>
          </w:p>
        </w:tc>
        <w:tc>
          <w:tcPr>
            <w:tcW w:w="1417" w:type="dxa"/>
          </w:tcPr>
          <w:p w14:paraId="12A2E6D3" w14:textId="77777777" w:rsidR="007C11E9" w:rsidRPr="000A3A07" w:rsidRDefault="007C11E9">
            <w:pPr>
              <w:spacing w:before="0"/>
            </w:pPr>
            <w:r w:rsidRPr="000A3A07">
              <w:t>20</w:t>
            </w:r>
          </w:p>
        </w:tc>
        <w:tc>
          <w:tcPr>
            <w:tcW w:w="1205" w:type="dxa"/>
          </w:tcPr>
          <w:p w14:paraId="0E7DDAA9" w14:textId="77777777" w:rsidR="007C11E9" w:rsidRPr="000A3A07" w:rsidRDefault="007C11E9">
            <w:pPr>
              <w:spacing w:before="0"/>
            </w:pPr>
            <w:r w:rsidRPr="000A3A07">
              <w:t>0</w:t>
            </w:r>
          </w:p>
        </w:tc>
        <w:tc>
          <w:tcPr>
            <w:tcW w:w="1205" w:type="dxa"/>
          </w:tcPr>
          <w:p w14:paraId="0D3A4D1B" w14:textId="77777777" w:rsidR="007C11E9" w:rsidRPr="000A3A07" w:rsidRDefault="007C11E9">
            <w:pPr>
              <w:spacing w:before="0"/>
            </w:pPr>
            <w:r w:rsidRPr="000A3A07">
              <w:t>20</w:t>
            </w:r>
          </w:p>
        </w:tc>
      </w:tr>
      <w:tr w:rsidR="00000000" w:rsidRPr="000A3A07" w14:paraId="54756FBA" w14:textId="77777777">
        <w:tblPrEx>
          <w:tblCellMar>
            <w:top w:w="0" w:type="dxa"/>
            <w:bottom w:w="0" w:type="dxa"/>
          </w:tblCellMar>
        </w:tblPrEx>
        <w:tc>
          <w:tcPr>
            <w:tcW w:w="2197" w:type="dxa"/>
          </w:tcPr>
          <w:p w14:paraId="4C2C8571" w14:textId="77777777" w:rsidR="007C11E9" w:rsidRPr="000A3A07" w:rsidRDefault="007C11E9">
            <w:pPr>
              <w:spacing w:before="0"/>
              <w:jc w:val="left"/>
            </w:pPr>
            <w:r w:rsidRPr="000A3A07">
              <w:t>Karlskrona – K</w:t>
            </w:r>
            <w:r w:rsidRPr="000A3A07">
              <w:t>ö</w:t>
            </w:r>
            <w:r w:rsidRPr="000A3A07">
              <w:t>penhamn</w:t>
            </w:r>
          </w:p>
        </w:tc>
        <w:tc>
          <w:tcPr>
            <w:tcW w:w="1417" w:type="dxa"/>
          </w:tcPr>
          <w:p w14:paraId="630826B3" w14:textId="77777777" w:rsidR="007C11E9" w:rsidRPr="000A3A07" w:rsidRDefault="007C11E9">
            <w:pPr>
              <w:spacing w:before="0"/>
            </w:pPr>
            <w:r w:rsidRPr="000A3A07">
              <w:t>22</w:t>
            </w:r>
          </w:p>
        </w:tc>
        <w:tc>
          <w:tcPr>
            <w:tcW w:w="1205" w:type="dxa"/>
          </w:tcPr>
          <w:p w14:paraId="4AC19B63" w14:textId="77777777" w:rsidR="007C11E9" w:rsidRPr="000A3A07" w:rsidRDefault="007C11E9">
            <w:pPr>
              <w:spacing w:before="0"/>
            </w:pPr>
            <w:r w:rsidRPr="000A3A07">
              <w:t>0</w:t>
            </w:r>
          </w:p>
        </w:tc>
        <w:tc>
          <w:tcPr>
            <w:tcW w:w="1205" w:type="dxa"/>
          </w:tcPr>
          <w:p w14:paraId="0072F032" w14:textId="77777777" w:rsidR="007C11E9" w:rsidRPr="000A3A07" w:rsidRDefault="007C11E9">
            <w:pPr>
              <w:spacing w:before="0"/>
            </w:pPr>
            <w:r w:rsidRPr="000A3A07">
              <w:t>22</w:t>
            </w:r>
          </w:p>
        </w:tc>
      </w:tr>
      <w:tr w:rsidR="00000000" w:rsidRPr="000A3A07" w14:paraId="66E8DB44" w14:textId="77777777">
        <w:tblPrEx>
          <w:tblCellMar>
            <w:top w:w="0" w:type="dxa"/>
            <w:bottom w:w="0" w:type="dxa"/>
          </w:tblCellMar>
        </w:tblPrEx>
        <w:tc>
          <w:tcPr>
            <w:tcW w:w="2197" w:type="dxa"/>
          </w:tcPr>
          <w:p w14:paraId="384C09F0" w14:textId="77777777" w:rsidR="007C11E9" w:rsidRPr="000A3A07" w:rsidRDefault="007C11E9">
            <w:pPr>
              <w:spacing w:before="0"/>
              <w:jc w:val="left"/>
              <w:rPr>
                <w:b/>
              </w:rPr>
            </w:pPr>
            <w:r w:rsidRPr="000A3A07">
              <w:rPr>
                <w:b/>
              </w:rPr>
              <w:t>Lokaltåg</w:t>
            </w:r>
          </w:p>
        </w:tc>
        <w:tc>
          <w:tcPr>
            <w:tcW w:w="1417" w:type="dxa"/>
          </w:tcPr>
          <w:p w14:paraId="5826198C" w14:textId="77777777" w:rsidR="007C11E9" w:rsidRPr="000A3A07" w:rsidRDefault="007C11E9">
            <w:pPr>
              <w:spacing w:before="0"/>
            </w:pPr>
          </w:p>
        </w:tc>
        <w:tc>
          <w:tcPr>
            <w:tcW w:w="1205" w:type="dxa"/>
          </w:tcPr>
          <w:p w14:paraId="48AEF623" w14:textId="77777777" w:rsidR="007C11E9" w:rsidRPr="000A3A07" w:rsidRDefault="007C11E9">
            <w:pPr>
              <w:spacing w:before="0"/>
            </w:pPr>
          </w:p>
        </w:tc>
        <w:tc>
          <w:tcPr>
            <w:tcW w:w="1205" w:type="dxa"/>
          </w:tcPr>
          <w:p w14:paraId="7B25743A" w14:textId="77777777" w:rsidR="007C11E9" w:rsidRPr="000A3A07" w:rsidRDefault="007C11E9">
            <w:pPr>
              <w:spacing w:before="0"/>
            </w:pPr>
          </w:p>
        </w:tc>
      </w:tr>
      <w:tr w:rsidR="00000000" w:rsidRPr="000A3A07" w14:paraId="01B56E92" w14:textId="77777777">
        <w:tblPrEx>
          <w:tblCellMar>
            <w:top w:w="0" w:type="dxa"/>
            <w:bottom w:w="0" w:type="dxa"/>
          </w:tblCellMar>
        </w:tblPrEx>
        <w:tc>
          <w:tcPr>
            <w:tcW w:w="2197" w:type="dxa"/>
          </w:tcPr>
          <w:p w14:paraId="0E30A5D5" w14:textId="77777777" w:rsidR="007C11E9" w:rsidRPr="000A3A07" w:rsidRDefault="007C11E9">
            <w:pPr>
              <w:spacing w:before="0"/>
              <w:jc w:val="left"/>
            </w:pPr>
            <w:r w:rsidRPr="000A3A07">
              <w:t>Helsingborg – Malmö</w:t>
            </w:r>
          </w:p>
        </w:tc>
        <w:tc>
          <w:tcPr>
            <w:tcW w:w="1417" w:type="dxa"/>
          </w:tcPr>
          <w:p w14:paraId="7B56A5F5" w14:textId="77777777" w:rsidR="007C11E9" w:rsidRPr="000A3A07" w:rsidRDefault="007C11E9">
            <w:pPr>
              <w:spacing w:before="0"/>
            </w:pPr>
            <w:r w:rsidRPr="000A3A07">
              <w:t>0</w:t>
            </w:r>
          </w:p>
        </w:tc>
        <w:tc>
          <w:tcPr>
            <w:tcW w:w="1205" w:type="dxa"/>
          </w:tcPr>
          <w:p w14:paraId="46299014" w14:textId="77777777" w:rsidR="007C11E9" w:rsidRPr="000A3A07" w:rsidRDefault="007C11E9">
            <w:pPr>
              <w:spacing w:before="0"/>
            </w:pPr>
            <w:r w:rsidRPr="000A3A07">
              <w:t>0</w:t>
            </w:r>
          </w:p>
        </w:tc>
        <w:tc>
          <w:tcPr>
            <w:tcW w:w="1205" w:type="dxa"/>
          </w:tcPr>
          <w:p w14:paraId="438934A5" w14:textId="77777777" w:rsidR="007C11E9" w:rsidRPr="000A3A07" w:rsidRDefault="007C11E9">
            <w:pPr>
              <w:spacing w:before="0"/>
            </w:pPr>
            <w:r w:rsidRPr="000A3A07">
              <w:t>40</w:t>
            </w:r>
          </w:p>
        </w:tc>
      </w:tr>
      <w:tr w:rsidR="00000000" w:rsidRPr="000A3A07" w14:paraId="5D91901A" w14:textId="77777777">
        <w:tblPrEx>
          <w:tblCellMar>
            <w:top w:w="0" w:type="dxa"/>
            <w:bottom w:w="0" w:type="dxa"/>
          </w:tblCellMar>
        </w:tblPrEx>
        <w:tc>
          <w:tcPr>
            <w:tcW w:w="2197" w:type="dxa"/>
          </w:tcPr>
          <w:p w14:paraId="285F753D" w14:textId="77777777" w:rsidR="007C11E9" w:rsidRPr="000A3A07" w:rsidRDefault="007C11E9">
            <w:pPr>
              <w:spacing w:before="0"/>
              <w:jc w:val="left"/>
            </w:pPr>
            <w:r w:rsidRPr="000A3A07">
              <w:t xml:space="preserve">Eslöv – Malmö </w:t>
            </w:r>
          </w:p>
        </w:tc>
        <w:tc>
          <w:tcPr>
            <w:tcW w:w="1417" w:type="dxa"/>
          </w:tcPr>
          <w:p w14:paraId="7121605A" w14:textId="77777777" w:rsidR="007C11E9" w:rsidRPr="000A3A07" w:rsidRDefault="007C11E9">
            <w:pPr>
              <w:spacing w:before="0"/>
            </w:pPr>
            <w:r w:rsidRPr="000A3A07">
              <w:t>0</w:t>
            </w:r>
          </w:p>
        </w:tc>
        <w:tc>
          <w:tcPr>
            <w:tcW w:w="1205" w:type="dxa"/>
          </w:tcPr>
          <w:p w14:paraId="287A6092" w14:textId="77777777" w:rsidR="007C11E9" w:rsidRPr="000A3A07" w:rsidRDefault="007C11E9">
            <w:pPr>
              <w:spacing w:before="0"/>
            </w:pPr>
            <w:r w:rsidRPr="000A3A07">
              <w:t>0</w:t>
            </w:r>
          </w:p>
        </w:tc>
        <w:tc>
          <w:tcPr>
            <w:tcW w:w="1205" w:type="dxa"/>
          </w:tcPr>
          <w:p w14:paraId="79D78EE3" w14:textId="77777777" w:rsidR="007C11E9" w:rsidRPr="000A3A07" w:rsidRDefault="007C11E9">
            <w:pPr>
              <w:spacing w:before="0"/>
            </w:pPr>
            <w:r w:rsidRPr="000A3A07">
              <w:t>8</w:t>
            </w:r>
          </w:p>
        </w:tc>
      </w:tr>
      <w:tr w:rsidR="00000000" w:rsidRPr="000A3A07" w14:paraId="22E68E3F" w14:textId="77777777">
        <w:tblPrEx>
          <w:tblCellMar>
            <w:top w:w="0" w:type="dxa"/>
            <w:bottom w:w="0" w:type="dxa"/>
          </w:tblCellMar>
        </w:tblPrEx>
        <w:tc>
          <w:tcPr>
            <w:tcW w:w="2197" w:type="dxa"/>
          </w:tcPr>
          <w:p w14:paraId="3452162E" w14:textId="77777777" w:rsidR="007C11E9" w:rsidRPr="000A3A07" w:rsidRDefault="007C11E9">
            <w:pPr>
              <w:spacing w:before="0"/>
              <w:jc w:val="left"/>
            </w:pPr>
            <w:r w:rsidRPr="000A3A07">
              <w:t xml:space="preserve">Höör – Malmö </w:t>
            </w:r>
          </w:p>
        </w:tc>
        <w:tc>
          <w:tcPr>
            <w:tcW w:w="1417" w:type="dxa"/>
          </w:tcPr>
          <w:p w14:paraId="4C29A94B" w14:textId="77777777" w:rsidR="007C11E9" w:rsidRPr="000A3A07" w:rsidRDefault="007C11E9">
            <w:pPr>
              <w:spacing w:before="0"/>
            </w:pPr>
            <w:r w:rsidRPr="000A3A07">
              <w:t>0</w:t>
            </w:r>
          </w:p>
        </w:tc>
        <w:tc>
          <w:tcPr>
            <w:tcW w:w="1205" w:type="dxa"/>
          </w:tcPr>
          <w:p w14:paraId="75508021" w14:textId="77777777" w:rsidR="007C11E9" w:rsidRPr="000A3A07" w:rsidRDefault="007C11E9">
            <w:pPr>
              <w:spacing w:before="0"/>
            </w:pPr>
            <w:r w:rsidRPr="000A3A07">
              <w:t>0</w:t>
            </w:r>
          </w:p>
        </w:tc>
        <w:tc>
          <w:tcPr>
            <w:tcW w:w="1205" w:type="dxa"/>
          </w:tcPr>
          <w:p w14:paraId="2C5062AF" w14:textId="77777777" w:rsidR="007C11E9" w:rsidRPr="000A3A07" w:rsidRDefault="007C11E9">
            <w:pPr>
              <w:spacing w:before="0"/>
            </w:pPr>
            <w:r w:rsidRPr="000A3A07">
              <w:t>40</w:t>
            </w:r>
          </w:p>
        </w:tc>
      </w:tr>
      <w:tr w:rsidR="00000000" w:rsidRPr="000A3A07" w14:paraId="3996175B" w14:textId="77777777">
        <w:tblPrEx>
          <w:tblCellMar>
            <w:top w:w="0" w:type="dxa"/>
            <w:bottom w:w="0" w:type="dxa"/>
          </w:tblCellMar>
        </w:tblPrEx>
        <w:tc>
          <w:tcPr>
            <w:tcW w:w="2197" w:type="dxa"/>
          </w:tcPr>
          <w:p w14:paraId="01EBC2FC" w14:textId="77777777" w:rsidR="007C11E9" w:rsidRPr="000A3A07" w:rsidRDefault="007C11E9">
            <w:pPr>
              <w:spacing w:before="0"/>
              <w:jc w:val="left"/>
            </w:pPr>
            <w:r w:rsidRPr="000A3A07">
              <w:t>Teckomatorp – Malmö</w:t>
            </w:r>
          </w:p>
        </w:tc>
        <w:tc>
          <w:tcPr>
            <w:tcW w:w="1417" w:type="dxa"/>
          </w:tcPr>
          <w:p w14:paraId="4CA3E496" w14:textId="77777777" w:rsidR="007C11E9" w:rsidRPr="000A3A07" w:rsidRDefault="007C11E9">
            <w:pPr>
              <w:spacing w:before="0"/>
            </w:pPr>
            <w:r w:rsidRPr="000A3A07">
              <w:t>0</w:t>
            </w:r>
          </w:p>
        </w:tc>
        <w:tc>
          <w:tcPr>
            <w:tcW w:w="1205" w:type="dxa"/>
          </w:tcPr>
          <w:p w14:paraId="46851A52" w14:textId="77777777" w:rsidR="007C11E9" w:rsidRPr="000A3A07" w:rsidRDefault="007C11E9">
            <w:pPr>
              <w:spacing w:before="0"/>
            </w:pPr>
            <w:r w:rsidRPr="000A3A07">
              <w:t>0</w:t>
            </w:r>
          </w:p>
        </w:tc>
        <w:tc>
          <w:tcPr>
            <w:tcW w:w="1205" w:type="dxa"/>
          </w:tcPr>
          <w:p w14:paraId="7B4FA5BC" w14:textId="77777777" w:rsidR="007C11E9" w:rsidRPr="000A3A07" w:rsidRDefault="007C11E9">
            <w:pPr>
              <w:spacing w:before="0"/>
            </w:pPr>
            <w:r w:rsidRPr="000A3A07">
              <w:t>24</w:t>
            </w:r>
          </w:p>
        </w:tc>
      </w:tr>
      <w:tr w:rsidR="00000000" w:rsidRPr="000A3A07" w14:paraId="4DDEADB2" w14:textId="77777777">
        <w:tblPrEx>
          <w:tblCellMar>
            <w:top w:w="0" w:type="dxa"/>
            <w:bottom w:w="0" w:type="dxa"/>
          </w:tblCellMar>
        </w:tblPrEx>
        <w:tc>
          <w:tcPr>
            <w:tcW w:w="2197" w:type="dxa"/>
          </w:tcPr>
          <w:p w14:paraId="4E0AD3DA" w14:textId="77777777" w:rsidR="007C11E9" w:rsidRPr="000A3A07" w:rsidRDefault="007C11E9">
            <w:pPr>
              <w:spacing w:before="0"/>
              <w:jc w:val="left"/>
            </w:pPr>
            <w:r w:rsidRPr="000A3A07">
              <w:t>Ystad – Malmö</w:t>
            </w:r>
          </w:p>
        </w:tc>
        <w:tc>
          <w:tcPr>
            <w:tcW w:w="1417" w:type="dxa"/>
          </w:tcPr>
          <w:p w14:paraId="106E2B37" w14:textId="77777777" w:rsidR="007C11E9" w:rsidRPr="000A3A07" w:rsidRDefault="007C11E9">
            <w:pPr>
              <w:spacing w:before="0"/>
            </w:pPr>
            <w:r w:rsidRPr="000A3A07">
              <w:t>8</w:t>
            </w:r>
          </w:p>
        </w:tc>
        <w:tc>
          <w:tcPr>
            <w:tcW w:w="1205" w:type="dxa"/>
          </w:tcPr>
          <w:p w14:paraId="6D7C885D" w14:textId="77777777" w:rsidR="007C11E9" w:rsidRPr="000A3A07" w:rsidRDefault="007C11E9">
            <w:pPr>
              <w:spacing w:before="0"/>
            </w:pPr>
            <w:r w:rsidRPr="000A3A07">
              <w:t>8</w:t>
            </w:r>
          </w:p>
        </w:tc>
        <w:tc>
          <w:tcPr>
            <w:tcW w:w="1205" w:type="dxa"/>
          </w:tcPr>
          <w:p w14:paraId="5D883824" w14:textId="77777777" w:rsidR="007C11E9" w:rsidRPr="000A3A07" w:rsidRDefault="007C11E9">
            <w:pPr>
              <w:spacing w:before="0"/>
            </w:pPr>
            <w:r w:rsidRPr="000A3A07">
              <w:t>8</w:t>
            </w:r>
          </w:p>
        </w:tc>
      </w:tr>
      <w:tr w:rsidR="00000000" w:rsidRPr="000A3A07" w14:paraId="11B4FDE3" w14:textId="77777777">
        <w:tblPrEx>
          <w:tblCellMar>
            <w:top w:w="0" w:type="dxa"/>
            <w:bottom w:w="0" w:type="dxa"/>
          </w:tblCellMar>
        </w:tblPrEx>
        <w:tc>
          <w:tcPr>
            <w:tcW w:w="2197" w:type="dxa"/>
            <w:tcBorders>
              <w:bottom w:val="single" w:sz="4" w:space="0" w:color="auto"/>
            </w:tcBorders>
          </w:tcPr>
          <w:p w14:paraId="72BA5FBA" w14:textId="77777777" w:rsidR="007C11E9" w:rsidRPr="000A3A07" w:rsidRDefault="007C11E9">
            <w:pPr>
              <w:spacing w:before="0"/>
              <w:jc w:val="left"/>
            </w:pPr>
            <w:r w:rsidRPr="000A3A07">
              <w:t>Svedala – Malmö</w:t>
            </w:r>
          </w:p>
        </w:tc>
        <w:tc>
          <w:tcPr>
            <w:tcW w:w="1417" w:type="dxa"/>
            <w:tcBorders>
              <w:bottom w:val="single" w:sz="4" w:space="0" w:color="auto"/>
            </w:tcBorders>
          </w:tcPr>
          <w:p w14:paraId="72F74925" w14:textId="77777777" w:rsidR="007C11E9" w:rsidRPr="000A3A07" w:rsidRDefault="007C11E9">
            <w:pPr>
              <w:spacing w:before="0"/>
            </w:pPr>
            <w:r w:rsidRPr="000A3A07">
              <w:t>0</w:t>
            </w:r>
          </w:p>
        </w:tc>
        <w:tc>
          <w:tcPr>
            <w:tcW w:w="1205" w:type="dxa"/>
            <w:tcBorders>
              <w:bottom w:val="single" w:sz="4" w:space="0" w:color="auto"/>
            </w:tcBorders>
          </w:tcPr>
          <w:p w14:paraId="13BE03E9" w14:textId="77777777" w:rsidR="007C11E9" w:rsidRPr="000A3A07" w:rsidRDefault="007C11E9">
            <w:pPr>
              <w:spacing w:before="0"/>
            </w:pPr>
            <w:r w:rsidRPr="000A3A07">
              <w:t>12</w:t>
            </w:r>
          </w:p>
        </w:tc>
        <w:tc>
          <w:tcPr>
            <w:tcW w:w="1205" w:type="dxa"/>
            <w:tcBorders>
              <w:bottom w:val="single" w:sz="4" w:space="0" w:color="auto"/>
            </w:tcBorders>
          </w:tcPr>
          <w:p w14:paraId="7BA8B1AC" w14:textId="77777777" w:rsidR="007C11E9" w:rsidRPr="000A3A07" w:rsidRDefault="007C11E9">
            <w:pPr>
              <w:spacing w:before="0"/>
            </w:pPr>
            <w:r w:rsidRPr="000A3A07">
              <w:t>12</w:t>
            </w:r>
          </w:p>
        </w:tc>
      </w:tr>
      <w:tr w:rsidR="00000000" w:rsidRPr="000A3A07" w14:paraId="01D6612C" w14:textId="77777777">
        <w:tblPrEx>
          <w:tblCellMar>
            <w:top w:w="0" w:type="dxa"/>
            <w:bottom w:w="0" w:type="dxa"/>
          </w:tblCellMar>
        </w:tblPrEx>
        <w:tc>
          <w:tcPr>
            <w:tcW w:w="2197" w:type="dxa"/>
            <w:tcBorders>
              <w:top w:val="nil"/>
            </w:tcBorders>
          </w:tcPr>
          <w:p w14:paraId="677C9E3E" w14:textId="77777777" w:rsidR="007C11E9" w:rsidRPr="000A3A07" w:rsidRDefault="007C11E9">
            <w:pPr>
              <w:spacing w:before="0"/>
              <w:jc w:val="left"/>
              <w:rPr>
                <w:b/>
              </w:rPr>
            </w:pPr>
            <w:r w:rsidRPr="000A3A07">
              <w:rPr>
                <w:b/>
              </w:rPr>
              <w:t>Totalt</w:t>
            </w:r>
          </w:p>
        </w:tc>
        <w:tc>
          <w:tcPr>
            <w:tcW w:w="1417" w:type="dxa"/>
            <w:tcBorders>
              <w:top w:val="nil"/>
            </w:tcBorders>
          </w:tcPr>
          <w:p w14:paraId="32CF93E1" w14:textId="77777777" w:rsidR="007C11E9" w:rsidRPr="000A3A07" w:rsidRDefault="007C11E9">
            <w:pPr>
              <w:spacing w:before="0"/>
              <w:rPr>
                <w:b/>
              </w:rPr>
            </w:pPr>
            <w:r w:rsidRPr="000A3A07">
              <w:rPr>
                <w:b/>
              </w:rPr>
              <w:t>144</w:t>
            </w:r>
          </w:p>
        </w:tc>
        <w:tc>
          <w:tcPr>
            <w:tcW w:w="1205" w:type="dxa"/>
            <w:tcBorders>
              <w:top w:val="nil"/>
            </w:tcBorders>
          </w:tcPr>
          <w:p w14:paraId="6068F308" w14:textId="77777777" w:rsidR="007C11E9" w:rsidRPr="000A3A07" w:rsidRDefault="007C11E9">
            <w:pPr>
              <w:spacing w:before="0"/>
              <w:rPr>
                <w:b/>
              </w:rPr>
            </w:pPr>
            <w:r w:rsidRPr="000A3A07">
              <w:rPr>
                <w:b/>
              </w:rPr>
              <w:t>44</w:t>
            </w:r>
          </w:p>
        </w:tc>
        <w:tc>
          <w:tcPr>
            <w:tcW w:w="1205" w:type="dxa"/>
            <w:tcBorders>
              <w:top w:val="nil"/>
            </w:tcBorders>
          </w:tcPr>
          <w:p w14:paraId="35406102" w14:textId="77777777" w:rsidR="007C11E9" w:rsidRPr="000A3A07" w:rsidRDefault="007C11E9">
            <w:pPr>
              <w:spacing w:before="0"/>
              <w:rPr>
                <w:b/>
              </w:rPr>
            </w:pPr>
            <w:r w:rsidRPr="000A3A07">
              <w:rPr>
                <w:b/>
              </w:rPr>
              <w:t>244</w:t>
            </w:r>
          </w:p>
        </w:tc>
      </w:tr>
    </w:tbl>
    <w:p w14:paraId="185A877D" w14:textId="77777777" w:rsidR="007C11E9" w:rsidRPr="000A3A07" w:rsidRDefault="007C11E9">
      <w:pPr>
        <w:pStyle w:val="Tabell"/>
      </w:pPr>
      <w:r w:rsidRPr="000A3A07">
        <w:t>*Vänder i Malmö C, därav 24 tåg. Regionaltågen fungerar som lokaltåg Malmö – Ystad.</w:t>
      </w:r>
    </w:p>
    <w:p w14:paraId="640C8A39" w14:textId="77777777" w:rsidR="007C11E9" w:rsidRPr="000A3A07" w:rsidRDefault="007C11E9">
      <w:pPr>
        <w:pStyle w:val="Tabell"/>
      </w:pPr>
      <w:r w:rsidRPr="000A3A07">
        <w:t>Källa: SOU 1994:78 s 68.</w:t>
      </w:r>
    </w:p>
    <w:p w14:paraId="501F85F2" w14:textId="77777777" w:rsidR="007C11E9" w:rsidRPr="000A3A07" w:rsidRDefault="007C11E9">
      <w:r w:rsidRPr="000A3A07">
        <w:t>Storleken på de tidsvinster som görs blir av avgörande betydelse för berä</w:t>
      </w:r>
      <w:r w:rsidRPr="000A3A07">
        <w:t>k</w:t>
      </w:r>
      <w:r w:rsidRPr="000A3A07">
        <w:t>ningen av dessa effekter; ju större tidsvinst, desto fler resenärer spar tid och desto fler nya resenärer kan lockas att åka. Tidsvinstens storlek framgår emellertid inte av rapporten. I en rapport från Inregia (1996; jfr avsnitt 6 nedan) sägs att besparingen uppgår till 7-10 minuter. I det missivbrev som Svedab skickade till Kommunikationsdepartementet tillsammans med ra</w:t>
      </w:r>
      <w:r w:rsidRPr="000A3A07">
        <w:t>p</w:t>
      </w:r>
      <w:r w:rsidRPr="000A3A07">
        <w:t>porten Svedab (1996) sägs emellertid att tidsvinsten är 2-3 minuter för ett genomgående persontåg med planerade stopp jämfört med att an</w:t>
      </w:r>
      <w:r w:rsidRPr="000A3A07">
        <w:t>vända Ko</w:t>
      </w:r>
      <w:r w:rsidRPr="000A3A07">
        <w:t>n</w:t>
      </w:r>
      <w:r w:rsidRPr="000A3A07">
        <w:t>tinentalbanan.</w:t>
      </w:r>
    </w:p>
    <w:p w14:paraId="64627B90" w14:textId="77777777" w:rsidR="007C11E9" w:rsidRPr="000A3A07" w:rsidRDefault="007C11E9">
      <w:pPr>
        <w:pStyle w:val="Normaltindrag"/>
      </w:pPr>
      <w:r w:rsidRPr="000A3A07">
        <w:t>Det är således inte möjligt att veta hur stora tidsbesparingar som man i u</w:t>
      </w:r>
      <w:r w:rsidRPr="000A3A07">
        <w:t>t</w:t>
      </w:r>
      <w:r w:rsidRPr="000A3A07">
        <w:t>redningen antar att de enskilda tågen kan tillgodogöra sig. Sådana (icke redovisade) antaganden görs emellertid. Exempelvis innebär tidsbesparing och nya tåglägen att man bedömer att 31 miljoner fler personkilometer åks med regionaltågen, något som ökar biljettintäkterna med 9,3 miljoner kr år 2005 (som är det prognosår som används). Samtidigt gör regionaltrafiken en kostnadsbesparing om 1,5 miljoner kr. Sammantaget förbättras därför regi</w:t>
      </w:r>
      <w:r w:rsidRPr="000A3A07">
        <w:t>o</w:t>
      </w:r>
      <w:r w:rsidRPr="000A3A07">
        <w:t xml:space="preserve">naltrafikens finansiella resultat detta år med 10,8 miljoner kr. På </w:t>
      </w:r>
      <w:r w:rsidRPr="000A3A07">
        <w:t>motsvara</w:t>
      </w:r>
      <w:r w:rsidRPr="000A3A07">
        <w:t>n</w:t>
      </w:r>
      <w:r w:rsidRPr="000A3A07">
        <w:t>de sätt beräknas en resultatförbättring för snabbtågen respektive övriga inte</w:t>
      </w:r>
      <w:r w:rsidRPr="000A3A07">
        <w:t>r</w:t>
      </w:r>
      <w:r w:rsidRPr="000A3A07">
        <w:t>regi</w:t>
      </w:r>
      <w:r w:rsidRPr="000A3A07">
        <w:t>o</w:t>
      </w:r>
      <w:r w:rsidRPr="000A3A07">
        <w:t>nala tåg om 14,5 respektive 7,3 miljoner kr (jfr Tabell 3).</w:t>
      </w:r>
    </w:p>
    <w:p w14:paraId="312B3DAC" w14:textId="77777777" w:rsidR="007C11E9" w:rsidRPr="000A3A07" w:rsidRDefault="007C11E9">
      <w:pPr>
        <w:pStyle w:val="Normaltindrag"/>
      </w:pPr>
      <w:r w:rsidRPr="000A3A07">
        <w:t>Situationen för lokaltågen – de så kallade Pågatågen – är något annorlu</w:t>
      </w:r>
      <w:r w:rsidRPr="000A3A07">
        <w:t>n</w:t>
      </w:r>
      <w:r w:rsidRPr="000A3A07">
        <w:t>da. Av Tabell 2 framgår att resandetrafiken kommer att öka dramatiskt till följd av att Citytunneln färdigställs, från 144 till totalt 288 tåg per dag. Tr</w:t>
      </w:r>
      <w:r w:rsidRPr="000A3A07">
        <w:t>a</w:t>
      </w:r>
      <w:r w:rsidRPr="000A3A07">
        <w:t>fikö</w:t>
      </w:r>
      <w:r w:rsidRPr="000A3A07">
        <w:t>k</w:t>
      </w:r>
      <w:r w:rsidRPr="000A3A07">
        <w:t xml:space="preserve">ningen utgörs till fullo av lokaltåg. </w:t>
      </w:r>
    </w:p>
    <w:p w14:paraId="62E9BAB6" w14:textId="77777777" w:rsidR="007C11E9" w:rsidRPr="000A3A07" w:rsidRDefault="007C11E9">
      <w:pPr>
        <w:pStyle w:val="Normaltindrag"/>
      </w:pPr>
      <w:r w:rsidRPr="000A3A07">
        <w:t>Utredningen klargör inte innebörden av denna trafikökning. En möjlig tolkning är att de lokaltåg som idag vänder vid Malmö C fortsättningsvis vänder i Hyllie. Det är i så fall fråga om att låta lokaltågen gå några kilom</w:t>
      </w:r>
      <w:r w:rsidRPr="000A3A07">
        <w:t>e</w:t>
      </w:r>
      <w:r w:rsidRPr="000A3A07">
        <w:t>ter längre och på så sätt försörja en väsentligt utökad marknad. Det är eme</w:t>
      </w:r>
      <w:r w:rsidRPr="000A3A07">
        <w:t>l</w:t>
      </w:r>
      <w:r w:rsidRPr="000A3A07">
        <w:t>lertid i så fall knappast korrekt att tala om ett generellt ökat trafik</w:t>
      </w:r>
      <w:r w:rsidRPr="000A3A07">
        <w:softHyphen/>
        <w:t>utbud. Det är inte heller klart hur många lokaltåg som körs idag varför man inte utan vidare kan bedöma om traf</w:t>
      </w:r>
      <w:r w:rsidRPr="000A3A07">
        <w:t>i</w:t>
      </w:r>
      <w:r w:rsidRPr="000A3A07">
        <w:t>kens omfattning är i någon mening rimlig eller ej.</w:t>
      </w:r>
    </w:p>
    <w:p w14:paraId="3BACC00B" w14:textId="77777777" w:rsidR="007C11E9" w:rsidRPr="000A3A07" w:rsidRDefault="007C11E9">
      <w:pPr>
        <w:rPr>
          <w:b/>
          <w:sz w:val="22"/>
        </w:rPr>
      </w:pPr>
      <w:r w:rsidRPr="000A3A07">
        <w:rPr>
          <w:b/>
          <w:sz w:val="22"/>
        </w:rPr>
        <w:t>Tabell 3. Prognostiserad förändring i tågresande (personkm) samt täckningsbidrag i utrednings- jämfört med jämförelsea</w:t>
      </w:r>
      <w:r w:rsidRPr="000A3A07">
        <w:rPr>
          <w:b/>
          <w:sz w:val="22"/>
        </w:rPr>
        <w:t>l</w:t>
      </w:r>
      <w:r w:rsidRPr="000A3A07">
        <w:rPr>
          <w:b/>
          <w:sz w:val="22"/>
        </w:rPr>
        <w:t>ternativet år 2005.</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FF" w:firstRow="1" w:lastRow="1" w:firstColumn="1" w:lastColumn="0" w:noHBand="0" w:noVBand="0"/>
      </w:tblPr>
      <w:tblGrid>
        <w:gridCol w:w="2055"/>
        <w:gridCol w:w="956"/>
        <w:gridCol w:w="957"/>
        <w:gridCol w:w="957"/>
        <w:gridCol w:w="957"/>
      </w:tblGrid>
      <w:tr w:rsidR="00000000" w:rsidRPr="000A3A07" w14:paraId="632C33F5" w14:textId="77777777">
        <w:tblPrEx>
          <w:tblCellMar>
            <w:top w:w="0" w:type="dxa"/>
            <w:bottom w:w="0" w:type="dxa"/>
          </w:tblCellMar>
        </w:tblPrEx>
        <w:tc>
          <w:tcPr>
            <w:tcW w:w="2055" w:type="dxa"/>
            <w:tcBorders>
              <w:bottom w:val="single" w:sz="6" w:space="0" w:color="000000"/>
            </w:tcBorders>
            <w:shd w:val="pct30" w:color="FFFF00" w:fill="FFFFFF"/>
          </w:tcPr>
          <w:p w14:paraId="6D503D5C" w14:textId="77777777" w:rsidR="007C11E9" w:rsidRPr="000A3A07" w:rsidRDefault="007C11E9">
            <w:pPr>
              <w:spacing w:before="0"/>
            </w:pPr>
          </w:p>
        </w:tc>
        <w:tc>
          <w:tcPr>
            <w:tcW w:w="1913" w:type="dxa"/>
            <w:gridSpan w:val="2"/>
            <w:tcBorders>
              <w:bottom w:val="single" w:sz="6" w:space="0" w:color="000000"/>
            </w:tcBorders>
            <w:shd w:val="pct30" w:color="FFFF00" w:fill="FFFFFF"/>
          </w:tcPr>
          <w:p w14:paraId="3A4EEAAF" w14:textId="77777777" w:rsidR="007C11E9" w:rsidRPr="000A3A07" w:rsidRDefault="007C11E9">
            <w:pPr>
              <w:spacing w:before="0"/>
            </w:pPr>
            <w:r w:rsidRPr="000A3A07">
              <w:t>Personkilometer (milj)</w:t>
            </w:r>
          </w:p>
        </w:tc>
        <w:tc>
          <w:tcPr>
            <w:tcW w:w="1914" w:type="dxa"/>
            <w:gridSpan w:val="2"/>
            <w:tcBorders>
              <w:bottom w:val="single" w:sz="6" w:space="0" w:color="000000"/>
            </w:tcBorders>
            <w:shd w:val="pct30" w:color="FFFF00" w:fill="FFFFFF"/>
          </w:tcPr>
          <w:p w14:paraId="008E0396" w14:textId="77777777" w:rsidR="007C11E9" w:rsidRPr="000A3A07" w:rsidRDefault="007C11E9">
            <w:pPr>
              <w:spacing w:before="0"/>
            </w:pPr>
            <w:r w:rsidRPr="000A3A07">
              <w:t>Täckningsbidrag (mkr)</w:t>
            </w:r>
          </w:p>
        </w:tc>
      </w:tr>
      <w:tr w:rsidR="00000000" w:rsidRPr="000A3A07" w14:paraId="1AC198DD" w14:textId="77777777">
        <w:tblPrEx>
          <w:tblCellMar>
            <w:top w:w="0" w:type="dxa"/>
            <w:bottom w:w="0" w:type="dxa"/>
          </w:tblCellMar>
        </w:tblPrEx>
        <w:trPr>
          <w:cantSplit/>
        </w:trPr>
        <w:tc>
          <w:tcPr>
            <w:tcW w:w="2055" w:type="dxa"/>
            <w:tcBorders>
              <w:top w:val="nil"/>
            </w:tcBorders>
          </w:tcPr>
          <w:p w14:paraId="31D22D20" w14:textId="77777777" w:rsidR="007C11E9" w:rsidRPr="000A3A07" w:rsidRDefault="007C11E9">
            <w:pPr>
              <w:spacing w:before="0"/>
            </w:pPr>
            <w:r w:rsidRPr="000A3A07">
              <w:t>Snabbtåg</w:t>
            </w:r>
          </w:p>
        </w:tc>
        <w:tc>
          <w:tcPr>
            <w:tcW w:w="956" w:type="dxa"/>
            <w:tcBorders>
              <w:top w:val="nil"/>
              <w:right w:val="nil"/>
            </w:tcBorders>
          </w:tcPr>
          <w:p w14:paraId="6719F1E0" w14:textId="77777777" w:rsidR="007C11E9" w:rsidRPr="000A3A07" w:rsidRDefault="007C11E9">
            <w:pPr>
              <w:tabs>
                <w:tab w:val="left" w:pos="1064"/>
              </w:tabs>
              <w:spacing w:before="0"/>
              <w:jc w:val="right"/>
            </w:pPr>
            <w:r w:rsidRPr="000A3A07">
              <w:t>+14</w:t>
            </w:r>
          </w:p>
        </w:tc>
        <w:tc>
          <w:tcPr>
            <w:tcW w:w="957" w:type="dxa"/>
            <w:tcBorders>
              <w:top w:val="nil"/>
              <w:left w:val="nil"/>
            </w:tcBorders>
          </w:tcPr>
          <w:p w14:paraId="696102A0" w14:textId="77777777" w:rsidR="007C11E9" w:rsidRPr="000A3A07" w:rsidRDefault="007C11E9">
            <w:pPr>
              <w:tabs>
                <w:tab w:val="left" w:pos="1064"/>
              </w:tabs>
              <w:spacing w:before="0"/>
              <w:jc w:val="center"/>
            </w:pPr>
          </w:p>
        </w:tc>
        <w:tc>
          <w:tcPr>
            <w:tcW w:w="957" w:type="dxa"/>
            <w:tcBorders>
              <w:top w:val="nil"/>
              <w:right w:val="nil"/>
            </w:tcBorders>
          </w:tcPr>
          <w:p w14:paraId="49AEB5AD" w14:textId="77777777" w:rsidR="007C11E9" w:rsidRPr="000A3A07" w:rsidRDefault="007C11E9">
            <w:pPr>
              <w:spacing w:before="0"/>
              <w:jc w:val="right"/>
            </w:pPr>
            <w:r w:rsidRPr="000A3A07">
              <w:t>14,5</w:t>
            </w:r>
          </w:p>
        </w:tc>
        <w:tc>
          <w:tcPr>
            <w:tcW w:w="957" w:type="dxa"/>
            <w:tcBorders>
              <w:top w:val="nil"/>
              <w:left w:val="nil"/>
            </w:tcBorders>
          </w:tcPr>
          <w:p w14:paraId="4E7C89DC" w14:textId="77777777" w:rsidR="007C11E9" w:rsidRPr="000A3A07" w:rsidRDefault="007C11E9">
            <w:pPr>
              <w:spacing w:before="0"/>
              <w:jc w:val="right"/>
            </w:pPr>
          </w:p>
        </w:tc>
      </w:tr>
      <w:tr w:rsidR="00000000" w:rsidRPr="000A3A07" w14:paraId="40CD359D" w14:textId="77777777">
        <w:tblPrEx>
          <w:tblCellMar>
            <w:top w:w="0" w:type="dxa"/>
            <w:bottom w:w="0" w:type="dxa"/>
          </w:tblCellMar>
        </w:tblPrEx>
        <w:trPr>
          <w:cantSplit/>
        </w:trPr>
        <w:tc>
          <w:tcPr>
            <w:tcW w:w="2055" w:type="dxa"/>
          </w:tcPr>
          <w:p w14:paraId="101204E5" w14:textId="77777777" w:rsidR="007C11E9" w:rsidRPr="000A3A07" w:rsidRDefault="007C11E9">
            <w:pPr>
              <w:spacing w:before="0"/>
            </w:pPr>
            <w:r w:rsidRPr="000A3A07">
              <w:t>Övriga interregionala tåg</w:t>
            </w:r>
          </w:p>
        </w:tc>
        <w:tc>
          <w:tcPr>
            <w:tcW w:w="956" w:type="dxa"/>
            <w:tcBorders>
              <w:right w:val="nil"/>
            </w:tcBorders>
          </w:tcPr>
          <w:p w14:paraId="1E5277EC" w14:textId="77777777" w:rsidR="007C11E9" w:rsidRPr="000A3A07" w:rsidRDefault="007C11E9">
            <w:pPr>
              <w:tabs>
                <w:tab w:val="left" w:pos="1064"/>
              </w:tabs>
              <w:spacing w:before="0"/>
              <w:jc w:val="right"/>
            </w:pPr>
            <w:r w:rsidRPr="000A3A07">
              <w:t>+9</w:t>
            </w:r>
          </w:p>
        </w:tc>
        <w:tc>
          <w:tcPr>
            <w:tcW w:w="957" w:type="dxa"/>
            <w:tcBorders>
              <w:left w:val="nil"/>
            </w:tcBorders>
          </w:tcPr>
          <w:p w14:paraId="5CCF4B16" w14:textId="77777777" w:rsidR="007C11E9" w:rsidRPr="000A3A07" w:rsidRDefault="007C11E9">
            <w:pPr>
              <w:tabs>
                <w:tab w:val="left" w:pos="1064"/>
              </w:tabs>
              <w:spacing w:before="0"/>
              <w:jc w:val="center"/>
            </w:pPr>
          </w:p>
        </w:tc>
        <w:tc>
          <w:tcPr>
            <w:tcW w:w="957" w:type="dxa"/>
            <w:tcBorders>
              <w:right w:val="nil"/>
            </w:tcBorders>
          </w:tcPr>
          <w:p w14:paraId="1780673B" w14:textId="77777777" w:rsidR="007C11E9" w:rsidRPr="000A3A07" w:rsidRDefault="007C11E9">
            <w:pPr>
              <w:spacing w:before="0"/>
              <w:jc w:val="right"/>
            </w:pPr>
            <w:r w:rsidRPr="000A3A07">
              <w:t>7,3</w:t>
            </w:r>
          </w:p>
        </w:tc>
        <w:tc>
          <w:tcPr>
            <w:tcW w:w="957" w:type="dxa"/>
            <w:tcBorders>
              <w:left w:val="nil"/>
            </w:tcBorders>
          </w:tcPr>
          <w:p w14:paraId="34050CEA" w14:textId="77777777" w:rsidR="007C11E9" w:rsidRPr="000A3A07" w:rsidRDefault="007C11E9">
            <w:pPr>
              <w:spacing w:before="0"/>
              <w:jc w:val="right"/>
            </w:pPr>
          </w:p>
        </w:tc>
      </w:tr>
      <w:tr w:rsidR="00000000" w:rsidRPr="000A3A07" w14:paraId="6F879FE9" w14:textId="77777777">
        <w:tblPrEx>
          <w:tblCellMar>
            <w:top w:w="0" w:type="dxa"/>
            <w:bottom w:w="0" w:type="dxa"/>
          </w:tblCellMar>
        </w:tblPrEx>
        <w:trPr>
          <w:cantSplit/>
        </w:trPr>
        <w:tc>
          <w:tcPr>
            <w:tcW w:w="2055" w:type="dxa"/>
          </w:tcPr>
          <w:p w14:paraId="1B8EA240" w14:textId="77777777" w:rsidR="007C11E9" w:rsidRPr="000A3A07" w:rsidRDefault="007C11E9">
            <w:pPr>
              <w:spacing w:before="0"/>
            </w:pPr>
            <w:r w:rsidRPr="000A3A07">
              <w:t>Regionala tåg</w:t>
            </w:r>
          </w:p>
        </w:tc>
        <w:tc>
          <w:tcPr>
            <w:tcW w:w="956" w:type="dxa"/>
            <w:tcBorders>
              <w:right w:val="nil"/>
            </w:tcBorders>
          </w:tcPr>
          <w:p w14:paraId="49F33F66" w14:textId="77777777" w:rsidR="007C11E9" w:rsidRPr="000A3A07" w:rsidRDefault="007C11E9">
            <w:pPr>
              <w:tabs>
                <w:tab w:val="left" w:pos="1064"/>
              </w:tabs>
              <w:spacing w:before="0"/>
              <w:jc w:val="right"/>
            </w:pPr>
            <w:r w:rsidRPr="000A3A07">
              <w:t>+31</w:t>
            </w:r>
          </w:p>
        </w:tc>
        <w:tc>
          <w:tcPr>
            <w:tcW w:w="957" w:type="dxa"/>
            <w:tcBorders>
              <w:left w:val="nil"/>
            </w:tcBorders>
          </w:tcPr>
          <w:p w14:paraId="13D41735" w14:textId="77777777" w:rsidR="007C11E9" w:rsidRPr="000A3A07" w:rsidRDefault="007C11E9">
            <w:pPr>
              <w:tabs>
                <w:tab w:val="left" w:pos="1064"/>
              </w:tabs>
              <w:spacing w:before="0"/>
              <w:jc w:val="center"/>
            </w:pPr>
          </w:p>
        </w:tc>
        <w:tc>
          <w:tcPr>
            <w:tcW w:w="957" w:type="dxa"/>
            <w:tcBorders>
              <w:right w:val="nil"/>
            </w:tcBorders>
          </w:tcPr>
          <w:p w14:paraId="4A8AF5FD" w14:textId="77777777" w:rsidR="007C11E9" w:rsidRPr="000A3A07" w:rsidRDefault="007C11E9">
            <w:pPr>
              <w:spacing w:before="0"/>
              <w:jc w:val="right"/>
            </w:pPr>
            <w:r w:rsidRPr="000A3A07">
              <w:t>10,8</w:t>
            </w:r>
          </w:p>
        </w:tc>
        <w:tc>
          <w:tcPr>
            <w:tcW w:w="957" w:type="dxa"/>
            <w:tcBorders>
              <w:left w:val="nil"/>
            </w:tcBorders>
          </w:tcPr>
          <w:p w14:paraId="500BCB6B" w14:textId="77777777" w:rsidR="007C11E9" w:rsidRPr="000A3A07" w:rsidRDefault="007C11E9">
            <w:pPr>
              <w:spacing w:before="0"/>
              <w:jc w:val="right"/>
            </w:pPr>
          </w:p>
        </w:tc>
      </w:tr>
      <w:tr w:rsidR="00000000" w:rsidRPr="000A3A07" w14:paraId="52563DEB" w14:textId="77777777">
        <w:tblPrEx>
          <w:tblCellMar>
            <w:top w:w="0" w:type="dxa"/>
            <w:bottom w:w="0" w:type="dxa"/>
          </w:tblCellMar>
        </w:tblPrEx>
        <w:trPr>
          <w:cantSplit/>
        </w:trPr>
        <w:tc>
          <w:tcPr>
            <w:tcW w:w="2055" w:type="dxa"/>
            <w:tcBorders>
              <w:bottom w:val="single" w:sz="4" w:space="0" w:color="auto"/>
            </w:tcBorders>
          </w:tcPr>
          <w:p w14:paraId="410E97E5" w14:textId="77777777" w:rsidR="007C11E9" w:rsidRPr="000A3A07" w:rsidRDefault="007C11E9">
            <w:pPr>
              <w:spacing w:before="0"/>
            </w:pPr>
            <w:r w:rsidRPr="000A3A07">
              <w:t>Lokala tåg</w:t>
            </w:r>
          </w:p>
        </w:tc>
        <w:tc>
          <w:tcPr>
            <w:tcW w:w="956" w:type="dxa"/>
            <w:tcBorders>
              <w:bottom w:val="single" w:sz="4" w:space="0" w:color="auto"/>
              <w:right w:val="nil"/>
            </w:tcBorders>
          </w:tcPr>
          <w:p w14:paraId="67E5F58B" w14:textId="77777777" w:rsidR="007C11E9" w:rsidRPr="000A3A07" w:rsidRDefault="007C11E9">
            <w:pPr>
              <w:tabs>
                <w:tab w:val="left" w:pos="1064"/>
              </w:tabs>
              <w:spacing w:before="0"/>
              <w:jc w:val="right"/>
            </w:pPr>
            <w:r w:rsidRPr="000A3A07">
              <w:t>+39</w:t>
            </w:r>
          </w:p>
        </w:tc>
        <w:tc>
          <w:tcPr>
            <w:tcW w:w="957" w:type="dxa"/>
            <w:tcBorders>
              <w:left w:val="nil"/>
              <w:bottom w:val="single" w:sz="4" w:space="0" w:color="auto"/>
            </w:tcBorders>
          </w:tcPr>
          <w:p w14:paraId="7C09CF07" w14:textId="77777777" w:rsidR="007C11E9" w:rsidRPr="000A3A07" w:rsidRDefault="007C11E9">
            <w:pPr>
              <w:tabs>
                <w:tab w:val="left" w:pos="1064"/>
              </w:tabs>
              <w:spacing w:before="0"/>
              <w:jc w:val="center"/>
            </w:pPr>
          </w:p>
        </w:tc>
        <w:tc>
          <w:tcPr>
            <w:tcW w:w="957" w:type="dxa"/>
            <w:tcBorders>
              <w:bottom w:val="single" w:sz="4" w:space="0" w:color="auto"/>
              <w:right w:val="nil"/>
            </w:tcBorders>
          </w:tcPr>
          <w:p w14:paraId="1F583136" w14:textId="77777777" w:rsidR="007C11E9" w:rsidRPr="000A3A07" w:rsidRDefault="007C11E9">
            <w:pPr>
              <w:spacing w:before="0"/>
              <w:jc w:val="right"/>
            </w:pPr>
            <w:r w:rsidRPr="000A3A07">
              <w:t>18,8</w:t>
            </w:r>
          </w:p>
        </w:tc>
        <w:tc>
          <w:tcPr>
            <w:tcW w:w="957" w:type="dxa"/>
            <w:tcBorders>
              <w:left w:val="nil"/>
              <w:bottom w:val="single" w:sz="4" w:space="0" w:color="auto"/>
            </w:tcBorders>
          </w:tcPr>
          <w:p w14:paraId="1564AD3A" w14:textId="77777777" w:rsidR="007C11E9" w:rsidRPr="000A3A07" w:rsidRDefault="007C11E9">
            <w:pPr>
              <w:spacing w:before="0"/>
              <w:jc w:val="right"/>
            </w:pPr>
          </w:p>
        </w:tc>
      </w:tr>
      <w:tr w:rsidR="00000000" w:rsidRPr="000A3A07" w14:paraId="27AAF595" w14:textId="77777777">
        <w:tblPrEx>
          <w:tblCellMar>
            <w:top w:w="0" w:type="dxa"/>
            <w:bottom w:w="0" w:type="dxa"/>
          </w:tblCellMar>
        </w:tblPrEx>
        <w:trPr>
          <w:cantSplit/>
        </w:trPr>
        <w:tc>
          <w:tcPr>
            <w:tcW w:w="2055" w:type="dxa"/>
            <w:tcBorders>
              <w:top w:val="nil"/>
            </w:tcBorders>
          </w:tcPr>
          <w:p w14:paraId="519254E2" w14:textId="77777777" w:rsidR="007C11E9" w:rsidRPr="000A3A07" w:rsidRDefault="007C11E9">
            <w:pPr>
              <w:spacing w:before="0"/>
              <w:rPr>
                <w:b/>
              </w:rPr>
            </w:pPr>
            <w:r w:rsidRPr="000A3A07">
              <w:rPr>
                <w:b/>
              </w:rPr>
              <w:t>Totalt</w:t>
            </w:r>
          </w:p>
        </w:tc>
        <w:tc>
          <w:tcPr>
            <w:tcW w:w="956" w:type="dxa"/>
            <w:tcBorders>
              <w:top w:val="nil"/>
              <w:bottom w:val="single" w:sz="6" w:space="0" w:color="000000"/>
              <w:right w:val="nil"/>
            </w:tcBorders>
          </w:tcPr>
          <w:p w14:paraId="75CF4D3F" w14:textId="77777777" w:rsidR="007C11E9" w:rsidRPr="000A3A07" w:rsidRDefault="007C11E9">
            <w:pPr>
              <w:tabs>
                <w:tab w:val="left" w:pos="1064"/>
              </w:tabs>
              <w:spacing w:before="0"/>
              <w:jc w:val="right"/>
              <w:rPr>
                <w:b/>
              </w:rPr>
            </w:pPr>
            <w:r w:rsidRPr="000A3A07">
              <w:rPr>
                <w:b/>
              </w:rPr>
              <w:t>+83</w:t>
            </w:r>
          </w:p>
        </w:tc>
        <w:tc>
          <w:tcPr>
            <w:tcW w:w="957" w:type="dxa"/>
            <w:tcBorders>
              <w:top w:val="nil"/>
              <w:left w:val="nil"/>
            </w:tcBorders>
          </w:tcPr>
          <w:p w14:paraId="2CD3605A" w14:textId="77777777" w:rsidR="007C11E9" w:rsidRPr="000A3A07" w:rsidRDefault="007C11E9">
            <w:pPr>
              <w:tabs>
                <w:tab w:val="left" w:pos="1064"/>
              </w:tabs>
              <w:spacing w:before="0"/>
              <w:jc w:val="center"/>
              <w:rPr>
                <w:b/>
              </w:rPr>
            </w:pPr>
          </w:p>
        </w:tc>
        <w:tc>
          <w:tcPr>
            <w:tcW w:w="957" w:type="dxa"/>
            <w:tcBorders>
              <w:top w:val="nil"/>
              <w:bottom w:val="single" w:sz="6" w:space="0" w:color="000000"/>
              <w:right w:val="nil"/>
            </w:tcBorders>
          </w:tcPr>
          <w:p w14:paraId="442416EA" w14:textId="77777777" w:rsidR="007C11E9" w:rsidRPr="000A3A07" w:rsidRDefault="007C11E9">
            <w:pPr>
              <w:spacing w:before="0"/>
              <w:jc w:val="right"/>
              <w:rPr>
                <w:b/>
              </w:rPr>
            </w:pPr>
            <w:r w:rsidRPr="000A3A07">
              <w:rPr>
                <w:b/>
              </w:rPr>
              <w:t>51,4</w:t>
            </w:r>
          </w:p>
        </w:tc>
        <w:tc>
          <w:tcPr>
            <w:tcW w:w="957" w:type="dxa"/>
            <w:tcBorders>
              <w:top w:val="nil"/>
              <w:left w:val="nil"/>
            </w:tcBorders>
          </w:tcPr>
          <w:p w14:paraId="378FEE05" w14:textId="77777777" w:rsidR="007C11E9" w:rsidRPr="000A3A07" w:rsidRDefault="007C11E9">
            <w:pPr>
              <w:spacing w:before="0"/>
              <w:jc w:val="right"/>
              <w:rPr>
                <w:b/>
              </w:rPr>
            </w:pPr>
          </w:p>
        </w:tc>
      </w:tr>
    </w:tbl>
    <w:p w14:paraId="649C1EB5" w14:textId="77777777" w:rsidR="007C11E9" w:rsidRPr="000A3A07" w:rsidRDefault="007C11E9">
      <w:pPr>
        <w:pStyle w:val="Tabell"/>
      </w:pPr>
      <w:r w:rsidRPr="000A3A07">
        <w:t>Källa: SOU 1994:78 s 59.</w:t>
      </w:r>
    </w:p>
    <w:p w14:paraId="5452EDD4" w14:textId="77777777" w:rsidR="007C11E9" w:rsidRPr="000A3A07" w:rsidRDefault="007C11E9">
      <w:r w:rsidRPr="000A3A07">
        <w:t>Om den tolkning som nu gjorts är korrekt torde det också krävas omfattande spårinvesteringar för att göra det möjligt att vända så många tåg i Hyllie. Det framgår inte av rapporten om s</w:t>
      </w:r>
      <w:r w:rsidRPr="000A3A07">
        <w:t>å</w:t>
      </w:r>
      <w:r w:rsidRPr="000A3A07">
        <w:t>dana investeringskostnader ingår i kalkylen.</w:t>
      </w:r>
    </w:p>
    <w:p w14:paraId="0C7AC352" w14:textId="77777777" w:rsidR="007C11E9" w:rsidRPr="000A3A07" w:rsidRDefault="007C11E9">
      <w:pPr>
        <w:pStyle w:val="Normaltindrag"/>
      </w:pPr>
      <w:r w:rsidRPr="000A3A07">
        <w:t>De trafikprognoser som redovisas innebär att man får ca 20 000 resenärer per dygn mellan Malmö C och Triangeln och ca 17 000 mellan Triangeln och Hyllie. Av tabell 3 framgår att man år 2005 beräknar att fler resenärer åker med lokaltågen genom att antalet personkilometer är 29 milj fler i utre</w:t>
      </w:r>
      <w:r w:rsidRPr="000A3A07">
        <w:t>d</w:t>
      </w:r>
      <w:r w:rsidRPr="000A3A07">
        <w:t xml:space="preserve">nings- än i jämförelsealternativet. </w:t>
      </w:r>
    </w:p>
    <w:p w14:paraId="5CA3EA71" w14:textId="77777777" w:rsidR="007C11E9" w:rsidRPr="000A3A07" w:rsidRDefault="007C11E9">
      <w:pPr>
        <w:pStyle w:val="Normaltindrag"/>
      </w:pPr>
      <w:r w:rsidRPr="000A3A07">
        <w:t>Sammantaget visar Tabell 3 att resandeökningarna år 2005 innebär att tå</w:t>
      </w:r>
      <w:r w:rsidRPr="000A3A07">
        <w:t>g</w:t>
      </w:r>
      <w:r w:rsidRPr="000A3A07">
        <w:t>trafikens ekonomiska situation förbättras med ca 50 Milj kr. Beloppet är iögonfallande stort och baseras i huvudsak på att man bättre kan fylla de tåg som ändå går med resenärer, något som ger extra biljettintäkter till låga merkos</w:t>
      </w:r>
      <w:r w:rsidRPr="000A3A07">
        <w:t>t</w:t>
      </w:r>
      <w:r w:rsidRPr="000A3A07">
        <w:t>nader.</w:t>
      </w:r>
    </w:p>
    <w:p w14:paraId="1765E019" w14:textId="77777777" w:rsidR="007C11E9" w:rsidRPr="000A3A07" w:rsidRDefault="007C11E9">
      <w:pPr>
        <w:pStyle w:val="Normaltindrag"/>
      </w:pPr>
      <w:r w:rsidRPr="000A3A07">
        <w:t>För att undersöka rimligheten i den resandeökning som beräkningarna pr</w:t>
      </w:r>
      <w:r w:rsidRPr="000A3A07">
        <w:t>o</w:t>
      </w:r>
      <w:r w:rsidRPr="000A3A07">
        <w:t>gnostiserar måste man ha tillgång till en omfattande kunskapsmassa; var är bostäder och arbetsplatser i regionen lokaliserade idag?; hur ser dagens utbud av kollektivtrafik ut?; vilket trafikutbud kommer man att ha med en Citytu</w:t>
      </w:r>
      <w:r w:rsidRPr="000A3A07">
        <w:t>n</w:t>
      </w:r>
      <w:r w:rsidRPr="000A3A07">
        <w:t>nel? Utan att göra egna sådana prognoser är det är inte möjligt att avgöra om de resultat som utredningen redovisar är korrekta i sina enskildheter. Det finns däremot inte anledning att ifrågasätta principerna bakom det tillväg</w:t>
      </w:r>
      <w:r w:rsidRPr="000A3A07">
        <w:t>a</w:t>
      </w:r>
      <w:r w:rsidRPr="000A3A07">
        <w:t>gångssätt som tillämpats för att beräkna investeringen</w:t>
      </w:r>
      <w:r w:rsidRPr="000A3A07">
        <w:t>s effekter för traf</w:t>
      </w:r>
      <w:r w:rsidRPr="000A3A07">
        <w:t>i</w:t>
      </w:r>
      <w:r w:rsidRPr="000A3A07">
        <w:t>kutövarna.</w:t>
      </w:r>
    </w:p>
    <w:p w14:paraId="3A52D9E7" w14:textId="77777777" w:rsidR="007C11E9" w:rsidRPr="000A3A07" w:rsidRDefault="007C11E9">
      <w:pPr>
        <w:pStyle w:val="CTSRapportmall1"/>
        <w:jc w:val="left"/>
      </w:pPr>
    </w:p>
    <w:p w14:paraId="177E3CF3" w14:textId="77777777" w:rsidR="007C11E9" w:rsidRPr="000A3A07" w:rsidRDefault="007C11E9">
      <w:pPr>
        <w:pStyle w:val="Rubrik2"/>
      </w:pPr>
      <w:bookmarkStart w:id="301" w:name="_Toc486738527"/>
      <w:bookmarkStart w:id="302" w:name="_Toc496511385"/>
      <w:bookmarkStart w:id="303" w:name="_Toc506341017"/>
      <w:r w:rsidRPr="000A3A07">
        <w:t>Effekter för resenärerna</w:t>
      </w:r>
      <w:bookmarkEnd w:id="301"/>
      <w:bookmarkEnd w:id="302"/>
      <w:bookmarkEnd w:id="303"/>
    </w:p>
    <w:p w14:paraId="60F4FB6F" w14:textId="77777777" w:rsidR="007C11E9" w:rsidRPr="000A3A07" w:rsidRDefault="007C11E9">
      <w:r w:rsidRPr="000A3A07">
        <w:t>En Citytunnel minskar restiden för samtliga fjärr- och regionaltågsresenärer till Köpenhamn. Genom att göra en prognos av hur många sådana resenärer som använder den framtida tunneln kan man enkelt multiplicera detta resa</w:t>
      </w:r>
      <w:r w:rsidRPr="000A3A07">
        <w:t>n</w:t>
      </w:r>
      <w:r w:rsidRPr="000A3A07">
        <w:t>deantal med värdet av de tidsvinster som görs. Motsvarande tillvägagångssätt kan användas för att beräkna nyttan av tunneln för tillkommande res</w:t>
      </w:r>
      <w:r w:rsidRPr="000A3A07">
        <w:t>e</w:t>
      </w:r>
      <w:r w:rsidRPr="000A3A07">
        <w:t>närer.</w:t>
      </w:r>
    </w:p>
    <w:p w14:paraId="315EC444" w14:textId="77777777" w:rsidR="007C11E9" w:rsidRPr="000A3A07" w:rsidRDefault="007C11E9">
      <w:pPr>
        <w:pStyle w:val="Normaltindrag"/>
      </w:pPr>
      <w:r w:rsidRPr="000A3A07">
        <w:t>Den beräknade tidsvinsten multipliceras alltså med ett tidsvärde. Det finns sedan lång tid en diskussion kring principerna för beräkning av sådana vä</w:t>
      </w:r>
      <w:r w:rsidRPr="000A3A07">
        <w:t>r</w:t>
      </w:r>
      <w:r w:rsidRPr="000A3A07">
        <w:t>den, och i utredningen används också de av Banverket rekommenderade värdena. Dessa skiljer mellan resor som utförs i tjänsten eller privat. Resen</w:t>
      </w:r>
      <w:r w:rsidRPr="000A3A07">
        <w:t>ä</w:t>
      </w:r>
      <w:r w:rsidRPr="000A3A07">
        <w:t>rernas nytta av kortare restid, liksom det minskade behovet att byta mellan tåg och buss, är två sätt att i praktiska termer fånga upp den del av samhäl</w:t>
      </w:r>
      <w:r w:rsidRPr="000A3A07">
        <w:t>l</w:t>
      </w:r>
      <w:r w:rsidRPr="000A3A07">
        <w:t>snyttan av järnvägsinvesteringar som består i att kundernas situation förbät</w:t>
      </w:r>
      <w:r w:rsidRPr="000A3A07">
        <w:t>t</w:t>
      </w:r>
      <w:r w:rsidRPr="000A3A07">
        <w:t>ras. Detta kallas i ekonomisk teori konsumentöve</w:t>
      </w:r>
      <w:r w:rsidRPr="000A3A07">
        <w:t>r</w:t>
      </w:r>
      <w:r w:rsidRPr="000A3A07">
        <w:t>skottet.</w:t>
      </w:r>
    </w:p>
    <w:p w14:paraId="1B9C309C" w14:textId="77777777" w:rsidR="007C11E9" w:rsidRPr="000A3A07" w:rsidRDefault="007C11E9">
      <w:pPr>
        <w:pStyle w:val="Normaltindrag"/>
      </w:pPr>
      <w:r w:rsidRPr="000A3A07">
        <w:t>Många av de som reser med Pågatågen kommer inte att göra tidsvinster. Men tåg</w:t>
      </w:r>
      <w:r w:rsidRPr="000A3A07">
        <w:t>en från norr kommer att fortsätta till de två nya stationerna söder om Malmö C. Detta innebär att en del resenärer slipper byta mellan pendeltåg och buss. För dessa resenärer leder därför tunneln till bekvämlighetsvinster i form av kortare sammanlagd (tåg + buss) restid och till ökad bekvämlighet genom att man inte längre behöver byta och att man slipper löpa risken att vänta i samband med b</w:t>
      </w:r>
      <w:r w:rsidRPr="000A3A07">
        <w:t>y</w:t>
      </w:r>
      <w:r w:rsidRPr="000A3A07">
        <w:t xml:space="preserve">tet. </w:t>
      </w:r>
    </w:p>
    <w:p w14:paraId="52018439" w14:textId="77777777" w:rsidR="007C11E9" w:rsidRPr="000A3A07" w:rsidRDefault="007C11E9">
      <w:pPr>
        <w:pStyle w:val="Normaltindrag"/>
      </w:pPr>
      <w:r w:rsidRPr="000A3A07">
        <w:t>Värdet av dessa förbättringar har också beräknats av utredaren, och de sammanlagda effekterna för fjärr-, regio</w:t>
      </w:r>
      <w:r w:rsidRPr="000A3A07">
        <w:t>nal- och lokaltrafikresenärerna red</w:t>
      </w:r>
      <w:r w:rsidRPr="000A3A07">
        <w:t>o</w:t>
      </w:r>
      <w:r w:rsidRPr="000A3A07">
        <w:t>visas här i Tabell 4. Det är svårt att kommentera nivån på dessa siffror efte</w:t>
      </w:r>
      <w:r w:rsidRPr="000A3A07">
        <w:t>r</w:t>
      </w:r>
      <w:r w:rsidRPr="000A3A07">
        <w:t>som en bedömning av vilka restidsvinster som görs är en direkt konsekvens av tr</w:t>
      </w:r>
      <w:r w:rsidRPr="000A3A07">
        <w:t>a</w:t>
      </w:r>
      <w:r w:rsidRPr="000A3A07">
        <w:t>fikprognosen, och denna granskas inte här.</w:t>
      </w:r>
    </w:p>
    <w:p w14:paraId="1F3A5759" w14:textId="77777777" w:rsidR="007C11E9" w:rsidRPr="000A3A07" w:rsidRDefault="007C11E9">
      <w:pPr>
        <w:rPr>
          <w:b/>
          <w:sz w:val="22"/>
        </w:rPr>
      </w:pPr>
      <w:r w:rsidRPr="000A3A07">
        <w:rPr>
          <w:b/>
          <w:sz w:val="22"/>
        </w:rPr>
        <w:t>Tabell 4. Restids- och väntetidsvinster i utrednings- ställt mot jämförelsea</w:t>
      </w:r>
      <w:r w:rsidRPr="000A3A07">
        <w:rPr>
          <w:b/>
          <w:sz w:val="22"/>
        </w:rPr>
        <w:t>l</w:t>
      </w:r>
      <w:r w:rsidRPr="000A3A07">
        <w:rPr>
          <w:b/>
          <w:sz w:val="22"/>
        </w:rPr>
        <w:t>ternativet år 2005.</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EF" w:firstRow="1" w:lastRow="1" w:firstColumn="1" w:lastColumn="0" w:noHBand="0" w:noVBand="0"/>
      </w:tblPr>
      <w:tblGrid>
        <w:gridCol w:w="1063"/>
        <w:gridCol w:w="1204"/>
        <w:gridCol w:w="1205"/>
        <w:gridCol w:w="1205"/>
        <w:gridCol w:w="1205"/>
      </w:tblGrid>
      <w:tr w:rsidR="00000000" w:rsidRPr="000A3A07" w14:paraId="26097718" w14:textId="77777777">
        <w:tblPrEx>
          <w:tblCellMar>
            <w:top w:w="0" w:type="dxa"/>
            <w:bottom w:w="0" w:type="dxa"/>
          </w:tblCellMar>
        </w:tblPrEx>
        <w:trPr>
          <w:cantSplit/>
        </w:trPr>
        <w:tc>
          <w:tcPr>
            <w:tcW w:w="1063" w:type="dxa"/>
            <w:tcBorders>
              <w:top w:val="single" w:sz="6" w:space="0" w:color="000000"/>
              <w:bottom w:val="single" w:sz="4" w:space="0" w:color="auto"/>
            </w:tcBorders>
            <w:shd w:val="pct30" w:color="FFFF00" w:fill="FFFFFF"/>
          </w:tcPr>
          <w:p w14:paraId="1C35C69A" w14:textId="77777777" w:rsidR="007C11E9" w:rsidRPr="000A3A07" w:rsidRDefault="007C11E9">
            <w:pPr>
              <w:spacing w:before="0"/>
            </w:pPr>
          </w:p>
        </w:tc>
        <w:tc>
          <w:tcPr>
            <w:tcW w:w="2409" w:type="dxa"/>
            <w:gridSpan w:val="2"/>
            <w:tcBorders>
              <w:top w:val="single" w:sz="6" w:space="0" w:color="000000"/>
              <w:bottom w:val="single" w:sz="4" w:space="0" w:color="auto"/>
            </w:tcBorders>
            <w:shd w:val="pct30" w:color="FFFF00" w:fill="FFFFFF"/>
          </w:tcPr>
          <w:p w14:paraId="5610D08B" w14:textId="77777777" w:rsidR="007C11E9" w:rsidRPr="000A3A07" w:rsidRDefault="007C11E9">
            <w:pPr>
              <w:spacing w:before="0"/>
              <w:jc w:val="left"/>
            </w:pPr>
            <w:r w:rsidRPr="000A3A07">
              <w:t>Restidsvinster</w:t>
            </w:r>
          </w:p>
        </w:tc>
        <w:tc>
          <w:tcPr>
            <w:tcW w:w="2410" w:type="dxa"/>
            <w:gridSpan w:val="2"/>
            <w:tcBorders>
              <w:top w:val="single" w:sz="6" w:space="0" w:color="000000"/>
              <w:bottom w:val="single" w:sz="4" w:space="0" w:color="auto"/>
            </w:tcBorders>
            <w:shd w:val="pct30" w:color="FFFF00" w:fill="FFFFFF"/>
          </w:tcPr>
          <w:p w14:paraId="5E1D5317" w14:textId="77777777" w:rsidR="007C11E9" w:rsidRPr="000A3A07" w:rsidRDefault="007C11E9">
            <w:pPr>
              <w:spacing w:before="0"/>
              <w:jc w:val="left"/>
            </w:pPr>
            <w:r w:rsidRPr="000A3A07">
              <w:t>Väntetidsvinster</w:t>
            </w:r>
          </w:p>
        </w:tc>
      </w:tr>
      <w:tr w:rsidR="00000000" w:rsidRPr="000A3A07" w14:paraId="418BD009" w14:textId="77777777">
        <w:tblPrEx>
          <w:tblCellMar>
            <w:top w:w="0" w:type="dxa"/>
            <w:bottom w:w="0" w:type="dxa"/>
          </w:tblCellMar>
        </w:tblPrEx>
        <w:tc>
          <w:tcPr>
            <w:tcW w:w="1063" w:type="dxa"/>
            <w:tcBorders>
              <w:top w:val="nil"/>
              <w:bottom w:val="single" w:sz="4" w:space="0" w:color="auto"/>
            </w:tcBorders>
          </w:tcPr>
          <w:p w14:paraId="542A901C" w14:textId="77777777" w:rsidR="007C11E9" w:rsidRPr="000A3A07" w:rsidRDefault="007C11E9">
            <w:pPr>
              <w:spacing w:before="0"/>
            </w:pPr>
          </w:p>
        </w:tc>
        <w:tc>
          <w:tcPr>
            <w:tcW w:w="1204" w:type="dxa"/>
            <w:tcBorders>
              <w:top w:val="nil"/>
              <w:bottom w:val="single" w:sz="4" w:space="0" w:color="auto"/>
            </w:tcBorders>
          </w:tcPr>
          <w:p w14:paraId="7FE76B71" w14:textId="77777777" w:rsidR="007C11E9" w:rsidRPr="000A3A07" w:rsidRDefault="007C11E9">
            <w:pPr>
              <w:spacing w:before="0"/>
              <w:jc w:val="right"/>
            </w:pPr>
            <w:r w:rsidRPr="000A3A07">
              <w:t>Timmar (*1000)</w:t>
            </w:r>
          </w:p>
        </w:tc>
        <w:tc>
          <w:tcPr>
            <w:tcW w:w="1205" w:type="dxa"/>
            <w:tcBorders>
              <w:top w:val="nil"/>
              <w:bottom w:val="single" w:sz="4" w:space="0" w:color="auto"/>
            </w:tcBorders>
          </w:tcPr>
          <w:p w14:paraId="6C11D61E" w14:textId="77777777" w:rsidR="007C11E9" w:rsidRPr="000A3A07" w:rsidRDefault="007C11E9">
            <w:pPr>
              <w:spacing w:before="0"/>
              <w:jc w:val="right"/>
            </w:pPr>
            <w:r w:rsidRPr="000A3A07">
              <w:t>Värde    (mkr)</w:t>
            </w:r>
          </w:p>
        </w:tc>
        <w:tc>
          <w:tcPr>
            <w:tcW w:w="1205" w:type="dxa"/>
            <w:tcBorders>
              <w:top w:val="nil"/>
              <w:bottom w:val="single" w:sz="4" w:space="0" w:color="auto"/>
            </w:tcBorders>
          </w:tcPr>
          <w:p w14:paraId="035037B6" w14:textId="77777777" w:rsidR="007C11E9" w:rsidRPr="000A3A07" w:rsidRDefault="007C11E9">
            <w:pPr>
              <w:spacing w:before="0"/>
              <w:jc w:val="right"/>
            </w:pPr>
            <w:r w:rsidRPr="000A3A07">
              <w:t>Timmar (*1000)</w:t>
            </w:r>
          </w:p>
        </w:tc>
        <w:tc>
          <w:tcPr>
            <w:tcW w:w="1205" w:type="dxa"/>
            <w:tcBorders>
              <w:top w:val="nil"/>
              <w:bottom w:val="single" w:sz="4" w:space="0" w:color="auto"/>
            </w:tcBorders>
          </w:tcPr>
          <w:p w14:paraId="3775E981" w14:textId="77777777" w:rsidR="007C11E9" w:rsidRPr="000A3A07" w:rsidRDefault="007C11E9">
            <w:pPr>
              <w:spacing w:before="0"/>
              <w:jc w:val="right"/>
            </w:pPr>
            <w:r w:rsidRPr="000A3A07">
              <w:t>Värde    (mkr)</w:t>
            </w:r>
          </w:p>
        </w:tc>
      </w:tr>
      <w:tr w:rsidR="00000000" w:rsidRPr="000A3A07" w14:paraId="5EAA6988" w14:textId="77777777">
        <w:tblPrEx>
          <w:tblCellMar>
            <w:top w:w="0" w:type="dxa"/>
            <w:bottom w:w="0" w:type="dxa"/>
          </w:tblCellMar>
        </w:tblPrEx>
        <w:tc>
          <w:tcPr>
            <w:tcW w:w="1063" w:type="dxa"/>
            <w:tcBorders>
              <w:top w:val="nil"/>
            </w:tcBorders>
          </w:tcPr>
          <w:p w14:paraId="2BB8AF67" w14:textId="77777777" w:rsidR="007C11E9" w:rsidRPr="000A3A07" w:rsidRDefault="007C11E9">
            <w:pPr>
              <w:spacing w:before="0"/>
              <w:jc w:val="left"/>
            </w:pPr>
            <w:r w:rsidRPr="000A3A07">
              <w:t>Befintliga, tjänste</w:t>
            </w:r>
          </w:p>
        </w:tc>
        <w:tc>
          <w:tcPr>
            <w:tcW w:w="1204" w:type="dxa"/>
            <w:tcBorders>
              <w:top w:val="nil"/>
            </w:tcBorders>
          </w:tcPr>
          <w:p w14:paraId="672DDCDB" w14:textId="77777777" w:rsidR="007C11E9" w:rsidRPr="000A3A07" w:rsidRDefault="007C11E9">
            <w:pPr>
              <w:spacing w:before="0"/>
              <w:jc w:val="right"/>
            </w:pPr>
            <w:r w:rsidRPr="000A3A07">
              <w:t>168</w:t>
            </w:r>
          </w:p>
        </w:tc>
        <w:tc>
          <w:tcPr>
            <w:tcW w:w="1205" w:type="dxa"/>
            <w:tcBorders>
              <w:top w:val="nil"/>
            </w:tcBorders>
          </w:tcPr>
          <w:p w14:paraId="657EA09D" w14:textId="77777777" w:rsidR="007C11E9" w:rsidRPr="000A3A07" w:rsidRDefault="007C11E9">
            <w:pPr>
              <w:spacing w:before="0"/>
              <w:jc w:val="right"/>
            </w:pPr>
            <w:r w:rsidRPr="000A3A07">
              <w:t>39,5</w:t>
            </w:r>
          </w:p>
        </w:tc>
        <w:tc>
          <w:tcPr>
            <w:tcW w:w="1205" w:type="dxa"/>
            <w:tcBorders>
              <w:top w:val="nil"/>
            </w:tcBorders>
          </w:tcPr>
          <w:p w14:paraId="45E485D2" w14:textId="77777777" w:rsidR="007C11E9" w:rsidRPr="000A3A07" w:rsidRDefault="007C11E9">
            <w:pPr>
              <w:spacing w:before="0"/>
              <w:jc w:val="right"/>
            </w:pPr>
            <w:r w:rsidRPr="000A3A07">
              <w:t>44</w:t>
            </w:r>
          </w:p>
        </w:tc>
        <w:tc>
          <w:tcPr>
            <w:tcW w:w="1205" w:type="dxa"/>
            <w:tcBorders>
              <w:top w:val="nil"/>
            </w:tcBorders>
          </w:tcPr>
          <w:p w14:paraId="6AEE9A82" w14:textId="77777777" w:rsidR="007C11E9" w:rsidRPr="000A3A07" w:rsidRDefault="007C11E9">
            <w:pPr>
              <w:spacing w:before="0"/>
              <w:jc w:val="right"/>
            </w:pPr>
            <w:r w:rsidRPr="000A3A07">
              <w:t>20,7</w:t>
            </w:r>
          </w:p>
        </w:tc>
      </w:tr>
      <w:tr w:rsidR="00000000" w:rsidRPr="000A3A07" w14:paraId="2DB652DD" w14:textId="77777777">
        <w:tblPrEx>
          <w:tblCellMar>
            <w:top w:w="0" w:type="dxa"/>
            <w:bottom w:w="0" w:type="dxa"/>
          </w:tblCellMar>
        </w:tblPrEx>
        <w:tc>
          <w:tcPr>
            <w:tcW w:w="1063" w:type="dxa"/>
          </w:tcPr>
          <w:p w14:paraId="4A9F6D6F" w14:textId="77777777" w:rsidR="007C11E9" w:rsidRPr="000A3A07" w:rsidRDefault="007C11E9">
            <w:pPr>
              <w:spacing w:before="0"/>
              <w:jc w:val="left"/>
            </w:pPr>
            <w:r w:rsidRPr="000A3A07">
              <w:t>Befintliga, privat</w:t>
            </w:r>
          </w:p>
        </w:tc>
        <w:tc>
          <w:tcPr>
            <w:tcW w:w="1204" w:type="dxa"/>
          </w:tcPr>
          <w:p w14:paraId="61360BCC" w14:textId="77777777" w:rsidR="007C11E9" w:rsidRPr="000A3A07" w:rsidRDefault="007C11E9">
            <w:pPr>
              <w:spacing w:before="0"/>
              <w:jc w:val="right"/>
            </w:pPr>
            <w:r w:rsidRPr="000A3A07">
              <w:t>728</w:t>
            </w:r>
          </w:p>
        </w:tc>
        <w:tc>
          <w:tcPr>
            <w:tcW w:w="1205" w:type="dxa"/>
          </w:tcPr>
          <w:p w14:paraId="716F6E18" w14:textId="77777777" w:rsidR="007C11E9" w:rsidRPr="000A3A07" w:rsidRDefault="007C11E9">
            <w:pPr>
              <w:spacing w:before="0"/>
              <w:jc w:val="right"/>
            </w:pPr>
            <w:r w:rsidRPr="000A3A07">
              <w:t>20,0</w:t>
            </w:r>
          </w:p>
        </w:tc>
        <w:tc>
          <w:tcPr>
            <w:tcW w:w="1205" w:type="dxa"/>
          </w:tcPr>
          <w:p w14:paraId="5ADF7884" w14:textId="77777777" w:rsidR="007C11E9" w:rsidRPr="000A3A07" w:rsidRDefault="007C11E9">
            <w:pPr>
              <w:spacing w:before="0"/>
              <w:jc w:val="right"/>
            </w:pPr>
            <w:r w:rsidRPr="000A3A07">
              <w:t>254</w:t>
            </w:r>
          </w:p>
        </w:tc>
        <w:tc>
          <w:tcPr>
            <w:tcW w:w="1205" w:type="dxa"/>
          </w:tcPr>
          <w:p w14:paraId="4A1F4C13" w14:textId="77777777" w:rsidR="007C11E9" w:rsidRPr="000A3A07" w:rsidRDefault="007C11E9">
            <w:pPr>
              <w:spacing w:before="0"/>
              <w:jc w:val="right"/>
            </w:pPr>
            <w:r w:rsidRPr="000A3A07">
              <w:t>14,0</w:t>
            </w:r>
          </w:p>
        </w:tc>
      </w:tr>
      <w:tr w:rsidR="00000000" w:rsidRPr="000A3A07" w14:paraId="730CCB2F" w14:textId="77777777">
        <w:tblPrEx>
          <w:tblCellMar>
            <w:top w:w="0" w:type="dxa"/>
            <w:bottom w:w="0" w:type="dxa"/>
          </w:tblCellMar>
        </w:tblPrEx>
        <w:tc>
          <w:tcPr>
            <w:tcW w:w="1063" w:type="dxa"/>
          </w:tcPr>
          <w:p w14:paraId="4695B995" w14:textId="77777777" w:rsidR="007C11E9" w:rsidRPr="000A3A07" w:rsidRDefault="007C11E9">
            <w:pPr>
              <w:spacing w:before="0"/>
              <w:jc w:val="left"/>
            </w:pPr>
            <w:r w:rsidRPr="000A3A07">
              <w:t>Nya, tjänste</w:t>
            </w:r>
          </w:p>
        </w:tc>
        <w:tc>
          <w:tcPr>
            <w:tcW w:w="1204" w:type="dxa"/>
          </w:tcPr>
          <w:p w14:paraId="78FD6609" w14:textId="77777777" w:rsidR="007C11E9" w:rsidRPr="000A3A07" w:rsidRDefault="007C11E9">
            <w:pPr>
              <w:spacing w:before="0"/>
              <w:jc w:val="right"/>
            </w:pPr>
            <w:r w:rsidRPr="000A3A07">
              <w:t>24</w:t>
            </w:r>
          </w:p>
        </w:tc>
        <w:tc>
          <w:tcPr>
            <w:tcW w:w="1205" w:type="dxa"/>
          </w:tcPr>
          <w:p w14:paraId="2C407077" w14:textId="77777777" w:rsidR="007C11E9" w:rsidRPr="000A3A07" w:rsidRDefault="007C11E9">
            <w:pPr>
              <w:spacing w:before="0"/>
              <w:jc w:val="right"/>
            </w:pPr>
            <w:r w:rsidRPr="000A3A07">
              <w:t>2,8</w:t>
            </w:r>
          </w:p>
        </w:tc>
        <w:tc>
          <w:tcPr>
            <w:tcW w:w="1205" w:type="dxa"/>
          </w:tcPr>
          <w:p w14:paraId="3F274F2F" w14:textId="77777777" w:rsidR="007C11E9" w:rsidRPr="000A3A07" w:rsidRDefault="007C11E9">
            <w:pPr>
              <w:spacing w:before="0"/>
              <w:jc w:val="right"/>
            </w:pPr>
            <w:r w:rsidRPr="000A3A07">
              <w:t>0</w:t>
            </w:r>
          </w:p>
        </w:tc>
        <w:tc>
          <w:tcPr>
            <w:tcW w:w="1205" w:type="dxa"/>
          </w:tcPr>
          <w:p w14:paraId="6215A2A0" w14:textId="77777777" w:rsidR="007C11E9" w:rsidRPr="000A3A07" w:rsidRDefault="007C11E9">
            <w:pPr>
              <w:spacing w:before="0"/>
              <w:jc w:val="right"/>
            </w:pPr>
            <w:r w:rsidRPr="000A3A07">
              <w:t>0</w:t>
            </w:r>
          </w:p>
        </w:tc>
      </w:tr>
      <w:tr w:rsidR="00000000" w:rsidRPr="000A3A07" w14:paraId="6C5B5179" w14:textId="77777777">
        <w:tblPrEx>
          <w:tblCellMar>
            <w:top w:w="0" w:type="dxa"/>
            <w:bottom w:w="0" w:type="dxa"/>
          </w:tblCellMar>
        </w:tblPrEx>
        <w:tc>
          <w:tcPr>
            <w:tcW w:w="1063" w:type="dxa"/>
            <w:tcBorders>
              <w:bottom w:val="single" w:sz="4" w:space="0" w:color="auto"/>
            </w:tcBorders>
          </w:tcPr>
          <w:p w14:paraId="4CDBBBF7" w14:textId="77777777" w:rsidR="007C11E9" w:rsidRPr="000A3A07" w:rsidRDefault="007C11E9">
            <w:pPr>
              <w:spacing w:before="0"/>
              <w:jc w:val="left"/>
            </w:pPr>
            <w:r w:rsidRPr="000A3A07">
              <w:t>Nya, privat</w:t>
            </w:r>
          </w:p>
        </w:tc>
        <w:tc>
          <w:tcPr>
            <w:tcW w:w="1204" w:type="dxa"/>
            <w:tcBorders>
              <w:bottom w:val="single" w:sz="4" w:space="0" w:color="auto"/>
            </w:tcBorders>
          </w:tcPr>
          <w:p w14:paraId="24C6D02B" w14:textId="77777777" w:rsidR="007C11E9" w:rsidRPr="000A3A07" w:rsidRDefault="007C11E9">
            <w:pPr>
              <w:spacing w:before="0"/>
              <w:jc w:val="right"/>
            </w:pPr>
            <w:r w:rsidRPr="000A3A07">
              <w:t>296</w:t>
            </w:r>
          </w:p>
        </w:tc>
        <w:tc>
          <w:tcPr>
            <w:tcW w:w="1205" w:type="dxa"/>
            <w:tcBorders>
              <w:bottom w:val="single" w:sz="4" w:space="0" w:color="auto"/>
            </w:tcBorders>
          </w:tcPr>
          <w:p w14:paraId="7A2CC880" w14:textId="77777777" w:rsidR="007C11E9" w:rsidRPr="000A3A07" w:rsidRDefault="007C11E9">
            <w:pPr>
              <w:spacing w:before="0"/>
              <w:jc w:val="right"/>
            </w:pPr>
            <w:r w:rsidRPr="000A3A07">
              <w:t>4,1</w:t>
            </w:r>
          </w:p>
        </w:tc>
        <w:tc>
          <w:tcPr>
            <w:tcW w:w="1205" w:type="dxa"/>
            <w:tcBorders>
              <w:bottom w:val="single" w:sz="4" w:space="0" w:color="auto"/>
            </w:tcBorders>
          </w:tcPr>
          <w:p w14:paraId="2314D043" w14:textId="77777777" w:rsidR="007C11E9" w:rsidRPr="000A3A07" w:rsidRDefault="007C11E9">
            <w:pPr>
              <w:spacing w:before="0"/>
              <w:jc w:val="right"/>
            </w:pPr>
            <w:r w:rsidRPr="000A3A07">
              <w:t>28</w:t>
            </w:r>
          </w:p>
        </w:tc>
        <w:tc>
          <w:tcPr>
            <w:tcW w:w="1205" w:type="dxa"/>
            <w:tcBorders>
              <w:bottom w:val="single" w:sz="4" w:space="0" w:color="auto"/>
            </w:tcBorders>
          </w:tcPr>
          <w:p w14:paraId="70865442" w14:textId="77777777" w:rsidR="007C11E9" w:rsidRPr="000A3A07" w:rsidRDefault="007C11E9">
            <w:pPr>
              <w:spacing w:before="0"/>
              <w:jc w:val="right"/>
            </w:pPr>
            <w:r w:rsidRPr="000A3A07">
              <w:t>0,7</w:t>
            </w:r>
          </w:p>
        </w:tc>
      </w:tr>
      <w:tr w:rsidR="00000000" w:rsidRPr="000A3A07" w14:paraId="281A8943" w14:textId="77777777">
        <w:tblPrEx>
          <w:tblCellMar>
            <w:top w:w="0" w:type="dxa"/>
            <w:bottom w:w="0" w:type="dxa"/>
          </w:tblCellMar>
        </w:tblPrEx>
        <w:tc>
          <w:tcPr>
            <w:tcW w:w="1063" w:type="dxa"/>
            <w:tcBorders>
              <w:top w:val="nil"/>
            </w:tcBorders>
          </w:tcPr>
          <w:p w14:paraId="06518593" w14:textId="77777777" w:rsidR="007C11E9" w:rsidRPr="000A3A07" w:rsidRDefault="007C11E9">
            <w:pPr>
              <w:spacing w:before="0"/>
              <w:jc w:val="left"/>
              <w:rPr>
                <w:b/>
              </w:rPr>
            </w:pPr>
            <w:r w:rsidRPr="000A3A07">
              <w:rPr>
                <w:b/>
              </w:rPr>
              <w:t>Totalt</w:t>
            </w:r>
          </w:p>
        </w:tc>
        <w:tc>
          <w:tcPr>
            <w:tcW w:w="1204" w:type="dxa"/>
            <w:tcBorders>
              <w:top w:val="nil"/>
            </w:tcBorders>
          </w:tcPr>
          <w:p w14:paraId="007DFA33" w14:textId="77777777" w:rsidR="007C11E9" w:rsidRPr="000A3A07" w:rsidRDefault="007C11E9">
            <w:pPr>
              <w:spacing w:before="0"/>
              <w:jc w:val="right"/>
              <w:rPr>
                <w:b/>
              </w:rPr>
            </w:pPr>
          </w:p>
        </w:tc>
        <w:tc>
          <w:tcPr>
            <w:tcW w:w="1205" w:type="dxa"/>
            <w:tcBorders>
              <w:top w:val="nil"/>
            </w:tcBorders>
          </w:tcPr>
          <w:p w14:paraId="7BF426ED" w14:textId="77777777" w:rsidR="007C11E9" w:rsidRPr="000A3A07" w:rsidRDefault="007C11E9">
            <w:pPr>
              <w:spacing w:before="0"/>
              <w:jc w:val="right"/>
              <w:rPr>
                <w:b/>
              </w:rPr>
            </w:pPr>
            <w:r w:rsidRPr="000A3A07">
              <w:rPr>
                <w:b/>
              </w:rPr>
              <w:t>66,4</w:t>
            </w:r>
          </w:p>
        </w:tc>
        <w:tc>
          <w:tcPr>
            <w:tcW w:w="1205" w:type="dxa"/>
            <w:tcBorders>
              <w:top w:val="nil"/>
            </w:tcBorders>
          </w:tcPr>
          <w:p w14:paraId="60865F56" w14:textId="77777777" w:rsidR="007C11E9" w:rsidRPr="000A3A07" w:rsidRDefault="007C11E9">
            <w:pPr>
              <w:spacing w:before="0"/>
              <w:jc w:val="right"/>
              <w:rPr>
                <w:b/>
              </w:rPr>
            </w:pPr>
          </w:p>
        </w:tc>
        <w:tc>
          <w:tcPr>
            <w:tcW w:w="1205" w:type="dxa"/>
            <w:tcBorders>
              <w:top w:val="nil"/>
            </w:tcBorders>
          </w:tcPr>
          <w:p w14:paraId="1E045AC2" w14:textId="77777777" w:rsidR="007C11E9" w:rsidRPr="000A3A07" w:rsidRDefault="007C11E9">
            <w:pPr>
              <w:spacing w:before="0"/>
              <w:jc w:val="right"/>
              <w:rPr>
                <w:b/>
              </w:rPr>
            </w:pPr>
            <w:r w:rsidRPr="000A3A07">
              <w:rPr>
                <w:b/>
              </w:rPr>
              <w:t>35,4</w:t>
            </w:r>
          </w:p>
        </w:tc>
      </w:tr>
    </w:tbl>
    <w:p w14:paraId="1D109F71" w14:textId="77777777" w:rsidR="007C11E9" w:rsidRPr="000A3A07" w:rsidRDefault="007C11E9">
      <w:pPr>
        <w:pStyle w:val="Tabell"/>
      </w:pPr>
      <w:r w:rsidRPr="000A3A07">
        <w:t>Källa: SOU 1994:78, s 60.</w:t>
      </w:r>
    </w:p>
    <w:p w14:paraId="21C16C33" w14:textId="77777777" w:rsidR="007C11E9" w:rsidRPr="000A3A07" w:rsidRDefault="007C11E9">
      <w:r w:rsidRPr="000A3A07">
        <w:t>Av tabellen framgår emellertid att väntetidsvinsterna är iögonfallande stora. Vi talar här om pendeltåg som kommer att fortsätta två stationer längre än tidigare. Till följd av detta kommer jämförelsealternativets resenärer att i framtiden behöva vänta nästan 300 000 timmar mindre per år än om man - som tidigare -  hade använt buss och sedan bytt till tåg. Om det går ca 230 arbetsdagar på ett år betyder detta att människor behöver stå och vänta ca 1300 timmar mindre per arbetsdag, 650 timmar i vardera rikt</w:t>
      </w:r>
      <w:r w:rsidRPr="000A3A07">
        <w:t>ningen. Om var och en skulle tjäna exempelvis 5 minuter betyder detta att 13 000 personer inte längre behöver byta från buss till tåg. Det är dock inte möjligt att göra en rimlighetsbedömning av uppgiften utan att veta ungefär hur många busstraf</w:t>
      </w:r>
      <w:r w:rsidRPr="000A3A07">
        <w:t>i</w:t>
      </w:r>
      <w:r w:rsidRPr="000A3A07">
        <w:t xml:space="preserve">kanter som det handlar om. </w:t>
      </w:r>
    </w:p>
    <w:p w14:paraId="14609235" w14:textId="77777777" w:rsidR="007C11E9" w:rsidRPr="000A3A07" w:rsidRDefault="007C11E9">
      <w:pPr>
        <w:pStyle w:val="Rubrik2"/>
      </w:pPr>
      <w:bookmarkStart w:id="304" w:name="_Toc486738528"/>
      <w:bookmarkStart w:id="305" w:name="_Toc496511386"/>
      <w:bookmarkStart w:id="306" w:name="_Toc506341018"/>
      <w:r w:rsidRPr="000A3A07">
        <w:t>Miljöeffekter</w:t>
      </w:r>
      <w:bookmarkEnd w:id="304"/>
      <w:bookmarkEnd w:id="305"/>
      <w:bookmarkEnd w:id="306"/>
    </w:p>
    <w:p w14:paraId="57D5BF23" w14:textId="77777777" w:rsidR="007C11E9" w:rsidRPr="000A3A07" w:rsidRDefault="007C11E9">
      <w:r w:rsidRPr="000A3A07">
        <w:t>I beräkningen av Citytunnelns konsekvenser för miljön sägs att transporta</w:t>
      </w:r>
      <w:r w:rsidRPr="000A3A07">
        <w:t>r</w:t>
      </w:r>
      <w:r w:rsidRPr="000A3A07">
        <w:t>betet med bil minskar med 36 miljoner fordonskilometer. Man kan tänka sig åtminstone två kategorier av vägtrafikanter som påverkas av tunnelns til</w:t>
      </w:r>
      <w:r w:rsidRPr="000A3A07">
        <w:t>l</w:t>
      </w:r>
      <w:r w:rsidRPr="000A3A07">
        <w:t>komst på ett sätt som är positivt för miljön:</w:t>
      </w:r>
    </w:p>
    <w:p w14:paraId="3E129149" w14:textId="77777777" w:rsidR="007C11E9" w:rsidRPr="000A3A07" w:rsidRDefault="007C11E9">
      <w:pPr>
        <w:numPr>
          <w:ilvl w:val="0"/>
          <w:numId w:val="110"/>
        </w:numPr>
      </w:pPr>
      <w:r w:rsidRPr="000A3A07">
        <w:t>De som i jämförelsealternativet använder bil, exempelvis för att komma från och till sitt arbete, och som nu övergår till pendeltåg.</w:t>
      </w:r>
    </w:p>
    <w:p w14:paraId="695C62C0" w14:textId="77777777" w:rsidR="007C11E9" w:rsidRPr="000A3A07" w:rsidRDefault="007C11E9">
      <w:pPr>
        <w:numPr>
          <w:ilvl w:val="0"/>
          <w:numId w:val="110"/>
        </w:numPr>
      </w:pPr>
      <w:r w:rsidRPr="000A3A07">
        <w:t>De som i jämförelsealternativet använder bil för att resa till Köpenhamn och som övergår till regionaltåg eller långdistant tåg.</w:t>
      </w:r>
    </w:p>
    <w:p w14:paraId="184559A9" w14:textId="77777777" w:rsidR="007C11E9" w:rsidRPr="000A3A07" w:rsidRDefault="007C11E9">
      <w:r w:rsidRPr="000A3A07">
        <w:t>Ett ökat tågresande till och från Köpenhamn till följd att den bättre förbinde</w:t>
      </w:r>
      <w:r w:rsidRPr="000A3A07">
        <w:t>l</w:t>
      </w:r>
      <w:r w:rsidRPr="000A3A07">
        <w:t>sen via City</w:t>
      </w:r>
      <w:r w:rsidRPr="000A3A07">
        <w:softHyphen/>
        <w:t>tunneln gör att människor reser till Danmark i stället för att göra helt andra saker har dä</w:t>
      </w:r>
      <w:r w:rsidRPr="000A3A07">
        <w:t>r</w:t>
      </w:r>
      <w:r w:rsidRPr="000A3A07">
        <w:t>emot inte några effekter på biltrafiken.</w:t>
      </w:r>
    </w:p>
    <w:p w14:paraId="378D702D" w14:textId="77777777" w:rsidR="007C11E9" w:rsidRPr="000A3A07" w:rsidRDefault="007C11E9">
      <w:pPr>
        <w:pStyle w:val="Normaltindrag"/>
      </w:pPr>
      <w:r w:rsidRPr="000A3A07">
        <w:t>Problemet med den utsaga som görs beträffande minskad vägtrafik är att det är svårt att veta vilka av ovanstående trafikantgrupper som berörs. Efte</w:t>
      </w:r>
      <w:r w:rsidRPr="000A3A07">
        <w:t>r</w:t>
      </w:r>
      <w:r w:rsidRPr="000A3A07">
        <w:t>som denna uppgift tas fram på samma sätt som då trafikprognosen görs är det inte möjligt att kontrollera beräkningarna. Man kan emellertid notera att effekten är begränsad – en beräknad samhällsekonomisk besparing på 6,5 miljoner kr per år – och att den därför endast i ringa omfattning får effekter för kalkylresult</w:t>
      </w:r>
      <w:r w:rsidRPr="000A3A07">
        <w:t>a</w:t>
      </w:r>
      <w:r w:rsidRPr="000A3A07">
        <w:t>tet.</w:t>
      </w:r>
    </w:p>
    <w:p w14:paraId="481548A3" w14:textId="77777777" w:rsidR="007C11E9" w:rsidRPr="000A3A07" w:rsidRDefault="007C11E9">
      <w:pPr>
        <w:pStyle w:val="Normaltindrag"/>
      </w:pPr>
      <w:r w:rsidRPr="000A3A07">
        <w:t>Det är för den fortsatta genomgången betydelsefullt att konstatera att Dennisutredningen inte bedömer att en överflyttning av resandetrafik från Kontinentalbanan till Citytunneln påverkar b</w:t>
      </w:r>
      <w:r w:rsidRPr="000A3A07">
        <w:t>uller</w:t>
      </w:r>
      <w:r w:rsidRPr="000A3A07">
        <w:softHyphen/>
        <w:t>situationen för dem som bor längs med banan. Bullerstörningar sägs i allt väsentligt bero på godstr</w:t>
      </w:r>
      <w:r w:rsidRPr="000A3A07">
        <w:t>a</w:t>
      </w:r>
      <w:r w:rsidRPr="000A3A07">
        <w:t>fiken varför tillkomsten av en tunnel, och den därav följande överflyttningen av resandetåg, inte påverkar boendemiljön. De planerade investeringarna i landanläggningar omfattar dessutom bullerskyddsåtgärder längs Kontine</w:t>
      </w:r>
      <w:r w:rsidRPr="000A3A07">
        <w:t>n</w:t>
      </w:r>
      <w:r w:rsidRPr="000A3A07">
        <w:t>talbanan mellan Lundavägen och F</w:t>
      </w:r>
      <w:r w:rsidRPr="000A3A07">
        <w:t>o</w:t>
      </w:r>
      <w:r w:rsidRPr="000A3A07">
        <w:t>sieby.</w:t>
      </w:r>
    </w:p>
    <w:p w14:paraId="73906A55" w14:textId="77777777" w:rsidR="007C11E9" w:rsidRPr="000A3A07" w:rsidRDefault="007C11E9">
      <w:pPr>
        <w:pStyle w:val="Rubrik2"/>
      </w:pPr>
      <w:bookmarkStart w:id="307" w:name="_Toc486738529"/>
      <w:bookmarkStart w:id="308" w:name="_Toc496511387"/>
      <w:bookmarkStart w:id="309" w:name="_Toc506341019"/>
      <w:r w:rsidRPr="000A3A07">
        <w:t>Sammanfattning</w:t>
      </w:r>
      <w:bookmarkEnd w:id="307"/>
      <w:bookmarkEnd w:id="308"/>
      <w:bookmarkEnd w:id="309"/>
    </w:p>
    <w:p w14:paraId="064C25E9" w14:textId="77777777" w:rsidR="007C11E9" w:rsidRPr="000A3A07" w:rsidRDefault="007C11E9">
      <w:r w:rsidRPr="000A3A07">
        <w:t>Slutsatsen av den genomgång som nu gjorts är att inga principiella felakti</w:t>
      </w:r>
      <w:r w:rsidRPr="000A3A07">
        <w:t>g</w:t>
      </w:r>
      <w:r w:rsidRPr="000A3A07">
        <w:t>heter i beräkningarna av Citytunnelns samhällsekonomiska nytta har kunnat identifieras. Flera viktiga obse</w:t>
      </w:r>
      <w:r w:rsidRPr="000A3A07">
        <w:t>r</w:t>
      </w:r>
      <w:r w:rsidRPr="000A3A07">
        <w:t>vationer har dock gjorts:</w:t>
      </w:r>
    </w:p>
    <w:p w14:paraId="325705D5" w14:textId="77777777" w:rsidR="007C11E9" w:rsidRPr="000A3A07" w:rsidRDefault="007C11E9">
      <w:pPr>
        <w:numPr>
          <w:ilvl w:val="0"/>
          <w:numId w:val="111"/>
        </w:numPr>
      </w:pPr>
      <w:r w:rsidRPr="000A3A07">
        <w:t>Kostnadsberäkningen är genuint osäker vilket också anges i rapporten. Om den samhällsekonomiska kostnaden är större än vad som här sägs blir givetvis projektets lönsamhet ännu sämre än vad kalkylen ger vid handen.</w:t>
      </w:r>
    </w:p>
    <w:p w14:paraId="4F8779F8" w14:textId="77777777" w:rsidR="007C11E9" w:rsidRPr="000A3A07" w:rsidRDefault="007C11E9">
      <w:pPr>
        <w:numPr>
          <w:ilvl w:val="0"/>
          <w:numId w:val="111"/>
        </w:numPr>
      </w:pPr>
      <w:r w:rsidRPr="000A3A07">
        <w:t>Ingen redovisning görs av hur stora tidsbesparingar som man bedömer att tunneln medför för tågen.</w:t>
      </w:r>
    </w:p>
    <w:p w14:paraId="1B5F04C6" w14:textId="77777777" w:rsidR="007C11E9" w:rsidRPr="000A3A07" w:rsidRDefault="007C11E9">
      <w:pPr>
        <w:numPr>
          <w:ilvl w:val="0"/>
          <w:numId w:val="111"/>
        </w:numPr>
      </w:pPr>
      <w:r w:rsidRPr="000A3A07">
        <w:t>Någon kontroll av de prognoser som genomförts har inte kunnat göras. Det är därför inte möjligt att veta om storleksordningen på de nyttoe</w:t>
      </w:r>
      <w:r w:rsidRPr="000A3A07">
        <w:t>f</w:t>
      </w:r>
      <w:r w:rsidRPr="000A3A07">
        <w:t>fekter som följer av invest</w:t>
      </w:r>
      <w:r w:rsidRPr="000A3A07">
        <w:t>e</w:t>
      </w:r>
      <w:r w:rsidRPr="000A3A07">
        <w:t>ringen kan sägas vara rimlig eller ej.</w:t>
      </w:r>
    </w:p>
    <w:p w14:paraId="2746E610" w14:textId="77777777" w:rsidR="007C11E9" w:rsidRPr="000A3A07" w:rsidRDefault="007C11E9">
      <w:pPr>
        <w:numPr>
          <w:ilvl w:val="0"/>
          <w:numId w:val="111"/>
        </w:numPr>
      </w:pPr>
      <w:r w:rsidRPr="000A3A07">
        <w:t>Beskrivningen av framför allt pendeltågsupplägget är otydlig och bidrar till flera oklarheter kring e</w:t>
      </w:r>
      <w:r w:rsidRPr="000A3A07">
        <w:t>n</w:t>
      </w:r>
      <w:r w:rsidRPr="000A3A07">
        <w:t>skildheter i beräkningarna.</w:t>
      </w:r>
    </w:p>
    <w:p w14:paraId="65F4CE40" w14:textId="77777777" w:rsidR="007C11E9" w:rsidRPr="000A3A07" w:rsidRDefault="007C11E9">
      <w:r w:rsidRPr="000A3A07">
        <w:t xml:space="preserve">Det i Dennisrapporten redovisade kalkylresultatet är negativt och pekar på att tunneln inte borde komma till stånd. De frågetecken som framkommit av genomgången är av sådan art att man inte har anledning att tro att nyttan så långt </w:t>
      </w:r>
      <w:r w:rsidRPr="000A3A07">
        <w:rPr>
          <w:u w:val="single"/>
        </w:rPr>
        <w:t>underskattats</w:t>
      </w:r>
      <w:r w:rsidRPr="000A3A07">
        <w:t xml:space="preserve">. Snarare innebär osäkerheten att den lönsamheten i själva verket kan vara </w:t>
      </w:r>
      <w:r w:rsidRPr="000A3A07">
        <w:rPr>
          <w:u w:val="single"/>
        </w:rPr>
        <w:t>lägre</w:t>
      </w:r>
      <w:r w:rsidRPr="000A3A07">
        <w:t xml:space="preserve"> än vad som framgår av utre</w:t>
      </w:r>
      <w:r w:rsidRPr="000A3A07">
        <w:t>d</w:t>
      </w:r>
      <w:r w:rsidRPr="000A3A07">
        <w:t>ningen.</w:t>
      </w:r>
    </w:p>
    <w:p w14:paraId="7B99504D" w14:textId="77777777" w:rsidR="007C11E9" w:rsidRPr="000A3A07" w:rsidRDefault="007C11E9">
      <w:pPr>
        <w:pStyle w:val="Normaltindrag"/>
      </w:pPr>
      <w:r w:rsidRPr="000A3A07">
        <w:t>Så långt har emellertid diskussionen handlat om de effekter av investerin</w:t>
      </w:r>
      <w:r w:rsidRPr="000A3A07">
        <w:t>g</w:t>
      </w:r>
      <w:r w:rsidRPr="000A3A07">
        <w:t>en som i en eller annan form faktiskt ingår i den redovisade kalkylen. En kompletterande frågeställning är om kalkylen omfattar alla de effekter som investeringen kan förväntas ge upphov till; finns det anledning att tro att viktiga för- eller nackdelar med investeringen "tappats bort"? Denna fråga behandlas i nästa avsnitt.</w:t>
      </w:r>
    </w:p>
    <w:p w14:paraId="43AA9F1F" w14:textId="77777777" w:rsidR="007C11E9" w:rsidRPr="000A3A07" w:rsidRDefault="007C11E9">
      <w:pPr>
        <w:pStyle w:val="Rubrik1"/>
      </w:pPr>
      <w:r w:rsidRPr="000A3A07">
        <w:br w:type="page"/>
      </w:r>
      <w:bookmarkStart w:id="310" w:name="_Toc486738530"/>
      <w:bookmarkStart w:id="311" w:name="_Toc496511388"/>
      <w:bookmarkStart w:id="312" w:name="_Toc506341020"/>
      <w:r w:rsidRPr="000A3A07">
        <w:t>Beslutsunderlag från konsultbolaget Inregia</w:t>
      </w:r>
      <w:bookmarkEnd w:id="310"/>
      <w:bookmarkEnd w:id="311"/>
      <w:bookmarkEnd w:id="312"/>
    </w:p>
    <w:p w14:paraId="03A73990" w14:textId="77777777" w:rsidR="007C11E9" w:rsidRPr="000A3A07" w:rsidRDefault="007C11E9">
      <w:r w:rsidRPr="000A3A07">
        <w:t>På uppdrag av Malmöhus Trafik AB genomförde konsultbolaget Inregia två studier, publicerade som Inregia (1995) och Inregia (1996). Syftet var att kvantifiera förväntade effekter på arbetsresande, tillgänglighet och lokalis</w:t>
      </w:r>
      <w:r w:rsidRPr="000A3A07">
        <w:t>e</w:t>
      </w:r>
      <w:r w:rsidRPr="000A3A07">
        <w:t xml:space="preserve">ring i Öresundsregionen år 2010, med respektive utan Citytunnel. Resultaten ger underlag för en ny samhällsekonomisk kalkyl för Citytunneln där även lokaliseringseffekter beaktas. (Inregia 1996, s 1.) </w:t>
      </w:r>
    </w:p>
    <w:p w14:paraId="4157FFDC" w14:textId="77777777" w:rsidR="007C11E9" w:rsidRPr="000A3A07" w:rsidRDefault="007C11E9">
      <w:pPr>
        <w:pStyle w:val="Normaltindrag"/>
      </w:pPr>
      <w:r w:rsidRPr="000A3A07">
        <w:t>Vi koncentrerar här uppmärksamheten på Inregia (1996) som kan sägas utgöra en sammanfattande slutrapport. I avsnitt 6.1 presenteras rapporten medan principfrågan om hur denna typ av effekter bör hanteras diskuteras i avsnitt 6.2. Avsnitt 6.3 redovisar några slutsatser av di</w:t>
      </w:r>
      <w:r w:rsidRPr="000A3A07">
        <w:t>s</w:t>
      </w:r>
      <w:r w:rsidRPr="000A3A07">
        <w:t>kussionen.</w:t>
      </w:r>
    </w:p>
    <w:p w14:paraId="67FF7DC0" w14:textId="77777777" w:rsidR="007C11E9" w:rsidRPr="000A3A07" w:rsidRDefault="007C11E9">
      <w:pPr>
        <w:pStyle w:val="Rubrik2"/>
      </w:pPr>
      <w:bookmarkStart w:id="313" w:name="_Toc486738531"/>
      <w:bookmarkStart w:id="314" w:name="_Toc496511389"/>
      <w:bookmarkStart w:id="315" w:name="_Toc506341021"/>
      <w:r w:rsidRPr="000A3A07">
        <w:t>Inregias rapport</w:t>
      </w:r>
      <w:r w:rsidRPr="000A3A07">
        <w:rPr>
          <w:rStyle w:val="Fotnotsreferens"/>
        </w:rPr>
        <w:footnoteReference w:id="28"/>
      </w:r>
      <w:bookmarkEnd w:id="313"/>
      <w:bookmarkEnd w:id="314"/>
      <w:bookmarkEnd w:id="315"/>
    </w:p>
    <w:p w14:paraId="4F881EFE" w14:textId="77777777" w:rsidR="007C11E9" w:rsidRPr="000A3A07" w:rsidRDefault="007C11E9">
      <w:r w:rsidRPr="000A3A07">
        <w:t>Öresundsbron kommer att få omvälvande konsekvenser för Öresundsregi</w:t>
      </w:r>
      <w:r w:rsidRPr="000A3A07">
        <w:t>o</w:t>
      </w:r>
      <w:r w:rsidRPr="000A3A07">
        <w:t>nens framtida utveckling. Bron skapar nya förutsättningar för integration av näringsliv och institutioner, av arbets- och bostadsmarknad, och av fors</w:t>
      </w:r>
      <w:r w:rsidRPr="000A3A07">
        <w:t>k</w:t>
      </w:r>
      <w:r w:rsidRPr="000A3A07">
        <w:t>ning, utbildning och kultur. Integrationen kommer att stärka regionens pos</w:t>
      </w:r>
      <w:r w:rsidRPr="000A3A07">
        <w:t>i</w:t>
      </w:r>
      <w:r w:rsidRPr="000A3A07">
        <w:t>tion i den hårdnande konkurrensen med andra storstadsregioner i Europa. Fler företag kommer att attraheras till regionen. Den större marknaden ko</w:t>
      </w:r>
      <w:r w:rsidRPr="000A3A07">
        <w:t>m</w:t>
      </w:r>
      <w:r w:rsidRPr="000A3A07">
        <w:t>mer att ge befintliga företag rikare möjlighet till specialisering och utvec</w:t>
      </w:r>
      <w:r w:rsidRPr="000A3A07">
        <w:t>k</w:t>
      </w:r>
      <w:r w:rsidRPr="000A3A07">
        <w:t>ling. För enskilda individer höjs välfärden genom att möjlighet</w:t>
      </w:r>
      <w:r w:rsidRPr="000A3A07">
        <w:t xml:space="preserve">en att hitta ett lämpligt jobb och en lämplig bostad förbättras och genom att större valfrihet skapas på till exempel kultur- och serviceområdet. </w:t>
      </w:r>
    </w:p>
    <w:p w14:paraId="3419D3DC" w14:textId="77777777" w:rsidR="007C11E9" w:rsidRPr="000A3A07" w:rsidRDefault="007C11E9">
      <w:pPr>
        <w:pStyle w:val="Normaltindrag"/>
      </w:pPr>
      <w:r w:rsidRPr="000A3A07">
        <w:t>Utgångspunkten för studien är hypotesen att också Citytunneln bidrar till dessa effekter. Eftersom det saknas etablerade metoder för att räkna ut det totala samhällsekonomiska värdet av dessa integrationseffekter jämförs Öresundsregionen med andra storstadsregioner; man använder vad som kallas benchmarking teknik. Enligt den jämförelse som redovisas är nuvärdet a</w:t>
      </w:r>
      <w:r w:rsidRPr="000A3A07">
        <w:t>v tunnelns samhällsekonomiska nytta för Sverige ca 5 miljarder kr, exklus</w:t>
      </w:r>
      <w:r w:rsidRPr="000A3A07">
        <w:t>i</w:t>
      </w:r>
      <w:r w:rsidRPr="000A3A07">
        <w:t>ve miljö- och trafiksäkerhetse</w:t>
      </w:r>
      <w:r w:rsidRPr="000A3A07">
        <w:t>f</w:t>
      </w:r>
      <w:r w:rsidRPr="000A3A07">
        <w:t>fekter.</w:t>
      </w:r>
    </w:p>
    <w:p w14:paraId="5DE173BD" w14:textId="77777777" w:rsidR="007C11E9" w:rsidRPr="000A3A07" w:rsidRDefault="007C11E9">
      <w:pPr>
        <w:pStyle w:val="Normaltindrag"/>
      </w:pPr>
      <w:r w:rsidRPr="000A3A07">
        <w:t>I den samhällsekonomiska kalkyl som ingår i SOU 1994:78, och som pr</w:t>
      </w:r>
      <w:r w:rsidRPr="000A3A07">
        <w:t>e</w:t>
      </w:r>
      <w:r w:rsidRPr="000A3A07">
        <w:t>senterats i avsnitt 5 ovan, uppgår nuvärdet av projektets nyttoeffekter till ca 3 miljarder kr, varav effekterna för operatörer och trafikanter är 2,9 och miljö- och trafiksäkerhetseffekterna 0,1 miljarder kr. Denna "Denniskalkyl" inn</w:t>
      </w:r>
      <w:r w:rsidRPr="000A3A07">
        <w:t>e</w:t>
      </w:r>
      <w:r w:rsidRPr="000A3A07">
        <w:t>fattar emellertid inte enligt Inregias uppfattning vad som kallas lokalisering</w:t>
      </w:r>
      <w:r w:rsidRPr="000A3A07">
        <w:t>s</w:t>
      </w:r>
      <w:r w:rsidRPr="000A3A07">
        <w:t>effekter och inte heller effekter som uppstår genom bättre möjlighet till sp</w:t>
      </w:r>
      <w:r w:rsidRPr="000A3A07">
        <w:t>e</w:t>
      </w:r>
      <w:r w:rsidRPr="000A3A07">
        <w:t>cialisering eller genom regionens förbättrade konkurrensposition. Därför anser man att det verkliga samhällsekonomiska v</w:t>
      </w:r>
      <w:r w:rsidRPr="000A3A07">
        <w:t>ärdet av Citytunneln unde</w:t>
      </w:r>
      <w:r w:rsidRPr="000A3A07">
        <w:t>r</w:t>
      </w:r>
      <w:r w:rsidRPr="000A3A07">
        <w:t>skattas. Om man antar att bedömningen att den samhällsekonomiska nyttan är 5 miljarder kr är korrekt skulle underskattningen uppgå till ca 2 miljarder kr.</w:t>
      </w:r>
    </w:p>
    <w:p w14:paraId="2D220B2E" w14:textId="77777777" w:rsidR="007C11E9" w:rsidRPr="000A3A07" w:rsidRDefault="007C11E9">
      <w:pPr>
        <w:pStyle w:val="Normaltindrag"/>
      </w:pPr>
      <w:r w:rsidRPr="000A3A07">
        <w:t>Det går enligt Inregia inte att leda i bevis att det resonemang som nu åte</w:t>
      </w:r>
      <w:r w:rsidRPr="000A3A07">
        <w:t>r</w:t>
      </w:r>
      <w:r w:rsidRPr="000A3A07">
        <w:t>ges är korrekt, men man hävdar att det går att ta ett ytterligare steg för att minska osäkerheten. Detta görs genom att uppskatta vad det innebär att Denniskalkylen inte beaktar lokaliseringseffekter. Inregias rapport beaktar sådana effekter genom att beräkna hur arbetsresor och lokalisering i regionen påverkas av Citytunneln. Man måste då göra en bedömning av vad Citytu</w:t>
      </w:r>
      <w:r w:rsidRPr="000A3A07">
        <w:t>n</w:t>
      </w:r>
      <w:r w:rsidRPr="000A3A07">
        <w:t>neln betyder relativt bron för att integrera Malmö- och Köpenhamnsregi</w:t>
      </w:r>
      <w:r w:rsidRPr="000A3A07">
        <w:t>o</w:t>
      </w:r>
      <w:r w:rsidRPr="000A3A07">
        <w:t xml:space="preserve">nen. </w:t>
      </w:r>
    </w:p>
    <w:p w14:paraId="0E139E4F" w14:textId="77777777" w:rsidR="007C11E9" w:rsidRPr="000A3A07" w:rsidRDefault="007C11E9">
      <w:pPr>
        <w:pStyle w:val="Normaltindrag"/>
      </w:pPr>
      <w:r w:rsidRPr="000A3A07">
        <w:t>Man antar i rapporten att tunneln ska tillmätas en rätt stor</w:t>
      </w:r>
      <w:r w:rsidRPr="000A3A07">
        <w:t xml:space="preserve"> betydelse i detta avseende. Man har också beräknat hur mycket Denniskalkylen skulle behöva justeras med hänsyn till lokaliserings- och integrationseffekter; detta värde uppgår till 1,3 miljarder kr.</w:t>
      </w:r>
      <w:r w:rsidRPr="000A3A07">
        <w:rPr>
          <w:rStyle w:val="Fotnotsreferens"/>
        </w:rPr>
        <w:footnoteReference w:id="29"/>
      </w:r>
      <w:r w:rsidRPr="000A3A07">
        <w:t xml:space="preserve"> Sammanfattningsvis har man då följande bild av den samhällsekonomiska nyttan av Citytunneln, utryckt i nuvärde:</w:t>
      </w:r>
    </w:p>
    <w:p w14:paraId="21ACF1D3" w14:textId="77777777" w:rsidR="007C11E9" w:rsidRPr="000A3A07" w:rsidRDefault="007C11E9">
      <w:pPr>
        <w:numPr>
          <w:ilvl w:val="0"/>
          <w:numId w:val="112"/>
        </w:numPr>
        <w:tabs>
          <w:tab w:val="left" w:pos="3828"/>
          <w:tab w:val="right" w:pos="4962"/>
        </w:tabs>
        <w:spacing w:before="240"/>
        <w:ind w:left="357" w:hanging="357"/>
      </w:pPr>
      <w:r w:rsidRPr="000A3A07">
        <w:t>Trafikeffekter</w:t>
      </w:r>
      <w:r w:rsidRPr="000A3A07">
        <w:tab/>
      </w:r>
      <w:r w:rsidRPr="000A3A07">
        <w:tab/>
        <w:t>2,9 miljarder</w:t>
      </w:r>
    </w:p>
    <w:p w14:paraId="02C5FD2E" w14:textId="77777777" w:rsidR="007C11E9" w:rsidRPr="000A3A07" w:rsidRDefault="007C11E9">
      <w:pPr>
        <w:numPr>
          <w:ilvl w:val="0"/>
          <w:numId w:val="112"/>
        </w:numPr>
        <w:tabs>
          <w:tab w:val="left" w:pos="3828"/>
          <w:tab w:val="right" w:pos="4962"/>
        </w:tabs>
      </w:pPr>
      <w:r w:rsidRPr="000A3A07">
        <w:t>Miljö- och trafiksäkerhetseffekter</w:t>
      </w:r>
      <w:r w:rsidRPr="000A3A07">
        <w:tab/>
      </w:r>
      <w:r w:rsidRPr="000A3A07">
        <w:tab/>
        <w:t>0,1 miljarder</w:t>
      </w:r>
    </w:p>
    <w:p w14:paraId="008E72CE" w14:textId="77777777" w:rsidR="007C11E9" w:rsidRPr="000A3A07" w:rsidRDefault="007C11E9">
      <w:pPr>
        <w:numPr>
          <w:ilvl w:val="0"/>
          <w:numId w:val="112"/>
        </w:numPr>
        <w:tabs>
          <w:tab w:val="left" w:pos="3828"/>
          <w:tab w:val="right" w:pos="4962"/>
        </w:tabs>
      </w:pPr>
      <w:r w:rsidRPr="000A3A07">
        <w:t>Lokaliserings- och integrationseffekter</w:t>
      </w:r>
      <w:r w:rsidRPr="000A3A07">
        <w:tab/>
      </w:r>
      <w:r w:rsidRPr="000A3A07">
        <w:tab/>
        <w:t>1,3 miljarder</w:t>
      </w:r>
    </w:p>
    <w:p w14:paraId="73D6F8F0" w14:textId="77777777" w:rsidR="007C11E9" w:rsidRPr="000A3A07" w:rsidRDefault="007C11E9">
      <w:pPr>
        <w:numPr>
          <w:ilvl w:val="0"/>
          <w:numId w:val="112"/>
        </w:numPr>
        <w:tabs>
          <w:tab w:val="left" w:pos="3828"/>
          <w:tab w:val="right" w:pos="4962"/>
        </w:tabs>
      </w:pPr>
      <w:r w:rsidRPr="000A3A07">
        <w:t xml:space="preserve">Specialiserings- och konkurrenseffekter   </w:t>
      </w:r>
      <w:r w:rsidRPr="000A3A07">
        <w:tab/>
      </w:r>
      <w:r w:rsidRPr="000A3A07">
        <w:tab/>
        <w:t>x miljarder</w:t>
      </w:r>
    </w:p>
    <w:p w14:paraId="1919178E" w14:textId="77777777" w:rsidR="007C11E9" w:rsidRPr="000A3A07" w:rsidRDefault="007C11E9">
      <w:pPr>
        <w:numPr>
          <w:ilvl w:val="0"/>
          <w:numId w:val="112"/>
        </w:numPr>
        <w:tabs>
          <w:tab w:val="left" w:pos="3828"/>
          <w:tab w:val="right" w:pos="4962"/>
          <w:tab w:val="right" w:pos="5103"/>
        </w:tabs>
      </w:pPr>
      <w:r w:rsidRPr="000A3A07">
        <w:t>Totala effekter</w:t>
      </w:r>
      <w:r w:rsidRPr="000A3A07">
        <w:tab/>
      </w:r>
      <w:r w:rsidRPr="000A3A07">
        <w:tab/>
        <w:t>5 miljarder</w:t>
      </w:r>
    </w:p>
    <w:p w14:paraId="72A95981" w14:textId="77777777" w:rsidR="007C11E9" w:rsidRPr="000A3A07" w:rsidRDefault="007C11E9">
      <w:r w:rsidRPr="000A3A07">
        <w:t>Man antar avslutningsvis att alla poster i tablån är riktiga. Det betyder att nuvärdet av alla framtida specialiserings- och konkurrenseffekter skulle behöva uppgå till ca 0,7 miljarder kr (som är värdet av x ovan). Beloppet motsvarar en ökning av Malmöregionens inkomster med knappt 1 promille och man anser därför att värdet kan anses lågt. Mot denna bakgrund drar man slutsatsen att nyttan av Citytunneln ligger i närheten av den beräknade totala effekten, det vill säga att den uppgår till stor</w:t>
      </w:r>
      <w:r w:rsidRPr="000A3A07">
        <w:t>leksordningen 5 miljarder kr.</w:t>
      </w:r>
    </w:p>
    <w:p w14:paraId="65DBAF89" w14:textId="77777777" w:rsidR="007C11E9" w:rsidRPr="000A3A07" w:rsidRDefault="007C11E9">
      <w:pPr>
        <w:pStyle w:val="Rubrik2"/>
      </w:pPr>
      <w:bookmarkStart w:id="316" w:name="_Toc486738532"/>
      <w:bookmarkStart w:id="317" w:name="_Toc496511390"/>
      <w:bookmarkStart w:id="318" w:name="_Toc506341022"/>
      <w:r w:rsidRPr="000A3A07">
        <w:t>Saknas viktiga effekter i den samhällsekonomiska kalkylen?</w:t>
      </w:r>
      <w:bookmarkEnd w:id="316"/>
      <w:bookmarkEnd w:id="317"/>
      <w:bookmarkEnd w:id="318"/>
    </w:p>
    <w:p w14:paraId="37E9F668" w14:textId="77777777" w:rsidR="007C11E9" w:rsidRPr="000A3A07" w:rsidRDefault="007C11E9">
      <w:r w:rsidRPr="000A3A07">
        <w:t>Centralt för en "traditionell" samhällsekonomisk kalkyl är de konsekvenser som en bättre infra</w:t>
      </w:r>
      <w:r w:rsidRPr="000A3A07">
        <w:softHyphen/>
        <w:t>struktur får för trafikföretag och resenärer. I kalkylen beräknas dessutom investeringens betydelse för trafiksäkerhet och miljö. Utgångspunkten för Inregias analyser är att en kalkyl som genomförs på detta "traditionella" sätt, exempelvis enligt den ansats som Banverket anvä</w:t>
      </w:r>
      <w:r w:rsidRPr="000A3A07">
        <w:t>n</w:t>
      </w:r>
      <w:r w:rsidRPr="000A3A07">
        <w:t>der, missar väsentliga effekter av den invest</w:t>
      </w:r>
      <w:r w:rsidRPr="000A3A07">
        <w:t>e</w:t>
      </w:r>
      <w:r w:rsidRPr="000A3A07">
        <w:t>ring som studeras.</w:t>
      </w:r>
    </w:p>
    <w:p w14:paraId="259ED33E" w14:textId="77777777" w:rsidR="007C11E9" w:rsidRPr="000A3A07" w:rsidRDefault="007C11E9">
      <w:pPr>
        <w:pStyle w:val="Normaltindrag"/>
      </w:pPr>
      <w:r w:rsidRPr="000A3A07">
        <w:t>Tankekedjan kan med fördel hängas upp på den situation som växer fram då bron mellan Köpenhamn och Malmö färdigställts. Till följd av den nya förbindelsen kommer människ</w:t>
      </w:r>
      <w:r w:rsidRPr="000A3A07">
        <w:t>or att resa till "andra sidan" för att roa sig eller handla. Somliga kommer också att byta arbete från den svenska till den danska sidan eller vice versa, samtidigt som de bor kvar i ursprungslandet. Samhällsnyttan av båda dessa aspekter beaktas i form av de tidsvinster som resenärerna beräknas göra.</w:t>
      </w:r>
    </w:p>
    <w:p w14:paraId="591AB4BC" w14:textId="77777777" w:rsidR="007C11E9" w:rsidRPr="000A3A07" w:rsidRDefault="007C11E9">
      <w:pPr>
        <w:pStyle w:val="Normaltindrag"/>
      </w:pPr>
      <w:r w:rsidRPr="000A3A07">
        <w:t>Men den nya bron kan också ha betydelse för företagens lokalisering och för individernas val av boende. Ett företag i Köpenhamn kanske har flera svenska anställda och har en betydande del av sin försäljning i S</w:t>
      </w:r>
      <w:r w:rsidRPr="000A3A07">
        <w:t>verige. Man kan därför välja att flytta verksamheten över sundet. Även om detta inte påverkar resandet – en flytt kan till och med innebära ett minskat resande – så är det uppenbarligen fråga om en förbättring. Företagaren väljer av fri vilja att flytta sin verksamhet vilket innebär att dennes nytta eller vinst är högre än innan flytten. Denna nytta – vad som i ekonomisk teori kallas pr</w:t>
      </w:r>
      <w:r w:rsidRPr="000A3A07">
        <w:t>o</w:t>
      </w:r>
      <w:r w:rsidRPr="000A3A07">
        <w:t>ducentöverskott – bör därför i princip ingå i en samhäll</w:t>
      </w:r>
      <w:r w:rsidRPr="000A3A07">
        <w:t>s</w:t>
      </w:r>
      <w:r w:rsidRPr="000A3A07">
        <w:t>ekonomisk kalkyl.</w:t>
      </w:r>
      <w:r w:rsidRPr="000A3A07">
        <w:rPr>
          <w:rStyle w:val="Fotnotsreferens"/>
        </w:rPr>
        <w:footnoteReference w:id="30"/>
      </w:r>
    </w:p>
    <w:p w14:paraId="70946783" w14:textId="77777777" w:rsidR="007C11E9" w:rsidRPr="000A3A07" w:rsidRDefault="007C11E9">
      <w:pPr>
        <w:pStyle w:val="Normaltindrag"/>
      </w:pPr>
      <w:r w:rsidRPr="000A3A07">
        <w:t>På likartade grunder kan en svensk familj välja att flytta till Danmark för att få ett (bättre) arbete. Tack vare att det är så mycket lättare att kunna hälsa på släkt och vänner i Sverige minskar motståndet mot att flytta. Man kan mer generellt säga att möjligheterna att hitta bättre arbete ökar; matchningen mellan arbetssökande och arbetsgivare förbättras. Också detta utgör en ek</w:t>
      </w:r>
      <w:r w:rsidRPr="000A3A07">
        <w:t>o</w:t>
      </w:r>
      <w:r w:rsidRPr="000A3A07">
        <w:t>nomisk nytta i form av att arbetsgivaren har lättare att få tag på "rätt" pers</w:t>
      </w:r>
      <w:r w:rsidRPr="000A3A07">
        <w:t>o</w:t>
      </w:r>
      <w:r w:rsidRPr="000A3A07">
        <w:t>ner. Effekten bör därför ingå som en del av kalkylen.</w:t>
      </w:r>
    </w:p>
    <w:p w14:paraId="0853F6EB" w14:textId="77777777" w:rsidR="007C11E9" w:rsidRPr="000A3A07" w:rsidRDefault="007C11E9">
      <w:pPr>
        <w:pStyle w:val="Normaltindrag"/>
      </w:pPr>
      <w:r w:rsidRPr="000A3A07">
        <w:t>Vi har på detta sätt identifierat flera konsekvenser av infrastrukturinvest</w:t>
      </w:r>
      <w:r w:rsidRPr="000A3A07">
        <w:t>e</w:t>
      </w:r>
      <w:r w:rsidRPr="000A3A07">
        <w:t>ringar som i princip bör beaktas i en samhällsekonomisk kalkyl. Lika fullt görs inte detta, och skälen är flera:</w:t>
      </w:r>
    </w:p>
    <w:p w14:paraId="18343F42" w14:textId="77777777" w:rsidR="007C11E9" w:rsidRPr="000A3A07" w:rsidRDefault="007C11E9">
      <w:pPr>
        <w:numPr>
          <w:ilvl w:val="0"/>
          <w:numId w:val="113"/>
        </w:numPr>
      </w:pPr>
      <w:r w:rsidRPr="000A3A07">
        <w:t>Till en del ger flyttningar av människor och verksamhet upphov till omfördelningseffekter, och detta ska inte omfattas av en samhällsek</w:t>
      </w:r>
      <w:r w:rsidRPr="000A3A07">
        <w:t>o</w:t>
      </w:r>
      <w:r w:rsidRPr="000A3A07">
        <w:t>nomisk kalkyl. Ett minskat produk</w:t>
      </w:r>
      <w:r w:rsidRPr="000A3A07">
        <w:softHyphen/>
        <w:t>tionsbidrag på utflyttningsorten vägs upp av en ökad produktion och inkomst på inflyttningsorten och det är endast differensen mellan dessa minus och plus som ska utgöra en del av nyttoberäkningen i en kalkyl. Det är i empiriska studier vanligtvis svårt att göra denna distinktion.</w:t>
      </w:r>
    </w:p>
    <w:p w14:paraId="276B8F0F" w14:textId="77777777" w:rsidR="007C11E9" w:rsidRPr="000A3A07" w:rsidRDefault="007C11E9">
      <w:pPr>
        <w:numPr>
          <w:ilvl w:val="0"/>
          <w:numId w:val="113"/>
        </w:numPr>
      </w:pPr>
      <w:r w:rsidRPr="000A3A07">
        <w:t>I en empirisk studie som i efterhand ska försöka analysera konsekve</w:t>
      </w:r>
      <w:r w:rsidRPr="000A3A07">
        <w:t>n</w:t>
      </w:r>
      <w:r w:rsidRPr="000A3A07">
        <w:t>serna av en investering är det ofta svårt att reda ut vilka konsekvenser som beror på vilka ursprungliga förändringar. En uppföljning av Ör</w:t>
      </w:r>
      <w:r w:rsidRPr="000A3A07">
        <w:t>e</w:t>
      </w:r>
      <w:r w:rsidRPr="000A3A07">
        <w:t>sundsbrons effekter ett antal år efter öppnandet måste till exempel ko</w:t>
      </w:r>
      <w:r w:rsidRPr="000A3A07">
        <w:t>n</w:t>
      </w:r>
      <w:r w:rsidRPr="000A3A07">
        <w:t>trollera för variationer i priset för att använda bron respektive att åka färja, konsekvenserna av en eventuell fast förbindelse över Fehmarn Bält och för förändringar av skatter och andra statligt beslutade regler i de två länderna. Om inte, riskerar man att lämna en felaktig bild av e</w:t>
      </w:r>
      <w:r w:rsidRPr="000A3A07">
        <w:t>f</w:t>
      </w:r>
      <w:r w:rsidRPr="000A3A07">
        <w:t xml:space="preserve">fekterna av </w:t>
      </w:r>
      <w:r w:rsidRPr="000A3A07">
        <w:t>bron.</w:t>
      </w:r>
    </w:p>
    <w:p w14:paraId="645C023F" w14:textId="77777777" w:rsidR="007C11E9" w:rsidRPr="000A3A07" w:rsidRDefault="007C11E9">
      <w:pPr>
        <w:numPr>
          <w:ilvl w:val="0"/>
          <w:numId w:val="113"/>
        </w:numPr>
      </w:pPr>
      <w:r w:rsidRPr="000A3A07">
        <w:t>En nära besläktad frågeställning är om en viss investering är såväl nö</w:t>
      </w:r>
      <w:r w:rsidRPr="000A3A07">
        <w:t>d</w:t>
      </w:r>
      <w:r w:rsidRPr="000A3A07">
        <w:t>vändig som tillräcklig för att förklara djupgående förändringar av boe</w:t>
      </w:r>
      <w:r w:rsidRPr="000A3A07">
        <w:t>n</w:t>
      </w:r>
      <w:r w:rsidRPr="000A3A07">
        <w:t xml:space="preserve">de och industrilokalisering. Ett företag som överväger att lokalisera sig i södra Malmö kan påverkas i sitt beslut av en Citytunnel. Men för att faktiskt välja att flytta kanske det också förutsätts omfattande utbyggnad av lokala gator och vägar liksom av andra praktiska förutsättningar för verksamheten. </w:t>
      </w:r>
    </w:p>
    <w:p w14:paraId="38CF15E3" w14:textId="77777777" w:rsidR="007C11E9" w:rsidRPr="000A3A07" w:rsidRDefault="007C11E9">
      <w:r w:rsidRPr="000A3A07">
        <w:t>I en litteraturstudie diskuterar Isacsson (2000) hanteringen av dessa och andra typer av indirekta effekter, och mera generellt också</w:t>
      </w:r>
      <w:r w:rsidRPr="000A3A07">
        <w:t xml:space="preserve"> vad som kan förklara (skillnader i) tillväxt mellan länder och regioner. En viktig slutsats av genomgången är att den </w:t>
      </w:r>
      <w:r w:rsidRPr="000A3A07">
        <w:rPr>
          <w:u w:val="single"/>
        </w:rPr>
        <w:t>struktur</w:t>
      </w:r>
      <w:r w:rsidRPr="000A3A07">
        <w:t xml:space="preserve"> som industrin eller mera generellt ver</w:t>
      </w:r>
      <w:r w:rsidRPr="000A3A07">
        <w:t>k</w:t>
      </w:r>
      <w:r w:rsidRPr="000A3A07">
        <w:t>samheten i en region har är av betydelse för dess utveckling. Det är till e</w:t>
      </w:r>
      <w:r w:rsidRPr="000A3A07">
        <w:t>x</w:t>
      </w:r>
      <w:r w:rsidRPr="000A3A07">
        <w:t>empel inte troligt att regioner med en betydande andel tillverkningsindustri påverkas av en förbättrad infrastruktur på samma sätt som en region med i huvudsak kunskapsintensiv verksamhet. Resultat från regressioner som fö</w:t>
      </w:r>
      <w:r w:rsidRPr="000A3A07">
        <w:t>r</w:t>
      </w:r>
      <w:r w:rsidRPr="000A3A07">
        <w:t>söker etablera ett samband mellan regionstorle</w:t>
      </w:r>
      <w:r w:rsidRPr="000A3A07">
        <w:t>k och inkomstnivå i Europa kan därför inte utan vidare appliceras på Öresundsregionen.</w:t>
      </w:r>
    </w:p>
    <w:p w14:paraId="7B8767A0" w14:textId="77777777" w:rsidR="007C11E9" w:rsidRPr="000A3A07" w:rsidRDefault="007C11E9">
      <w:pPr>
        <w:pStyle w:val="Normaltindrag"/>
      </w:pPr>
      <w:r w:rsidRPr="000A3A07">
        <w:t>Det finns således stora praktiska problem med att mäta ett eventuellt sa</w:t>
      </w:r>
      <w:r w:rsidRPr="000A3A07">
        <w:t>m</w:t>
      </w:r>
      <w:r w:rsidRPr="000A3A07">
        <w:t xml:space="preserve">band mellan enskilda infrastrukturinvesteringar och en regions välstånd eller välståndsökning. Det finns också anledning att tro att ett sådant samband är starkare ju </w:t>
      </w:r>
      <w:r w:rsidRPr="000A3A07">
        <w:rPr>
          <w:u w:val="single"/>
        </w:rPr>
        <w:t>mindre utvecklad</w:t>
      </w:r>
      <w:r w:rsidRPr="000A3A07">
        <w:t xml:space="preserve"> infrastrukturen i ett land eller en region är. En förbättrad väg- eller järnvägslänk i ett område med dåliga kommunikationer kan betyda mycket för att lösa upp flaskhalsar och för att få igång den ek</w:t>
      </w:r>
      <w:r w:rsidRPr="000A3A07">
        <w:t>o</w:t>
      </w:r>
      <w:r w:rsidRPr="000A3A07">
        <w:t>nomiska verksamheten; samma åtgärd i en väl utvecklad region kanske har mindre betydelse i detta avseende.</w:t>
      </w:r>
    </w:p>
    <w:p w14:paraId="149F4DE1" w14:textId="77777777" w:rsidR="007C11E9" w:rsidRPr="000A3A07" w:rsidRDefault="007C11E9">
      <w:pPr>
        <w:pStyle w:val="Normaltindrag"/>
      </w:pPr>
      <w:r w:rsidRPr="000A3A07">
        <w:t>Slutligen är också s</w:t>
      </w:r>
      <w:r w:rsidRPr="000A3A07">
        <w:t>torleken av de effekter en åtgärd ger upphov till av a</w:t>
      </w:r>
      <w:r w:rsidRPr="000A3A07">
        <w:t>v</w:t>
      </w:r>
      <w:r w:rsidRPr="000A3A07">
        <w:t>görande betydelse för en eventuell påverkan på omgivningen. Om tidsvin</w:t>
      </w:r>
      <w:r w:rsidRPr="000A3A07">
        <w:t>s</w:t>
      </w:r>
      <w:r w:rsidRPr="000A3A07">
        <w:t>terna är små, och om trafikföretagens ekonomi påverkas i liten omfattning, finns det inte anledning att tro att industri- och boendestruktur påverkas annat än marginellt. En jämförelse av de tidsvinster som görs av Öresund</w:t>
      </w:r>
      <w:r w:rsidRPr="000A3A07">
        <w:t>s</w:t>
      </w:r>
      <w:r w:rsidRPr="000A3A07">
        <w:t>bron respektive Citytunneln illustrerar problemet väl. Den nya bron innebär att restiden över sundet förkortas med 40 till 45 minuter; dessutom innebär en fast för</w:t>
      </w:r>
      <w:r w:rsidRPr="000A3A07">
        <w:t>bindelse att den "mentala barriären" mellan länderna minskar. Tunneln sägs innebära en förkortad restid med ytterligare 7-10 minuter (I</w:t>
      </w:r>
      <w:r w:rsidRPr="000A3A07">
        <w:t>n</w:t>
      </w:r>
      <w:r w:rsidRPr="000A3A07">
        <w:t xml:space="preserve">regia 1995) alternativt med 2-3 minuter (jfr. ovan). </w:t>
      </w:r>
    </w:p>
    <w:p w14:paraId="3E7B61D1" w14:textId="77777777" w:rsidR="007C11E9" w:rsidRPr="000A3A07" w:rsidRDefault="007C11E9">
      <w:pPr>
        <w:pStyle w:val="Normaltindrag"/>
      </w:pPr>
      <w:r w:rsidRPr="000A3A07">
        <w:t>Om den första uppgiften är korrekt utgör tidsbesparingen en relativt stor förändring jämfört med många andra infrastrukturinvesteringar i Sverige. Besparingen är ändå i jämförelse med tidsvinsten till följd av den nya bron av mer begränsad betydelse. Sannolikheten att tunneln påverkar bebyggelse och lokalisering är givet</w:t>
      </w:r>
      <w:r w:rsidRPr="000A3A07">
        <w:t>vis ännu mindre om tidsvinsterna inte är större än 3 minuter.</w:t>
      </w:r>
    </w:p>
    <w:p w14:paraId="1E6467CB" w14:textId="77777777" w:rsidR="007C11E9" w:rsidRPr="000A3A07" w:rsidRDefault="007C11E9">
      <w:pPr>
        <w:pStyle w:val="Rubrik2"/>
      </w:pPr>
      <w:bookmarkStart w:id="319" w:name="_Toc486738533"/>
      <w:bookmarkStart w:id="320" w:name="_Toc496511391"/>
      <w:bookmarkStart w:id="321" w:name="_Toc506341023"/>
      <w:r w:rsidRPr="000A3A07">
        <w:t>Slutsatser</w:t>
      </w:r>
      <w:bookmarkEnd w:id="319"/>
      <w:bookmarkEnd w:id="320"/>
      <w:bookmarkEnd w:id="321"/>
    </w:p>
    <w:p w14:paraId="0CEE9A8F" w14:textId="77777777" w:rsidR="007C11E9" w:rsidRPr="000A3A07" w:rsidRDefault="007C11E9">
      <w:r w:rsidRPr="000A3A07">
        <w:t>Det finns sedan länge en debatt kring frågan om huruvida "traditionella" samhällsekonomiska kalkyler missar viktiga konsekvenser av infrastruktu</w:t>
      </w:r>
      <w:r w:rsidRPr="000A3A07">
        <w:t>r</w:t>
      </w:r>
      <w:r w:rsidRPr="000A3A07">
        <w:t>investeringar. Inte minst  hävdar de som tillskyndar projekt som inte kan motiveras med hjälp av en traditionell kalkyl ofta att bristande lönsamhet beror på att viktiga effekter saknas i beräkningarna.</w:t>
      </w:r>
    </w:p>
    <w:p w14:paraId="38AC2230" w14:textId="77777777" w:rsidR="007C11E9" w:rsidRPr="000A3A07" w:rsidRDefault="007C11E9">
      <w:pPr>
        <w:pStyle w:val="Normaltindrag"/>
      </w:pPr>
      <w:r w:rsidRPr="000A3A07">
        <w:t xml:space="preserve">Vi har här behandlat flera sådana indirekta effekter som i princip </w:t>
      </w:r>
      <w:r w:rsidRPr="000A3A07">
        <w:rPr>
          <w:u w:val="single"/>
        </w:rPr>
        <w:t>bör</w:t>
      </w:r>
      <w:r w:rsidRPr="000A3A07">
        <w:t xml:space="preserve"> ingå i kalkylen om man </w:t>
      </w:r>
      <w:r w:rsidRPr="000A3A07">
        <w:rPr>
          <w:u w:val="single"/>
        </w:rPr>
        <w:t>kan belägga</w:t>
      </w:r>
      <w:r w:rsidRPr="000A3A07">
        <w:t xml:space="preserve"> att en given investering har sådana effekter. Problemet är att det är mycket svårt att göra sannolikt att investeringens konsekve</w:t>
      </w:r>
      <w:r w:rsidRPr="000A3A07">
        <w:t>n</w:t>
      </w:r>
      <w:r w:rsidRPr="000A3A07">
        <w:t>ser är så långtgående.</w:t>
      </w:r>
    </w:p>
    <w:p w14:paraId="3EA854CB" w14:textId="77777777" w:rsidR="007C11E9" w:rsidRPr="000A3A07" w:rsidRDefault="007C11E9">
      <w:pPr>
        <w:pStyle w:val="Normaltindrag"/>
      </w:pPr>
      <w:r w:rsidRPr="000A3A07">
        <w:t>I de rapporter som refereras har ett försök gjorts att bedöma storleksor</w:t>
      </w:r>
      <w:r w:rsidRPr="000A3A07">
        <w:t>d</w:t>
      </w:r>
      <w:r w:rsidRPr="000A3A07">
        <w:t>ningen av de indirekta effekter som en Citytunnel skulle resultera i. Som framgår av avsnitt 6.1 har beräkningarna karaktären av ett räkneexempel, något som också framhålls på flera ställen i Inregia (1995); jfr till exempel s 5.</w:t>
      </w:r>
    </w:p>
    <w:p w14:paraId="5AC9C2EA" w14:textId="77777777" w:rsidR="007C11E9" w:rsidRPr="000A3A07" w:rsidRDefault="007C11E9">
      <w:pPr>
        <w:pStyle w:val="Normaltindrag"/>
      </w:pPr>
      <w:r w:rsidRPr="000A3A07">
        <w:t>Slutsatsen är därför att även om det principiella resonemanget är viktigt att föra så är det nu inte möjligt att dra slutsatser om de indirekta effekternas storlek. En omfattande forskning återstår. Man kan därför heller inte använda Inregias rapporter för att komplettera den samh</w:t>
      </w:r>
      <w:r w:rsidRPr="000A3A07">
        <w:t>ällsekonomiska kalkyl som redovisas i Dennisrapporten.</w:t>
      </w:r>
    </w:p>
    <w:p w14:paraId="09477CAD" w14:textId="77777777" w:rsidR="007C11E9" w:rsidRPr="000A3A07" w:rsidRDefault="007C11E9">
      <w:pPr>
        <w:pStyle w:val="Rubrik1"/>
      </w:pPr>
      <w:r w:rsidRPr="000A3A07">
        <w:br w:type="page"/>
      </w:r>
      <w:bookmarkStart w:id="322" w:name="_Toc486738534"/>
      <w:bookmarkStart w:id="323" w:name="_Toc496511392"/>
      <w:bookmarkStart w:id="324" w:name="_Toc506341024"/>
      <w:r w:rsidRPr="000A3A07">
        <w:t>Remissvaren</w:t>
      </w:r>
      <w:bookmarkEnd w:id="322"/>
      <w:bookmarkEnd w:id="323"/>
      <w:bookmarkEnd w:id="324"/>
    </w:p>
    <w:p w14:paraId="1686C162" w14:textId="77777777" w:rsidR="007C11E9" w:rsidRPr="000A3A07" w:rsidRDefault="007C11E9">
      <w:r w:rsidRPr="000A3A07">
        <w:t>Regeringen valde att skicka de tre rapporterna Inregia (1995), Inregia (1996) och Svedab (1996)  på remiss. I det följande sammanfattas några av de r</w:t>
      </w:r>
      <w:r w:rsidRPr="000A3A07">
        <w:t>e</w:t>
      </w:r>
      <w:r w:rsidRPr="000A3A07">
        <w:t>missvar som inkom. Urvalet är grundat på om kommentarer lämnas som kompletterar den framställning som i övrigt görs i denna PM. En fullständig förteckning över de remisser som inlämnats finns som Bilaga 5 i regeringens proposition 1996/97:161.</w:t>
      </w:r>
    </w:p>
    <w:p w14:paraId="4AB5797C" w14:textId="77777777" w:rsidR="007C11E9" w:rsidRPr="000A3A07" w:rsidRDefault="007C11E9">
      <w:pPr>
        <w:pStyle w:val="Normaltindrag"/>
      </w:pPr>
      <w:r w:rsidRPr="000A3A07">
        <w:rPr>
          <w:b/>
        </w:rPr>
        <w:t>SJ</w:t>
      </w:r>
      <w:r w:rsidRPr="000A3A07">
        <w:t xml:space="preserve"> framhåller de stora möjligheter som en Citytunnel ger för att utveckla det regionala Pågatågssystemet. Man gör också bedömningen att den b</w:t>
      </w:r>
      <w:r w:rsidRPr="000A3A07">
        <w:t>e</w:t>
      </w:r>
      <w:r w:rsidRPr="000A3A07">
        <w:t>dömda nyttan av investeringen är högre än vad som sägs i Inregias rapport. Framför allt sägs att rapporten underlåter att ta hänsyn till tunnelns regionala nytta inom Skåne. Några argument som ger ytterligare substans för detta påstående lämnas inte.</w:t>
      </w:r>
    </w:p>
    <w:p w14:paraId="2F025C52" w14:textId="77777777" w:rsidR="007C11E9" w:rsidRPr="000A3A07" w:rsidRDefault="007C11E9">
      <w:pPr>
        <w:pStyle w:val="Normaltindrag"/>
      </w:pPr>
      <w:r w:rsidRPr="000A3A07">
        <w:rPr>
          <w:b/>
        </w:rPr>
        <w:t>Banverket</w:t>
      </w:r>
      <w:r w:rsidRPr="000A3A07">
        <w:t xml:space="preserve"> bedömer Citytunneln vara en värdefull länk i järnvägsnätet. Man har dock inte på samhällsekonomiska grunder kunnat motivera tunneln; det har därför inte funnits skäl att inkludera investeringen i verkets sto</w:t>
      </w:r>
      <w:r w:rsidRPr="000A3A07">
        <w:t>m</w:t>
      </w:r>
      <w:r w:rsidRPr="000A3A07">
        <w:t>nätsplaner. Man säger sig också ha svårt att bedöma realismen i de utre</w:t>
      </w:r>
      <w:r w:rsidRPr="000A3A07">
        <w:t>d</w:t>
      </w:r>
      <w:r w:rsidRPr="000A3A07">
        <w:t>ningar om projektets integrationseffekter som Inregia redovisat. Det är heller inte möjligt att inkludera sådana effekter i de modeller som används av Ba</w:t>
      </w:r>
      <w:r w:rsidRPr="000A3A07">
        <w:t>n</w:t>
      </w:r>
      <w:r w:rsidRPr="000A3A07">
        <w:t>verket med mindre än att också andra, likartade projekt analyseras på samma s</w:t>
      </w:r>
      <w:r w:rsidRPr="000A3A07">
        <w:t>ätt.</w:t>
      </w:r>
    </w:p>
    <w:p w14:paraId="089C7A34" w14:textId="77777777" w:rsidR="007C11E9" w:rsidRPr="000A3A07" w:rsidRDefault="007C11E9">
      <w:pPr>
        <w:pStyle w:val="Normaltindrag"/>
      </w:pPr>
      <w:r w:rsidRPr="000A3A07">
        <w:t>I ett särskilt avsnitt lämnas synpunkter på de förutsättningar som anges för trafiken. Man betonar att detta kapitel har utarbetats av SJ och Malmöhus Trafik och att den innehåller en rad förutsättningar som kan diskuteras eller är mindre väl genomtänkta. Remissvaret påpekar att vissa trafikupplägg kan genomföras såväl med som utan att Citytunneln byggs. Andra trafikupplägg förutsätter investeringar utöver de som ingår i Citytunnelförslaget. Vidare sägs att trafikeringsförutsättningarna innebär att man</w:t>
      </w:r>
      <w:r w:rsidRPr="000A3A07">
        <w:t xml:space="preserve"> under timmen med högst kapacitetsutnyttjande har 12-14 tåg i vardera riktningen redan några få år efter öppnandet av Citytunneln. Detta innebär en trafikbelastning nära det praktiska kapacitetstaket. </w:t>
      </w:r>
    </w:p>
    <w:p w14:paraId="7608CA25" w14:textId="77777777" w:rsidR="007C11E9" w:rsidRPr="000A3A07" w:rsidRDefault="007C11E9">
      <w:pPr>
        <w:pStyle w:val="Normaltindrag"/>
      </w:pPr>
      <w:r w:rsidRPr="000A3A07">
        <w:t>Man drar därför slutsatsen att trafiksiffrorna i rapporten inte är realistiska. Om dessa invändningar är korrekta är därför tunnelns beräknade samhäll</w:t>
      </w:r>
      <w:r w:rsidRPr="000A3A07">
        <w:t>s</w:t>
      </w:r>
      <w:r w:rsidRPr="000A3A07">
        <w:t>ekonomiska nytta - som denna red</w:t>
      </w:r>
      <w:r w:rsidRPr="000A3A07">
        <w:t>o</w:t>
      </w:r>
      <w:r w:rsidRPr="000A3A07">
        <w:t>visats ovan - överskattad.</w:t>
      </w:r>
    </w:p>
    <w:p w14:paraId="4A3FE28E" w14:textId="77777777" w:rsidR="007C11E9" w:rsidRPr="000A3A07" w:rsidRDefault="007C11E9">
      <w:pPr>
        <w:pStyle w:val="Normaltindrag"/>
      </w:pPr>
      <w:r w:rsidRPr="000A3A07">
        <w:rPr>
          <w:b/>
        </w:rPr>
        <w:t>Vägverket</w:t>
      </w:r>
      <w:r w:rsidRPr="000A3A07">
        <w:t xml:space="preserve"> konstaterar att tunneln inte är samhällsekonomiskt lönsam. En Citytunnel kommer inte heller annat än marginellt att påverka omfattningen av vägtrafiken på Yttre Ringvägen, varför ett tunnelbygge inte kan ersätta en u</w:t>
      </w:r>
      <w:r w:rsidRPr="000A3A07">
        <w:t>t</w:t>
      </w:r>
      <w:r w:rsidRPr="000A3A07">
        <w:t>byggnad av denna väg.</w:t>
      </w:r>
    </w:p>
    <w:p w14:paraId="0FE337D5" w14:textId="77777777" w:rsidR="007C11E9" w:rsidRPr="000A3A07" w:rsidRDefault="007C11E9">
      <w:pPr>
        <w:pStyle w:val="Normaltindrag"/>
      </w:pPr>
      <w:r w:rsidRPr="000A3A07">
        <w:rPr>
          <w:b/>
        </w:rPr>
        <w:t>Väg- och Transportforskningsinstitutet</w:t>
      </w:r>
      <w:r w:rsidRPr="000A3A07">
        <w:t xml:space="preserve"> efterlyser en tydligare redovi</w:t>
      </w:r>
      <w:r w:rsidRPr="000A3A07">
        <w:t>s</w:t>
      </w:r>
      <w:r w:rsidRPr="000A3A07">
        <w:t>ning av kostnaderna för projektet. Man anser också att intrångskostnaden liksom värdet av bullerstörningar och tillgång till parkmark bör redovisas. Vad gäller Inregia's kompletterande samhällsekonomiska kalkyl sägs att resonemanget kan vara intressanta som räkneexempel. Däremot är det emp</w:t>
      </w:r>
      <w:r w:rsidRPr="000A3A07">
        <w:t>i</w:t>
      </w:r>
      <w:r w:rsidRPr="000A3A07">
        <w:t>riska underlaget inte tillräckligt stabilt för att skatta det samhällsekonomiska värdet av tunneln. Skattningen 5 miljarder kr sägs vara så osäker att den bör bedömas som praktiskt helt oa</w:t>
      </w:r>
      <w:r w:rsidRPr="000A3A07">
        <w:t>n</w:t>
      </w:r>
      <w:r w:rsidRPr="000A3A07">
        <w:t>vändbar.</w:t>
      </w:r>
    </w:p>
    <w:p w14:paraId="1AE19C7B" w14:textId="77777777" w:rsidR="007C11E9" w:rsidRPr="000A3A07" w:rsidRDefault="007C11E9">
      <w:pPr>
        <w:pStyle w:val="Normaltindrag"/>
      </w:pPr>
      <w:r w:rsidRPr="000A3A07">
        <w:rPr>
          <w:b/>
        </w:rPr>
        <w:t>Statens Institut för Kommunikationsanalys</w:t>
      </w:r>
      <w:r w:rsidRPr="000A3A07">
        <w:t xml:space="preserve"> kommenterar framför allt Inregias försök att genomföra utvidgade samhällsekonomiska nyttoberä</w:t>
      </w:r>
      <w:r w:rsidRPr="000A3A07">
        <w:t>k</w:t>
      </w:r>
      <w:r w:rsidRPr="000A3A07">
        <w:t>ningar. Bland annat sägs att beräkningskedjan innehåller så många osäkra statistiska samband och så många relativt godtyckliga antaganden att det är svårt att se rapportens resultat som annat än just ett mycket osäkert räknee</w:t>
      </w:r>
      <w:r w:rsidRPr="000A3A07">
        <w:t>x</w:t>
      </w:r>
      <w:r w:rsidRPr="000A3A07">
        <w:t>empel. SIKA menar därför att beräkningarna inte kan bidra till det samhäll</w:t>
      </w:r>
      <w:r w:rsidRPr="000A3A07">
        <w:t>s</w:t>
      </w:r>
      <w:r w:rsidRPr="000A3A07">
        <w:t>ekonomiska beslutsunderlaget för Citytunneln.</w:t>
      </w:r>
    </w:p>
    <w:p w14:paraId="5C3CD3B4" w14:textId="77777777" w:rsidR="007C11E9" w:rsidRPr="000A3A07" w:rsidRDefault="007C11E9">
      <w:pPr>
        <w:pStyle w:val="Normaltindrag"/>
      </w:pPr>
      <w:r w:rsidRPr="000A3A07">
        <w:rPr>
          <w:b/>
        </w:rPr>
        <w:t>Naturvårdsverket</w:t>
      </w:r>
      <w:r w:rsidRPr="000A3A07">
        <w:t xml:space="preserve"> framhåller betydelsen från miljösynpunkt av att stärka järnvägens konkurrenskraft. Det sägs emellertid inte vara långsiktigt hållbart att låta all tågtrafik till och från Öresundsbron ske på Kontinentalbanan. En utbyggnad av Citytunneln är därför viktig för att möjliggöra en avlastning. Man framhåller också betydelsen av att snabbt finna lösningar för motsv</w:t>
      </w:r>
      <w:r w:rsidRPr="000A3A07">
        <w:t>a</w:t>
      </w:r>
      <w:r w:rsidRPr="000A3A07">
        <w:t>rande avlastning av godstrafiken.</w:t>
      </w:r>
    </w:p>
    <w:p w14:paraId="24928300" w14:textId="77777777" w:rsidR="007C11E9" w:rsidRPr="000A3A07" w:rsidRDefault="007C11E9">
      <w:pPr>
        <w:pStyle w:val="Normaltindrag"/>
      </w:pPr>
      <w:r w:rsidRPr="000A3A07">
        <w:t xml:space="preserve">Miljökonsekvenserna vid byggande av Citytunneln sägs vara otillräckligt redovisade och en miljökonsekvensbeskrivning </w:t>
      </w:r>
      <w:r w:rsidRPr="000A3A07">
        <w:t>efterlyses. Vidare sägs det vara angeläget att belysa förutsättningarna för att framföra också godstrafik i Citytunneln. Det är också angeläget att de olika förslagen till lösningar för att avlasta Kontinentalbanan presenteras i sin helhet innan beslut tas om en enskild anläggning. Utredningsmaterialet rörande Citytunneln bör därför breddas innan man tar slutlig ställning till ett eventuellt byggande.</w:t>
      </w:r>
    </w:p>
    <w:p w14:paraId="23B84BFA" w14:textId="77777777" w:rsidR="007C11E9" w:rsidRPr="000A3A07" w:rsidRDefault="007C11E9">
      <w:pPr>
        <w:pStyle w:val="Normaltindrag"/>
      </w:pPr>
      <w:r w:rsidRPr="000A3A07">
        <w:rPr>
          <w:b/>
        </w:rPr>
        <w:t>Privatpersoner</w:t>
      </w:r>
      <w:r w:rsidRPr="000A3A07">
        <w:t xml:space="preserve">: I ett brev från </w:t>
      </w:r>
      <w:r w:rsidRPr="000A3A07">
        <w:rPr>
          <w:b/>
        </w:rPr>
        <w:t>Björn och Kerstin Andersson</w:t>
      </w:r>
      <w:r w:rsidRPr="000A3A07">
        <w:t xml:space="preserve"> påtalas de allvarliga bullerproblem som godstrafiken på Kontinentalbanan ger upphov till. Man är bland annat angelägen om att regeringen utreder förutsättninga</w:t>
      </w:r>
      <w:r w:rsidRPr="000A3A07">
        <w:t>r</w:t>
      </w:r>
      <w:r w:rsidRPr="000A3A07">
        <w:t>na för ett yttre godsspår för att avlasta Kontinenta</w:t>
      </w:r>
      <w:r w:rsidRPr="000A3A07">
        <w:t>l</w:t>
      </w:r>
      <w:r w:rsidRPr="000A3A07">
        <w:t>banan från godstrafik.</w:t>
      </w:r>
    </w:p>
    <w:p w14:paraId="70477967" w14:textId="77777777" w:rsidR="007C11E9" w:rsidRPr="000A3A07" w:rsidRDefault="007C11E9">
      <w:pPr>
        <w:pStyle w:val="Normaltindrag"/>
      </w:pPr>
      <w:r w:rsidRPr="000A3A07">
        <w:t xml:space="preserve">Inregia's utredningar kommenteras även i ett remissvar från </w:t>
      </w:r>
      <w:r w:rsidRPr="000A3A07">
        <w:rPr>
          <w:b/>
        </w:rPr>
        <w:t>Nils Bruzelius</w:t>
      </w:r>
      <w:r w:rsidRPr="000A3A07">
        <w:t xml:space="preserve"> där det sägs att utredningarna lider av en rad brister. Den allvarligaste är att man </w:t>
      </w:r>
      <w:r w:rsidRPr="000A3A07">
        <w:rPr>
          <w:u w:val="single"/>
        </w:rPr>
        <w:t>förutsätter</w:t>
      </w:r>
      <w:r w:rsidRPr="000A3A07">
        <w:t xml:space="preserve"> att Citytunneln kommer att leda till (ökad) integration medan man skulle ha förväntat sig att utredningarna i stället skulle ha förklarat </w:t>
      </w:r>
      <w:r w:rsidRPr="000A3A07">
        <w:rPr>
          <w:u w:val="single"/>
        </w:rPr>
        <w:t>varför</w:t>
      </w:r>
      <w:r w:rsidRPr="000A3A07">
        <w:t xml:space="preserve"> och </w:t>
      </w:r>
      <w:r w:rsidRPr="000A3A07">
        <w:rPr>
          <w:u w:val="single"/>
        </w:rPr>
        <w:t>hur</w:t>
      </w:r>
      <w:r w:rsidRPr="000A3A07">
        <w:t xml:space="preserve"> en sådan integration förutsätts gå till.</w:t>
      </w:r>
    </w:p>
    <w:p w14:paraId="01095E7B" w14:textId="77777777" w:rsidR="007C11E9" w:rsidRPr="000A3A07" w:rsidRDefault="007C11E9">
      <w:pPr>
        <w:pStyle w:val="Rubrik1"/>
      </w:pPr>
      <w:r w:rsidRPr="000A3A07">
        <w:br w:type="page"/>
      </w:r>
      <w:bookmarkStart w:id="325" w:name="_Toc486738535"/>
      <w:bookmarkStart w:id="326" w:name="_Toc496511393"/>
      <w:bookmarkStart w:id="327" w:name="_Toc506341025"/>
      <w:r w:rsidRPr="000A3A07">
        <w:t>Regeringens proposition</w:t>
      </w:r>
      <w:bookmarkEnd w:id="325"/>
      <w:bookmarkEnd w:id="326"/>
      <w:bookmarkEnd w:id="327"/>
    </w:p>
    <w:p w14:paraId="5F7A441D" w14:textId="77777777" w:rsidR="007C11E9" w:rsidRPr="000A3A07" w:rsidRDefault="007C11E9">
      <w:r w:rsidRPr="000A3A07">
        <w:t>Regeringen föreslår i proposition 1996/97:161 att Citytunneln ska byggas. Vi redovisar här i korthet dels den hänvisning som i texten görs till regeringens provisoriska föreskrifter för trafikering av Kontinentalbanan (8.1), de  motiv som anförs för beslutet (8.2) liksom huvuddragen i den finansieringslösning som väljs (8.3).</w:t>
      </w:r>
    </w:p>
    <w:p w14:paraId="7093E58C" w14:textId="77777777" w:rsidR="007C11E9" w:rsidRPr="000A3A07" w:rsidRDefault="007C11E9">
      <w:pPr>
        <w:pStyle w:val="Rubrik2"/>
      </w:pPr>
      <w:bookmarkStart w:id="328" w:name="_Toc486738536"/>
      <w:bookmarkStart w:id="329" w:name="_Toc496511394"/>
      <w:bookmarkStart w:id="330" w:name="_Toc506341026"/>
      <w:r w:rsidRPr="000A3A07">
        <w:t>Provisoriska föreskrifter för trafikering av Kontinentalbanan</w:t>
      </w:r>
      <w:bookmarkEnd w:id="328"/>
      <w:bookmarkEnd w:id="329"/>
      <w:bookmarkEnd w:id="330"/>
    </w:p>
    <w:p w14:paraId="74DA2F6E" w14:textId="77777777" w:rsidR="007C11E9" w:rsidRPr="000A3A07" w:rsidRDefault="007C11E9">
      <w:r w:rsidRPr="000A3A07">
        <w:t>Svedab och Banverket ansökte hos Koncessionsnämnden för miljöskydd om tillstånd enligt miljöskyddslagen att bygga om och driva Kontinentalbanan i Malmö på sträckan mellan banans anslutning till Södra stambanan och Fos</w:t>
      </w:r>
      <w:r w:rsidRPr="000A3A07">
        <w:t>i</w:t>
      </w:r>
      <w:r w:rsidRPr="000A3A07">
        <w:t>eby som dubbelspårig järnväg. Koncessionsnämnden beslöt att inte lämna tillstånd till den ansökta verksamheten och anförde i sin bedömning bland annat följande fö</w:t>
      </w:r>
      <w:r w:rsidRPr="000A3A07">
        <w:t>r</w:t>
      </w:r>
      <w:r w:rsidRPr="000A3A07">
        <w:t>hållanden.</w:t>
      </w:r>
    </w:p>
    <w:p w14:paraId="715A8DA9" w14:textId="77777777" w:rsidR="007C11E9" w:rsidRPr="000A3A07" w:rsidRDefault="007C11E9">
      <w:pPr>
        <w:pStyle w:val="Normaltindrag"/>
      </w:pPr>
      <w:r w:rsidRPr="000A3A07">
        <w:t>Ett betydande antal människor skulle få sina levnadsförhållanden väsen</w:t>
      </w:r>
      <w:r w:rsidRPr="000A3A07">
        <w:t>t</w:t>
      </w:r>
      <w:r w:rsidRPr="000A3A07">
        <w:t>ligt försämrade om järnvägstrafik kommer till stånd på Kontinentalbanan på det sätt som avses i ansökan. Nämnden ansåg emellertid att det är av synne</w:t>
      </w:r>
      <w:r w:rsidRPr="000A3A07">
        <w:t>r</w:t>
      </w:r>
      <w:r w:rsidRPr="000A3A07">
        <w:t>lig betydelse från allmän synpunkt att järnvägstrafik kan upprätthållas på banan till dess att nödvändiga alternativa spårsträckningar, som är godtagb</w:t>
      </w:r>
      <w:r w:rsidRPr="000A3A07">
        <w:t>a</w:t>
      </w:r>
      <w:r w:rsidRPr="000A3A07">
        <w:t xml:space="preserve">ra från miljöskyddspunkt, har utförts. </w:t>
      </w:r>
    </w:p>
    <w:p w14:paraId="39F99298" w14:textId="77777777" w:rsidR="007C11E9" w:rsidRPr="000A3A07" w:rsidRDefault="007C11E9">
      <w:pPr>
        <w:pStyle w:val="Normaltindrag"/>
      </w:pPr>
      <w:r w:rsidRPr="000A3A07">
        <w:t>I denna situation är det emellertid endast regeringen som är berättigad att lämna tillstånd enligt miljöskyddslagen. Koncessionsnämnden beslutar dä</w:t>
      </w:r>
      <w:r w:rsidRPr="000A3A07">
        <w:t>r</w:t>
      </w:r>
      <w:r w:rsidRPr="000A3A07">
        <w:t>för i november 1995 (beslut 198/95) att överlämna ärendet till regeringen för avgörande. Man föreslår därvid att regeringen lämnar ett tidsbegränsat til</w:t>
      </w:r>
      <w:r w:rsidRPr="000A3A07">
        <w:t>l</w:t>
      </w:r>
      <w:r w:rsidRPr="000A3A07">
        <w:t>stånd till järnvägstrafik på Kontinentalbanan, begränsat att gälla till utgången av år 2003. Vidare sägs att alternativa sträckningar bör utredas och komma till stånd snarast mö</w:t>
      </w:r>
      <w:r w:rsidRPr="000A3A07">
        <w:t>j</w:t>
      </w:r>
      <w:r w:rsidRPr="000A3A07">
        <w:t xml:space="preserve">ligt. </w:t>
      </w:r>
    </w:p>
    <w:p w14:paraId="367990FC" w14:textId="77777777" w:rsidR="007C11E9" w:rsidRPr="000A3A07" w:rsidRDefault="007C11E9">
      <w:pPr>
        <w:pStyle w:val="Normaltindrag"/>
      </w:pPr>
      <w:r w:rsidRPr="000A3A07">
        <w:t>I november 1996 beslutar regeringen att godkänna den avsiktsförklaring som innebär att Citytunneln skall genomföras (K96/3578). Man lämnar oc</w:t>
      </w:r>
      <w:r w:rsidRPr="000A3A07">
        <w:t>k</w:t>
      </w:r>
      <w:r w:rsidRPr="000A3A07">
        <w:t xml:space="preserve">så tillstånd enligt miljöskyddslagen att under begränsad tid bygga om och driva Kontintentalbanan som dubbelspårig järnväg till Svedab och Banverket (M95/4651/8). </w:t>
      </w:r>
    </w:p>
    <w:p w14:paraId="70BBDD20" w14:textId="77777777" w:rsidR="007C11E9" w:rsidRPr="000A3A07" w:rsidRDefault="007C11E9">
      <w:pPr>
        <w:pStyle w:val="Rubrik2"/>
      </w:pPr>
      <w:bookmarkStart w:id="331" w:name="_Toc486738537"/>
      <w:bookmarkStart w:id="332" w:name="_Toc496511395"/>
      <w:bookmarkStart w:id="333" w:name="_Toc506341027"/>
      <w:r w:rsidRPr="000A3A07">
        <w:t>Regeringens motiv för att ge tillstånd till Citytunneln</w:t>
      </w:r>
      <w:bookmarkEnd w:id="331"/>
      <w:bookmarkEnd w:id="332"/>
      <w:bookmarkEnd w:id="333"/>
    </w:p>
    <w:p w14:paraId="721EFCB3" w14:textId="77777777" w:rsidR="007C11E9" w:rsidRPr="000A3A07" w:rsidRDefault="007C11E9">
      <w:r w:rsidRPr="000A3A07">
        <w:t>Syftet med Citytunneln anges vara att "förbättra förutsättningarna för den spårbundna kollektivtrafiken i regionen och över Öresund samt (… ) att avlasta Kontinentalbanan så att en från miljösynpunkt godtagbar lösning kan uppnås." (Prop. 1996/97:161, s 6.)</w:t>
      </w:r>
    </w:p>
    <w:p w14:paraId="29D14468" w14:textId="77777777" w:rsidR="007C11E9" w:rsidRPr="000A3A07" w:rsidRDefault="007C11E9">
      <w:pPr>
        <w:pStyle w:val="Normaltindrag"/>
      </w:pPr>
      <w:r w:rsidRPr="000A3A07">
        <w:t>Det första av dessa syften – att förbättra förutsättningarna för spårbunden kollektivtrafik – har relativt ingående behandlats i den samhällsekonomiska kalkyl som ingår i Dennisrapporten och som beskrivs i avsnitt 5 ovan. Några referenser till den kompletterande kalkyl som genomförts av Inregia och som diskuteras i avsnitt 6 ovan finns inte i regeringsbeslutet.</w:t>
      </w:r>
    </w:p>
    <w:p w14:paraId="5C3A1A7A" w14:textId="77777777" w:rsidR="007C11E9" w:rsidRPr="000A3A07" w:rsidRDefault="007C11E9">
      <w:pPr>
        <w:pStyle w:val="Normaltindrag"/>
      </w:pPr>
      <w:r w:rsidRPr="000A3A07">
        <w:t>Det andra huvudsyftet med investeringen i Citytunneln sägs vara att a</w:t>
      </w:r>
      <w:r w:rsidRPr="000A3A07">
        <w:t>v</w:t>
      </w:r>
      <w:r w:rsidRPr="000A3A07">
        <w:t>lasta Kontinentalbanan. Man anser inte att det är möjligt att långsiktigt b</w:t>
      </w:r>
      <w:r w:rsidRPr="000A3A07">
        <w:t>e</w:t>
      </w:r>
      <w:r w:rsidRPr="000A3A07">
        <w:t>driva trafik på Kontinentalbanan på det sätt som förutsätts i 1991 års avtal om Öresundsbron. Med hänvisning till regeringens provisoriska föreskrifter för trafikering av Kontinentalbanan (se ovan) från oktober 1996, sägs  att en från miljösynpunkt godtagbar lösning måste uppnås. "Beslutet att avlasta Kontinentalbanan leder till att tidigare bedömningar av Citytunnelns sa</w:t>
      </w:r>
      <w:r w:rsidRPr="000A3A07">
        <w:t>m</w:t>
      </w:r>
      <w:r w:rsidRPr="000A3A07">
        <w:t>hällsekonomiska lönsamhet inte är giltiga, eftersom de har b</w:t>
      </w:r>
      <w:r w:rsidRPr="000A3A07">
        <w:t>yggt på att Ko</w:t>
      </w:r>
      <w:r w:rsidRPr="000A3A07">
        <w:t>n</w:t>
      </w:r>
      <w:r w:rsidRPr="000A3A07">
        <w:t xml:space="preserve">tinentalbanan kan utgöra ett långsiktigt alternativ för denna trafik." (Prop. 1996/97:161, s 7.) </w:t>
      </w:r>
    </w:p>
    <w:p w14:paraId="3C16AC36" w14:textId="77777777" w:rsidR="007C11E9" w:rsidRPr="000A3A07" w:rsidRDefault="007C11E9">
      <w:pPr>
        <w:pStyle w:val="Normaltindrag"/>
      </w:pPr>
      <w:r w:rsidRPr="000A3A07">
        <w:t>Detta är den enda hänvisning som görs i propositionen till projektets sa</w:t>
      </w:r>
      <w:r w:rsidRPr="000A3A07">
        <w:t>m</w:t>
      </w:r>
      <w:r w:rsidRPr="000A3A07">
        <w:t>hällsekonomiska lönsamhet. Hänvisningen innebär i sak att det ekonomiska utredningsarbete som utförts i allt väsentligt ogiltigförklaras. Som tidigare redovisats framhålls emellertid i Dennisutredningen att det är godstågen, inte resandetågen, som ger upphov till miljöstörningar. I själva verket sägs milj</w:t>
      </w:r>
      <w:r w:rsidRPr="000A3A07">
        <w:t>ö</w:t>
      </w:r>
      <w:r w:rsidRPr="000A3A07">
        <w:t>effekten av att flytta persontågen till Citytunneln vara så liten att någon nytta av detta inte bedöms uppstå. Detta förhållande berörs inte i propositionen.</w:t>
      </w:r>
    </w:p>
    <w:p w14:paraId="4CD9710D" w14:textId="77777777" w:rsidR="007C11E9" w:rsidRPr="000A3A07" w:rsidRDefault="007C11E9">
      <w:pPr>
        <w:pStyle w:val="Normaltindrag"/>
      </w:pPr>
      <w:r w:rsidRPr="000A3A07">
        <w:t>I propositionen diskuteras däremot i korthet e</w:t>
      </w:r>
      <w:r w:rsidRPr="000A3A07">
        <w:t>tt annat alternativ till C</w:t>
      </w:r>
      <w:r w:rsidRPr="000A3A07">
        <w:t>i</w:t>
      </w:r>
      <w:r w:rsidRPr="000A3A07">
        <w:t>tytunneln. Man säger att ett yttre spår runt Malmö har förts fram som ett sätt att avlasta Kontinentalbanan. Alternativet förkastas dock med hänvisning till att det inte ger förutsättningar för att skapa en effektiv persontrafik mellan Malmö och Köpenhamn. Ett annat skäl till att förkasta ett yttre spår är att detta måste kombineras med en så kallad riksbangård norr om Malmö. Föru</w:t>
      </w:r>
      <w:r w:rsidRPr="000A3A07">
        <w:t>t</w:t>
      </w:r>
      <w:r w:rsidRPr="000A3A07">
        <w:t>sättningarna för så omfattande kompletterande investeringar anses inte vara för handen. Någon utredni</w:t>
      </w:r>
      <w:r w:rsidRPr="000A3A07">
        <w:t>ng av ett alternativ med ett yttre spår finns däremot inte i underlagsmaterialet.</w:t>
      </w:r>
    </w:p>
    <w:p w14:paraId="4CD2ECF8" w14:textId="77777777" w:rsidR="007C11E9" w:rsidRPr="000A3A07" w:rsidRDefault="007C11E9">
      <w:pPr>
        <w:pStyle w:val="Rubrik2"/>
      </w:pPr>
      <w:bookmarkStart w:id="334" w:name="_Toc486738538"/>
      <w:bookmarkStart w:id="335" w:name="_Toc496511396"/>
      <w:bookmarkStart w:id="336" w:name="_Toc506341028"/>
      <w:r w:rsidRPr="000A3A07">
        <w:t>Organisation och finansiering av projektet</w:t>
      </w:r>
      <w:bookmarkEnd w:id="334"/>
      <w:bookmarkEnd w:id="335"/>
      <w:bookmarkEnd w:id="336"/>
    </w:p>
    <w:p w14:paraId="52D9B97D" w14:textId="77777777" w:rsidR="007C11E9" w:rsidRPr="000A3A07" w:rsidRDefault="007C11E9">
      <w:r w:rsidRPr="000A3A07">
        <w:t>Regeringen föreslår att en gemensam projektorganisation tillskapas av de parter som berörs av tunneln för att ansvara för dess projektering, byggande och driftsättning. Dessa parter är Banverket, SJ, Malmö stad och Region Skåne som alltså äger vad som nu kallas Citytunnelkonsortiet. Konsortiet ska svara för projektering och andra förberedelser liksom för byggande och driftsättning av projektet.</w:t>
      </w:r>
    </w:p>
    <w:p w14:paraId="05ADD09F" w14:textId="77777777" w:rsidR="007C11E9" w:rsidRPr="000A3A07" w:rsidRDefault="007C11E9">
      <w:pPr>
        <w:pStyle w:val="Normaltindrag"/>
      </w:pPr>
      <w:r w:rsidRPr="000A3A07">
        <w:t>Som motiv för denna organisation hänvisas till att man i avsiktsförklarin</w:t>
      </w:r>
      <w:r w:rsidRPr="000A3A07">
        <w:t>g</w:t>
      </w:r>
      <w:r w:rsidRPr="000A3A07">
        <w:t>en mellan regeringen och företrädare för regionen slagit fast att de parter som får nytta av olika delar av Citytunnelprojektet skall delta i finansieringen och genomförandet av dessa delar. Den stora regionala inblandningen i projektet förhindrar att en projektorganisation tillskapas inom Banverket.</w:t>
      </w:r>
    </w:p>
    <w:p w14:paraId="78291FED" w14:textId="77777777" w:rsidR="007C11E9" w:rsidRPr="000A3A07" w:rsidRDefault="007C11E9">
      <w:pPr>
        <w:pStyle w:val="Normaltindrag"/>
      </w:pPr>
      <w:r w:rsidRPr="000A3A07">
        <w:t>Den i huvudavtalet överenskomna fördelningen av projektets kostnad</w:t>
      </w:r>
      <w:r w:rsidRPr="000A3A07">
        <w:t>s</w:t>
      </w:r>
      <w:r w:rsidRPr="000A3A07">
        <w:t>ansvar utgör grunden för projektets finansiering. Kostnaden för Citytunneln beräknas nu till 4 950 miljoner kr i prisnivå januari 1996, och ansvaret för olika delar av projektet och för dess kostnader  förd</w:t>
      </w:r>
      <w:r w:rsidRPr="000A3A07">
        <w:t>e</w:t>
      </w:r>
      <w:r w:rsidRPr="000A3A07">
        <w:t>las enligt följande:</w:t>
      </w:r>
    </w:p>
    <w:p w14:paraId="5CBAC1D4" w14:textId="77777777" w:rsidR="007C11E9" w:rsidRPr="000A3A07" w:rsidRDefault="007C11E9">
      <w:pPr>
        <w:numPr>
          <w:ilvl w:val="0"/>
          <w:numId w:val="114"/>
        </w:numPr>
      </w:pPr>
      <w:r w:rsidRPr="000A3A07">
        <w:t xml:space="preserve">Berg- och betongtunnlar, 2 505 milj kr; finansiering – se nedan. </w:t>
      </w:r>
    </w:p>
    <w:p w14:paraId="03AAD03D" w14:textId="77777777" w:rsidR="007C11E9" w:rsidRPr="000A3A07" w:rsidRDefault="007C11E9">
      <w:pPr>
        <w:numPr>
          <w:ilvl w:val="0"/>
          <w:numId w:val="114"/>
        </w:numPr>
      </w:pPr>
      <w:r w:rsidRPr="000A3A07">
        <w:t>Bangårdsområden, bana ovan mark och järnvägsinstallationer, 1 300 milj kr, finansieras av Banverket.</w:t>
      </w:r>
    </w:p>
    <w:p w14:paraId="4B036F0E" w14:textId="77777777" w:rsidR="007C11E9" w:rsidRPr="000A3A07" w:rsidRDefault="007C11E9">
      <w:pPr>
        <w:numPr>
          <w:ilvl w:val="0"/>
          <w:numId w:val="114"/>
        </w:numPr>
      </w:pPr>
      <w:r w:rsidRPr="000A3A07">
        <w:t>Station Malmö C, 150 milj kr, finansieras av SJ.</w:t>
      </w:r>
    </w:p>
    <w:p w14:paraId="5DC83D15" w14:textId="77777777" w:rsidR="007C11E9" w:rsidRPr="000A3A07" w:rsidRDefault="007C11E9">
      <w:pPr>
        <w:numPr>
          <w:ilvl w:val="0"/>
          <w:numId w:val="114"/>
        </w:numPr>
      </w:pPr>
      <w:r w:rsidRPr="000A3A07">
        <w:t>Station Triangeln, 505 milj kr, finansieras av regionen.</w:t>
      </w:r>
    </w:p>
    <w:p w14:paraId="65DC3607" w14:textId="77777777" w:rsidR="007C11E9" w:rsidRPr="000A3A07" w:rsidRDefault="007C11E9">
      <w:pPr>
        <w:numPr>
          <w:ilvl w:val="0"/>
          <w:numId w:val="114"/>
        </w:numPr>
      </w:pPr>
      <w:r w:rsidRPr="000A3A07">
        <w:t>Station Hyllie, 115 milj kr, finansieras av regionen.</w:t>
      </w:r>
    </w:p>
    <w:p w14:paraId="4C119DDB" w14:textId="77777777" w:rsidR="007C11E9" w:rsidRPr="000A3A07" w:rsidRDefault="007C11E9">
      <w:pPr>
        <w:numPr>
          <w:ilvl w:val="0"/>
          <w:numId w:val="114"/>
        </w:numPr>
      </w:pPr>
      <w:r w:rsidRPr="000A3A07">
        <w:t>Förbindelsespår mot Ystad och Trelleborg, 375 milj kr, finansieras av regi</w:t>
      </w:r>
      <w:r w:rsidRPr="000A3A07">
        <w:t>o</w:t>
      </w:r>
      <w:r w:rsidRPr="000A3A07">
        <w:t>nen.</w:t>
      </w:r>
    </w:p>
    <w:p w14:paraId="5AE1C94D" w14:textId="77777777" w:rsidR="007C11E9" w:rsidRPr="000A3A07" w:rsidRDefault="007C11E9">
      <w:r w:rsidRPr="000A3A07">
        <w:t xml:space="preserve">Kostnader för berg- och betongtunnlar omfattar byggande under mark liksom plattformar för den nya delen vid Malmö C. Upp till ett belopp av 1 727 miljoner kr ska kostnaden finansieras av ett lån som Svedab tar upp, och lånet förs vidare till Banverket, Malmö kommun och Kommunalförbundet för Malmöhus läns kollektivtrafik. Lånet skall i första hand amorteras med det överskott som kan uppkomma i Svedabs verksamhet under en tidsperiod om 30 år efter det att Öresundsförbindelsen tagits i drift. Den del av </w:t>
      </w:r>
      <w:r w:rsidRPr="000A3A07">
        <w:t xml:space="preserve">lånet som kvarstår efter de 30 åren ska amorteras av de tre parterna med vardera en tredjedel av kostnaden under 10 år. </w:t>
      </w:r>
    </w:p>
    <w:p w14:paraId="22F47AA6" w14:textId="77777777" w:rsidR="007C11E9" w:rsidRPr="000A3A07" w:rsidRDefault="007C11E9">
      <w:pPr>
        <w:pStyle w:val="Normaltindrag"/>
      </w:pPr>
      <w:r w:rsidRPr="000A3A07">
        <w:t xml:space="preserve">Resterande del av kostnaden på 2 505 milj kr – det vill säga 777 milj kr – fördelas med 250 milj kr på de två regionala parterna och 527 milj kr på Banverket. Om kostnaden för berg- och betongtunnlar ändras – det vill säga om kostnaden ökar – fördelas ökningen med 55,8% på Malmö kommun och Kommunalförbundet för Malmöhus läns kollektivtrafik samt med 44,2% på Banverket. </w:t>
      </w:r>
    </w:p>
    <w:p w14:paraId="1811E675" w14:textId="77777777" w:rsidR="007C11E9" w:rsidRPr="000A3A07" w:rsidRDefault="007C11E9">
      <w:pPr>
        <w:pStyle w:val="Normaltindrag"/>
      </w:pPr>
      <w:r w:rsidRPr="000A3A07">
        <w:t>Sammantaget uppgår Banverkets direkta kostnader till (1 300 + 527 =) 1 827 milj kr. Denna del av finansieringen inryms enligt riksdagsbeslut inom investeringsramarna för stomjärnvägar under perioden 1998-2007. Regi</w:t>
      </w:r>
      <w:r w:rsidRPr="000A3A07">
        <w:t>o</w:t>
      </w:r>
      <w:r w:rsidRPr="000A3A07">
        <w:t xml:space="preserve">nens direkta betalningsansvar omfattar (505 + 175 + 375 + 250 =) 1 305 milj kr. Propositionen framhåller emellertid att regionen ska vara mottagare av eventuella EU-bidrag, och att man har som utgångspunkt att erhålla 250 milj kr denna väg. </w:t>
      </w:r>
    </w:p>
    <w:p w14:paraId="01C2DA2B" w14:textId="77777777" w:rsidR="007C11E9" w:rsidRPr="000A3A07" w:rsidRDefault="007C11E9">
      <w:pPr>
        <w:pStyle w:val="Normaltindrag"/>
      </w:pPr>
      <w:r w:rsidRPr="000A3A07">
        <w:t>Utöver detta direkta kostnadsansvar får parterna, som beskrivits ovan, ta över ansvaret för den del av lånet till Svedab som inte är slutgiltigt betalt 30 år efter brons öppnande. Detta innebär att regionen i så fall kan tvingas b</w:t>
      </w:r>
      <w:r w:rsidRPr="000A3A07">
        <w:t>e</w:t>
      </w:r>
      <w:r w:rsidRPr="000A3A07">
        <w:t>tala ett sammanlagt belopp om upp till 2 400 milj kr.</w:t>
      </w:r>
    </w:p>
    <w:p w14:paraId="2B3857EC" w14:textId="77777777" w:rsidR="007C11E9" w:rsidRPr="000A3A07" w:rsidRDefault="007C11E9">
      <w:pPr>
        <w:pStyle w:val="Normaltindrag"/>
      </w:pPr>
      <w:r w:rsidRPr="000A3A07">
        <w:t>I den ursprungliga avsiktsförklaringen åtog sig emellertid regionen att f</w:t>
      </w:r>
      <w:r w:rsidRPr="000A3A07">
        <w:t>i</w:t>
      </w:r>
      <w:r w:rsidRPr="000A3A07">
        <w:t xml:space="preserve">nansiera upp till 1 000 milj kr, inte mer. Regeringen anser det därför rimligt att staten stödjer regionens finansiering av den resterande delen på 1 400 milj kr. Detta ska emellertid ske utan att statens finansiella belastning ökar. Man föreslår därför att regionen får del av ett eventuellt överskott av framtida trafikavgifter på Öresundsförbindelsen upp till ett belopp av 1 147 milj; därutöver är man mottagare av EU-bidrag till projektet. </w:t>
      </w:r>
    </w:p>
    <w:p w14:paraId="2B91CA56" w14:textId="77777777" w:rsidR="007C11E9" w:rsidRPr="000A3A07" w:rsidRDefault="007C11E9">
      <w:pPr>
        <w:pStyle w:val="Normaltindrag"/>
      </w:pPr>
      <w:r w:rsidRPr="000A3A07">
        <w:t>Sammantaget betyder detta att regionen har ett direkt betalningsa</w:t>
      </w:r>
      <w:r w:rsidRPr="000A3A07">
        <w:t xml:space="preserve">nsvar för kostnader om en miljard kr. Därutöver löper man en risk att få vara med och amortera sin del av lånet på 1,7 miljarder kr som inte betalats efter 30 år och man måste också betala ytterligare (del av) 1,1 miljarder; i båda fallen är kommunens slutliga ansvar beroende på vilket överskott som Öresundsbron är kapabel att leverera. I denna del kan man hävda att kommunen skjuter ett eventuellt betalningsansvar mycket långt framför sig. </w:t>
      </w:r>
    </w:p>
    <w:p w14:paraId="130C084E" w14:textId="77777777" w:rsidR="007C11E9" w:rsidRPr="000A3A07" w:rsidRDefault="007C11E9">
      <w:pPr>
        <w:pStyle w:val="Normaltindrag"/>
      </w:pPr>
      <w:r w:rsidRPr="000A3A07">
        <w:t>Utöver dessa kostnader kan regionen också drabbas av merkostnader i</w:t>
      </w:r>
      <w:r w:rsidRPr="000A3A07">
        <w:t xml:space="preserve"> de olika delarna av bygget. Det är inte klart utsagt om också sådana merkostn</w:t>
      </w:r>
      <w:r w:rsidRPr="000A3A07">
        <w:t>a</w:t>
      </w:r>
      <w:r w:rsidRPr="000A3A07">
        <w:t>der omfattas av statens garanti om att regionen som mest belastas med 1 miljard av investeringen.</w:t>
      </w:r>
    </w:p>
    <w:p w14:paraId="4FA7619D" w14:textId="77777777" w:rsidR="007C11E9" w:rsidRPr="000A3A07" w:rsidRDefault="007C11E9">
      <w:pPr>
        <w:pStyle w:val="Rubrik1"/>
      </w:pPr>
      <w:r w:rsidRPr="000A3A07">
        <w:br w:type="page"/>
      </w:r>
      <w:bookmarkStart w:id="337" w:name="_Toc486738539"/>
      <w:bookmarkStart w:id="338" w:name="_Toc496511397"/>
      <w:bookmarkStart w:id="339" w:name="_Toc506341029"/>
      <w:r w:rsidRPr="000A3A07">
        <w:t>Slutsatser</w:t>
      </w:r>
      <w:bookmarkEnd w:id="337"/>
      <w:bookmarkEnd w:id="338"/>
      <w:bookmarkEnd w:id="339"/>
    </w:p>
    <w:p w14:paraId="6358B699" w14:textId="77777777" w:rsidR="007C11E9" w:rsidRPr="000A3A07" w:rsidRDefault="007C11E9">
      <w:r w:rsidRPr="000A3A07">
        <w:t>De slutsatser som kan dras av genomgången redovisas i tre delar; observati</w:t>
      </w:r>
      <w:r w:rsidRPr="000A3A07">
        <w:t>o</w:t>
      </w:r>
      <w:r w:rsidRPr="000A3A07">
        <w:t>ner som har direkt bäring på den samhällsekonomiska kalkyl som redovisats (9.1); kommentarer med anledning av den process som föregått regeringsb</w:t>
      </w:r>
      <w:r w:rsidRPr="000A3A07">
        <w:t>e</w:t>
      </w:r>
      <w:r w:rsidRPr="000A3A07">
        <w:t>slutet (9.2); och slutligen kommentarer till formuleringar och motiv i reg</w:t>
      </w:r>
      <w:r w:rsidRPr="000A3A07">
        <w:t>e</w:t>
      </w:r>
      <w:r w:rsidRPr="000A3A07">
        <w:t>ringens proposition (9.3).</w:t>
      </w:r>
    </w:p>
    <w:p w14:paraId="5D62015E" w14:textId="77777777" w:rsidR="007C11E9" w:rsidRPr="000A3A07" w:rsidRDefault="007C11E9">
      <w:pPr>
        <w:pStyle w:val="Rubrik2"/>
      </w:pPr>
      <w:bookmarkStart w:id="340" w:name="_Toc486738540"/>
      <w:bookmarkStart w:id="341" w:name="_Toc496511398"/>
      <w:bookmarkStart w:id="342" w:name="_Toc506341030"/>
      <w:r w:rsidRPr="000A3A07">
        <w:t>Den samhällsekonomiska kalkylen</w:t>
      </w:r>
      <w:bookmarkEnd w:id="340"/>
      <w:bookmarkEnd w:id="341"/>
      <w:bookmarkEnd w:id="342"/>
    </w:p>
    <w:p w14:paraId="13DB61AC" w14:textId="77777777" w:rsidR="007C11E9" w:rsidRPr="000A3A07" w:rsidRDefault="007C11E9">
      <w:r w:rsidRPr="000A3A07">
        <w:t>En samhällsekonomisk kalkyl av Citytunneln ingår som en bilaga till SOU 1994:78. Den genomgång som gjorts visar inte på några principiella felakti</w:t>
      </w:r>
      <w:r w:rsidRPr="000A3A07">
        <w:t>g</w:t>
      </w:r>
      <w:r w:rsidRPr="000A3A07">
        <w:t>heter i beräkningarna. Av granskningen framgår vidare att den kostnadsb</w:t>
      </w:r>
      <w:r w:rsidRPr="000A3A07">
        <w:t>e</w:t>
      </w:r>
      <w:r w:rsidRPr="000A3A07">
        <w:t>räkning som ligger till grund för kalkylen är genuint osäker. Även om man skulle kunna önska sig en mer systematisk behandling av denna osäkerhet så torde tveksamheten i denna del vara uppenbar.</w:t>
      </w:r>
    </w:p>
    <w:p w14:paraId="623EB3E3" w14:textId="77777777" w:rsidR="007C11E9" w:rsidRPr="000A3A07" w:rsidRDefault="007C11E9">
      <w:pPr>
        <w:pStyle w:val="Normaltindrag"/>
      </w:pPr>
      <w:r w:rsidRPr="000A3A07">
        <w:t>Redovisningen av de nyttoberäkningar som bygger upp kalkylresultatet är på flera punkter ofullständig. Exempelvis klargör man inte hur stora tidsb</w:t>
      </w:r>
      <w:r w:rsidRPr="000A3A07">
        <w:t>e</w:t>
      </w:r>
      <w:r w:rsidRPr="000A3A07">
        <w:t>sparingar som tunneln beräknas medföra för tågen. Det är bland annat av detta skäl svårt att genomskåda innebörden av de prognosresultat som red</w:t>
      </w:r>
      <w:r w:rsidRPr="000A3A07">
        <w:t>o</w:t>
      </w:r>
      <w:r w:rsidRPr="000A3A07">
        <w:t>visas. Dessutom är beskrivningen av den tänkta framtida pendeltågstrafiken otydlig vilket skapar ytterligare oklarhet vad gäller enskildheter i beräknin</w:t>
      </w:r>
      <w:r w:rsidRPr="000A3A07">
        <w:t>g</w:t>
      </w:r>
      <w:r w:rsidRPr="000A3A07">
        <w:t>arna.</w:t>
      </w:r>
    </w:p>
    <w:p w14:paraId="1A87F258" w14:textId="77777777" w:rsidR="007C11E9" w:rsidRPr="000A3A07" w:rsidRDefault="007C11E9">
      <w:pPr>
        <w:pStyle w:val="Normaltindrag"/>
      </w:pPr>
      <w:r w:rsidRPr="000A3A07">
        <w:t>Vid en slutlig bedömning av kalkylens kvalité måste man också ta hänsyn till omfattningen av den åtgärd som studeras; ju mer kostsam en investering, desto högre krav kan ställas på beslutsunderlaget. Med tan</w:t>
      </w:r>
      <w:r w:rsidRPr="000A3A07">
        <w:t>ke på de stora kostnader som följer av ett beslut om att bygga Citytunneln måste den kalkyl som presenterats betecknas som otillräcklig; en fördjupad analys hade varit motiverad på flera punkter och mera omsorg borde ha lagts ner på att förkl</w:t>
      </w:r>
      <w:r w:rsidRPr="000A3A07">
        <w:t>a</w:t>
      </w:r>
      <w:r w:rsidRPr="000A3A07">
        <w:t>ra och motivera de beräkningar som gjorts. Bristerna i detta hänseende är emellertid knappast förvånande när man ser att utredarna hade mindre än tre månader till sitt förfogande för arb</w:t>
      </w:r>
      <w:r w:rsidRPr="000A3A07">
        <w:t>e</w:t>
      </w:r>
      <w:r w:rsidRPr="000A3A07">
        <w:t>tet.</w:t>
      </w:r>
    </w:p>
    <w:p w14:paraId="6C68DC81" w14:textId="77777777" w:rsidR="007C11E9" w:rsidRPr="000A3A07" w:rsidRDefault="007C11E9">
      <w:pPr>
        <w:pStyle w:val="Normaltindrag"/>
      </w:pPr>
      <w:r w:rsidRPr="000A3A07">
        <w:t>Den korta utredningstiden motiverar en kommentar i sig. Den utredning som tog</w:t>
      </w:r>
      <w:r w:rsidRPr="000A3A07">
        <w:t xml:space="preserve"> så kort tid att genomföra lämnades till regeringen i april 1994. I oktober 1996, det vill säga mer än två år efter det att beslutsunderlaget fanns tillgängligt i regeringskansliet, lämnades regeringens avsiktsförklaring. Pr</w:t>
      </w:r>
      <w:r w:rsidRPr="000A3A07">
        <w:t>o</w:t>
      </w:r>
      <w:r w:rsidRPr="000A3A07">
        <w:t>positionen lät vänta på sig i ytterligare några månader. Det är uppenbart att man från regeringens sida lämnat mer rådrum för politiska överväganden än till att ta fram ett b</w:t>
      </w:r>
      <w:r w:rsidRPr="000A3A07">
        <w:t>e</w:t>
      </w:r>
      <w:r w:rsidRPr="000A3A07">
        <w:t>slutsunderlag med tillräcklig kvalitet.</w:t>
      </w:r>
    </w:p>
    <w:p w14:paraId="0DE02618" w14:textId="77777777" w:rsidR="007C11E9" w:rsidRPr="000A3A07" w:rsidRDefault="007C11E9">
      <w:pPr>
        <w:pStyle w:val="Normaltindrag"/>
      </w:pPr>
      <w:r w:rsidRPr="000A3A07">
        <w:t xml:space="preserve">Ytterligare två utredningar har behandlat förhållanden som sägs vara av </w:t>
      </w:r>
      <w:r w:rsidRPr="000A3A07">
        <w:t>en sådan art att de borde komplettera de kalkyler som genomförts. Vår geno</w:t>
      </w:r>
      <w:r w:rsidRPr="000A3A07">
        <w:t>m</w:t>
      </w:r>
      <w:r w:rsidRPr="000A3A07">
        <w:t xml:space="preserve">gång har visat att även om detta i princip kan vara korrekt i somliga fall, så har ingen ny kunskap tillförts som är tillräckligt säker för att motivera en uppräkning av investeringarnas nytta. </w:t>
      </w:r>
    </w:p>
    <w:p w14:paraId="6B22297A" w14:textId="77777777" w:rsidR="007C11E9" w:rsidRPr="000A3A07" w:rsidRDefault="007C11E9">
      <w:pPr>
        <w:pStyle w:val="Normaltindrag"/>
      </w:pPr>
      <w:r w:rsidRPr="000A3A07">
        <w:t>Man kan avslutningsvis konstatera att den kalkyl som redovisats uppvisar ett negativt resultat; samhällets kostnader för att bygga Citytunneln är större än projektets nytta. De oklarheter som nu påvisats torde om något leda fram till att proj</w:t>
      </w:r>
      <w:r w:rsidRPr="000A3A07">
        <w:t xml:space="preserve">ektets lönsamhet kan vara </w:t>
      </w:r>
      <w:r w:rsidRPr="000A3A07">
        <w:rPr>
          <w:u w:val="single"/>
        </w:rPr>
        <w:t>ännu sämre</w:t>
      </w:r>
      <w:r w:rsidRPr="000A3A07">
        <w:t xml:space="preserve"> än vad som sägs i SOU 1994:78.</w:t>
      </w:r>
    </w:p>
    <w:p w14:paraId="189E2775" w14:textId="77777777" w:rsidR="007C11E9" w:rsidRPr="000A3A07" w:rsidRDefault="007C11E9">
      <w:pPr>
        <w:pStyle w:val="Rubrik2"/>
      </w:pPr>
      <w:bookmarkStart w:id="343" w:name="_Toc486738541"/>
      <w:bookmarkStart w:id="344" w:name="_Toc496511399"/>
      <w:bookmarkStart w:id="345" w:name="_Toc506341031"/>
      <w:r w:rsidRPr="000A3A07">
        <w:t>Beslutsprocessen och projektets kostnader</w:t>
      </w:r>
      <w:bookmarkEnd w:id="343"/>
      <w:bookmarkEnd w:id="344"/>
      <w:bookmarkEnd w:id="345"/>
    </w:p>
    <w:p w14:paraId="065C69FB" w14:textId="77777777" w:rsidR="007C11E9" w:rsidRPr="000A3A07" w:rsidRDefault="007C11E9">
      <w:r w:rsidRPr="000A3A07">
        <w:t>Redan i juni 1992 träffar en företrädare för regionen och regeringen (statens förhandlingsman) en principiell överenskommelse om att tunnelprojektet bör genomföras. Man kunde emellertid inte enas om en finansieringslösning. Vidare föregick regeringens avsiktsförklaring 1996 den finansiella lösning som lades fast i och med regeringens proposition. Innebörden är att regerin</w:t>
      </w:r>
      <w:r w:rsidRPr="000A3A07">
        <w:t>g</w:t>
      </w:r>
      <w:r w:rsidRPr="000A3A07">
        <w:t>en gjort ett åtagande vad gäller projektets genomförande utan att klargöra hur åtagandet ska bekostas. Detta ger givetvis företrädare för de parter som dr</w:t>
      </w:r>
      <w:r w:rsidRPr="000A3A07">
        <w:t>i</w:t>
      </w:r>
      <w:r w:rsidRPr="000A3A07">
        <w:t>ver projektet - i det här fallet regionen - en relativt starkare ställning i fö</w:t>
      </w:r>
      <w:r w:rsidRPr="000A3A07">
        <w:t>r</w:t>
      </w:r>
      <w:r w:rsidRPr="000A3A07">
        <w:t>handlingarna kring finansieringen än om inga s</w:t>
      </w:r>
      <w:r w:rsidRPr="000A3A07">
        <w:t>å</w:t>
      </w:r>
      <w:r w:rsidRPr="000A3A07">
        <w:t xml:space="preserve">dana åtaganden fanns. </w:t>
      </w:r>
    </w:p>
    <w:p w14:paraId="225A77AF" w14:textId="77777777" w:rsidR="007C11E9" w:rsidRPr="000A3A07" w:rsidRDefault="007C11E9">
      <w:pPr>
        <w:pStyle w:val="Normaltindrag"/>
      </w:pPr>
      <w:r w:rsidRPr="000A3A07">
        <w:t>Det måste betraktas som principiellt diskutabelt att på detta sätt utsätta r</w:t>
      </w:r>
      <w:r w:rsidRPr="000A3A07">
        <w:t>i</w:t>
      </w:r>
      <w:r w:rsidRPr="000A3A07">
        <w:t>kets finanser för en påtaglig risk för framtida merkostnader som inte kan beräknas vid det tillfälle ett principbeslut tas. Om man anser att en åtgärd bör genomföras bör detta beslut kopplas till en finansiell lösning. Särskilt viktigt är detta eftersom incitamenten för att hålla byggkostnaderna nere påverkas av vem som har det slutliga beta</w:t>
      </w:r>
      <w:r w:rsidRPr="000A3A07">
        <w:t>l</w:t>
      </w:r>
      <w:r w:rsidRPr="000A3A07">
        <w:t>ningsansvaret.</w:t>
      </w:r>
    </w:p>
    <w:p w14:paraId="03AE4294" w14:textId="77777777" w:rsidR="007C11E9" w:rsidRPr="000A3A07" w:rsidRDefault="007C11E9">
      <w:pPr>
        <w:pStyle w:val="Normaltindrag"/>
      </w:pPr>
      <w:r w:rsidRPr="000A3A07">
        <w:t>Man kan vidare konstatera att regionen haft en stark position under den process som lett fram till regeringens beslutet, inte bara som intresseföretr</w:t>
      </w:r>
      <w:r w:rsidRPr="000A3A07">
        <w:t>ä</w:t>
      </w:r>
      <w:r w:rsidRPr="000A3A07">
        <w:t>dare utan också i utredningsarbetet. Man har exempelvis haft huvudansvaret för kostnadsberäkningarna i de båda första utredningarna och även samarb</w:t>
      </w:r>
      <w:r w:rsidRPr="000A3A07">
        <w:t>e</w:t>
      </w:r>
      <w:r w:rsidRPr="000A3A07">
        <w:t xml:space="preserve">tat med Svedab i den utredning som föregick regeringens beslut. </w:t>
      </w:r>
    </w:p>
    <w:p w14:paraId="4F3CDE9D" w14:textId="77777777" w:rsidR="007C11E9" w:rsidRPr="000A3A07" w:rsidRDefault="007C11E9">
      <w:pPr>
        <w:pStyle w:val="Normaltindrag"/>
      </w:pPr>
      <w:r w:rsidRPr="000A3A07">
        <w:t>Projektets prognostiserade kostnader har ökat under utredningsprocessens gång, särskilt i anslutning till regeringens beslut och därefter. I 1992 års utredning från Malmö stad beräknades kostnaden till 3 423 milj kr (prisnivå 96-01). Kostnaden uppgick 1994 till 3 660 milj kr (Dennisutredningen där</w:t>
      </w:r>
      <w:r w:rsidRPr="000A3A07">
        <w:t xml:space="preserve"> Malmö stad stod för kostnadsberäkningen) och 1996 hade kostnaden stigit till 4 950 milj kr (beräknat av Svedab och Malmö stad). I ett pressmeddela</w:t>
      </w:r>
      <w:r w:rsidRPr="000A3A07">
        <w:t>n</w:t>
      </w:r>
      <w:r w:rsidRPr="000A3A07">
        <w:t>de som finns tillgängligt på Citytunnelkonsortiets hemsida anges kostnaden år 2000 - det vill säga efter det att beslutet tagits och då planeringen är i full gång men innan själva bygget påbörjats - till 7 120 milj kr.</w:t>
      </w:r>
    </w:p>
    <w:p w14:paraId="6D350560" w14:textId="77777777" w:rsidR="007C11E9" w:rsidRPr="000A3A07" w:rsidRDefault="007C11E9">
      <w:pPr>
        <w:pStyle w:val="Normaltindrag"/>
      </w:pPr>
      <w:r w:rsidRPr="000A3A07">
        <w:t>Regionen har också tillsammans med SJ haft ansvaret för att utarbeta traf</w:t>
      </w:r>
      <w:r w:rsidRPr="000A3A07">
        <w:t>i</w:t>
      </w:r>
      <w:r w:rsidRPr="000A3A07">
        <w:t>keringsförutsättningarna för den samhällsekonomiska kalkylen. Man har dessutom låtit genomföra två kompletterande studier vars syfte varit att y</w:t>
      </w:r>
      <w:r w:rsidRPr="000A3A07">
        <w:t>t</w:t>
      </w:r>
      <w:r w:rsidRPr="000A3A07">
        <w:t>terligare belägga projektets samhällsnytta. Slutligen har man i det avtal som slutligen träffats mellan parterna kunnat begränsa sina finansiella åt</w:t>
      </w:r>
      <w:r w:rsidRPr="000A3A07">
        <w:t>a</w:t>
      </w:r>
      <w:r w:rsidRPr="000A3A07">
        <w:t>ganden.</w:t>
      </w:r>
    </w:p>
    <w:p w14:paraId="261C13A3" w14:textId="77777777" w:rsidR="007C11E9" w:rsidRPr="000A3A07" w:rsidRDefault="007C11E9">
      <w:pPr>
        <w:pStyle w:val="Normaltindrag"/>
      </w:pPr>
      <w:r w:rsidRPr="000A3A07">
        <w:t>Det finns ingen anledning att här hävda att några oegentligheter föreko</w:t>
      </w:r>
      <w:r w:rsidRPr="000A3A07">
        <w:t>m</w:t>
      </w:r>
      <w:r w:rsidRPr="000A3A07">
        <w:t>mit. Det är å andra sidan uppenbart olämpligt att ge företrädare för ett särintresse en så viktig roll under utredningsprocessen. Det framgick också redan i samband med det inledande utredningsarbetet att osäkerheten vad gäller projektets kostnader är stor, något som ytterligare borde ha föranlett regeringen att säkerställa en allsidig bedö</w:t>
      </w:r>
      <w:r w:rsidRPr="000A3A07">
        <w:t>m</w:t>
      </w:r>
      <w:r w:rsidRPr="000A3A07">
        <w:t>ning av kostnaderna.</w:t>
      </w:r>
    </w:p>
    <w:p w14:paraId="1E2A0D16" w14:textId="77777777" w:rsidR="007C11E9" w:rsidRPr="000A3A07" w:rsidRDefault="007C11E9">
      <w:pPr>
        <w:pStyle w:val="Normaltindrag"/>
      </w:pPr>
      <w:r w:rsidRPr="000A3A07">
        <w:t>Inte minst med tanke på att huvuddelen av projektet i slutänden på ett eller annat sätt torde komma att bekostas via statskassan är det angeläget a</w:t>
      </w:r>
      <w:r w:rsidRPr="000A3A07">
        <w:t>tt staten också har huvudansvaret för kalkylresultatet. Av genomgången kan man eventuellt dra slutsatsen att utredarna tvingats utnyttja regionens resurser till följd av att man fått otillräcklig tid och att man inte tilldelats tillräckliga egna resurser för att ta fram ett mer alls</w:t>
      </w:r>
      <w:r w:rsidRPr="000A3A07">
        <w:t>i</w:t>
      </w:r>
      <w:r w:rsidRPr="000A3A07">
        <w:t>digt beslutsunderlag.</w:t>
      </w:r>
    </w:p>
    <w:p w14:paraId="4E44D9A9" w14:textId="77777777" w:rsidR="007C11E9" w:rsidRPr="000A3A07" w:rsidRDefault="007C11E9">
      <w:pPr>
        <w:pStyle w:val="Rubrik2"/>
      </w:pPr>
      <w:bookmarkStart w:id="346" w:name="_Toc486738542"/>
      <w:bookmarkStart w:id="347" w:name="_Toc496511400"/>
      <w:bookmarkStart w:id="348" w:name="_Toc506341032"/>
      <w:r w:rsidRPr="000A3A07">
        <w:t>Regeringens beslut</w:t>
      </w:r>
      <w:bookmarkEnd w:id="346"/>
      <w:bookmarkEnd w:id="347"/>
      <w:bookmarkEnd w:id="348"/>
    </w:p>
    <w:p w14:paraId="425F0BF9" w14:textId="77777777" w:rsidR="007C11E9" w:rsidRPr="000A3A07" w:rsidRDefault="007C11E9">
      <w:r w:rsidRPr="000A3A07">
        <w:t>I regeringens beslut om att ge klartecken för att bygga Citytunneln åberopas två motiv. Man säger för det första att projektets betydelse för spårbunden kollektivtrafik är mycket stor. Den genomgång som här gjorts ger inga b</w:t>
      </w:r>
      <w:r w:rsidRPr="000A3A07">
        <w:t>e</w:t>
      </w:r>
      <w:r w:rsidRPr="000A3A07">
        <w:t>lägg för denna slutsats.</w:t>
      </w:r>
    </w:p>
    <w:p w14:paraId="535B38A8" w14:textId="77777777" w:rsidR="007C11E9" w:rsidRPr="000A3A07" w:rsidRDefault="007C11E9">
      <w:pPr>
        <w:pStyle w:val="Normaltindrag"/>
      </w:pPr>
      <w:r w:rsidRPr="000A3A07">
        <w:t>Man konstaterar, för det andra, att det material som inkommit från Ko</w:t>
      </w:r>
      <w:r w:rsidRPr="000A3A07">
        <w:t>n</w:t>
      </w:r>
      <w:r w:rsidRPr="000A3A07">
        <w:t>cessionsnämnden för miljöskydd i allt väsentligt innebär att tidigare redov</w:t>
      </w:r>
      <w:r w:rsidRPr="000A3A07">
        <w:t>i</w:t>
      </w:r>
      <w:r w:rsidRPr="000A3A07">
        <w:t>sade utredningar, särskilt vad gäller de samhällsekonomiska kalkyler som genomförts, kan lämnas åt sidan. Skälet är att Kontinentalbanan - som är det enda alternativ till Citytunneln som studerats - inte kan ta emot de trafi</w:t>
      </w:r>
      <w:r w:rsidRPr="000A3A07">
        <w:t>k</w:t>
      </w:r>
      <w:r w:rsidRPr="000A3A07">
        <w:t>mängder som skulle bli aktuella. Bullerstörningarna skulle bli så allvarliga att detta inte vore förenligt med milj</w:t>
      </w:r>
      <w:r w:rsidRPr="000A3A07">
        <w:t>ö</w:t>
      </w:r>
      <w:r w:rsidRPr="000A3A07">
        <w:t>skyddslagen.</w:t>
      </w:r>
    </w:p>
    <w:p w14:paraId="6D995FC4" w14:textId="77777777" w:rsidR="007C11E9" w:rsidRPr="000A3A07" w:rsidRDefault="007C11E9">
      <w:pPr>
        <w:pStyle w:val="Normaltindrag"/>
      </w:pPr>
      <w:r w:rsidRPr="000A3A07">
        <w:t>Man kan här konstatera att regeringens principiella utsaga i sig är korrekt; om d</w:t>
      </w:r>
      <w:r w:rsidRPr="000A3A07">
        <w:t>et jämförelsealternativ som ställts upp i kalkylen inte kan genomföras så saknar också kalkylen värde som underlag för att ta beslut. Till saken hör emellertid att Koncessionsnämnden föreslår regeringen att låta utreda alte</w:t>
      </w:r>
      <w:r w:rsidRPr="000A3A07">
        <w:t>r</w:t>
      </w:r>
      <w:r w:rsidRPr="000A3A07">
        <w:t>nativa sträckningar eller åtgärder. Detta sker ett år innan dess att regeringen tar sitt slutliga beslut i ärendet.</w:t>
      </w:r>
    </w:p>
    <w:p w14:paraId="2FFBE122" w14:textId="77777777" w:rsidR="007C11E9" w:rsidRPr="000A3A07" w:rsidRDefault="007C11E9">
      <w:pPr>
        <w:pStyle w:val="Normaltindrag"/>
      </w:pPr>
      <w:r w:rsidRPr="000A3A07">
        <w:t>Ett alternativ till Citytunneln - vad som kallas ett yttre godsspår - avfärdas i regeringens proposition utan hänvisning till något utredningsunderlag. Det kan emellertid f</w:t>
      </w:r>
      <w:r w:rsidRPr="000A3A07">
        <w:t xml:space="preserve">innas också andra alternativa sätt att hantera miljöproblem i samband med tågtrafik på Kontinentalbanan. </w:t>
      </w:r>
    </w:p>
    <w:p w14:paraId="6CF8A3CD" w14:textId="77777777" w:rsidR="007C11E9" w:rsidRPr="000A3A07" w:rsidRDefault="007C11E9">
      <w:pPr>
        <w:pStyle w:val="Normaltindrag"/>
      </w:pPr>
      <w:r w:rsidRPr="000A3A07">
        <w:t>Syftet med denna granskning är inte att ifrågasätta Koncessionsnämndens bedömningar vad gäller bullerstörningar till följd av tågtrafik på Kontine</w:t>
      </w:r>
      <w:r w:rsidRPr="000A3A07">
        <w:t>n</w:t>
      </w:r>
      <w:r w:rsidRPr="000A3A07">
        <w:t>talbanan. Vid en genomläsning av den samlade skriftväxlingen framgår emellertid att det huvudsakliga problemet med trafik på Kontinentalbanan härrör från godstrafiken. Av det utredningsmaterial som här redovisats fra</w:t>
      </w:r>
      <w:r w:rsidRPr="000A3A07">
        <w:t>m</w:t>
      </w:r>
      <w:r w:rsidRPr="000A3A07">
        <w:t xml:space="preserve">går att en minskning av persontrafiken gör vare sig från eller till vad gäller de upplevda olägenheterna. Det framstår därför som anmärkningsvärt att det avgörande argumentet för Citytunnelns tillkomst utgörs av en miljöstörning som ingen annan instans påtalat. </w:t>
      </w:r>
    </w:p>
    <w:p w14:paraId="19B0D022" w14:textId="77777777" w:rsidR="007C11E9" w:rsidRPr="000A3A07" w:rsidRDefault="007C11E9">
      <w:pPr>
        <w:pStyle w:val="Normaltindrag"/>
      </w:pPr>
      <w:r w:rsidRPr="000A3A07">
        <w:t>En naturlig reaktion i denna de</w:t>
      </w:r>
      <w:r w:rsidRPr="000A3A07">
        <w:t>l borde vara att ytterligare låta undersöka de påstått stora störningarna för att bättre förstå vad som kan göras för att b</w:t>
      </w:r>
      <w:r w:rsidRPr="000A3A07">
        <w:t>e</w:t>
      </w:r>
      <w:r w:rsidRPr="000A3A07">
        <w:t>gränsa problemet. Man borde därutöver ha undersökt vilka ytterligare åtgä</w:t>
      </w:r>
      <w:r w:rsidRPr="000A3A07">
        <w:t>r</w:t>
      </w:r>
      <w:r w:rsidRPr="000A3A07">
        <w:t>der på Kontinentalbanan som hade kunnat genomföras. Relativt stora kos</w:t>
      </w:r>
      <w:r w:rsidRPr="000A3A07">
        <w:t>t</w:t>
      </w:r>
      <w:r w:rsidRPr="000A3A07">
        <w:t>nadsökningar för att begränsa buller från trafik på Kontinentalbanan kan accepteras utan att huvudslutsatsen - att Citytunneln är ett sämre alternativ - hade förän</w:t>
      </w:r>
      <w:r w:rsidRPr="000A3A07">
        <w:t>d</w:t>
      </w:r>
      <w:r w:rsidRPr="000A3A07">
        <w:t>rats.</w:t>
      </w:r>
    </w:p>
    <w:p w14:paraId="2F2D681E" w14:textId="77777777" w:rsidR="007C11E9" w:rsidRPr="000A3A07" w:rsidRDefault="007C11E9">
      <w:pPr>
        <w:pStyle w:val="RubrikUtanNr"/>
      </w:pPr>
      <w:r w:rsidRPr="000A3A07">
        <w:br w:type="page"/>
      </w:r>
      <w:bookmarkStart w:id="349" w:name="_Toc486738543"/>
      <w:bookmarkStart w:id="350" w:name="_Toc496511401"/>
      <w:bookmarkStart w:id="351" w:name="_Toc506341033"/>
      <w:r w:rsidRPr="000A3A07">
        <w:t>Referenser</w:t>
      </w:r>
      <w:bookmarkEnd w:id="349"/>
      <w:bookmarkEnd w:id="350"/>
      <w:bookmarkEnd w:id="351"/>
    </w:p>
    <w:p w14:paraId="7C00107A" w14:textId="77777777" w:rsidR="007C11E9" w:rsidRPr="000A3A07" w:rsidRDefault="007C11E9">
      <w:pPr>
        <w:tabs>
          <w:tab w:val="left" w:pos="284"/>
        </w:tabs>
      </w:pPr>
      <w:r w:rsidRPr="000A3A07">
        <w:t xml:space="preserve">Inregia (1995). Citytunnelns strategiska roll. Integrationens ekonomiska </w:t>
      </w:r>
      <w:r w:rsidRPr="000A3A07">
        <w:tab/>
        <w:t>effekter. Augusti.</w:t>
      </w:r>
    </w:p>
    <w:p w14:paraId="29850066" w14:textId="77777777" w:rsidR="007C11E9" w:rsidRPr="000A3A07" w:rsidRDefault="007C11E9">
      <w:pPr>
        <w:tabs>
          <w:tab w:val="left" w:pos="284"/>
        </w:tabs>
      </w:pPr>
      <w:r w:rsidRPr="000A3A07">
        <w:t xml:space="preserve">Inregia (1996). Citytunnelns strategiska roll. Effekter för tillgänglighet, </w:t>
      </w:r>
      <w:r w:rsidRPr="000A3A07">
        <w:tab/>
        <w:t>resande och lokalis</w:t>
      </w:r>
      <w:r w:rsidRPr="000A3A07">
        <w:t>e</w:t>
      </w:r>
      <w:r w:rsidRPr="000A3A07">
        <w:t>ring.</w:t>
      </w:r>
    </w:p>
    <w:p w14:paraId="6E6D0811" w14:textId="77777777" w:rsidR="007C11E9" w:rsidRPr="000A3A07" w:rsidRDefault="007C11E9">
      <w:pPr>
        <w:tabs>
          <w:tab w:val="left" w:pos="284"/>
        </w:tabs>
      </w:pPr>
      <w:r w:rsidRPr="000A3A07">
        <w:t xml:space="preserve">Isacsson, G. (2000). Litteraturstudie m.m. avseende forskningsprojektet </w:t>
      </w:r>
      <w:r w:rsidRPr="000A3A07">
        <w:tab/>
        <w:t>'Effekter av infrastrukturinvesteringar på arbetsmarknadens funktions-</w:t>
      </w:r>
      <w:r w:rsidRPr="000A3A07">
        <w:tab/>
        <w:t>sätt.' Centrum för Transportek</w:t>
      </w:r>
      <w:r w:rsidRPr="000A3A07">
        <w:t>o</w:t>
      </w:r>
      <w:r w:rsidRPr="000A3A07">
        <w:t>nomi.</w:t>
      </w:r>
    </w:p>
    <w:p w14:paraId="67DB6B29" w14:textId="77777777" w:rsidR="007C11E9" w:rsidRPr="000A3A07" w:rsidRDefault="007C11E9">
      <w:pPr>
        <w:tabs>
          <w:tab w:val="left" w:pos="284"/>
        </w:tabs>
      </w:pPr>
      <w:r w:rsidRPr="000A3A07">
        <w:t>Koncessionsnämndens beslut nr 198/95.</w:t>
      </w:r>
    </w:p>
    <w:p w14:paraId="67AAEED1" w14:textId="77777777" w:rsidR="007C11E9" w:rsidRPr="000A3A07" w:rsidRDefault="007C11E9">
      <w:pPr>
        <w:tabs>
          <w:tab w:val="left" w:pos="284"/>
        </w:tabs>
      </w:pPr>
      <w:r w:rsidRPr="000A3A07">
        <w:t>K96/3578. Regeringens avsiktsförklaring vad gäller byggande av Citytun-</w:t>
      </w:r>
      <w:r w:rsidRPr="000A3A07">
        <w:tab/>
        <w:t>neln.</w:t>
      </w:r>
    </w:p>
    <w:p w14:paraId="2398A97C" w14:textId="77777777" w:rsidR="007C11E9" w:rsidRPr="000A3A07" w:rsidRDefault="007C11E9">
      <w:pPr>
        <w:tabs>
          <w:tab w:val="left" w:pos="284"/>
        </w:tabs>
      </w:pPr>
      <w:r w:rsidRPr="000A3A07">
        <w:t>Proposition 1996/97:161. Öresundsförbindelsen och C</w:t>
      </w:r>
      <w:r w:rsidRPr="000A3A07">
        <w:t>i</w:t>
      </w:r>
      <w:r w:rsidRPr="000A3A07">
        <w:t>tytunneln.</w:t>
      </w:r>
    </w:p>
    <w:p w14:paraId="32AAC08E" w14:textId="77777777" w:rsidR="007C11E9" w:rsidRPr="000A3A07" w:rsidRDefault="007C11E9">
      <w:pPr>
        <w:tabs>
          <w:tab w:val="left" w:pos="284"/>
        </w:tabs>
      </w:pPr>
      <w:r w:rsidRPr="000A3A07">
        <w:t xml:space="preserve">Regeringsbeslut M95/4651/8. Ansökan om tillstånd till utbyggnad och drift </w:t>
      </w:r>
      <w:r w:rsidRPr="000A3A07">
        <w:tab/>
        <w:t>av Kontinenta</w:t>
      </w:r>
      <w:r w:rsidRPr="000A3A07">
        <w:t>l</w:t>
      </w:r>
      <w:r w:rsidRPr="000A3A07">
        <w:t>banan i Malmö.</w:t>
      </w:r>
    </w:p>
    <w:p w14:paraId="5BA9DE80" w14:textId="77777777" w:rsidR="007C11E9" w:rsidRPr="000A3A07" w:rsidRDefault="007C11E9">
      <w:pPr>
        <w:tabs>
          <w:tab w:val="left" w:pos="284"/>
        </w:tabs>
      </w:pPr>
      <w:r w:rsidRPr="000A3A07">
        <w:t>SOU 1992:114. Malmöregionens trafiksystem. Överenskommelse om åtgär-</w:t>
      </w:r>
      <w:r w:rsidRPr="000A3A07">
        <w:tab/>
        <w:t>der i trafikens i</w:t>
      </w:r>
      <w:r w:rsidRPr="000A3A07">
        <w:t>n</w:t>
      </w:r>
      <w:r w:rsidRPr="000A3A07">
        <w:t>frastruktur.</w:t>
      </w:r>
    </w:p>
    <w:p w14:paraId="1EC9C951" w14:textId="77777777" w:rsidR="007C11E9" w:rsidRPr="000A3A07" w:rsidRDefault="007C11E9">
      <w:pPr>
        <w:tabs>
          <w:tab w:val="left" w:pos="284"/>
        </w:tabs>
      </w:pPr>
      <w:r w:rsidRPr="000A3A07">
        <w:t>SOU 1994:78. Citytunneln i Malmö. Betänkande av Utredningen med upp-</w:t>
      </w:r>
      <w:r w:rsidRPr="000A3A07">
        <w:tab/>
        <w:t xml:space="preserve">drag att lämna förslag till genomförande och finansiering av en eventuell </w:t>
      </w:r>
      <w:r w:rsidRPr="000A3A07">
        <w:tab/>
        <w:t>Citytunnel i Malmö.</w:t>
      </w:r>
    </w:p>
    <w:p w14:paraId="3E3CE2B8" w14:textId="77777777" w:rsidR="007C11E9" w:rsidRPr="000A3A07" w:rsidRDefault="007C11E9">
      <w:pPr>
        <w:tabs>
          <w:tab w:val="left" w:pos="284"/>
        </w:tabs>
      </w:pPr>
      <w:r w:rsidRPr="000A3A07">
        <w:t xml:space="preserve">Svedab (1996). Citytunneln. Sammanfattning av utredning om teknik och </w:t>
      </w:r>
      <w:r w:rsidRPr="000A3A07">
        <w:tab/>
        <w:t>kostnader.</w:t>
      </w:r>
    </w:p>
    <w:p w14:paraId="40D292D2" w14:textId="77777777" w:rsidR="007C11E9" w:rsidRPr="000A3A07" w:rsidRDefault="007C11E9">
      <w:pPr>
        <w:pStyle w:val="Normaltindrag"/>
        <w:sectPr w:rsidR="00000000" w:rsidRPr="000A3A07">
          <w:headerReference w:type="default" r:id="rId60"/>
          <w:footerReference w:type="default" r:id="rId61"/>
          <w:footnotePr>
            <w:numRestart w:val="eachSect"/>
          </w:footnotePr>
          <w:endnotePr>
            <w:numRestart w:val="eachSect"/>
          </w:endnotePr>
          <w:pgSz w:w="11906" w:h="16838" w:code="9"/>
          <w:pgMar w:top="567" w:right="4876" w:bottom="4508" w:left="1134" w:header="227" w:footer="227" w:gutter="0"/>
          <w:cols w:space="720"/>
        </w:sectPr>
      </w:pPr>
    </w:p>
    <w:bookmarkEnd w:id="265"/>
    <w:bookmarkEnd w:id="266"/>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0A3A07" w14:paraId="5DDCF85B" w14:textId="77777777">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14:paraId="6957644B" w14:textId="77777777" w:rsidR="007C11E9" w:rsidRPr="000A3A07" w:rsidRDefault="007C11E9">
            <w:pPr>
              <w:pStyle w:val="HuvudRubrik"/>
            </w:pPr>
          </w:p>
          <w:p w14:paraId="58AF8190" w14:textId="77777777" w:rsidR="007C11E9" w:rsidRPr="000A3A07" w:rsidRDefault="007C11E9">
            <w:pPr>
              <w:pStyle w:val="HuvudRubrik"/>
            </w:pPr>
          </w:p>
          <w:p w14:paraId="600A55DD" w14:textId="77777777" w:rsidR="007C11E9" w:rsidRPr="000A3A07" w:rsidRDefault="007C11E9">
            <w:pPr>
              <w:pStyle w:val="HuvudRubrik"/>
            </w:pPr>
          </w:p>
          <w:p w14:paraId="078CF65A" w14:textId="77777777" w:rsidR="007C11E9" w:rsidRPr="000A3A07" w:rsidRDefault="007C11E9">
            <w:pPr>
              <w:pStyle w:val="HuvudRubrik"/>
            </w:pPr>
            <w:r w:rsidRPr="000A3A07">
              <w:t>Rapport 2000/01:5</w:t>
            </w:r>
          </w:p>
        </w:tc>
        <w:tc>
          <w:tcPr>
            <w:tcW w:w="2126" w:type="dxa"/>
            <w:gridSpan w:val="2"/>
            <w:tcBorders>
              <w:bottom w:val="single" w:sz="6" w:space="0" w:color="auto"/>
            </w:tcBorders>
          </w:tcPr>
          <w:p w14:paraId="45D37FDC" w14:textId="69A7D07B" w:rsidR="007C11E9" w:rsidRPr="000A3A07" w:rsidRDefault="000A3A07">
            <w:pPr>
              <w:pStyle w:val="rtal"/>
              <w:spacing w:before="120"/>
              <w:ind w:left="0"/>
            </w:pPr>
            <w:r w:rsidRPr="000A3A07">
              <w:rPr>
                <w:noProof/>
              </w:rPr>
              <w:drawing>
                <wp:inline distT="0" distB="0" distL="0" distR="0" wp14:anchorId="0E9A9AFE" wp14:editId="45FBD85A">
                  <wp:extent cx="1094105" cy="109410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0A3A07" w14:paraId="283B0413" w14:textId="77777777">
        <w:tblPrEx>
          <w:tblCellMar>
            <w:top w:w="0" w:type="dxa"/>
            <w:bottom w:w="0" w:type="dxa"/>
          </w:tblCellMar>
        </w:tblPrEx>
        <w:trPr>
          <w:cantSplit/>
          <w:trHeight w:hRule="exact" w:val="660"/>
        </w:trPr>
        <w:tc>
          <w:tcPr>
            <w:tcW w:w="3012" w:type="dxa"/>
          </w:tcPr>
          <w:p w14:paraId="0130A84F" w14:textId="77777777" w:rsidR="007C11E9" w:rsidRPr="000A3A07" w:rsidRDefault="007C11E9">
            <w:pPr>
              <w:pStyle w:val="StatusSida1"/>
            </w:pPr>
          </w:p>
        </w:tc>
        <w:tc>
          <w:tcPr>
            <w:tcW w:w="2445" w:type="dxa"/>
            <w:gridSpan w:val="2"/>
          </w:tcPr>
          <w:p w14:paraId="42B58BBB" w14:textId="77777777" w:rsidR="007C11E9" w:rsidRPr="000A3A07" w:rsidRDefault="007C11E9">
            <w:pPr>
              <w:pStyle w:val="UtskriftsdatumSida1"/>
              <w:rPr>
                <w:b/>
                <w:sz w:val="28"/>
              </w:rPr>
            </w:pPr>
          </w:p>
        </w:tc>
        <w:tc>
          <w:tcPr>
            <w:tcW w:w="2126" w:type="dxa"/>
            <w:gridSpan w:val="2"/>
          </w:tcPr>
          <w:p w14:paraId="49BE6524" w14:textId="77777777" w:rsidR="007C11E9" w:rsidRPr="000A3A07" w:rsidRDefault="007C11E9"/>
        </w:tc>
      </w:tr>
    </w:tbl>
    <w:p w14:paraId="7B181940" w14:textId="77777777" w:rsidR="007C11E9" w:rsidRPr="000A3A07" w:rsidRDefault="007C11E9"/>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0A3A07" w14:paraId="64A4C9E2" w14:textId="77777777">
        <w:tblPrEx>
          <w:tblCellMar>
            <w:top w:w="0" w:type="dxa"/>
            <w:bottom w:w="0" w:type="dxa"/>
          </w:tblCellMar>
        </w:tblPrEx>
        <w:trPr>
          <w:cantSplit/>
        </w:trPr>
        <w:tc>
          <w:tcPr>
            <w:tcW w:w="6036" w:type="dxa"/>
          </w:tcPr>
          <w:p w14:paraId="668DAFF9" w14:textId="77777777" w:rsidR="007C11E9" w:rsidRPr="000A3A07" w:rsidRDefault="007C11E9">
            <w:pPr>
              <w:spacing w:before="240"/>
            </w:pPr>
          </w:p>
        </w:tc>
      </w:tr>
      <w:tr w:rsidR="00000000" w:rsidRPr="000A3A07" w14:paraId="4D713457" w14:textId="77777777">
        <w:tblPrEx>
          <w:tblCellMar>
            <w:top w:w="0" w:type="dxa"/>
            <w:bottom w:w="0" w:type="dxa"/>
          </w:tblCellMar>
        </w:tblPrEx>
        <w:trPr>
          <w:cantSplit/>
          <w:trHeight w:val="6000"/>
        </w:trPr>
        <w:tc>
          <w:tcPr>
            <w:tcW w:w="6036" w:type="dxa"/>
          </w:tcPr>
          <w:p w14:paraId="20E1C88F" w14:textId="77777777" w:rsidR="007C11E9" w:rsidRPr="000A3A07" w:rsidRDefault="007C11E9">
            <w:pPr>
              <w:pStyle w:val="RubrikFrstaSida"/>
            </w:pPr>
            <w:r w:rsidRPr="000A3A07">
              <w:t>Bilaga 4</w:t>
            </w:r>
          </w:p>
          <w:p w14:paraId="10D7C72E" w14:textId="77777777" w:rsidR="007C11E9" w:rsidRPr="000A3A07" w:rsidRDefault="007C11E9">
            <w:pPr>
              <w:pStyle w:val="HuvudRubrikRad2"/>
              <w:spacing w:before="840"/>
            </w:pPr>
            <w:r w:rsidRPr="000A3A07">
              <w:t>Granskning av de samhällsekonomiska kalkylerna för Södra länken presenterade i Inregia (1996) och Transek (1998)</w:t>
            </w:r>
          </w:p>
          <w:p w14:paraId="4100F026" w14:textId="77777777" w:rsidR="007C11E9" w:rsidRPr="000A3A07" w:rsidRDefault="007C11E9">
            <w:pPr>
              <w:pStyle w:val="Normaltindrag"/>
            </w:pPr>
          </w:p>
          <w:p w14:paraId="5C09C3BC" w14:textId="77777777" w:rsidR="007C11E9" w:rsidRPr="000A3A07" w:rsidRDefault="007C11E9">
            <w:pPr>
              <w:pStyle w:val="Normaltindrag"/>
            </w:pPr>
          </w:p>
          <w:p w14:paraId="7DA6ECA5" w14:textId="77777777" w:rsidR="007C11E9" w:rsidRPr="000A3A07" w:rsidRDefault="007C11E9">
            <w:pPr>
              <w:pStyle w:val="Normaltindrag"/>
            </w:pPr>
          </w:p>
          <w:p w14:paraId="07D15E9F" w14:textId="77777777" w:rsidR="007C11E9" w:rsidRPr="000A3A07" w:rsidRDefault="007C11E9">
            <w:pPr>
              <w:pStyle w:val="Normaltindrag"/>
            </w:pPr>
          </w:p>
          <w:p w14:paraId="0627A3CD" w14:textId="77777777" w:rsidR="007C11E9" w:rsidRPr="000A3A07" w:rsidRDefault="007C11E9">
            <w:pPr>
              <w:pStyle w:val="Normaltindrag"/>
            </w:pPr>
          </w:p>
          <w:p w14:paraId="39C39F21" w14:textId="77777777" w:rsidR="007C11E9" w:rsidRPr="000A3A07" w:rsidRDefault="007C11E9">
            <w:pPr>
              <w:pStyle w:val="Normaltindrag"/>
            </w:pPr>
          </w:p>
          <w:p w14:paraId="20BC7C8C" w14:textId="77777777" w:rsidR="007C11E9" w:rsidRPr="000A3A07" w:rsidRDefault="007C11E9">
            <w:pPr>
              <w:pStyle w:val="Normaltindrag"/>
            </w:pPr>
          </w:p>
          <w:p w14:paraId="7A02CC3D" w14:textId="77777777" w:rsidR="007C11E9" w:rsidRPr="000A3A07" w:rsidRDefault="007C11E9">
            <w:pPr>
              <w:pStyle w:val="Normaltindrag"/>
            </w:pPr>
            <w:r w:rsidRPr="000A3A07">
              <w:t>Jan Owen Jansson</w:t>
            </w:r>
          </w:p>
          <w:p w14:paraId="58624801" w14:textId="77777777" w:rsidR="007C11E9" w:rsidRPr="000A3A07" w:rsidRDefault="007C11E9">
            <w:pPr>
              <w:pStyle w:val="Normaltindrag"/>
            </w:pPr>
            <w:r w:rsidRPr="000A3A07">
              <w:t>12 juni 2000</w:t>
            </w:r>
          </w:p>
        </w:tc>
      </w:tr>
    </w:tbl>
    <w:p w14:paraId="0AF1CF9E" w14:textId="77777777" w:rsidR="007C11E9" w:rsidRPr="000A3A07" w:rsidRDefault="007C11E9"/>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0A3A07" w14:paraId="69F26576" w14:textId="77777777">
        <w:tblPrEx>
          <w:tblCellMar>
            <w:top w:w="0" w:type="dxa"/>
            <w:bottom w:w="0" w:type="dxa"/>
          </w:tblCellMar>
        </w:tblPrEx>
        <w:trPr>
          <w:cantSplit/>
        </w:trPr>
        <w:tc>
          <w:tcPr>
            <w:tcW w:w="7583" w:type="dxa"/>
            <w:gridSpan w:val="3"/>
          </w:tcPr>
          <w:p w14:paraId="79B683FC" w14:textId="77777777" w:rsidR="007C11E9" w:rsidRPr="000A3A07" w:rsidRDefault="007C11E9">
            <w:pPr>
              <w:pStyle w:val="Citat"/>
              <w:spacing w:before="0" w:line="245" w:lineRule="exact"/>
            </w:pPr>
          </w:p>
        </w:tc>
      </w:tr>
      <w:tr w:rsidR="00000000" w:rsidRPr="000A3A07" w14:paraId="142493A0" w14:textId="77777777">
        <w:tblPrEx>
          <w:tblCellMar>
            <w:top w:w="0" w:type="dxa"/>
            <w:bottom w:w="0" w:type="dxa"/>
          </w:tblCellMar>
        </w:tblPrEx>
        <w:tc>
          <w:tcPr>
            <w:tcW w:w="2905" w:type="dxa"/>
          </w:tcPr>
          <w:p w14:paraId="132B5715" w14:textId="77777777" w:rsidR="007C11E9" w:rsidRPr="000A3A07" w:rsidRDefault="007C11E9">
            <w:r w:rsidRPr="000A3A07">
              <w:t>RIKSDAGENS REVIS</w:t>
            </w:r>
            <w:r w:rsidRPr="000A3A07">
              <w:t>O</w:t>
            </w:r>
            <w:r w:rsidRPr="000A3A07">
              <w:t>RER</w:t>
            </w:r>
          </w:p>
        </w:tc>
        <w:tc>
          <w:tcPr>
            <w:tcW w:w="2268" w:type="dxa"/>
          </w:tcPr>
          <w:p w14:paraId="00B873BC" w14:textId="77777777" w:rsidR="007C11E9" w:rsidRPr="000A3A07" w:rsidRDefault="007C11E9">
            <w:r w:rsidRPr="000A3A07">
              <w:t>TEL 08-786 40 00</w:t>
            </w:r>
          </w:p>
        </w:tc>
        <w:tc>
          <w:tcPr>
            <w:tcW w:w="2410" w:type="dxa"/>
          </w:tcPr>
          <w:p w14:paraId="3F3CA221" w14:textId="77777777" w:rsidR="007C11E9" w:rsidRPr="000A3A07" w:rsidRDefault="007C11E9">
            <w:r w:rsidRPr="000A3A07">
              <w:t>www.riksdagen.se/rr</w:t>
            </w:r>
          </w:p>
        </w:tc>
      </w:tr>
      <w:tr w:rsidR="00000000" w:rsidRPr="000A3A07" w14:paraId="03677D23" w14:textId="77777777">
        <w:tblPrEx>
          <w:tblCellMar>
            <w:top w:w="0" w:type="dxa"/>
            <w:bottom w:w="0" w:type="dxa"/>
          </w:tblCellMar>
        </w:tblPrEx>
        <w:tc>
          <w:tcPr>
            <w:tcW w:w="2905" w:type="dxa"/>
          </w:tcPr>
          <w:p w14:paraId="5A401294" w14:textId="77777777" w:rsidR="007C11E9" w:rsidRPr="000A3A07" w:rsidRDefault="007C11E9">
            <w:r w:rsidRPr="000A3A07">
              <w:t>100 12 STOCKHOLM</w:t>
            </w:r>
          </w:p>
        </w:tc>
        <w:tc>
          <w:tcPr>
            <w:tcW w:w="2268" w:type="dxa"/>
          </w:tcPr>
          <w:p w14:paraId="67158D1B" w14:textId="77777777" w:rsidR="007C11E9" w:rsidRPr="000A3A07" w:rsidRDefault="007C11E9">
            <w:r w:rsidRPr="000A3A07">
              <w:t>FAX 08-786 61 88</w:t>
            </w:r>
          </w:p>
        </w:tc>
        <w:tc>
          <w:tcPr>
            <w:tcW w:w="2410" w:type="dxa"/>
          </w:tcPr>
          <w:p w14:paraId="40D340BE" w14:textId="77777777" w:rsidR="007C11E9" w:rsidRPr="000A3A07" w:rsidRDefault="007C11E9"/>
        </w:tc>
      </w:tr>
    </w:tbl>
    <w:p w14:paraId="34385F76" w14:textId="77777777" w:rsidR="007C11E9" w:rsidRPr="000A3A07" w:rsidRDefault="007C11E9">
      <w:pPr>
        <w:sectPr w:rsidR="00000000" w:rsidRPr="000A3A07">
          <w:headerReference w:type="default" r:id="rId62"/>
          <w:footerReference w:type="default" r:id="rId63"/>
          <w:footnotePr>
            <w:numRestart w:val="eachSect"/>
          </w:footnotePr>
          <w:endnotePr>
            <w:numRestart w:val="eachSect"/>
          </w:endnotePr>
          <w:pgSz w:w="11906" w:h="16838" w:code="9"/>
          <w:pgMar w:top="567" w:right="4876" w:bottom="4508" w:left="1134" w:header="227" w:footer="227" w:gutter="0"/>
          <w:cols w:space="720"/>
        </w:sectPr>
      </w:pPr>
    </w:p>
    <w:p w14:paraId="71B31119" w14:textId="77777777" w:rsidR="007C11E9" w:rsidRPr="000A3A07" w:rsidRDefault="007C11E9"/>
    <w:p w14:paraId="7DA3E71C" w14:textId="77777777" w:rsidR="007C11E9" w:rsidRPr="000A3A07" w:rsidRDefault="007C11E9">
      <w:pPr>
        <w:pStyle w:val="Normaltindrag"/>
      </w:pPr>
    </w:p>
    <w:p w14:paraId="13E62745" w14:textId="77777777" w:rsidR="007C11E9" w:rsidRPr="000A3A07" w:rsidRDefault="007C11E9">
      <w:pPr>
        <w:pStyle w:val="Normaltindrag"/>
        <w:sectPr w:rsidR="00000000" w:rsidRPr="000A3A07">
          <w:headerReference w:type="default" r:id="rId64"/>
          <w:footerReference w:type="default" r:id="rId65"/>
          <w:footnotePr>
            <w:numRestart w:val="eachSect"/>
          </w:footnotePr>
          <w:endnotePr>
            <w:numRestart w:val="eachSect"/>
          </w:endnotePr>
          <w:pgSz w:w="11906" w:h="16838" w:code="9"/>
          <w:pgMar w:top="567" w:right="4876" w:bottom="4508" w:left="1134" w:header="227" w:footer="227" w:gutter="0"/>
          <w:cols w:space="720"/>
        </w:sectPr>
      </w:pPr>
    </w:p>
    <w:p w14:paraId="7F7D2C8C" w14:textId="77777777" w:rsidR="007C11E9" w:rsidRPr="000A3A07" w:rsidRDefault="007C11E9">
      <w:pPr>
        <w:pStyle w:val="Rubrik1"/>
        <w:numPr>
          <w:ilvl w:val="0"/>
          <w:numId w:val="178"/>
        </w:numPr>
      </w:pPr>
      <w:bookmarkStart w:id="352" w:name="_Toc496513147"/>
      <w:bookmarkStart w:id="353" w:name="_Toc506341034"/>
      <w:r w:rsidRPr="000A3A07">
        <w:t>Bakgrund och syfte</w:t>
      </w:r>
      <w:bookmarkEnd w:id="352"/>
      <w:bookmarkEnd w:id="353"/>
    </w:p>
    <w:p w14:paraId="0022F6B1" w14:textId="77777777" w:rsidR="007C11E9" w:rsidRPr="000A3A07" w:rsidRDefault="007C11E9">
      <w:pPr>
        <w:pStyle w:val="Rubrik2"/>
      </w:pPr>
      <w:bookmarkStart w:id="354" w:name="_Toc496513148"/>
      <w:bookmarkStart w:id="355" w:name="_Toc506341035"/>
      <w:r w:rsidRPr="000A3A07">
        <w:t>Södra länken</w:t>
      </w:r>
      <w:bookmarkEnd w:id="354"/>
      <w:bookmarkEnd w:id="355"/>
    </w:p>
    <w:p w14:paraId="585E9348" w14:textId="77777777" w:rsidR="007C11E9" w:rsidRPr="000A3A07" w:rsidRDefault="007C11E9">
      <w:r w:rsidRPr="000A3A07">
        <w:t>Den s k Södra Länken, som i skrivande stund (maj 2000) är under utbyg</w:t>
      </w:r>
      <w:r w:rsidRPr="000A3A07">
        <w:t>g</w:t>
      </w:r>
      <w:r w:rsidRPr="000A3A07">
        <w:t>nad, skall öppnas för trafik år 2003 och vara helt klar påföljande år. Den skall förbättra tvärförbindelserna i Söderort i Stockholm och sammanbinda Essingeleden med Värmdövägen. En miljöförbättring skall åstadkommas i den korridoren genom att Södra Länken läggs i tunnel till stor del; det är Sveriges största vägtunnelprojekt. Trafikleden är 6 km lång varav 4,5 km går i tun</w:t>
      </w:r>
      <w:r w:rsidRPr="000A3A07">
        <w:softHyphen/>
        <w:t>nel. Det är det största vägprojekt alla kategorier i Stockholm sedan E</w:t>
      </w:r>
      <w:r w:rsidRPr="000A3A07">
        <w:t>s</w:t>
      </w:r>
      <w:r w:rsidRPr="000A3A07">
        <w:t xml:space="preserve">singeleden byggdes. </w:t>
      </w:r>
    </w:p>
    <w:p w14:paraId="3F4506BA" w14:textId="77777777" w:rsidR="007C11E9" w:rsidRPr="000A3A07" w:rsidRDefault="007C11E9">
      <w:pPr>
        <w:pStyle w:val="Normaltindrag"/>
      </w:pPr>
      <w:r w:rsidRPr="000A3A07">
        <w:t>Benämningen Södra Länken härleder sig från</w:t>
      </w:r>
      <w:r w:rsidRPr="000A3A07">
        <w:t xml:space="preserve"> dess roll i det s k Dennisp</w:t>
      </w:r>
      <w:r w:rsidRPr="000A3A07">
        <w:t>a</w:t>
      </w:r>
      <w:r w:rsidRPr="000A3A07">
        <w:t>ketet. Tillsammans skulle de planerade projekten Österleden och Norra och Södra Länken samt den befintliga Essingeleden utgöra "Ringen", som var Dennispaketets kärna.</w:t>
      </w:r>
    </w:p>
    <w:p w14:paraId="561FE011" w14:textId="77777777" w:rsidR="007C11E9" w:rsidRPr="000A3A07" w:rsidRDefault="007C11E9">
      <w:pPr>
        <w:pStyle w:val="Rubrik2"/>
      </w:pPr>
      <w:bookmarkStart w:id="356" w:name="_Toc496513149"/>
      <w:bookmarkStart w:id="357" w:name="_Toc506341036"/>
      <w:r w:rsidRPr="000A3A07">
        <w:t>Samhällsekonomiska kalkyler för Dennispaketet och dess beståndsdelar</w:t>
      </w:r>
      <w:bookmarkEnd w:id="356"/>
      <w:bookmarkEnd w:id="357"/>
    </w:p>
    <w:p w14:paraId="1FE3C57E" w14:textId="77777777" w:rsidR="007C11E9" w:rsidRPr="000A3A07" w:rsidRDefault="007C11E9">
      <w:r w:rsidRPr="000A3A07">
        <w:t>En huvudtes som Dennispaketets upphovsmän och tillskyndare drev var att paketet är en hel</w:t>
      </w:r>
      <w:r w:rsidRPr="000A3A07">
        <w:softHyphen/>
        <w:t>het, vars beståndsdelar inte bör bedömas som enskildheter. Därför saknades länge mer offici</w:t>
      </w:r>
      <w:r w:rsidRPr="000A3A07">
        <w:softHyphen/>
        <w:t xml:space="preserve">ella samhällsekonomiska kalkyler för de olika väg- och kollektivtrafikprojekten i paketet. </w:t>
      </w:r>
    </w:p>
    <w:p w14:paraId="001C3A09" w14:textId="77777777" w:rsidR="007C11E9" w:rsidRPr="000A3A07" w:rsidRDefault="007C11E9">
      <w:pPr>
        <w:pStyle w:val="Normaltindrag"/>
      </w:pPr>
      <w:r w:rsidRPr="000A3A07">
        <w:t>En kalkyl för paketet som helhet lät också vänta på sig. Den slutliga Dennisöverenskom</w:t>
      </w:r>
      <w:r w:rsidRPr="000A3A07">
        <w:softHyphen/>
        <w:t>mel</w:t>
      </w:r>
      <w:r w:rsidRPr="000A3A07">
        <w:softHyphen/>
        <w:t>sen undertecknades i september 1992, och som "jästen efter degen” kom den första mer genomarbetade samhällsekono</w:t>
      </w:r>
      <w:r w:rsidRPr="000A3A07">
        <w:softHyphen/>
        <w:t>miska ka</w:t>
      </w:r>
      <w:r w:rsidRPr="000A3A07">
        <w:t>l</w:t>
      </w:r>
      <w:r w:rsidRPr="000A3A07">
        <w:softHyphen/>
        <w:t>kylen för Dennispaketet i maj 1994 (Inregia, Tran</w:t>
      </w:r>
      <w:r w:rsidRPr="000A3A07">
        <w:softHyphen/>
        <w:t>sek, Temaplan, 1994) som utförts på gemensamt uppdrag av Vägverket, Banverket, Stock</w:t>
      </w:r>
      <w:r w:rsidRPr="000A3A07">
        <w:softHyphen/>
        <w:t>holms läns Landsting, Stockholms Stad och SL. Den utredningen kom till resultatet i ”grundkalkylen” att totalnyttan för Dennispaketet överstiger totalkostnaden med 20% och med komplettering av vissa mera svårvärderade nyttoeffekter med 50%.</w:t>
      </w:r>
    </w:p>
    <w:p w14:paraId="55EB14C7" w14:textId="77777777" w:rsidR="007C11E9" w:rsidRPr="000A3A07" w:rsidRDefault="007C11E9">
      <w:pPr>
        <w:pStyle w:val="Normaltindrag"/>
      </w:pPr>
      <w:r w:rsidRPr="000A3A07">
        <w:t>Dessa ka</w:t>
      </w:r>
      <w:r w:rsidRPr="000A3A07">
        <w:t>lkyler har dock utsatts för skarp kritik av fristående forskare. I ”Dennispaketet – är det lönsamt?” hävdar Kjell Jansson (1994) att på grund av metodologiska brister har kalkyl</w:t>
      </w:r>
      <w:r w:rsidRPr="000A3A07">
        <w:softHyphen/>
        <w:t>resultatet blivit helt snett. Det påstådda överskottet på 20-50% är i själva verket ett nytto</w:t>
      </w:r>
      <w:r w:rsidRPr="000A3A07">
        <w:softHyphen/>
        <w:t>under</w:t>
      </w:r>
      <w:r w:rsidRPr="000A3A07">
        <w:softHyphen/>
        <w:t>skott på inte mindre än 60% av totalkostnaden enligt Kjell Jansson (1994).</w:t>
      </w:r>
    </w:p>
    <w:p w14:paraId="36890843" w14:textId="77777777" w:rsidR="007C11E9" w:rsidRPr="000A3A07" w:rsidRDefault="007C11E9">
      <w:pPr>
        <w:pStyle w:val="Normaltindrag"/>
      </w:pPr>
      <w:r w:rsidRPr="000A3A07">
        <w:t xml:space="preserve">I den diskussion som sedan följde bland transportekonomer klargjordes så småningom ett viktigt förhållande: ”Russinet i kakan” är biltullarna. Det är den enda </w:t>
      </w:r>
      <w:r w:rsidRPr="000A3A07">
        <w:t>klart lönsamma åtgär</w:t>
      </w:r>
      <w:r w:rsidRPr="000A3A07">
        <w:softHyphen/>
        <w:t>den från samhällsekonomisk synpunkt. Vä</w:t>
      </w:r>
      <w:r w:rsidRPr="000A3A07">
        <w:t>g</w:t>
      </w:r>
      <w:r w:rsidRPr="000A3A07">
        <w:t>projekten som tillsammans skulle utgöra den inre Ringen och den yttre Tvärleden är alla olönsamma, var och en för sig, liksom i olika kombina</w:t>
      </w:r>
      <w:r w:rsidRPr="000A3A07">
        <w:softHyphen/>
        <w:t>tioner. Den slutsatsen tycktes bli bekräftad över hövan när Inregia (som tillsammans med Transek och Temaplan utförde den ovannämnda samhäll</w:t>
      </w:r>
      <w:r w:rsidRPr="000A3A07">
        <w:t>s</w:t>
      </w:r>
      <w:r w:rsidRPr="000A3A07">
        <w:t>ekonomiska kalkylen för hela Dennispaketet) år 1996 presenterade en separat kalkyl för Södra Länken på uppdrag av Stockholms Stads Finanskontor (”Objektanalys för Södra</w:t>
      </w:r>
      <w:r w:rsidRPr="000A3A07">
        <w:t xml:space="preserve"> Länken”, Inregia 1996)</w:t>
      </w:r>
      <w:r w:rsidRPr="000A3A07">
        <w:rPr>
          <w:rStyle w:val="Fotnotsreferens"/>
        </w:rPr>
        <w:footnoteReference w:id="31"/>
        <w:t>*</w:t>
      </w:r>
      <w:r w:rsidRPr="000A3A07">
        <w:t>.</w:t>
      </w:r>
    </w:p>
    <w:p w14:paraId="420EBEC4" w14:textId="77777777" w:rsidR="007C11E9" w:rsidRPr="000A3A07" w:rsidRDefault="007C11E9">
      <w:pPr>
        <w:pStyle w:val="Normaltindrag"/>
      </w:pPr>
      <w:r w:rsidRPr="000A3A07">
        <w:t>Objektanalysen tydde på att en samhällsekonomisk katastrof hotade om projektet skulle bli av. Två jämförelsealternativ prövades, dels dagens vägnät utan biltullar, dels ett delvis ut</w:t>
      </w:r>
      <w:r w:rsidRPr="000A3A07">
        <w:softHyphen/>
        <w:t>byggt vägnät (exklusive Västerleden och Ö</w:t>
      </w:r>
      <w:r w:rsidRPr="000A3A07">
        <w:t>s</w:t>
      </w:r>
      <w:r w:rsidRPr="000A3A07">
        <w:t>terleden) med det system för biltullar som ingick i Dennisöverenskomme</w:t>
      </w:r>
      <w:r w:rsidRPr="000A3A07">
        <w:t>l</w:t>
      </w:r>
      <w:r w:rsidRPr="000A3A07">
        <w:t>sen. I det förra fallet beräknades nyttan uppgå till endast 11% av den totala investerings- och driftskostnaden och i det senare fallet till 28% därav.</w:t>
      </w:r>
    </w:p>
    <w:p w14:paraId="4AB94988" w14:textId="77777777" w:rsidR="007C11E9" w:rsidRPr="000A3A07" w:rsidRDefault="007C11E9">
      <w:pPr>
        <w:pStyle w:val="Normaltindrag"/>
      </w:pPr>
      <w:r w:rsidRPr="000A3A07">
        <w:t>Nyttan skulle alltså bli två och en halv gånger större om biltullar införs men även i det gynn</w:t>
      </w:r>
      <w:r w:rsidRPr="000A3A07">
        <w:softHyphen/>
        <w:t>sammare fallet är nyttosidan helt otillräcklig för att up</w:t>
      </w:r>
      <w:r w:rsidRPr="000A3A07">
        <w:t>p</w:t>
      </w:r>
      <w:r w:rsidRPr="000A3A07">
        <w:t>väga investerings- och driftkostna</w:t>
      </w:r>
      <w:r w:rsidRPr="000A3A07">
        <w:softHyphen/>
        <w:t>derna.</w:t>
      </w:r>
    </w:p>
    <w:p w14:paraId="4146C890" w14:textId="77777777" w:rsidR="007C11E9" w:rsidRPr="000A3A07" w:rsidRDefault="007C11E9">
      <w:pPr>
        <w:pStyle w:val="Normaltindrag"/>
      </w:pPr>
      <w:r w:rsidRPr="000A3A07">
        <w:t>Man skulle kunna tro att projektidén ”separat Södra Länken” var död efter Inregias objekt</w:t>
      </w:r>
      <w:r w:rsidRPr="000A3A07">
        <w:softHyphen/>
        <w:t>analys, men av spillrorna i det 1997 havererade Dennispaketet blev det Södra Länken som av någon outgrundlig anledning räddades över till det snabbt ihoprafsade s k ”Inespaketet”. Väg</w:t>
      </w:r>
      <w:r w:rsidRPr="000A3A07">
        <w:softHyphen/>
        <w:t>verket Region Stockholm gav våren 1998 i samband med besök av Europeiska Investerings</w:t>
      </w:r>
      <w:r w:rsidRPr="000A3A07">
        <w:softHyphen/>
        <w:t>banken uppdrag åt Transek att göra en översiktlig kalkyl för Södra Länken att jämf</w:t>
      </w:r>
      <w:r w:rsidRPr="000A3A07">
        <w:t>ö</w:t>
      </w:r>
      <w:r w:rsidRPr="000A3A07">
        <w:t>ra med Inregias tidigare kalkyl. Den gav tydligen mersmak och i augusti 1998 lades en mer genom</w:t>
      </w:r>
      <w:r w:rsidRPr="000A3A07">
        <w:softHyphen/>
        <w:t>arbetad samhällsekonomisk kalkyl av projektet fram (Transek, 1</w:t>
      </w:r>
      <w:r w:rsidRPr="000A3A07">
        <w:t>998). Även denna kalkyl visa</w:t>
      </w:r>
      <w:r w:rsidRPr="000A3A07">
        <w:softHyphen/>
        <w:t>de dock att Södra Länken är mycket olönsam. Nyttosidan beräknades till 60% av kostnads</w:t>
      </w:r>
      <w:r w:rsidRPr="000A3A07">
        <w:softHyphen/>
        <w:t>sidan. Att b</w:t>
      </w:r>
      <w:r w:rsidRPr="000A3A07">
        <w:t>e</w:t>
      </w:r>
      <w:r w:rsidRPr="000A3A07">
        <w:t>tänka är då också att i nuvarande planeringsomgång för det statliga väg</w:t>
      </w:r>
      <w:r w:rsidRPr="000A3A07">
        <w:softHyphen/>
        <w:t>nätet har Vägverket att räkna med en budgetrestriktion, som gör att endast projekt med åt</w:t>
      </w:r>
      <w:r w:rsidRPr="000A3A07">
        <w:softHyphen/>
        <w:t>minstone dubbelt så stor nytta som kostnad kan komma ifråga.</w:t>
      </w:r>
    </w:p>
    <w:p w14:paraId="53891434" w14:textId="77777777" w:rsidR="007C11E9" w:rsidRPr="000A3A07" w:rsidRDefault="007C11E9">
      <w:pPr>
        <w:pStyle w:val="Rubrik2"/>
      </w:pPr>
      <w:bookmarkStart w:id="358" w:name="_Toc496513150"/>
      <w:bookmarkStart w:id="359" w:name="_Toc506341037"/>
      <w:r w:rsidRPr="000A3A07">
        <w:t>Syfte och uppläggning</w:t>
      </w:r>
      <w:bookmarkEnd w:id="358"/>
      <w:bookmarkEnd w:id="359"/>
    </w:p>
    <w:p w14:paraId="4CD8EB34" w14:textId="77777777" w:rsidR="007C11E9" w:rsidRPr="000A3A07" w:rsidRDefault="007C11E9">
      <w:r w:rsidRPr="000A3A07">
        <w:t>Huvudsyftet med föreliggande granskning är att titta närmare på de ova</w:t>
      </w:r>
      <w:r w:rsidRPr="000A3A07">
        <w:t>n</w:t>
      </w:r>
      <w:r w:rsidRPr="000A3A07">
        <w:t>nämnda, enda före</w:t>
      </w:r>
      <w:r w:rsidRPr="000A3A07">
        <w:softHyphen/>
        <w:t>liggande samhällsekonomiska kalkylerna för Södra Lä</w:t>
      </w:r>
      <w:r w:rsidRPr="000A3A07">
        <w:t>n</w:t>
      </w:r>
      <w:r w:rsidRPr="000A3A07">
        <w:t>ken som separat vägprojekt, Inregia (1996) och Transek (1998). Den grans</w:t>
      </w:r>
      <w:r w:rsidRPr="000A3A07">
        <w:t>k</w:t>
      </w:r>
      <w:r w:rsidRPr="000A3A07">
        <w:t>ningen redovisas i sektion 3-7. Ett bisyfte har osökt blivit aktuellt under arbetets gång. Resultaten av alla mer kvalificerade oberoende analyser av Dennispaketets väginvesteringar – som en helhet eller som separata delpr</w:t>
      </w:r>
      <w:r w:rsidRPr="000A3A07">
        <w:t>o</w:t>
      </w:r>
      <w:r w:rsidRPr="000A3A07">
        <w:t xml:space="preserve">jekt – visar på grav olönsamhet. Det reser en grundfråga som är svår att undvika: Finns det </w:t>
      </w:r>
      <w:r w:rsidRPr="000A3A07">
        <w:rPr>
          <w:i/>
        </w:rPr>
        <w:t>ingen</w:t>
      </w:r>
      <w:r w:rsidRPr="000A3A07">
        <w:t xml:space="preserve"> möjlighet att lösa dagens biltrafikproblem i St</w:t>
      </w:r>
      <w:r w:rsidRPr="000A3A07">
        <w:t>oc</w:t>
      </w:r>
      <w:r w:rsidRPr="000A3A07">
        <w:t>k</w:t>
      </w:r>
      <w:r w:rsidRPr="000A3A07">
        <w:t>holm på traditio</w:t>
      </w:r>
      <w:r w:rsidRPr="000A3A07">
        <w:softHyphen/>
        <w:t>nellt sätt genom att ”bygga bort det”? För att få perspektiv på den efterföljande detaljgransk</w:t>
      </w:r>
      <w:r w:rsidRPr="000A3A07">
        <w:softHyphen/>
        <w:t>ningen skall ett försök göras i sektion 2 att besvara denna grundfråga och ge några kommenta</w:t>
      </w:r>
      <w:r w:rsidRPr="000A3A07">
        <w:softHyphen/>
        <w:t>rer till de aktuella trafik- och miljöproble</w:t>
      </w:r>
      <w:r w:rsidRPr="000A3A07">
        <w:softHyphen/>
        <w:t>men i Stockholm.</w:t>
      </w:r>
    </w:p>
    <w:p w14:paraId="38C3FB57" w14:textId="77777777" w:rsidR="007C11E9" w:rsidRPr="000A3A07" w:rsidRDefault="007C11E9">
      <w:pPr>
        <w:pStyle w:val="Rubrik1"/>
      </w:pPr>
      <w:bookmarkStart w:id="360" w:name="_Toc496513151"/>
      <w:bookmarkStart w:id="361" w:name="_Toc506341038"/>
      <w:r w:rsidRPr="000A3A07">
        <w:t>Dennispaketets akilleshäl: tunnellösningar fördyrar väginvesteringar mångfalt</w:t>
      </w:r>
      <w:bookmarkEnd w:id="360"/>
      <w:bookmarkEnd w:id="361"/>
    </w:p>
    <w:p w14:paraId="518DFD17" w14:textId="77777777" w:rsidR="007C11E9" w:rsidRPr="000A3A07" w:rsidRDefault="007C11E9">
      <w:r w:rsidRPr="000A3A07">
        <w:t>Rubriken ovan ger i själva verket svaret på grundfrågan. Förbifarter för g</w:t>
      </w:r>
      <w:r w:rsidRPr="000A3A07">
        <w:t>e</w:t>
      </w:r>
      <w:r w:rsidRPr="000A3A07">
        <w:t>nomfartstrafik och ringleder för mer lokal, förort-förort och förort-centrum trafik är enligt väl beprövad trafikplanerings</w:t>
      </w:r>
      <w:r w:rsidRPr="000A3A07">
        <w:softHyphen/>
        <w:t>teori medel att avlasta den tr</w:t>
      </w:r>
      <w:r w:rsidRPr="000A3A07">
        <w:t>a</w:t>
      </w:r>
      <w:r w:rsidRPr="000A3A07">
        <w:t>fikkänsliga innerstaden liksom tätbebyggda bostads</w:t>
      </w:r>
      <w:r w:rsidRPr="000A3A07">
        <w:softHyphen/>
        <w:t>områden. Den samhäll</w:t>
      </w:r>
      <w:r w:rsidRPr="000A3A07">
        <w:t>s</w:t>
      </w:r>
      <w:r w:rsidRPr="000A3A07">
        <w:t>ekonomiska lönsamheten för sådana väginvesteringar är sällan lysande, om ens positiv, på grund av att omvägar (medvetet) skapas, vilka ofta ökar fo</w:t>
      </w:r>
      <w:r w:rsidRPr="000A3A07">
        <w:t>r</w:t>
      </w:r>
      <w:r w:rsidRPr="000A3A07">
        <w:t>dons</w:t>
      </w:r>
      <w:r w:rsidRPr="000A3A07">
        <w:softHyphen/>
        <w:t>kostnaderna, men naturligtvis måste sänka tids- och olyckskostnaderna, om de alls bör komma ifråga. Detta trafiktekniska tänkande h</w:t>
      </w:r>
      <w:r w:rsidRPr="000A3A07">
        <w:t>ar varit, bl a i samband med Dennisförhand</w:t>
      </w:r>
      <w:r w:rsidRPr="000A3A07">
        <w:softHyphen/>
        <w:t>lingarna, och tycks fortfarande vara förhärska</w:t>
      </w:r>
      <w:r w:rsidRPr="000A3A07">
        <w:t>n</w:t>
      </w:r>
      <w:r w:rsidRPr="000A3A07">
        <w:t>de bland inflytelserika trafikpolitiker och trafik</w:t>
      </w:r>
      <w:r w:rsidRPr="000A3A07">
        <w:softHyphen/>
        <w:t xml:space="preserve">planerare i Stockholm. Därom är inte så mycket att säga, </w:t>
      </w:r>
      <w:r w:rsidRPr="000A3A07">
        <w:rPr>
          <w:i/>
        </w:rPr>
        <w:t>så länge det är möjligt att an</w:t>
      </w:r>
      <w:r w:rsidRPr="000A3A07">
        <w:rPr>
          <w:i/>
        </w:rPr>
        <w:softHyphen/>
        <w:t>lägga förbifarterna och ringlederna i markplanet</w:t>
      </w:r>
      <w:r w:rsidRPr="000A3A07">
        <w:t>. Det har gjorts i ett stort antal städer med mer eller mindre lyckat resultat. Det är på det sättet som många av de större st</w:t>
      </w:r>
      <w:r w:rsidRPr="000A3A07">
        <w:t>ä</w:t>
      </w:r>
      <w:r w:rsidRPr="000A3A07">
        <w:t>derna i Sverige och utomlands har vuxit fram under bilismens epok. Förb</w:t>
      </w:r>
      <w:r w:rsidRPr="000A3A07">
        <w:t>i</w:t>
      </w:r>
      <w:r w:rsidRPr="000A3A07">
        <w:t>farter har anlagts successivt längre</w:t>
      </w:r>
      <w:r w:rsidRPr="000A3A07">
        <w:t xml:space="preserve"> och längre ut, och forna förbifarter har blivit, först yttre, och sedan inre ringleder i de expanderan</w:t>
      </w:r>
      <w:r w:rsidRPr="000A3A07">
        <w:softHyphen/>
        <w:t xml:space="preserve">de bilstäderna. </w:t>
      </w:r>
    </w:p>
    <w:p w14:paraId="4F3335F1" w14:textId="77777777" w:rsidR="007C11E9" w:rsidRPr="000A3A07" w:rsidRDefault="007C11E9">
      <w:pPr>
        <w:pStyle w:val="Normaltindrag"/>
      </w:pPr>
      <w:r w:rsidRPr="000A3A07">
        <w:t>En värderingsförskjutning har dock ägt rum under senare årtionden, vilket storstadsförhand</w:t>
      </w:r>
      <w:r w:rsidRPr="000A3A07">
        <w:softHyphen/>
        <w:t>larna och de planerare och politiker som samverkade med Dennis, Adelsohn och Hulterström blev påtagligt medvetna om. Nu går det knappast längre att anlägga motortrafikleder i tätort, varken genom förortsbe</w:t>
      </w:r>
      <w:r w:rsidRPr="000A3A07">
        <w:softHyphen/>
        <w:t>byggelse eller ”gröna kilar” som är stadsbornas rekreationsområden, om de dras i markplanet. Människorna värnar så starkt om sin närmiljö att traditi</w:t>
      </w:r>
      <w:r w:rsidRPr="000A3A07">
        <w:t>o</w:t>
      </w:r>
      <w:r w:rsidRPr="000A3A07">
        <w:t>nell trafik</w:t>
      </w:r>
      <w:r w:rsidRPr="000A3A07">
        <w:softHyphen/>
        <w:t>teknik för biltransportbase</w:t>
      </w:r>
      <w:r w:rsidRPr="000A3A07">
        <w:softHyphen/>
        <w:t>rat samhällsbyggande inte längre kan tillämpas. Dennispaketets slutliga utformning före dess sammanbrott hade vad g</w:t>
      </w:r>
      <w:r w:rsidRPr="000A3A07">
        <w:t>äller biltrafiklederna genom successiva modifikationer för att undvika ”folkstormar” blivit ett nästan helt underjordiskt transport</w:t>
      </w:r>
      <w:r w:rsidRPr="000A3A07">
        <w:softHyphen/>
        <w:t>system. Men bi</w:t>
      </w:r>
      <w:r w:rsidRPr="000A3A07">
        <w:t>l</w:t>
      </w:r>
      <w:r w:rsidRPr="000A3A07">
        <w:t>tunnlar är många gånger dyrare än motsvarande bilvägar ovan jord. Hur skall det då vara möjligt att visa en positiv nettonytta för projekten, när de redan i sin ursprungliga sträckning i markplanet ligger på gränsen till lönsamhet?</w:t>
      </w:r>
    </w:p>
    <w:p w14:paraId="7AA94F8A" w14:textId="77777777" w:rsidR="007C11E9" w:rsidRPr="000A3A07" w:rsidRDefault="007C11E9">
      <w:pPr>
        <w:pStyle w:val="Normaltindrag"/>
      </w:pPr>
      <w:r w:rsidRPr="000A3A07">
        <w:t>Mot denna bakgrund framstår de energiska försöken från Vägverket, vä</w:t>
      </w:r>
      <w:r w:rsidRPr="000A3A07">
        <w:t>g</w:t>
      </w:r>
      <w:r w:rsidRPr="000A3A07">
        <w:t>föreningen, handels</w:t>
      </w:r>
      <w:r w:rsidRPr="000A3A07">
        <w:softHyphen/>
        <w:t>kammaren, m fl påtryckare att ånyo övertyga stockho</w:t>
      </w:r>
      <w:r w:rsidRPr="000A3A07">
        <w:t>l</w:t>
      </w:r>
      <w:r w:rsidRPr="000A3A07">
        <w:t>marna och deras politiska representant</w:t>
      </w:r>
      <w:r w:rsidRPr="000A3A07">
        <w:softHyphen/>
        <w:t>er om att förbifarter och ringleder är den enda rätta lösningen på Stockholms trafikproblem som mer än lovligt fantasilöst. De har tydligen inte förstått budskapet. Den grava olönsam</w:t>
      </w:r>
      <w:r w:rsidRPr="000A3A07">
        <w:softHyphen/>
        <w:t>heten för ringleder och förbifarter i tunnlar är ett tydligt tecken på att traditionell stadstrafik</w:t>
      </w:r>
      <w:r w:rsidRPr="000A3A07">
        <w:softHyphen/>
        <w:t>planering i större städer är en otidsenlig modell. Att hänvisa till exempel på ringleder från  andra storstäder är he</w:t>
      </w:r>
      <w:r w:rsidRPr="000A3A07">
        <w:t>lt irrelevant. Nu gäller det biltunnlar, och när dessa visar sig vara all</w:t>
      </w:r>
      <w:r w:rsidRPr="000A3A07">
        <w:softHyphen/>
        <w:t>deles för dyra för att uppnå lö</w:t>
      </w:r>
      <w:r w:rsidRPr="000A3A07">
        <w:t>n</w:t>
      </w:r>
      <w:r w:rsidRPr="000A3A07">
        <w:t>samhet, måste man tänka om. Hur det framtida trans</w:t>
      </w:r>
      <w:r w:rsidRPr="000A3A07">
        <w:softHyphen/>
        <w:t>portsystem som löser både transport- och miljöproblemen skall utformas, är den stora, spän</w:t>
      </w:r>
      <w:r w:rsidRPr="000A3A07">
        <w:softHyphen/>
        <w:t>nande utmaning</w:t>
      </w:r>
      <w:r w:rsidRPr="000A3A07">
        <w:softHyphen/>
        <w:t>en. Det är dock en frågeställning som ligger utanför den grans</w:t>
      </w:r>
      <w:r w:rsidRPr="000A3A07">
        <w:t>k</w:t>
      </w:r>
      <w:r w:rsidRPr="000A3A07">
        <w:t>ningsuppgift som här redovisas, men som ändå kan uppfattas som det öve</w:t>
      </w:r>
      <w:r w:rsidRPr="000A3A07">
        <w:t>r</w:t>
      </w:r>
      <w:r w:rsidRPr="000A3A07">
        <w:t>gripande motivet för att grundligt utvärdera oåterkalleliga, redan fattade beslut.</w:t>
      </w:r>
    </w:p>
    <w:p w14:paraId="4C5D5E0A" w14:textId="77777777" w:rsidR="007C11E9" w:rsidRPr="000A3A07" w:rsidRDefault="007C11E9">
      <w:pPr>
        <w:pStyle w:val="Rubrik1"/>
      </w:pPr>
      <w:bookmarkStart w:id="362" w:name="_Toc496513152"/>
      <w:bookmarkStart w:id="363" w:name="_Toc506341039"/>
      <w:r w:rsidRPr="000A3A07">
        <w:t>Första överblick över kalkylerna</w:t>
      </w:r>
      <w:r w:rsidRPr="000A3A07">
        <w:t xml:space="preserve"> för Södra länken</w:t>
      </w:r>
      <w:bookmarkEnd w:id="362"/>
      <w:bookmarkEnd w:id="363"/>
    </w:p>
    <w:p w14:paraId="34ED77AE" w14:textId="77777777" w:rsidR="007C11E9" w:rsidRPr="000A3A07" w:rsidRDefault="007C11E9">
      <w:pPr>
        <w:pStyle w:val="Rubrik2"/>
      </w:pPr>
      <w:bookmarkStart w:id="364" w:name="_Toc496513153"/>
      <w:bookmarkStart w:id="365" w:name="_Toc506341040"/>
      <w:r w:rsidRPr="000A3A07">
        <w:t>Vad bör en samhällsekonomisk kalkyl för ett vägprojekt innehålla?</w:t>
      </w:r>
      <w:bookmarkEnd w:id="364"/>
      <w:bookmarkEnd w:id="365"/>
    </w:p>
    <w:p w14:paraId="15152415" w14:textId="77777777" w:rsidR="007C11E9" w:rsidRPr="000A3A07" w:rsidRDefault="007C11E9">
      <w:r w:rsidRPr="000A3A07">
        <w:t>När det gäller ett större väginvesteringsprojekt är det praktiskt, för att skapa överblick, att gruppera de kalkylrelevanta effekterna av projektet i nedanst</w:t>
      </w:r>
      <w:r w:rsidRPr="000A3A07">
        <w:t>å</w:t>
      </w:r>
      <w:r w:rsidRPr="000A3A07">
        <w:t>ende huvudkategorier:</w:t>
      </w:r>
    </w:p>
    <w:p w14:paraId="6715F33F" w14:textId="77777777" w:rsidR="007C11E9" w:rsidRPr="000A3A07" w:rsidRDefault="007C11E9">
      <w:pPr>
        <w:pStyle w:val="Tabellrubrik1"/>
        <w:spacing w:before="122" w:line="220" w:lineRule="exact"/>
      </w:pPr>
      <w:r w:rsidRPr="000A3A07">
        <w:t>Tabell 1. Huvudposterna i en samhällsekonomisk kalkyl för en väginve</w:t>
      </w:r>
      <w:r w:rsidRPr="000A3A07">
        <w:t>s</w:t>
      </w:r>
      <w:r w:rsidRPr="000A3A07">
        <w:t>tering</w:t>
      </w:r>
    </w:p>
    <w:tbl>
      <w:tblPr>
        <w:tblW w:w="0" w:type="auto"/>
        <w:tblInd w:w="-13" w:type="dxa"/>
        <w:tblLayout w:type="fixed"/>
        <w:tblCellMar>
          <w:left w:w="120" w:type="dxa"/>
          <w:right w:w="120" w:type="dxa"/>
        </w:tblCellMar>
        <w:tblLook w:val="0000" w:firstRow="0" w:lastRow="0" w:firstColumn="0" w:lastColumn="0" w:noHBand="0" w:noVBand="0"/>
      </w:tblPr>
      <w:tblGrid>
        <w:gridCol w:w="2906"/>
        <w:gridCol w:w="2906"/>
      </w:tblGrid>
      <w:tr w:rsidR="00000000" w:rsidRPr="000A3A07" w14:paraId="3A8AA5C1" w14:textId="77777777">
        <w:tblPrEx>
          <w:tblCellMar>
            <w:top w:w="0" w:type="dxa"/>
            <w:bottom w:w="0" w:type="dxa"/>
          </w:tblCellMar>
        </w:tblPrEx>
        <w:tc>
          <w:tcPr>
            <w:tcW w:w="2906" w:type="dxa"/>
            <w:tcBorders>
              <w:top w:val="single" w:sz="7" w:space="0" w:color="auto"/>
              <w:left w:val="double" w:sz="7" w:space="0" w:color="auto"/>
            </w:tcBorders>
          </w:tcPr>
          <w:p w14:paraId="5021ABE0" w14:textId="77777777" w:rsidR="007C11E9" w:rsidRPr="000A3A07" w:rsidRDefault="007C11E9">
            <w:pPr>
              <w:tabs>
                <w:tab w:val="left" w:pos="10387"/>
              </w:tabs>
              <w:suppressAutoHyphens/>
              <w:spacing w:before="0"/>
            </w:pPr>
            <w:r w:rsidRPr="000A3A07">
              <w:fldChar w:fldCharType="begin"/>
            </w:r>
            <w:r w:rsidRPr="000A3A07">
              <w:instrText xml:space="preserve">PRIVATE </w:instrText>
            </w:r>
            <w:r w:rsidRPr="000A3A07">
              <w:fldChar w:fldCharType="end"/>
            </w:r>
            <w:r w:rsidRPr="000A3A07">
              <w:t>NYTTA</w:t>
            </w:r>
          </w:p>
        </w:tc>
        <w:tc>
          <w:tcPr>
            <w:tcW w:w="2906" w:type="dxa"/>
            <w:tcBorders>
              <w:top w:val="single" w:sz="7" w:space="0" w:color="auto"/>
              <w:left w:val="single" w:sz="7" w:space="0" w:color="auto"/>
              <w:right w:val="double" w:sz="7" w:space="0" w:color="auto"/>
            </w:tcBorders>
          </w:tcPr>
          <w:p w14:paraId="36CB911C" w14:textId="77777777" w:rsidR="007C11E9" w:rsidRPr="000A3A07" w:rsidRDefault="007C11E9">
            <w:pPr>
              <w:tabs>
                <w:tab w:val="left" w:pos="0"/>
                <w:tab w:val="left" w:pos="826"/>
                <w:tab w:val="left" w:pos="1394"/>
                <w:tab w:val="left" w:pos="3895"/>
                <w:tab w:val="left" w:pos="5193"/>
                <w:tab w:val="left" w:pos="6492"/>
                <w:tab w:val="left" w:pos="7790"/>
                <w:tab w:val="left" w:pos="9088"/>
                <w:tab w:val="left" w:pos="10387"/>
              </w:tabs>
              <w:suppressAutoHyphens/>
              <w:spacing w:before="0"/>
            </w:pPr>
            <w:r w:rsidRPr="000A3A07">
              <w:t>KOSTNAD</w:t>
            </w:r>
          </w:p>
        </w:tc>
      </w:tr>
      <w:tr w:rsidR="00000000" w:rsidRPr="000A3A07" w14:paraId="562699E3" w14:textId="77777777">
        <w:tblPrEx>
          <w:tblCellMar>
            <w:top w:w="0" w:type="dxa"/>
            <w:bottom w:w="0" w:type="dxa"/>
          </w:tblCellMar>
        </w:tblPrEx>
        <w:tc>
          <w:tcPr>
            <w:tcW w:w="2906" w:type="dxa"/>
            <w:tcBorders>
              <w:top w:val="single" w:sz="7" w:space="0" w:color="auto"/>
              <w:left w:val="double" w:sz="7" w:space="0" w:color="auto"/>
              <w:bottom w:val="double" w:sz="7" w:space="0" w:color="auto"/>
            </w:tcBorders>
          </w:tcPr>
          <w:p w14:paraId="7405BAFF" w14:textId="77777777" w:rsidR="007C11E9" w:rsidRPr="000A3A07" w:rsidRDefault="007C11E9">
            <w:pPr>
              <w:tabs>
                <w:tab w:val="left" w:pos="10387"/>
              </w:tabs>
              <w:suppressAutoHyphens/>
              <w:spacing w:before="0"/>
              <w:rPr>
                <w:i/>
              </w:rPr>
            </w:pPr>
            <w:r w:rsidRPr="000A3A07">
              <w:sym w:font="Symbol" w:char="F0D7"/>
            </w:r>
            <w:r w:rsidRPr="000A3A07">
              <w:t xml:space="preserve"> </w:t>
            </w:r>
            <w:r w:rsidRPr="000A3A07">
              <w:rPr>
                <w:i/>
              </w:rPr>
              <w:t>Trafikantkostnads-</w:t>
            </w:r>
          </w:p>
          <w:p w14:paraId="1AE3B955" w14:textId="77777777" w:rsidR="007C11E9" w:rsidRPr="000A3A07" w:rsidRDefault="007C11E9">
            <w:pPr>
              <w:tabs>
                <w:tab w:val="left" w:pos="10387"/>
              </w:tabs>
              <w:suppressAutoHyphens/>
              <w:spacing w:before="0"/>
            </w:pPr>
            <w:r w:rsidRPr="000A3A07">
              <w:rPr>
                <w:i/>
              </w:rPr>
              <w:t xml:space="preserve">   besparingar</w:t>
            </w:r>
          </w:p>
          <w:p w14:paraId="2D49AC8D" w14:textId="77777777" w:rsidR="007C11E9" w:rsidRPr="000A3A07" w:rsidRDefault="007C11E9">
            <w:pPr>
              <w:tabs>
                <w:tab w:val="left" w:pos="10387"/>
              </w:tabs>
              <w:suppressAutoHyphens/>
              <w:spacing w:before="0"/>
            </w:pPr>
          </w:p>
          <w:p w14:paraId="7E6D5950" w14:textId="77777777" w:rsidR="007C11E9" w:rsidRPr="000A3A07" w:rsidRDefault="007C11E9">
            <w:pPr>
              <w:tabs>
                <w:tab w:val="left" w:pos="10387"/>
              </w:tabs>
              <w:suppressAutoHyphens/>
              <w:spacing w:before="0"/>
            </w:pPr>
            <w:r w:rsidRPr="000A3A07">
              <w:sym w:font="Symbol" w:char="F0D7"/>
            </w:r>
            <w:r w:rsidRPr="000A3A07">
              <w:t xml:space="preserve"> </w:t>
            </w:r>
            <w:r w:rsidRPr="000A3A07">
              <w:rPr>
                <w:i/>
              </w:rPr>
              <w:t>Nyttan av ny trafik</w:t>
            </w:r>
          </w:p>
          <w:p w14:paraId="440845D4" w14:textId="77777777" w:rsidR="007C11E9" w:rsidRPr="000A3A07" w:rsidRDefault="007C11E9">
            <w:pPr>
              <w:tabs>
                <w:tab w:val="left" w:pos="10387"/>
              </w:tabs>
              <w:suppressAutoHyphens/>
              <w:spacing w:before="0"/>
            </w:pPr>
          </w:p>
          <w:p w14:paraId="0C6BA1EC" w14:textId="77777777" w:rsidR="007C11E9" w:rsidRPr="000A3A07" w:rsidRDefault="007C11E9">
            <w:pPr>
              <w:tabs>
                <w:tab w:val="left" w:pos="10387"/>
              </w:tabs>
              <w:suppressAutoHyphens/>
              <w:spacing w:before="0"/>
              <w:rPr>
                <w:i/>
              </w:rPr>
            </w:pPr>
            <w:r w:rsidRPr="000A3A07">
              <w:sym w:font="Symbol" w:char="F0D7"/>
            </w:r>
            <w:r w:rsidRPr="000A3A07">
              <w:t xml:space="preserve"> </w:t>
            </w:r>
            <w:r w:rsidRPr="000A3A07">
              <w:rPr>
                <w:i/>
              </w:rPr>
              <w:t>Miljöförbättringar</w:t>
            </w:r>
          </w:p>
          <w:p w14:paraId="182F8E4A" w14:textId="77777777" w:rsidR="007C11E9" w:rsidRPr="000A3A07" w:rsidRDefault="007C11E9">
            <w:pPr>
              <w:tabs>
                <w:tab w:val="left" w:pos="10387"/>
              </w:tabs>
              <w:suppressAutoHyphens/>
              <w:spacing w:before="0"/>
              <w:rPr>
                <w:i/>
              </w:rPr>
            </w:pPr>
            <w:r w:rsidRPr="000A3A07">
              <w:rPr>
                <w:i/>
              </w:rPr>
              <w:t xml:space="preserve">  genom avlastning av         </w:t>
            </w:r>
          </w:p>
          <w:p w14:paraId="73725F28" w14:textId="77777777" w:rsidR="007C11E9" w:rsidRPr="000A3A07" w:rsidRDefault="007C11E9">
            <w:pPr>
              <w:tabs>
                <w:tab w:val="left" w:pos="10387"/>
              </w:tabs>
              <w:suppressAutoHyphens/>
              <w:spacing w:before="0"/>
            </w:pPr>
            <w:r w:rsidRPr="000A3A07">
              <w:rPr>
                <w:i/>
              </w:rPr>
              <w:t xml:space="preserve">  trafikkänsliga områden                                                                                                                </w:t>
            </w:r>
          </w:p>
        </w:tc>
        <w:tc>
          <w:tcPr>
            <w:tcW w:w="2906" w:type="dxa"/>
            <w:tcBorders>
              <w:top w:val="single" w:sz="7" w:space="0" w:color="auto"/>
              <w:left w:val="single" w:sz="7" w:space="0" w:color="auto"/>
              <w:bottom w:val="double" w:sz="7" w:space="0" w:color="auto"/>
              <w:right w:val="double" w:sz="7" w:space="0" w:color="auto"/>
            </w:tcBorders>
          </w:tcPr>
          <w:p w14:paraId="05B97D2B" w14:textId="77777777" w:rsidR="007C11E9" w:rsidRPr="000A3A07" w:rsidRDefault="007C11E9">
            <w:pPr>
              <w:tabs>
                <w:tab w:val="left" w:pos="0"/>
                <w:tab w:val="left" w:pos="826"/>
                <w:tab w:val="left" w:pos="1394"/>
                <w:tab w:val="left" w:pos="3895"/>
                <w:tab w:val="left" w:pos="5193"/>
                <w:tab w:val="left" w:pos="6492"/>
                <w:tab w:val="left" w:pos="7790"/>
                <w:tab w:val="left" w:pos="9088"/>
                <w:tab w:val="left" w:pos="10387"/>
              </w:tabs>
              <w:suppressAutoHyphens/>
              <w:spacing w:before="0"/>
            </w:pPr>
            <w:r w:rsidRPr="000A3A07">
              <w:sym w:font="Symbol" w:char="F0D7"/>
            </w:r>
            <w:r w:rsidRPr="000A3A07">
              <w:t xml:space="preserve"> </w:t>
            </w:r>
            <w:r w:rsidRPr="000A3A07">
              <w:rPr>
                <w:i/>
              </w:rPr>
              <w:t>Väghållarens anläggnings- och                                                                                                                                                                                                                                                                                                                      driftkostnader</w:t>
            </w:r>
          </w:p>
          <w:p w14:paraId="38038302" w14:textId="77777777" w:rsidR="007C11E9" w:rsidRPr="000A3A07" w:rsidRDefault="007C11E9">
            <w:pPr>
              <w:tabs>
                <w:tab w:val="left" w:pos="0"/>
                <w:tab w:val="left" w:pos="826"/>
                <w:tab w:val="left" w:pos="1394"/>
                <w:tab w:val="left" w:pos="3895"/>
                <w:tab w:val="left" w:pos="5193"/>
                <w:tab w:val="left" w:pos="6492"/>
                <w:tab w:val="left" w:pos="7790"/>
                <w:tab w:val="left" w:pos="9088"/>
                <w:tab w:val="left" w:pos="10387"/>
              </w:tabs>
              <w:suppressAutoHyphens/>
              <w:spacing w:before="0"/>
            </w:pPr>
            <w:r w:rsidRPr="000A3A07">
              <w:t xml:space="preserve"> </w:t>
            </w:r>
          </w:p>
          <w:p w14:paraId="79C5B9E4" w14:textId="77777777" w:rsidR="007C11E9" w:rsidRPr="000A3A07" w:rsidRDefault="007C11E9">
            <w:pPr>
              <w:tabs>
                <w:tab w:val="left" w:pos="0"/>
                <w:tab w:val="left" w:pos="826"/>
                <w:tab w:val="left" w:pos="1394"/>
                <w:tab w:val="left" w:pos="3895"/>
                <w:tab w:val="left" w:pos="5193"/>
                <w:tab w:val="left" w:pos="6492"/>
                <w:tab w:val="left" w:pos="7790"/>
                <w:tab w:val="left" w:pos="9088"/>
                <w:tab w:val="left" w:pos="10387"/>
              </w:tabs>
              <w:suppressAutoHyphens/>
              <w:spacing w:before="0"/>
              <w:rPr>
                <w:i/>
              </w:rPr>
            </w:pPr>
            <w:r w:rsidRPr="000A3A07">
              <w:sym w:font="Symbol" w:char="F0D7"/>
            </w:r>
            <w:r w:rsidRPr="000A3A07">
              <w:t xml:space="preserve"> </w:t>
            </w:r>
            <w:r w:rsidRPr="000A3A07">
              <w:rPr>
                <w:i/>
              </w:rPr>
              <w:t>Intrångskostnader</w:t>
            </w:r>
          </w:p>
          <w:p w14:paraId="31795BB0" w14:textId="77777777" w:rsidR="007C11E9" w:rsidRPr="000A3A07" w:rsidRDefault="007C11E9">
            <w:pPr>
              <w:tabs>
                <w:tab w:val="left" w:pos="0"/>
                <w:tab w:val="left" w:pos="826"/>
                <w:tab w:val="left" w:pos="1394"/>
                <w:tab w:val="left" w:pos="3895"/>
                <w:tab w:val="left" w:pos="5193"/>
                <w:tab w:val="left" w:pos="6492"/>
                <w:tab w:val="left" w:pos="7790"/>
                <w:tab w:val="left" w:pos="9088"/>
                <w:tab w:val="left" w:pos="10387"/>
              </w:tabs>
              <w:suppressAutoHyphens/>
              <w:spacing w:before="0"/>
            </w:pPr>
          </w:p>
          <w:p w14:paraId="17BF2C28" w14:textId="77777777" w:rsidR="007C11E9" w:rsidRPr="000A3A07" w:rsidRDefault="007C11E9">
            <w:pPr>
              <w:tabs>
                <w:tab w:val="left" w:pos="0"/>
                <w:tab w:val="left" w:pos="826"/>
                <w:tab w:val="left" w:pos="1394"/>
                <w:tab w:val="left" w:pos="3895"/>
                <w:tab w:val="left" w:pos="5193"/>
                <w:tab w:val="left" w:pos="6492"/>
                <w:tab w:val="left" w:pos="7790"/>
                <w:tab w:val="left" w:pos="9088"/>
                <w:tab w:val="left" w:pos="10387"/>
              </w:tabs>
              <w:suppressAutoHyphens/>
              <w:spacing w:before="0"/>
              <w:rPr>
                <w:i/>
              </w:rPr>
            </w:pPr>
            <w:r w:rsidRPr="000A3A07">
              <w:sym w:font="Symbol" w:char="F0D7"/>
            </w:r>
            <w:r w:rsidRPr="000A3A07">
              <w:t xml:space="preserve"> </w:t>
            </w:r>
            <w:r w:rsidRPr="000A3A07">
              <w:rPr>
                <w:i/>
              </w:rPr>
              <w:t>Erodering av trafikunderlaget</w:t>
            </w:r>
          </w:p>
          <w:p w14:paraId="1C0DBD5F" w14:textId="77777777" w:rsidR="007C11E9" w:rsidRPr="000A3A07" w:rsidRDefault="007C11E9">
            <w:pPr>
              <w:tabs>
                <w:tab w:val="left" w:pos="0"/>
                <w:tab w:val="left" w:pos="826"/>
                <w:tab w:val="left" w:pos="1394"/>
                <w:tab w:val="left" w:pos="3895"/>
                <w:tab w:val="left" w:pos="5193"/>
                <w:tab w:val="left" w:pos="6492"/>
                <w:tab w:val="left" w:pos="7790"/>
                <w:tab w:val="left" w:pos="9088"/>
                <w:tab w:val="left" w:pos="10387"/>
              </w:tabs>
              <w:suppressAutoHyphens/>
              <w:spacing w:before="0"/>
            </w:pPr>
            <w:r w:rsidRPr="000A3A07">
              <w:rPr>
                <w:i/>
              </w:rPr>
              <w:t xml:space="preserve">  för alternativ kollektivtrafik</w:t>
            </w:r>
            <w:r w:rsidRPr="000A3A07">
              <w:t xml:space="preserve"> </w:t>
            </w:r>
          </w:p>
        </w:tc>
      </w:tr>
    </w:tbl>
    <w:p w14:paraId="21EA7208" w14:textId="77777777" w:rsidR="007C11E9" w:rsidRPr="000A3A07" w:rsidRDefault="007C11E9">
      <w:pPr>
        <w:pStyle w:val="Vinkelkoder"/>
      </w:pPr>
      <w:r w:rsidRPr="000A3A07">
        <w:t>Trafikantkostnadsbesparingar är som regel den dominerande nyttoposten. Bland dessa besparingar är det i sin tur tidsvinsterna som hittills har varit störst. Vägtransportsystemet är relativt olycksdrabbat, så med successivt ökande värdering av förbättrad trafiksäkerhet kan minskade olyckskostnader bli en lika viktig nyttopost som restidsbesparing i den typiska väginvest</w:t>
      </w:r>
      <w:r w:rsidRPr="000A3A07">
        <w:t>e</w:t>
      </w:r>
      <w:r w:rsidRPr="000A3A07">
        <w:t>ringskalkylen i kommande planeringsomgångar.</w:t>
      </w:r>
    </w:p>
    <w:p w14:paraId="3A256B35" w14:textId="77777777" w:rsidR="007C11E9" w:rsidRPr="000A3A07" w:rsidRDefault="007C11E9">
      <w:pPr>
        <w:pStyle w:val="Normaltindrag"/>
      </w:pPr>
      <w:r w:rsidRPr="000A3A07">
        <w:t>På grund av att den andel av den totala generaliserade transportkostnaden dörr-till-dörr som påverkas genom en typisk väginvestering är relativt liten, är ny trafik, inducerad av investeringen, normalt relativt obetydlig utanför större tätorter. En schema</w:t>
      </w:r>
      <w:r w:rsidRPr="000A3A07">
        <w:softHyphen/>
        <w:t>tisk behandling av eventuell överflyttad och nyg</w:t>
      </w:r>
      <w:r w:rsidRPr="000A3A07">
        <w:t>e</w:t>
      </w:r>
      <w:r w:rsidRPr="000A3A07">
        <w:t>nererad trafik är fullt försvarlig. För större järnvägsinvesteringar som mö</w:t>
      </w:r>
      <w:r w:rsidRPr="000A3A07">
        <w:t>j</w:t>
      </w:r>
      <w:r w:rsidRPr="000A3A07">
        <w:t>liggör höghastighetståg och/eller åstadkommer en betydande banförkortning, eller spektakulära broinvestering</w:t>
      </w:r>
      <w:r w:rsidRPr="000A3A07">
        <w:softHyphen/>
        <w:t>ar som Ölandsbron och Öresundsbron, samt för trafikledsinvesteringar i större städer ligger det dock annorlunda till.</w:t>
      </w:r>
    </w:p>
    <w:p w14:paraId="488EA2F9" w14:textId="77777777" w:rsidR="007C11E9" w:rsidRPr="000A3A07" w:rsidRDefault="007C11E9">
      <w:pPr>
        <w:pStyle w:val="Normaltindrag"/>
      </w:pPr>
      <w:r w:rsidRPr="000A3A07">
        <w:t>På kostnadssidan värderas varken intrångskostnaderna eller eventuell er</w:t>
      </w:r>
      <w:r w:rsidRPr="000A3A07">
        <w:t>o</w:t>
      </w:r>
      <w:r w:rsidRPr="000A3A07">
        <w:t>dering av trafikunderlaget för alternativa kollektiva transportförbindelser monetärt i Vägverkets och Banverkets objektanalyser, även om lokaliserin</w:t>
      </w:r>
      <w:r w:rsidRPr="000A3A07">
        <w:t>g</w:t>
      </w:r>
      <w:r w:rsidRPr="000A3A07">
        <w:t xml:space="preserve">en av vägar och järnvägar, och därmed anläggningskostnaden, påverkas mer eller mindre av strävan att undvika konflikter med miljöintressen. </w:t>
      </w:r>
    </w:p>
    <w:p w14:paraId="230F18AE" w14:textId="77777777" w:rsidR="007C11E9" w:rsidRPr="000A3A07" w:rsidRDefault="007C11E9">
      <w:pPr>
        <w:pStyle w:val="Normaltindrag"/>
      </w:pPr>
      <w:r w:rsidRPr="000A3A07">
        <w:t>Miljöeffekterna får en ganska skev behandling med nuvarande kalkylm</w:t>
      </w:r>
      <w:r w:rsidRPr="000A3A07">
        <w:t>e</w:t>
      </w:r>
      <w:r w:rsidRPr="000A3A07">
        <w:t>toder. Det som väginvesteringar har relativt små möjligheter att påverka – avgasutsläppen från trafiken – strävar man efter att i detalj kartlägga och uttrycka i monetära termer. Intrångskostnaderna däremot, som i vissa fall sannolikt är av avgörande betydelse för den samhällsekonomiska lönsamh</w:t>
      </w:r>
      <w:r w:rsidRPr="000A3A07">
        <w:t>e</w:t>
      </w:r>
      <w:r w:rsidRPr="000A3A07">
        <w:t>ten, behandlas som sagt inte alls inom ramen för objektanalysen.</w:t>
      </w:r>
    </w:p>
    <w:p w14:paraId="1532861C" w14:textId="77777777" w:rsidR="007C11E9" w:rsidRPr="000A3A07" w:rsidRDefault="007C11E9">
      <w:pPr>
        <w:pStyle w:val="Normaltindrag"/>
      </w:pPr>
      <w:r w:rsidRPr="000A3A07">
        <w:t>Södra länken är speciell genom att det huvudsakligen är fråga om en tu</w:t>
      </w:r>
      <w:r w:rsidRPr="000A3A07">
        <w:t>n</w:t>
      </w:r>
      <w:r w:rsidRPr="000A3A07">
        <w:t>nel. Den viktigaste konsekvensen av detta för kalkylen är som påpekats i inledningen att byggnadskostnaderna blir flera gånger högre än om motsv</w:t>
      </w:r>
      <w:r w:rsidRPr="000A3A07">
        <w:t>a</w:t>
      </w:r>
      <w:r w:rsidRPr="000A3A07">
        <w:t>rande led hade anlagts i markplanet. Därför är det ett mycket olönsamt pr</w:t>
      </w:r>
      <w:r w:rsidRPr="000A3A07">
        <w:t>o</w:t>
      </w:r>
      <w:r w:rsidRPr="000A3A07">
        <w:t>jekt. Det är emellertid anmärkningsvärt att nyttosidan har beräknats till helt olika belopp i de två samhällsekonomiska kalkyler som föreligger, Inregia (1996) och Transek (1998). I den senare utredningen är nyttan inte mindre än 3,6 ånger högre än i den förra. Det hjälper dock inte upp tota</w:t>
      </w:r>
      <w:r w:rsidRPr="000A3A07">
        <w:t>lresultatet till lönsamhet. Nettonuvärdekvoten är klart negativ (- 0,4) även i Transek (1998). Den väldiga diskrepansen mellan nyttoberäkningarna minskar tyvärr trovärdigheten i kalkylerandet. Det finns alltså god anledning att närmare granska de två samhällsekonomiska kalkylerna för att finna en förklaring till diskr</w:t>
      </w:r>
      <w:r w:rsidRPr="000A3A07">
        <w:t>e</w:t>
      </w:r>
      <w:r w:rsidRPr="000A3A07">
        <w:t>pansen.</w:t>
      </w:r>
    </w:p>
    <w:p w14:paraId="4E4F8ACE" w14:textId="77777777" w:rsidR="007C11E9" w:rsidRPr="000A3A07" w:rsidRDefault="007C11E9">
      <w:pPr>
        <w:pStyle w:val="Rubrik2"/>
      </w:pPr>
      <w:bookmarkStart w:id="366" w:name="_Toc496513154"/>
      <w:bookmarkStart w:id="367" w:name="_Toc506341041"/>
      <w:r w:rsidRPr="000A3A07">
        <w:t>Inregia (1996) och Transek (1998) i sammandrag</w:t>
      </w:r>
      <w:bookmarkEnd w:id="366"/>
      <w:bookmarkEnd w:id="367"/>
    </w:p>
    <w:p w14:paraId="5C8CE83C" w14:textId="77777777" w:rsidR="007C11E9" w:rsidRPr="000A3A07" w:rsidRDefault="007C11E9">
      <w:r w:rsidRPr="000A3A07">
        <w:t>Med samma grovsortering av kalkylrelevanta nytto- och kostnadsposter som i tabell 1 ovan har resultatet av de samhällsekonomiska kalkylerna i Inregia (1996) och Transek (1998)  sammanfattats på följande sätt:</w:t>
      </w:r>
    </w:p>
    <w:p w14:paraId="24B6391D" w14:textId="77777777" w:rsidR="007C11E9" w:rsidRPr="000A3A07" w:rsidRDefault="007C11E9">
      <w:pPr>
        <w:rPr>
          <w:b/>
          <w:sz w:val="22"/>
        </w:rPr>
      </w:pPr>
      <w:r w:rsidRPr="000A3A07">
        <w:rPr>
          <w:b/>
          <w:sz w:val="22"/>
        </w:rPr>
        <w:t>Tabell 2. Nuvärden i miljoner kr för nytta och kostnad för Södra Länken inkl. Nacka Port enligt Inregia (1996) och Transek (1998).</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756"/>
        <w:gridCol w:w="981"/>
        <w:gridCol w:w="1098"/>
        <w:gridCol w:w="862"/>
        <w:gridCol w:w="981"/>
      </w:tblGrid>
      <w:tr w:rsidR="00000000" w:rsidRPr="000A3A07" w14:paraId="6F26B6CC" w14:textId="77777777">
        <w:tblPrEx>
          <w:tblCellMar>
            <w:top w:w="0" w:type="dxa"/>
            <w:bottom w:w="0" w:type="dxa"/>
          </w:tblCellMar>
        </w:tblPrEx>
        <w:trPr>
          <w:cantSplit/>
        </w:trPr>
        <w:tc>
          <w:tcPr>
            <w:tcW w:w="2941" w:type="dxa"/>
            <w:gridSpan w:val="3"/>
          </w:tcPr>
          <w:p w14:paraId="7DB9D5EA" w14:textId="77777777" w:rsidR="007C11E9" w:rsidRPr="000A3A07" w:rsidRDefault="007C11E9">
            <w:pPr>
              <w:spacing w:before="0"/>
            </w:pPr>
            <w:r w:rsidRPr="000A3A07">
              <w:t>NYTTA</w:t>
            </w:r>
          </w:p>
        </w:tc>
        <w:tc>
          <w:tcPr>
            <w:tcW w:w="2941" w:type="dxa"/>
            <w:gridSpan w:val="3"/>
          </w:tcPr>
          <w:p w14:paraId="5D505DAE" w14:textId="77777777" w:rsidR="007C11E9" w:rsidRPr="000A3A07" w:rsidRDefault="007C11E9">
            <w:pPr>
              <w:spacing w:before="0"/>
            </w:pPr>
            <w:r w:rsidRPr="000A3A07">
              <w:t>KOSTNAD</w:t>
            </w:r>
          </w:p>
        </w:tc>
      </w:tr>
      <w:tr w:rsidR="00000000" w:rsidRPr="000A3A07" w14:paraId="7467E0B3" w14:textId="77777777">
        <w:tblPrEx>
          <w:tblCellMar>
            <w:top w:w="0" w:type="dxa"/>
            <w:bottom w:w="0" w:type="dxa"/>
          </w:tblCellMar>
        </w:tblPrEx>
        <w:tc>
          <w:tcPr>
            <w:tcW w:w="1204" w:type="dxa"/>
          </w:tcPr>
          <w:p w14:paraId="3B3FA11A" w14:textId="77777777" w:rsidR="007C11E9" w:rsidRPr="000A3A07" w:rsidRDefault="007C11E9">
            <w:pPr>
              <w:spacing w:before="0"/>
              <w:jc w:val="left"/>
              <w:rPr>
                <w:i/>
              </w:rPr>
            </w:pPr>
            <w:r w:rsidRPr="000A3A07">
              <w:rPr>
                <w:i/>
              </w:rPr>
              <w:t>Trafikan</w:t>
            </w:r>
            <w:r w:rsidRPr="000A3A07">
              <w:rPr>
                <w:i/>
              </w:rPr>
              <w:t>t</w:t>
            </w:r>
            <w:r w:rsidRPr="000A3A07">
              <w:rPr>
                <w:i/>
              </w:rPr>
              <w:t>kostnasbesp.</w:t>
            </w:r>
          </w:p>
        </w:tc>
        <w:tc>
          <w:tcPr>
            <w:tcW w:w="756" w:type="dxa"/>
          </w:tcPr>
          <w:p w14:paraId="131438FE" w14:textId="77777777" w:rsidR="007C11E9" w:rsidRPr="000A3A07" w:rsidRDefault="007C11E9">
            <w:pPr>
              <w:spacing w:before="0"/>
              <w:jc w:val="left"/>
            </w:pPr>
            <w:r w:rsidRPr="000A3A07">
              <w:t>Inregia</w:t>
            </w:r>
          </w:p>
        </w:tc>
        <w:tc>
          <w:tcPr>
            <w:tcW w:w="981" w:type="dxa"/>
          </w:tcPr>
          <w:p w14:paraId="09DB13E3" w14:textId="77777777" w:rsidR="007C11E9" w:rsidRPr="000A3A07" w:rsidRDefault="007C11E9">
            <w:pPr>
              <w:spacing w:before="0"/>
              <w:jc w:val="left"/>
            </w:pPr>
            <w:r w:rsidRPr="000A3A07">
              <w:t>Transek</w:t>
            </w:r>
          </w:p>
        </w:tc>
        <w:tc>
          <w:tcPr>
            <w:tcW w:w="1098" w:type="dxa"/>
          </w:tcPr>
          <w:p w14:paraId="34969401" w14:textId="77777777" w:rsidR="007C11E9" w:rsidRPr="000A3A07" w:rsidRDefault="007C11E9">
            <w:pPr>
              <w:spacing w:before="0"/>
              <w:jc w:val="left"/>
              <w:rPr>
                <w:i/>
              </w:rPr>
            </w:pPr>
            <w:r w:rsidRPr="000A3A07">
              <w:rPr>
                <w:i/>
              </w:rPr>
              <w:t>Väghålln. kos</w:t>
            </w:r>
            <w:r w:rsidRPr="000A3A07">
              <w:rPr>
                <w:i/>
              </w:rPr>
              <w:t>t</w:t>
            </w:r>
            <w:r w:rsidRPr="000A3A07">
              <w:rPr>
                <w:i/>
              </w:rPr>
              <w:t>nad</w:t>
            </w:r>
          </w:p>
        </w:tc>
        <w:tc>
          <w:tcPr>
            <w:tcW w:w="862" w:type="dxa"/>
          </w:tcPr>
          <w:p w14:paraId="0FB8A81C" w14:textId="77777777" w:rsidR="007C11E9" w:rsidRPr="000A3A07" w:rsidRDefault="007C11E9">
            <w:pPr>
              <w:spacing w:before="0"/>
              <w:jc w:val="left"/>
            </w:pPr>
            <w:r w:rsidRPr="000A3A07">
              <w:t>Inregia</w:t>
            </w:r>
          </w:p>
        </w:tc>
        <w:tc>
          <w:tcPr>
            <w:tcW w:w="981" w:type="dxa"/>
          </w:tcPr>
          <w:p w14:paraId="3A15E10F" w14:textId="77777777" w:rsidR="007C11E9" w:rsidRPr="000A3A07" w:rsidRDefault="007C11E9">
            <w:pPr>
              <w:spacing w:before="0"/>
              <w:jc w:val="left"/>
            </w:pPr>
            <w:r w:rsidRPr="000A3A07">
              <w:t>Transek</w:t>
            </w:r>
          </w:p>
        </w:tc>
      </w:tr>
      <w:tr w:rsidR="00000000" w:rsidRPr="000A3A07" w14:paraId="7A7EBEB1" w14:textId="77777777">
        <w:tblPrEx>
          <w:tblCellMar>
            <w:top w:w="0" w:type="dxa"/>
            <w:bottom w:w="0" w:type="dxa"/>
          </w:tblCellMar>
        </w:tblPrEx>
        <w:tc>
          <w:tcPr>
            <w:tcW w:w="1204" w:type="dxa"/>
          </w:tcPr>
          <w:p w14:paraId="50243494" w14:textId="77777777" w:rsidR="007C11E9" w:rsidRPr="000A3A07" w:rsidRDefault="007C11E9">
            <w:pPr>
              <w:spacing w:before="0"/>
              <w:jc w:val="left"/>
            </w:pPr>
            <w:r w:rsidRPr="000A3A07">
              <w:t>Restid</w:t>
            </w:r>
          </w:p>
        </w:tc>
        <w:tc>
          <w:tcPr>
            <w:tcW w:w="756" w:type="dxa"/>
          </w:tcPr>
          <w:p w14:paraId="1801EDDB" w14:textId="77777777" w:rsidR="007C11E9" w:rsidRPr="000A3A07" w:rsidRDefault="007C11E9">
            <w:pPr>
              <w:spacing w:before="0"/>
              <w:jc w:val="right"/>
            </w:pPr>
            <w:r w:rsidRPr="000A3A07">
              <w:t>2 656</w:t>
            </w:r>
          </w:p>
        </w:tc>
        <w:tc>
          <w:tcPr>
            <w:tcW w:w="981" w:type="dxa"/>
          </w:tcPr>
          <w:p w14:paraId="1D0EA71A" w14:textId="77777777" w:rsidR="007C11E9" w:rsidRPr="000A3A07" w:rsidRDefault="007C11E9">
            <w:pPr>
              <w:spacing w:before="0"/>
              <w:jc w:val="right"/>
            </w:pPr>
            <w:r w:rsidRPr="000A3A07">
              <w:t>3 960</w:t>
            </w:r>
          </w:p>
        </w:tc>
        <w:tc>
          <w:tcPr>
            <w:tcW w:w="1098" w:type="dxa"/>
          </w:tcPr>
          <w:p w14:paraId="562D614B" w14:textId="77777777" w:rsidR="007C11E9" w:rsidRPr="000A3A07" w:rsidRDefault="007C11E9">
            <w:pPr>
              <w:spacing w:before="0"/>
              <w:jc w:val="left"/>
            </w:pPr>
            <w:r w:rsidRPr="000A3A07">
              <w:t>Invest</w:t>
            </w:r>
            <w:r w:rsidRPr="000A3A07">
              <w:t>e</w:t>
            </w:r>
            <w:r w:rsidRPr="000A3A07">
              <w:t>ring</w:t>
            </w:r>
          </w:p>
        </w:tc>
        <w:tc>
          <w:tcPr>
            <w:tcW w:w="862" w:type="dxa"/>
          </w:tcPr>
          <w:p w14:paraId="25FA53B6" w14:textId="77777777" w:rsidR="007C11E9" w:rsidRPr="000A3A07" w:rsidRDefault="007C11E9">
            <w:pPr>
              <w:spacing w:before="0"/>
              <w:jc w:val="right"/>
            </w:pPr>
            <w:r w:rsidRPr="000A3A07">
              <w:t>13 844</w:t>
            </w:r>
          </w:p>
        </w:tc>
        <w:tc>
          <w:tcPr>
            <w:tcW w:w="981" w:type="dxa"/>
          </w:tcPr>
          <w:p w14:paraId="0F6A4250" w14:textId="77777777" w:rsidR="007C11E9" w:rsidRPr="000A3A07" w:rsidRDefault="007C11E9">
            <w:pPr>
              <w:spacing w:before="0"/>
              <w:jc w:val="right"/>
            </w:pPr>
            <w:r w:rsidRPr="000A3A07">
              <w:t>8 980</w:t>
            </w:r>
          </w:p>
        </w:tc>
      </w:tr>
      <w:tr w:rsidR="00000000" w:rsidRPr="000A3A07" w14:paraId="0A748F52" w14:textId="77777777">
        <w:tblPrEx>
          <w:tblCellMar>
            <w:top w:w="0" w:type="dxa"/>
            <w:bottom w:w="0" w:type="dxa"/>
          </w:tblCellMar>
        </w:tblPrEx>
        <w:tc>
          <w:tcPr>
            <w:tcW w:w="1204" w:type="dxa"/>
          </w:tcPr>
          <w:p w14:paraId="6B667F04" w14:textId="77777777" w:rsidR="007C11E9" w:rsidRPr="000A3A07" w:rsidRDefault="007C11E9">
            <w:pPr>
              <w:spacing w:before="0"/>
              <w:jc w:val="left"/>
            </w:pPr>
            <w:r w:rsidRPr="000A3A07">
              <w:t>Godstid</w:t>
            </w:r>
          </w:p>
        </w:tc>
        <w:tc>
          <w:tcPr>
            <w:tcW w:w="756" w:type="dxa"/>
          </w:tcPr>
          <w:p w14:paraId="562399E3" w14:textId="77777777" w:rsidR="007C11E9" w:rsidRPr="000A3A07" w:rsidRDefault="007C11E9">
            <w:pPr>
              <w:spacing w:before="0"/>
              <w:jc w:val="right"/>
            </w:pPr>
          </w:p>
        </w:tc>
        <w:tc>
          <w:tcPr>
            <w:tcW w:w="981" w:type="dxa"/>
          </w:tcPr>
          <w:p w14:paraId="2ED386C9" w14:textId="77777777" w:rsidR="007C11E9" w:rsidRPr="000A3A07" w:rsidRDefault="007C11E9">
            <w:pPr>
              <w:spacing w:before="0"/>
              <w:jc w:val="right"/>
            </w:pPr>
            <w:r w:rsidRPr="000A3A07">
              <w:t>170</w:t>
            </w:r>
          </w:p>
        </w:tc>
        <w:tc>
          <w:tcPr>
            <w:tcW w:w="1098" w:type="dxa"/>
          </w:tcPr>
          <w:p w14:paraId="03E6A763" w14:textId="77777777" w:rsidR="007C11E9" w:rsidRPr="000A3A07" w:rsidRDefault="007C11E9">
            <w:pPr>
              <w:spacing w:before="0"/>
              <w:jc w:val="left"/>
            </w:pPr>
            <w:r w:rsidRPr="000A3A07">
              <w:t>Drift,         u</w:t>
            </w:r>
            <w:r w:rsidRPr="000A3A07">
              <w:t>n</w:t>
            </w:r>
            <w:r w:rsidRPr="000A3A07">
              <w:t>derhåll</w:t>
            </w:r>
          </w:p>
        </w:tc>
        <w:tc>
          <w:tcPr>
            <w:tcW w:w="862" w:type="dxa"/>
          </w:tcPr>
          <w:p w14:paraId="42B036B0" w14:textId="77777777" w:rsidR="007C11E9" w:rsidRPr="000A3A07" w:rsidRDefault="007C11E9">
            <w:pPr>
              <w:spacing w:before="0"/>
              <w:jc w:val="right"/>
            </w:pPr>
            <w:r w:rsidRPr="000A3A07">
              <w:t>1 753</w:t>
            </w:r>
          </w:p>
        </w:tc>
        <w:tc>
          <w:tcPr>
            <w:tcW w:w="981" w:type="dxa"/>
          </w:tcPr>
          <w:p w14:paraId="7D2EE0D7" w14:textId="77777777" w:rsidR="007C11E9" w:rsidRPr="000A3A07" w:rsidRDefault="007C11E9">
            <w:pPr>
              <w:spacing w:before="0"/>
              <w:jc w:val="right"/>
            </w:pPr>
            <w:r w:rsidRPr="000A3A07">
              <w:t>1 200</w:t>
            </w:r>
          </w:p>
        </w:tc>
      </w:tr>
      <w:tr w:rsidR="00000000" w:rsidRPr="000A3A07" w14:paraId="4ABCBE45" w14:textId="77777777">
        <w:tblPrEx>
          <w:tblCellMar>
            <w:top w:w="0" w:type="dxa"/>
            <w:bottom w:w="0" w:type="dxa"/>
          </w:tblCellMar>
        </w:tblPrEx>
        <w:tc>
          <w:tcPr>
            <w:tcW w:w="1204" w:type="dxa"/>
          </w:tcPr>
          <w:p w14:paraId="34AAEFF7" w14:textId="77777777" w:rsidR="007C11E9" w:rsidRPr="000A3A07" w:rsidRDefault="007C11E9">
            <w:pPr>
              <w:spacing w:before="0"/>
              <w:jc w:val="left"/>
            </w:pPr>
            <w:r w:rsidRPr="000A3A07">
              <w:t>Fordonskos</w:t>
            </w:r>
            <w:r w:rsidRPr="000A3A07">
              <w:t>t</w:t>
            </w:r>
            <w:r w:rsidRPr="000A3A07">
              <w:t>nad</w:t>
            </w:r>
          </w:p>
        </w:tc>
        <w:tc>
          <w:tcPr>
            <w:tcW w:w="756" w:type="dxa"/>
          </w:tcPr>
          <w:p w14:paraId="1CC4B2E5" w14:textId="77777777" w:rsidR="007C11E9" w:rsidRPr="000A3A07" w:rsidRDefault="007C11E9">
            <w:pPr>
              <w:spacing w:before="0"/>
              <w:jc w:val="right"/>
            </w:pPr>
          </w:p>
        </w:tc>
        <w:tc>
          <w:tcPr>
            <w:tcW w:w="981" w:type="dxa"/>
          </w:tcPr>
          <w:p w14:paraId="410FBEB4" w14:textId="77777777" w:rsidR="007C11E9" w:rsidRPr="000A3A07" w:rsidRDefault="007C11E9">
            <w:pPr>
              <w:spacing w:before="0"/>
              <w:jc w:val="right"/>
            </w:pPr>
            <w:r w:rsidRPr="000A3A07">
              <w:t>- 440</w:t>
            </w:r>
          </w:p>
        </w:tc>
        <w:tc>
          <w:tcPr>
            <w:tcW w:w="1098" w:type="dxa"/>
          </w:tcPr>
          <w:p w14:paraId="1413CC1F" w14:textId="77777777" w:rsidR="007C11E9" w:rsidRPr="000A3A07" w:rsidRDefault="007C11E9">
            <w:pPr>
              <w:spacing w:before="0"/>
              <w:jc w:val="left"/>
            </w:pPr>
          </w:p>
        </w:tc>
        <w:tc>
          <w:tcPr>
            <w:tcW w:w="862" w:type="dxa"/>
          </w:tcPr>
          <w:p w14:paraId="568A74BD" w14:textId="77777777" w:rsidR="007C11E9" w:rsidRPr="000A3A07" w:rsidRDefault="007C11E9">
            <w:pPr>
              <w:spacing w:before="0"/>
              <w:jc w:val="right"/>
            </w:pPr>
          </w:p>
        </w:tc>
        <w:tc>
          <w:tcPr>
            <w:tcW w:w="981" w:type="dxa"/>
          </w:tcPr>
          <w:p w14:paraId="18AD4856" w14:textId="77777777" w:rsidR="007C11E9" w:rsidRPr="000A3A07" w:rsidRDefault="007C11E9">
            <w:pPr>
              <w:spacing w:before="0"/>
              <w:jc w:val="right"/>
            </w:pPr>
          </w:p>
        </w:tc>
      </w:tr>
      <w:tr w:rsidR="00000000" w:rsidRPr="000A3A07" w14:paraId="3A2EF6DA" w14:textId="77777777">
        <w:tblPrEx>
          <w:tblCellMar>
            <w:top w:w="0" w:type="dxa"/>
            <w:bottom w:w="0" w:type="dxa"/>
          </w:tblCellMar>
        </w:tblPrEx>
        <w:tc>
          <w:tcPr>
            <w:tcW w:w="1204" w:type="dxa"/>
          </w:tcPr>
          <w:p w14:paraId="45DC2B4B" w14:textId="77777777" w:rsidR="007C11E9" w:rsidRPr="000A3A07" w:rsidRDefault="007C11E9">
            <w:pPr>
              <w:spacing w:before="0"/>
              <w:jc w:val="left"/>
            </w:pPr>
            <w:r w:rsidRPr="000A3A07">
              <w:t>Olyckskos</w:t>
            </w:r>
            <w:r w:rsidRPr="000A3A07">
              <w:t>t</w:t>
            </w:r>
            <w:r w:rsidRPr="000A3A07">
              <w:t>nad</w:t>
            </w:r>
          </w:p>
        </w:tc>
        <w:tc>
          <w:tcPr>
            <w:tcW w:w="756" w:type="dxa"/>
          </w:tcPr>
          <w:p w14:paraId="2A75A800" w14:textId="77777777" w:rsidR="007C11E9" w:rsidRPr="000A3A07" w:rsidRDefault="007C11E9">
            <w:pPr>
              <w:spacing w:before="0"/>
              <w:jc w:val="right"/>
            </w:pPr>
            <w:r w:rsidRPr="000A3A07">
              <w:t>- 255</w:t>
            </w:r>
          </w:p>
        </w:tc>
        <w:tc>
          <w:tcPr>
            <w:tcW w:w="981" w:type="dxa"/>
          </w:tcPr>
          <w:p w14:paraId="7EBAD3F9" w14:textId="77777777" w:rsidR="007C11E9" w:rsidRPr="000A3A07" w:rsidRDefault="007C11E9">
            <w:pPr>
              <w:spacing w:before="0"/>
              <w:jc w:val="right"/>
            </w:pPr>
            <w:r w:rsidRPr="000A3A07">
              <w:t>1 800</w:t>
            </w:r>
          </w:p>
        </w:tc>
        <w:tc>
          <w:tcPr>
            <w:tcW w:w="1098" w:type="dxa"/>
          </w:tcPr>
          <w:p w14:paraId="6062FEB3" w14:textId="77777777" w:rsidR="007C11E9" w:rsidRPr="000A3A07" w:rsidRDefault="007C11E9">
            <w:pPr>
              <w:spacing w:before="0"/>
              <w:jc w:val="left"/>
            </w:pPr>
          </w:p>
        </w:tc>
        <w:tc>
          <w:tcPr>
            <w:tcW w:w="862" w:type="dxa"/>
          </w:tcPr>
          <w:p w14:paraId="50D213FC" w14:textId="77777777" w:rsidR="007C11E9" w:rsidRPr="000A3A07" w:rsidRDefault="007C11E9">
            <w:pPr>
              <w:spacing w:before="0"/>
              <w:jc w:val="right"/>
            </w:pPr>
          </w:p>
        </w:tc>
        <w:tc>
          <w:tcPr>
            <w:tcW w:w="981" w:type="dxa"/>
          </w:tcPr>
          <w:p w14:paraId="26558729" w14:textId="77777777" w:rsidR="007C11E9" w:rsidRPr="000A3A07" w:rsidRDefault="007C11E9">
            <w:pPr>
              <w:spacing w:before="0"/>
              <w:jc w:val="right"/>
            </w:pPr>
          </w:p>
        </w:tc>
      </w:tr>
      <w:tr w:rsidR="00000000" w:rsidRPr="000A3A07" w14:paraId="3A5EC535" w14:textId="77777777">
        <w:tblPrEx>
          <w:tblCellMar>
            <w:top w:w="0" w:type="dxa"/>
            <w:bottom w:w="0" w:type="dxa"/>
          </w:tblCellMar>
        </w:tblPrEx>
        <w:tc>
          <w:tcPr>
            <w:tcW w:w="1204" w:type="dxa"/>
          </w:tcPr>
          <w:p w14:paraId="36C0E38F" w14:textId="77777777" w:rsidR="007C11E9" w:rsidRPr="000A3A07" w:rsidRDefault="007C11E9">
            <w:pPr>
              <w:spacing w:before="0"/>
              <w:jc w:val="left"/>
              <w:rPr>
                <w:i/>
              </w:rPr>
            </w:pPr>
            <w:r w:rsidRPr="000A3A07">
              <w:rPr>
                <w:i/>
              </w:rPr>
              <w:t>Nygenererad      tr</w:t>
            </w:r>
            <w:r w:rsidRPr="000A3A07">
              <w:rPr>
                <w:i/>
              </w:rPr>
              <w:t>a</w:t>
            </w:r>
            <w:r w:rsidRPr="000A3A07">
              <w:rPr>
                <w:i/>
              </w:rPr>
              <w:t>fik</w:t>
            </w:r>
          </w:p>
        </w:tc>
        <w:tc>
          <w:tcPr>
            <w:tcW w:w="756" w:type="dxa"/>
          </w:tcPr>
          <w:p w14:paraId="20E6C10A" w14:textId="77777777" w:rsidR="007C11E9" w:rsidRPr="000A3A07" w:rsidRDefault="007C11E9">
            <w:pPr>
              <w:spacing w:before="0"/>
              <w:jc w:val="right"/>
            </w:pPr>
          </w:p>
        </w:tc>
        <w:tc>
          <w:tcPr>
            <w:tcW w:w="981" w:type="dxa"/>
          </w:tcPr>
          <w:p w14:paraId="4F88592D" w14:textId="77777777" w:rsidR="007C11E9" w:rsidRPr="000A3A07" w:rsidRDefault="007C11E9">
            <w:pPr>
              <w:spacing w:before="0"/>
              <w:jc w:val="right"/>
            </w:pPr>
          </w:p>
        </w:tc>
        <w:tc>
          <w:tcPr>
            <w:tcW w:w="1098" w:type="dxa"/>
          </w:tcPr>
          <w:p w14:paraId="3CD1E432" w14:textId="77777777" w:rsidR="007C11E9" w:rsidRPr="000A3A07" w:rsidRDefault="007C11E9">
            <w:pPr>
              <w:spacing w:before="0"/>
              <w:jc w:val="left"/>
            </w:pPr>
          </w:p>
        </w:tc>
        <w:tc>
          <w:tcPr>
            <w:tcW w:w="862" w:type="dxa"/>
          </w:tcPr>
          <w:p w14:paraId="5B2C2BA1" w14:textId="77777777" w:rsidR="007C11E9" w:rsidRPr="000A3A07" w:rsidRDefault="007C11E9">
            <w:pPr>
              <w:spacing w:before="0"/>
              <w:jc w:val="right"/>
            </w:pPr>
          </w:p>
        </w:tc>
        <w:tc>
          <w:tcPr>
            <w:tcW w:w="981" w:type="dxa"/>
          </w:tcPr>
          <w:p w14:paraId="489294AE" w14:textId="77777777" w:rsidR="007C11E9" w:rsidRPr="000A3A07" w:rsidRDefault="007C11E9">
            <w:pPr>
              <w:spacing w:before="0"/>
              <w:jc w:val="right"/>
            </w:pPr>
          </w:p>
        </w:tc>
      </w:tr>
      <w:tr w:rsidR="00000000" w:rsidRPr="000A3A07" w14:paraId="57506AC9" w14:textId="77777777">
        <w:tblPrEx>
          <w:tblCellMar>
            <w:top w:w="0" w:type="dxa"/>
            <w:bottom w:w="0" w:type="dxa"/>
          </w:tblCellMar>
        </w:tblPrEx>
        <w:tc>
          <w:tcPr>
            <w:tcW w:w="1204" w:type="dxa"/>
          </w:tcPr>
          <w:p w14:paraId="60C04E9B" w14:textId="77777777" w:rsidR="007C11E9" w:rsidRPr="000A3A07" w:rsidRDefault="007C11E9">
            <w:pPr>
              <w:spacing w:before="0"/>
              <w:jc w:val="left"/>
              <w:rPr>
                <w:i/>
              </w:rPr>
            </w:pPr>
            <w:r w:rsidRPr="000A3A07">
              <w:rPr>
                <w:i/>
              </w:rPr>
              <w:t>Miljö-        förbät</w:t>
            </w:r>
            <w:r w:rsidRPr="000A3A07">
              <w:rPr>
                <w:i/>
              </w:rPr>
              <w:t>t</w:t>
            </w:r>
            <w:r w:rsidRPr="000A3A07">
              <w:rPr>
                <w:i/>
              </w:rPr>
              <w:t>ring</w:t>
            </w:r>
          </w:p>
        </w:tc>
        <w:tc>
          <w:tcPr>
            <w:tcW w:w="756" w:type="dxa"/>
          </w:tcPr>
          <w:p w14:paraId="4C946DAB" w14:textId="77777777" w:rsidR="007C11E9" w:rsidRPr="000A3A07" w:rsidRDefault="007C11E9">
            <w:pPr>
              <w:spacing w:before="0"/>
              <w:jc w:val="right"/>
            </w:pPr>
          </w:p>
        </w:tc>
        <w:tc>
          <w:tcPr>
            <w:tcW w:w="981" w:type="dxa"/>
          </w:tcPr>
          <w:p w14:paraId="75401F65" w14:textId="77777777" w:rsidR="007C11E9" w:rsidRPr="000A3A07" w:rsidRDefault="007C11E9">
            <w:pPr>
              <w:spacing w:before="0"/>
              <w:jc w:val="right"/>
            </w:pPr>
          </w:p>
        </w:tc>
        <w:tc>
          <w:tcPr>
            <w:tcW w:w="1098" w:type="dxa"/>
          </w:tcPr>
          <w:p w14:paraId="38016392" w14:textId="77777777" w:rsidR="007C11E9" w:rsidRPr="000A3A07" w:rsidRDefault="007C11E9">
            <w:pPr>
              <w:spacing w:before="0"/>
              <w:jc w:val="left"/>
              <w:rPr>
                <w:i/>
              </w:rPr>
            </w:pPr>
            <w:r w:rsidRPr="000A3A07">
              <w:rPr>
                <w:i/>
              </w:rPr>
              <w:t>I</w:t>
            </w:r>
            <w:r w:rsidRPr="000A3A07">
              <w:rPr>
                <w:i/>
              </w:rPr>
              <w:t>n</w:t>
            </w:r>
            <w:r w:rsidRPr="000A3A07">
              <w:rPr>
                <w:i/>
              </w:rPr>
              <w:t>trång</w:t>
            </w:r>
          </w:p>
        </w:tc>
        <w:tc>
          <w:tcPr>
            <w:tcW w:w="862" w:type="dxa"/>
          </w:tcPr>
          <w:p w14:paraId="2855B7E0" w14:textId="77777777" w:rsidR="007C11E9" w:rsidRPr="000A3A07" w:rsidRDefault="007C11E9">
            <w:pPr>
              <w:spacing w:before="0"/>
              <w:jc w:val="right"/>
            </w:pPr>
          </w:p>
        </w:tc>
        <w:tc>
          <w:tcPr>
            <w:tcW w:w="981" w:type="dxa"/>
          </w:tcPr>
          <w:p w14:paraId="7B7BCC10" w14:textId="77777777" w:rsidR="007C11E9" w:rsidRPr="000A3A07" w:rsidRDefault="007C11E9">
            <w:pPr>
              <w:spacing w:before="0"/>
              <w:jc w:val="right"/>
            </w:pPr>
          </w:p>
        </w:tc>
      </w:tr>
      <w:tr w:rsidR="00000000" w:rsidRPr="000A3A07" w14:paraId="17C64D9A" w14:textId="77777777">
        <w:tblPrEx>
          <w:tblCellMar>
            <w:top w:w="0" w:type="dxa"/>
            <w:bottom w:w="0" w:type="dxa"/>
          </w:tblCellMar>
        </w:tblPrEx>
        <w:tc>
          <w:tcPr>
            <w:tcW w:w="1204" w:type="dxa"/>
          </w:tcPr>
          <w:p w14:paraId="431D8D4B" w14:textId="77777777" w:rsidR="007C11E9" w:rsidRPr="000A3A07" w:rsidRDefault="007C11E9">
            <w:pPr>
              <w:spacing w:before="0"/>
              <w:jc w:val="left"/>
            </w:pPr>
            <w:r w:rsidRPr="000A3A07">
              <w:t>Trafikavlas</w:t>
            </w:r>
            <w:r w:rsidRPr="000A3A07">
              <w:t>t</w:t>
            </w:r>
            <w:r w:rsidRPr="000A3A07">
              <w:t>ning genom tunnel</w:t>
            </w:r>
          </w:p>
        </w:tc>
        <w:tc>
          <w:tcPr>
            <w:tcW w:w="756" w:type="dxa"/>
          </w:tcPr>
          <w:p w14:paraId="5FC23BC7" w14:textId="77777777" w:rsidR="007C11E9" w:rsidRPr="000A3A07" w:rsidRDefault="007C11E9">
            <w:pPr>
              <w:spacing w:before="0"/>
              <w:jc w:val="right"/>
            </w:pPr>
          </w:p>
        </w:tc>
        <w:tc>
          <w:tcPr>
            <w:tcW w:w="981" w:type="dxa"/>
          </w:tcPr>
          <w:p w14:paraId="397C30B6" w14:textId="77777777" w:rsidR="007C11E9" w:rsidRPr="000A3A07" w:rsidRDefault="007C11E9">
            <w:pPr>
              <w:spacing w:before="0"/>
              <w:jc w:val="right"/>
            </w:pPr>
            <w:r w:rsidRPr="000A3A07">
              <w:t>350</w:t>
            </w:r>
          </w:p>
        </w:tc>
        <w:tc>
          <w:tcPr>
            <w:tcW w:w="1098" w:type="dxa"/>
          </w:tcPr>
          <w:p w14:paraId="6C6593C6" w14:textId="77777777" w:rsidR="007C11E9" w:rsidRPr="000A3A07" w:rsidRDefault="007C11E9">
            <w:pPr>
              <w:spacing w:before="0"/>
              <w:jc w:val="left"/>
              <w:rPr>
                <w:i/>
              </w:rPr>
            </w:pPr>
            <w:r w:rsidRPr="000A3A07">
              <w:rPr>
                <w:i/>
              </w:rPr>
              <w:t>Erodering av kolletiv- tr</w:t>
            </w:r>
            <w:r w:rsidRPr="000A3A07">
              <w:rPr>
                <w:i/>
              </w:rPr>
              <w:t>a</w:t>
            </w:r>
            <w:r w:rsidRPr="000A3A07">
              <w:rPr>
                <w:i/>
              </w:rPr>
              <w:t>fikunder</w:t>
            </w:r>
            <w:r w:rsidRPr="000A3A07">
              <w:rPr>
                <w:i/>
              </w:rPr>
              <w:softHyphen/>
              <w:t>l</w:t>
            </w:r>
            <w:r w:rsidRPr="000A3A07">
              <w:rPr>
                <w:i/>
              </w:rPr>
              <w:t>a</w:t>
            </w:r>
            <w:r w:rsidRPr="000A3A07">
              <w:rPr>
                <w:i/>
              </w:rPr>
              <w:t>get</w:t>
            </w:r>
          </w:p>
        </w:tc>
        <w:tc>
          <w:tcPr>
            <w:tcW w:w="862" w:type="dxa"/>
          </w:tcPr>
          <w:p w14:paraId="0FE31515" w14:textId="77777777" w:rsidR="007C11E9" w:rsidRPr="000A3A07" w:rsidRDefault="007C11E9">
            <w:pPr>
              <w:spacing w:before="0"/>
              <w:jc w:val="right"/>
            </w:pPr>
          </w:p>
        </w:tc>
        <w:tc>
          <w:tcPr>
            <w:tcW w:w="981" w:type="dxa"/>
          </w:tcPr>
          <w:p w14:paraId="15AC8DBD" w14:textId="77777777" w:rsidR="007C11E9" w:rsidRPr="000A3A07" w:rsidRDefault="007C11E9">
            <w:pPr>
              <w:spacing w:before="0"/>
              <w:jc w:val="right"/>
            </w:pPr>
          </w:p>
        </w:tc>
      </w:tr>
      <w:tr w:rsidR="00000000" w:rsidRPr="000A3A07" w14:paraId="3E008670" w14:textId="77777777">
        <w:tblPrEx>
          <w:tblCellMar>
            <w:top w:w="0" w:type="dxa"/>
            <w:bottom w:w="0" w:type="dxa"/>
          </w:tblCellMar>
        </w:tblPrEx>
        <w:tc>
          <w:tcPr>
            <w:tcW w:w="1204" w:type="dxa"/>
          </w:tcPr>
          <w:p w14:paraId="2D9BBA6E" w14:textId="77777777" w:rsidR="007C11E9" w:rsidRPr="000A3A07" w:rsidRDefault="007C11E9">
            <w:pPr>
              <w:spacing w:before="0"/>
              <w:jc w:val="left"/>
            </w:pPr>
            <w:r w:rsidRPr="000A3A07">
              <w:t>Buller</w:t>
            </w:r>
          </w:p>
        </w:tc>
        <w:tc>
          <w:tcPr>
            <w:tcW w:w="756" w:type="dxa"/>
          </w:tcPr>
          <w:p w14:paraId="4A4BCB41" w14:textId="77777777" w:rsidR="007C11E9" w:rsidRPr="000A3A07" w:rsidRDefault="007C11E9">
            <w:pPr>
              <w:spacing w:before="0"/>
              <w:jc w:val="right"/>
            </w:pPr>
            <w:r w:rsidRPr="000A3A07">
              <w:t>50</w:t>
            </w:r>
          </w:p>
        </w:tc>
        <w:tc>
          <w:tcPr>
            <w:tcW w:w="981" w:type="dxa"/>
          </w:tcPr>
          <w:p w14:paraId="58C1466B" w14:textId="77777777" w:rsidR="007C11E9" w:rsidRPr="000A3A07" w:rsidRDefault="007C11E9">
            <w:pPr>
              <w:spacing w:before="0"/>
              <w:jc w:val="right"/>
            </w:pPr>
            <w:r w:rsidRPr="000A3A07">
              <w:t>100</w:t>
            </w:r>
          </w:p>
        </w:tc>
        <w:tc>
          <w:tcPr>
            <w:tcW w:w="1098" w:type="dxa"/>
          </w:tcPr>
          <w:p w14:paraId="09B74D7E" w14:textId="77777777" w:rsidR="007C11E9" w:rsidRPr="000A3A07" w:rsidRDefault="007C11E9">
            <w:pPr>
              <w:spacing w:before="0"/>
              <w:jc w:val="left"/>
            </w:pPr>
          </w:p>
        </w:tc>
        <w:tc>
          <w:tcPr>
            <w:tcW w:w="862" w:type="dxa"/>
          </w:tcPr>
          <w:p w14:paraId="58248D59" w14:textId="77777777" w:rsidR="007C11E9" w:rsidRPr="000A3A07" w:rsidRDefault="007C11E9">
            <w:pPr>
              <w:spacing w:before="0"/>
              <w:jc w:val="right"/>
            </w:pPr>
          </w:p>
        </w:tc>
        <w:tc>
          <w:tcPr>
            <w:tcW w:w="981" w:type="dxa"/>
          </w:tcPr>
          <w:p w14:paraId="0D4F807A" w14:textId="77777777" w:rsidR="007C11E9" w:rsidRPr="000A3A07" w:rsidRDefault="007C11E9">
            <w:pPr>
              <w:spacing w:before="0"/>
              <w:jc w:val="right"/>
            </w:pPr>
          </w:p>
        </w:tc>
      </w:tr>
      <w:tr w:rsidR="00000000" w:rsidRPr="000A3A07" w14:paraId="4AE03438" w14:textId="77777777">
        <w:tblPrEx>
          <w:tblCellMar>
            <w:top w:w="0" w:type="dxa"/>
            <w:bottom w:w="0" w:type="dxa"/>
          </w:tblCellMar>
        </w:tblPrEx>
        <w:tc>
          <w:tcPr>
            <w:tcW w:w="1204" w:type="dxa"/>
          </w:tcPr>
          <w:p w14:paraId="3532406B" w14:textId="77777777" w:rsidR="007C11E9" w:rsidRPr="000A3A07" w:rsidRDefault="007C11E9">
            <w:pPr>
              <w:spacing w:before="0"/>
              <w:jc w:val="left"/>
            </w:pPr>
            <w:r w:rsidRPr="000A3A07">
              <w:t>Avgaser</w:t>
            </w:r>
          </w:p>
        </w:tc>
        <w:tc>
          <w:tcPr>
            <w:tcW w:w="756" w:type="dxa"/>
          </w:tcPr>
          <w:p w14:paraId="63DE1885" w14:textId="77777777" w:rsidR="007C11E9" w:rsidRPr="000A3A07" w:rsidRDefault="007C11E9">
            <w:pPr>
              <w:spacing w:before="0"/>
              <w:jc w:val="right"/>
            </w:pPr>
            <w:r w:rsidRPr="000A3A07">
              <w:t>- 745</w:t>
            </w:r>
          </w:p>
        </w:tc>
        <w:tc>
          <w:tcPr>
            <w:tcW w:w="981" w:type="dxa"/>
          </w:tcPr>
          <w:p w14:paraId="5A5F8360" w14:textId="77777777" w:rsidR="007C11E9" w:rsidRPr="000A3A07" w:rsidRDefault="007C11E9">
            <w:pPr>
              <w:spacing w:before="0"/>
              <w:jc w:val="right"/>
            </w:pPr>
            <w:r w:rsidRPr="000A3A07">
              <w:t>210</w:t>
            </w:r>
          </w:p>
        </w:tc>
        <w:tc>
          <w:tcPr>
            <w:tcW w:w="1098" w:type="dxa"/>
          </w:tcPr>
          <w:p w14:paraId="1D3FEAA5" w14:textId="77777777" w:rsidR="007C11E9" w:rsidRPr="000A3A07" w:rsidRDefault="007C11E9">
            <w:pPr>
              <w:spacing w:before="0"/>
              <w:jc w:val="left"/>
            </w:pPr>
          </w:p>
        </w:tc>
        <w:tc>
          <w:tcPr>
            <w:tcW w:w="862" w:type="dxa"/>
          </w:tcPr>
          <w:p w14:paraId="38197D94" w14:textId="77777777" w:rsidR="007C11E9" w:rsidRPr="000A3A07" w:rsidRDefault="007C11E9">
            <w:pPr>
              <w:spacing w:before="0"/>
              <w:jc w:val="right"/>
            </w:pPr>
          </w:p>
        </w:tc>
        <w:tc>
          <w:tcPr>
            <w:tcW w:w="981" w:type="dxa"/>
          </w:tcPr>
          <w:p w14:paraId="44F3751A" w14:textId="77777777" w:rsidR="007C11E9" w:rsidRPr="000A3A07" w:rsidRDefault="007C11E9">
            <w:pPr>
              <w:spacing w:before="0"/>
              <w:jc w:val="right"/>
            </w:pPr>
          </w:p>
        </w:tc>
      </w:tr>
      <w:tr w:rsidR="00000000" w:rsidRPr="000A3A07" w14:paraId="52D039C6" w14:textId="77777777">
        <w:tblPrEx>
          <w:tblCellMar>
            <w:top w:w="0" w:type="dxa"/>
            <w:bottom w:w="0" w:type="dxa"/>
          </w:tblCellMar>
        </w:tblPrEx>
        <w:tc>
          <w:tcPr>
            <w:tcW w:w="1204" w:type="dxa"/>
          </w:tcPr>
          <w:p w14:paraId="16403704" w14:textId="77777777" w:rsidR="007C11E9" w:rsidRPr="000A3A07" w:rsidRDefault="007C11E9">
            <w:pPr>
              <w:spacing w:before="0"/>
              <w:jc w:val="left"/>
            </w:pPr>
            <w:r w:rsidRPr="000A3A07">
              <w:t>TOTAL NYTTA</w:t>
            </w:r>
          </w:p>
        </w:tc>
        <w:tc>
          <w:tcPr>
            <w:tcW w:w="756" w:type="dxa"/>
          </w:tcPr>
          <w:p w14:paraId="388B52CB" w14:textId="77777777" w:rsidR="007C11E9" w:rsidRPr="000A3A07" w:rsidRDefault="007C11E9">
            <w:pPr>
              <w:spacing w:before="0"/>
              <w:jc w:val="right"/>
              <w:rPr>
                <w:b/>
              </w:rPr>
            </w:pPr>
            <w:r w:rsidRPr="000A3A07">
              <w:rPr>
                <w:b/>
              </w:rPr>
              <w:t xml:space="preserve">           1 706</w:t>
            </w:r>
          </w:p>
        </w:tc>
        <w:tc>
          <w:tcPr>
            <w:tcW w:w="981" w:type="dxa"/>
          </w:tcPr>
          <w:p w14:paraId="53F41461" w14:textId="77777777" w:rsidR="007C11E9" w:rsidRPr="000A3A07" w:rsidRDefault="007C11E9">
            <w:pPr>
              <w:spacing w:before="0"/>
              <w:jc w:val="right"/>
              <w:rPr>
                <w:b/>
              </w:rPr>
            </w:pPr>
            <w:r w:rsidRPr="000A3A07">
              <w:rPr>
                <w:b/>
              </w:rPr>
              <w:t xml:space="preserve">                6 150</w:t>
            </w:r>
          </w:p>
        </w:tc>
        <w:tc>
          <w:tcPr>
            <w:tcW w:w="1098" w:type="dxa"/>
          </w:tcPr>
          <w:p w14:paraId="55BEB6E3" w14:textId="77777777" w:rsidR="007C11E9" w:rsidRPr="000A3A07" w:rsidRDefault="007C11E9">
            <w:pPr>
              <w:spacing w:before="0"/>
              <w:jc w:val="left"/>
            </w:pPr>
            <w:r w:rsidRPr="000A3A07">
              <w:t>TOTAL KOS</w:t>
            </w:r>
            <w:r w:rsidRPr="000A3A07">
              <w:t>T</w:t>
            </w:r>
            <w:r w:rsidRPr="000A3A07">
              <w:t>NAD</w:t>
            </w:r>
          </w:p>
        </w:tc>
        <w:tc>
          <w:tcPr>
            <w:tcW w:w="862" w:type="dxa"/>
          </w:tcPr>
          <w:p w14:paraId="107B00A7" w14:textId="77777777" w:rsidR="007C11E9" w:rsidRPr="000A3A07" w:rsidRDefault="007C11E9">
            <w:pPr>
              <w:spacing w:before="0"/>
              <w:jc w:val="right"/>
              <w:rPr>
                <w:b/>
              </w:rPr>
            </w:pPr>
            <w:r w:rsidRPr="000A3A07">
              <w:rPr>
                <w:b/>
              </w:rPr>
              <w:t xml:space="preserve">            15 597</w:t>
            </w:r>
          </w:p>
        </w:tc>
        <w:tc>
          <w:tcPr>
            <w:tcW w:w="981" w:type="dxa"/>
          </w:tcPr>
          <w:p w14:paraId="59D4C681" w14:textId="77777777" w:rsidR="007C11E9" w:rsidRPr="000A3A07" w:rsidRDefault="007C11E9">
            <w:pPr>
              <w:spacing w:before="0"/>
              <w:jc w:val="right"/>
              <w:rPr>
                <w:b/>
              </w:rPr>
            </w:pPr>
            <w:r w:rsidRPr="000A3A07">
              <w:rPr>
                <w:b/>
              </w:rPr>
              <w:t xml:space="preserve">               10 180</w:t>
            </w:r>
          </w:p>
        </w:tc>
      </w:tr>
    </w:tbl>
    <w:p w14:paraId="194544E3" w14:textId="77777777" w:rsidR="007C11E9" w:rsidRPr="000A3A07" w:rsidRDefault="007C11E9">
      <w:r w:rsidRPr="000A3A07">
        <w:t>I de två följande avsnitten diskuteras några av de viktigare delposterna, först på kostnads</w:t>
      </w:r>
      <w:r w:rsidRPr="000A3A07">
        <w:softHyphen/>
        <w:t>sidan och sedan på nyttosidan.</w:t>
      </w:r>
    </w:p>
    <w:p w14:paraId="117077C8" w14:textId="77777777" w:rsidR="007C11E9" w:rsidRPr="000A3A07" w:rsidRDefault="007C11E9">
      <w:pPr>
        <w:pStyle w:val="Rubrik2"/>
      </w:pPr>
      <w:bookmarkStart w:id="368" w:name="_Toc496513155"/>
      <w:bookmarkStart w:id="369" w:name="_Toc506341042"/>
      <w:r w:rsidRPr="000A3A07">
        <w:t>Skillnader på kostnadssidan</w:t>
      </w:r>
      <w:bookmarkEnd w:id="368"/>
      <w:bookmarkEnd w:id="369"/>
    </w:p>
    <w:p w14:paraId="22AFF9CB" w14:textId="77777777" w:rsidR="007C11E9" w:rsidRPr="000A3A07" w:rsidRDefault="007C11E9">
      <w:r w:rsidRPr="000A3A07">
        <w:t>Skillnaden vad gäller investeringskostnaderna mellan Inregia (1996) och Transek (1998) be</w:t>
      </w:r>
      <w:r w:rsidRPr="000A3A07">
        <w:softHyphen/>
        <w:t>ror helt och hållet på kalkyltekniska diskrepanser. I bägge utredningarna utgår man från att de nominella investeringsutgifterna summ</w:t>
      </w:r>
      <w:r w:rsidRPr="000A3A07">
        <w:t>e</w:t>
      </w:r>
      <w:r w:rsidRPr="000A3A07">
        <w:t>rade utan diskontering under byggnadstiden är 6,5 miljarder kr. (Inregia anger visserligen att det beloppet är uttryckt i 1992 års prisnivå, medan Tra</w:t>
      </w:r>
      <w:r w:rsidRPr="000A3A07">
        <w:t>n</w:t>
      </w:r>
      <w:r w:rsidRPr="000A3A07">
        <w:t>sek uppger 1997 års prisnivå, och antagen byggnadstid är fem respektive sju år). Samma skattefaktorer för moms (skattefaktor I) respektive "skuggpriset på budgetkronor" (skatte</w:t>
      </w:r>
      <w:r w:rsidRPr="000A3A07">
        <w:softHyphen/>
        <w:t>faktor II) appliceras, vilket innebär en uppräkni</w:t>
      </w:r>
      <w:r w:rsidRPr="000A3A07">
        <w:t>ng av den nominella investeringskostnaden med faktorn 1,6. Inregia (1996) räknar med att installationer av storleksordningen 1 miljard kr måste förnyas vart femtonde år, medan livslängden för själva tunneln är 60 år (vilket inte på</w:t>
      </w:r>
      <w:r w:rsidRPr="000A3A07">
        <w:softHyphen/>
        <w:t>verkar nuvärdet av motsvarande investeringskostnad, men givetvis nyttan). Investeringsut</w:t>
      </w:r>
      <w:r w:rsidRPr="000A3A07">
        <w:softHyphen/>
        <w:t xml:space="preserve">gifterna för tunneln diskonteras </w:t>
      </w:r>
      <w:r w:rsidRPr="000A3A07">
        <w:rPr>
          <w:i/>
        </w:rPr>
        <w:t xml:space="preserve">fram </w:t>
      </w:r>
      <w:r w:rsidRPr="000A3A07">
        <w:t>till jämförels</w:t>
      </w:r>
      <w:r w:rsidRPr="000A3A07">
        <w:t>e</w:t>
      </w:r>
      <w:r w:rsidRPr="000A3A07">
        <w:t>året/öppningsåret 2002. I Transek (1998) tycks ingen hänsyn ha tagits till behovet av förnyelse av installationer, och investeringsut</w:t>
      </w:r>
      <w:r w:rsidRPr="000A3A07">
        <w:softHyphen/>
        <w:t>gift</w:t>
      </w:r>
      <w:r w:rsidRPr="000A3A07">
        <w:t>erna för tunne</w:t>
      </w:r>
      <w:r w:rsidRPr="000A3A07">
        <w:t>l</w:t>
      </w:r>
      <w:r w:rsidRPr="000A3A07">
        <w:t xml:space="preserve">bygget diskonteras </w:t>
      </w:r>
      <w:r w:rsidRPr="000A3A07">
        <w:rPr>
          <w:i/>
        </w:rPr>
        <w:t>tillbaka</w:t>
      </w:r>
      <w:r w:rsidRPr="000A3A07">
        <w:t xml:space="preserve"> till jämförelseåret 1998. Dessa skillnader för</w:t>
      </w:r>
      <w:r w:rsidRPr="000A3A07">
        <w:softHyphen/>
        <w:t>klarar diskrepansen på närmare 5 miljarder kr beträffande investeringskos</w:t>
      </w:r>
      <w:r w:rsidRPr="000A3A07">
        <w:t>t</w:t>
      </w:r>
      <w:r w:rsidRPr="000A3A07">
        <w:t>naden.</w:t>
      </w:r>
    </w:p>
    <w:p w14:paraId="540E94D2" w14:textId="77777777" w:rsidR="007C11E9" w:rsidRPr="000A3A07" w:rsidRDefault="007C11E9">
      <w:pPr>
        <w:pStyle w:val="Rubrik2"/>
      </w:pPr>
      <w:bookmarkStart w:id="370" w:name="_Toc496513156"/>
      <w:bookmarkStart w:id="371" w:name="_Toc506341043"/>
      <w:r w:rsidRPr="000A3A07">
        <w:t>Skillnader på nyttosidan</w:t>
      </w:r>
      <w:bookmarkEnd w:id="370"/>
      <w:bookmarkEnd w:id="371"/>
    </w:p>
    <w:p w14:paraId="4E701F58" w14:textId="77777777" w:rsidR="007C11E9" w:rsidRPr="000A3A07" w:rsidRDefault="007C11E9">
      <w:r w:rsidRPr="000A3A07">
        <w:t>Som synes i tabell 2 ovan finns på nyttosidan flera stora skillnader mellan Inregia (1996) och Transek (1998). De största gäller effekterna på olyc</w:t>
      </w:r>
      <w:r w:rsidRPr="000A3A07">
        <w:t>k</w:t>
      </w:r>
      <w:r w:rsidRPr="000A3A07">
        <w:t>skostnaderna som skiljer sig åt med över 2 miljarder kr samt effekterna på restid och kostnader för luftförorening där skillnaden är drygt 1 miljard kr resp. knappt 1 miljard kr.</w:t>
      </w:r>
    </w:p>
    <w:p w14:paraId="3E6F51C1" w14:textId="77777777" w:rsidR="007C11E9" w:rsidRPr="000A3A07" w:rsidRDefault="007C11E9">
      <w:pPr>
        <w:pStyle w:val="Normaltindrag"/>
      </w:pPr>
      <w:r w:rsidRPr="000A3A07">
        <w:t>I den senare av de två utredningarna görs en jämförelsen med tidigare ka</w:t>
      </w:r>
      <w:r w:rsidRPr="000A3A07">
        <w:t>l</w:t>
      </w:r>
      <w:r w:rsidRPr="000A3A07">
        <w:t>kyl  och en relativt utförlig diskussion förs om orsakerna till de stora skilln</w:t>
      </w:r>
      <w:r w:rsidRPr="000A3A07">
        <w:t>a</w:t>
      </w:r>
      <w:r w:rsidRPr="000A3A07">
        <w:t>derna. I den diskussionen nämns inte direkt vad jag uppfattar som den öve</w:t>
      </w:r>
      <w:r w:rsidRPr="000A3A07">
        <w:t>r</w:t>
      </w:r>
      <w:r w:rsidRPr="000A3A07">
        <w:t>gripande huvudorsaken. Omedelbart nedan skall därför den identifieras och därefter följer en mer detaljerad genomgång av viktigare, enskilda poster.</w:t>
      </w:r>
    </w:p>
    <w:p w14:paraId="4FA02A56" w14:textId="77777777" w:rsidR="007C11E9" w:rsidRPr="000A3A07" w:rsidRDefault="007C11E9">
      <w:pPr>
        <w:pStyle w:val="Rubrik3"/>
      </w:pPr>
      <w:bookmarkStart w:id="372" w:name="_Toc496513157"/>
      <w:r w:rsidRPr="000A3A07">
        <w:t>Trafikberäkningsresultaten är vitt skilda – huvudorsak till skillnaderna på nytto</w:t>
      </w:r>
      <w:r w:rsidRPr="000A3A07">
        <w:softHyphen/>
        <w:t>sidan</w:t>
      </w:r>
      <w:bookmarkEnd w:id="372"/>
    </w:p>
    <w:p w14:paraId="4E84FB2F" w14:textId="77777777" w:rsidR="007C11E9" w:rsidRPr="000A3A07" w:rsidRDefault="007C11E9">
      <w:r w:rsidRPr="000A3A07">
        <w:t>Fundamentet för varje investeringskalkyl rörande ett större vägprojekt är beräkningen av hur trafiken förändras (omfördelas, ökar, minskar) på grund av investeringen fråga. För en ut</w:t>
      </w:r>
      <w:r w:rsidRPr="000A3A07">
        <w:softHyphen/>
        <w:t>präglad landsbygdsväglänk är detta ofta en relativt enkel sak; om vägnätet där den nya län</w:t>
      </w:r>
      <w:r w:rsidRPr="000A3A07">
        <w:softHyphen/>
        <w:t>ken tillskapas är glest, och varken tåg eller flyg är ett realistiskt alternativ till merparten av den berörda biltrafiken, kan man med kännedom om existerande trafikflöden och GC-elasti</w:t>
      </w:r>
      <w:r w:rsidRPr="000A3A07">
        <w:softHyphen/>
        <w:t>citeten för nygenererad trafik enkelt klara ut hur trafikmönstret på kort sikt kommer att för</w:t>
      </w:r>
      <w:r w:rsidRPr="000A3A07">
        <w:softHyphen/>
        <w:t>ändras. På längre sikt kan trafiken förändras – normalt växa – av olika andra skäl, och det kan vara be</w:t>
      </w:r>
      <w:r w:rsidRPr="000A3A07">
        <w:softHyphen/>
        <w:t>tydligt knepigare att pr</w:t>
      </w:r>
      <w:r w:rsidRPr="000A3A07">
        <w:t>o</w:t>
      </w:r>
      <w:r w:rsidRPr="000A3A07">
        <w:t>gnosticera</w:t>
      </w:r>
      <w:r w:rsidRPr="000A3A07">
        <w:t xml:space="preserve">, men det är inte den frågan som skall diskuteras här. </w:t>
      </w:r>
    </w:p>
    <w:p w14:paraId="5EA52106" w14:textId="77777777" w:rsidR="007C11E9" w:rsidRPr="000A3A07" w:rsidRDefault="007C11E9">
      <w:pPr>
        <w:pStyle w:val="Normaltindrag"/>
      </w:pPr>
      <w:r w:rsidRPr="000A3A07">
        <w:t>I storstadstrafik, som i det aktuella fallet, är den kortsiktiga trafikberä</w:t>
      </w:r>
      <w:r w:rsidRPr="000A3A07">
        <w:t>k</w:t>
      </w:r>
      <w:r w:rsidRPr="000A3A07">
        <w:t>ningen, d v s jämförel</w:t>
      </w:r>
      <w:r w:rsidRPr="000A3A07">
        <w:softHyphen/>
        <w:t>sen av trafikmönstret före och närmaste tiden efter den ifrågavarande investeringen mycket mer komplicerad och kräver relativt sofistikerade trafikberäkningsmodeller och stora mängder trafikindata. Hur många bilar kommer att gå på Södra Länken, hur kommer kringliggande gatusystem att dräneras på trafik, och hur mycket ny biltrafik kommer att uppstå bl a på grund av övergång från kollektivtrafik? Detta är avgörande frågor för kalkylresultatet. I de bägge utredningarna får man en övers</w:t>
      </w:r>
      <w:r w:rsidRPr="000A3A07">
        <w:t>iktlig bild av det förändrade trafikmönstret genom trafik</w:t>
      </w:r>
      <w:r w:rsidRPr="000A3A07">
        <w:softHyphen/>
        <w:t>flödeskartor med och utan Södra Länken, men mer precisa uppgifter från beräkningsmodel</w:t>
      </w:r>
      <w:r w:rsidRPr="000A3A07">
        <w:softHyphen/>
        <w:t>lerna av hur biltrafikarbetet kommer att förändras ges inte annat än i följande högt a</w:t>
      </w:r>
      <w:r w:rsidRPr="000A3A07">
        <w:t>g</w:t>
      </w:r>
      <w:r w:rsidRPr="000A3A07">
        <w:t>grege</w:t>
      </w:r>
      <w:r w:rsidRPr="000A3A07">
        <w:softHyphen/>
        <w:t xml:space="preserve">rade form: </w:t>
      </w:r>
    </w:p>
    <w:p w14:paraId="7FF0D30B" w14:textId="77777777" w:rsidR="007C11E9" w:rsidRPr="000A3A07" w:rsidRDefault="007C11E9">
      <w:pPr>
        <w:spacing w:line="360" w:lineRule="auto"/>
        <w:rPr>
          <w:b/>
          <w:sz w:val="22"/>
        </w:rPr>
      </w:pPr>
      <w:r w:rsidRPr="000A3A07">
        <w:rPr>
          <w:b/>
          <w:sz w:val="22"/>
        </w:rPr>
        <w:t>Tabell 3. Trafikarbete med respektive utan Södra Länken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1174"/>
        <w:gridCol w:w="1174"/>
        <w:gridCol w:w="1174"/>
        <w:gridCol w:w="1174"/>
      </w:tblGrid>
      <w:tr w:rsidR="00000000" w:rsidRPr="000A3A07" w14:paraId="27C2F944" w14:textId="77777777">
        <w:tblPrEx>
          <w:tblCellMar>
            <w:top w:w="0" w:type="dxa"/>
            <w:bottom w:w="0" w:type="dxa"/>
          </w:tblCellMar>
        </w:tblPrEx>
        <w:trPr>
          <w:cantSplit/>
          <w:trHeight w:val="760"/>
        </w:trPr>
        <w:tc>
          <w:tcPr>
            <w:tcW w:w="1186" w:type="dxa"/>
            <w:vMerge w:val="restart"/>
          </w:tcPr>
          <w:p w14:paraId="54DD5477" w14:textId="77777777" w:rsidR="007C11E9" w:rsidRPr="000A3A07" w:rsidRDefault="007C11E9">
            <w:pPr>
              <w:spacing w:before="0"/>
            </w:pPr>
            <w:r w:rsidRPr="000A3A07">
              <w:t xml:space="preserve"> </w:t>
            </w:r>
          </w:p>
        </w:tc>
        <w:tc>
          <w:tcPr>
            <w:tcW w:w="2348" w:type="dxa"/>
            <w:gridSpan w:val="2"/>
          </w:tcPr>
          <w:p w14:paraId="49FE42A7" w14:textId="77777777" w:rsidR="007C11E9" w:rsidRPr="000A3A07" w:rsidRDefault="007C11E9">
            <w:pPr>
              <w:spacing w:before="0"/>
              <w:jc w:val="left"/>
            </w:pPr>
            <w:r w:rsidRPr="000A3A07">
              <w:t>Inregia (1996): miljoner fordonskilometer per ma</w:t>
            </w:r>
            <w:r w:rsidRPr="000A3A07">
              <w:t>x</w:t>
            </w:r>
            <w:r w:rsidRPr="000A3A07">
              <w:t>timme år 2005*</w:t>
            </w:r>
          </w:p>
        </w:tc>
        <w:tc>
          <w:tcPr>
            <w:tcW w:w="2348" w:type="dxa"/>
            <w:gridSpan w:val="2"/>
            <w:tcBorders>
              <w:bottom w:val="single" w:sz="4" w:space="0" w:color="auto"/>
            </w:tcBorders>
          </w:tcPr>
          <w:p w14:paraId="3A4FF050" w14:textId="77777777" w:rsidR="007C11E9" w:rsidRPr="000A3A07" w:rsidRDefault="007C11E9">
            <w:pPr>
              <w:spacing w:before="0"/>
              <w:jc w:val="left"/>
            </w:pPr>
            <w:r w:rsidRPr="000A3A07">
              <w:t>Transek (1998): miljoner fordonskilo</w:t>
            </w:r>
            <w:r w:rsidRPr="000A3A07">
              <w:softHyphen/>
              <w:t>meter för hela året 2015</w:t>
            </w:r>
          </w:p>
        </w:tc>
      </w:tr>
      <w:tr w:rsidR="00000000" w:rsidRPr="000A3A07" w14:paraId="300918E6" w14:textId="77777777">
        <w:tblPrEx>
          <w:tblCellMar>
            <w:top w:w="0" w:type="dxa"/>
            <w:bottom w:w="0" w:type="dxa"/>
          </w:tblCellMar>
        </w:tblPrEx>
        <w:trPr>
          <w:cantSplit/>
        </w:trPr>
        <w:tc>
          <w:tcPr>
            <w:tcW w:w="1186" w:type="dxa"/>
            <w:vMerge/>
          </w:tcPr>
          <w:p w14:paraId="7DE17520" w14:textId="77777777" w:rsidR="007C11E9" w:rsidRPr="000A3A07" w:rsidRDefault="007C11E9">
            <w:pPr>
              <w:spacing w:before="0"/>
            </w:pPr>
          </w:p>
        </w:tc>
        <w:tc>
          <w:tcPr>
            <w:tcW w:w="1174" w:type="dxa"/>
          </w:tcPr>
          <w:p w14:paraId="4D573B25" w14:textId="77777777" w:rsidR="007C11E9" w:rsidRPr="000A3A07" w:rsidRDefault="007C11E9">
            <w:pPr>
              <w:spacing w:before="0"/>
              <w:jc w:val="left"/>
            </w:pPr>
            <w:r w:rsidRPr="000A3A07">
              <w:t>Länet</w:t>
            </w:r>
          </w:p>
        </w:tc>
        <w:tc>
          <w:tcPr>
            <w:tcW w:w="1174" w:type="dxa"/>
          </w:tcPr>
          <w:p w14:paraId="2684D149" w14:textId="77777777" w:rsidR="007C11E9" w:rsidRPr="000A3A07" w:rsidRDefault="007C11E9">
            <w:pPr>
              <w:spacing w:before="0"/>
              <w:jc w:val="left"/>
            </w:pPr>
            <w:r w:rsidRPr="000A3A07">
              <w:t>Innerstaden</w:t>
            </w:r>
          </w:p>
        </w:tc>
        <w:tc>
          <w:tcPr>
            <w:tcW w:w="1174" w:type="dxa"/>
          </w:tcPr>
          <w:p w14:paraId="505DA500" w14:textId="77777777" w:rsidR="007C11E9" w:rsidRPr="000A3A07" w:rsidRDefault="007C11E9">
            <w:pPr>
              <w:spacing w:before="0"/>
              <w:jc w:val="left"/>
            </w:pPr>
            <w:r w:rsidRPr="000A3A07">
              <w:t>Reg</w:t>
            </w:r>
            <w:r w:rsidRPr="000A3A07">
              <w:t>i</w:t>
            </w:r>
            <w:r w:rsidRPr="000A3A07">
              <w:t>onen</w:t>
            </w:r>
          </w:p>
        </w:tc>
        <w:tc>
          <w:tcPr>
            <w:tcW w:w="1174" w:type="dxa"/>
          </w:tcPr>
          <w:p w14:paraId="338FD5C8" w14:textId="77777777" w:rsidR="007C11E9" w:rsidRPr="000A3A07" w:rsidRDefault="007C11E9">
            <w:pPr>
              <w:spacing w:before="0"/>
              <w:jc w:val="left"/>
            </w:pPr>
            <w:r w:rsidRPr="000A3A07">
              <w:t>Innerstaden</w:t>
            </w:r>
          </w:p>
        </w:tc>
      </w:tr>
      <w:tr w:rsidR="00000000" w:rsidRPr="000A3A07" w14:paraId="1DC4C8E5" w14:textId="77777777">
        <w:tblPrEx>
          <w:tblCellMar>
            <w:top w:w="0" w:type="dxa"/>
            <w:bottom w:w="0" w:type="dxa"/>
          </w:tblCellMar>
        </w:tblPrEx>
        <w:tc>
          <w:tcPr>
            <w:tcW w:w="1186" w:type="dxa"/>
          </w:tcPr>
          <w:p w14:paraId="680CEEB8" w14:textId="77777777" w:rsidR="007C11E9" w:rsidRPr="000A3A07" w:rsidRDefault="007C11E9">
            <w:pPr>
              <w:spacing w:before="0"/>
              <w:jc w:val="left"/>
            </w:pPr>
            <w:r w:rsidRPr="000A3A07">
              <w:t>Med Södra Länken</w:t>
            </w:r>
          </w:p>
        </w:tc>
        <w:tc>
          <w:tcPr>
            <w:tcW w:w="1174" w:type="dxa"/>
          </w:tcPr>
          <w:p w14:paraId="532EE767" w14:textId="77777777" w:rsidR="007C11E9" w:rsidRPr="000A3A07" w:rsidRDefault="007C11E9">
            <w:pPr>
              <w:spacing w:before="0"/>
              <w:jc w:val="right"/>
            </w:pPr>
            <w:r w:rsidRPr="000A3A07">
              <w:t>2,2327</w:t>
            </w:r>
          </w:p>
        </w:tc>
        <w:tc>
          <w:tcPr>
            <w:tcW w:w="1174" w:type="dxa"/>
          </w:tcPr>
          <w:p w14:paraId="49703D19" w14:textId="77777777" w:rsidR="007C11E9" w:rsidRPr="000A3A07" w:rsidRDefault="007C11E9">
            <w:pPr>
              <w:spacing w:before="0"/>
              <w:jc w:val="right"/>
            </w:pPr>
            <w:r w:rsidRPr="000A3A07">
              <w:t>0,1605</w:t>
            </w:r>
          </w:p>
        </w:tc>
        <w:tc>
          <w:tcPr>
            <w:tcW w:w="1174" w:type="dxa"/>
          </w:tcPr>
          <w:p w14:paraId="71E4CA63" w14:textId="77777777" w:rsidR="007C11E9" w:rsidRPr="000A3A07" w:rsidRDefault="007C11E9">
            <w:pPr>
              <w:spacing w:before="0"/>
              <w:jc w:val="right"/>
            </w:pPr>
            <w:r w:rsidRPr="000A3A07">
              <w:t>9320</w:t>
            </w:r>
          </w:p>
        </w:tc>
        <w:tc>
          <w:tcPr>
            <w:tcW w:w="1174" w:type="dxa"/>
          </w:tcPr>
          <w:p w14:paraId="71351DCA" w14:textId="77777777" w:rsidR="007C11E9" w:rsidRPr="000A3A07" w:rsidRDefault="007C11E9">
            <w:pPr>
              <w:spacing w:before="0"/>
              <w:jc w:val="right"/>
            </w:pPr>
            <w:r w:rsidRPr="000A3A07">
              <w:t>880</w:t>
            </w:r>
          </w:p>
        </w:tc>
      </w:tr>
      <w:tr w:rsidR="00000000" w:rsidRPr="000A3A07" w14:paraId="16104C11" w14:textId="77777777">
        <w:tblPrEx>
          <w:tblCellMar>
            <w:top w:w="0" w:type="dxa"/>
            <w:bottom w:w="0" w:type="dxa"/>
          </w:tblCellMar>
        </w:tblPrEx>
        <w:tc>
          <w:tcPr>
            <w:tcW w:w="1186" w:type="dxa"/>
          </w:tcPr>
          <w:p w14:paraId="215BAC12" w14:textId="77777777" w:rsidR="007C11E9" w:rsidRPr="000A3A07" w:rsidRDefault="007C11E9">
            <w:pPr>
              <w:spacing w:before="0"/>
              <w:jc w:val="left"/>
            </w:pPr>
            <w:r w:rsidRPr="000A3A07">
              <w:t>Utan Södra Länken</w:t>
            </w:r>
          </w:p>
        </w:tc>
        <w:tc>
          <w:tcPr>
            <w:tcW w:w="1174" w:type="dxa"/>
          </w:tcPr>
          <w:p w14:paraId="54E4EED4" w14:textId="77777777" w:rsidR="007C11E9" w:rsidRPr="000A3A07" w:rsidRDefault="007C11E9">
            <w:pPr>
              <w:spacing w:before="0"/>
              <w:jc w:val="right"/>
            </w:pPr>
            <w:r w:rsidRPr="000A3A07">
              <w:t>2,2001</w:t>
            </w:r>
          </w:p>
        </w:tc>
        <w:tc>
          <w:tcPr>
            <w:tcW w:w="1174" w:type="dxa"/>
          </w:tcPr>
          <w:p w14:paraId="6DAB0F02" w14:textId="77777777" w:rsidR="007C11E9" w:rsidRPr="000A3A07" w:rsidRDefault="007C11E9">
            <w:pPr>
              <w:spacing w:before="0"/>
              <w:jc w:val="right"/>
            </w:pPr>
            <w:r w:rsidRPr="000A3A07">
              <w:t>0,1609</w:t>
            </w:r>
          </w:p>
        </w:tc>
        <w:tc>
          <w:tcPr>
            <w:tcW w:w="1174" w:type="dxa"/>
          </w:tcPr>
          <w:p w14:paraId="566BB151" w14:textId="77777777" w:rsidR="007C11E9" w:rsidRPr="000A3A07" w:rsidRDefault="007C11E9">
            <w:pPr>
              <w:spacing w:before="0"/>
              <w:jc w:val="right"/>
            </w:pPr>
            <w:r w:rsidRPr="000A3A07">
              <w:t>9280</w:t>
            </w:r>
          </w:p>
        </w:tc>
        <w:tc>
          <w:tcPr>
            <w:tcW w:w="1174" w:type="dxa"/>
          </w:tcPr>
          <w:p w14:paraId="7C7E5859" w14:textId="77777777" w:rsidR="007C11E9" w:rsidRPr="000A3A07" w:rsidRDefault="007C11E9">
            <w:pPr>
              <w:spacing w:before="0"/>
              <w:jc w:val="right"/>
            </w:pPr>
            <w:r w:rsidRPr="000A3A07">
              <w:t>900</w:t>
            </w:r>
          </w:p>
        </w:tc>
      </w:tr>
      <w:tr w:rsidR="00000000" w:rsidRPr="000A3A07" w14:paraId="3F86C457" w14:textId="77777777">
        <w:tblPrEx>
          <w:tblCellMar>
            <w:top w:w="0" w:type="dxa"/>
            <w:bottom w:w="0" w:type="dxa"/>
          </w:tblCellMar>
        </w:tblPrEx>
        <w:tc>
          <w:tcPr>
            <w:tcW w:w="1186" w:type="dxa"/>
          </w:tcPr>
          <w:p w14:paraId="0A42D3DD" w14:textId="77777777" w:rsidR="007C11E9" w:rsidRPr="000A3A07" w:rsidRDefault="007C11E9">
            <w:pPr>
              <w:spacing w:before="0"/>
              <w:jc w:val="left"/>
            </w:pPr>
            <w:r w:rsidRPr="000A3A07">
              <w:t>Förändring i procent</w:t>
            </w:r>
          </w:p>
        </w:tc>
        <w:tc>
          <w:tcPr>
            <w:tcW w:w="1174" w:type="dxa"/>
          </w:tcPr>
          <w:p w14:paraId="40C674CA" w14:textId="77777777" w:rsidR="007C11E9" w:rsidRPr="000A3A07" w:rsidRDefault="007C11E9">
            <w:pPr>
              <w:spacing w:before="0"/>
              <w:jc w:val="right"/>
            </w:pPr>
            <w:r w:rsidRPr="000A3A07">
              <w:t>1,49%</w:t>
            </w:r>
          </w:p>
        </w:tc>
        <w:tc>
          <w:tcPr>
            <w:tcW w:w="1174" w:type="dxa"/>
          </w:tcPr>
          <w:p w14:paraId="187B495E" w14:textId="77777777" w:rsidR="007C11E9" w:rsidRPr="000A3A07" w:rsidRDefault="007C11E9">
            <w:pPr>
              <w:spacing w:before="0"/>
              <w:jc w:val="right"/>
            </w:pPr>
            <w:r w:rsidRPr="000A3A07">
              <w:t>- 0,25%</w:t>
            </w:r>
          </w:p>
        </w:tc>
        <w:tc>
          <w:tcPr>
            <w:tcW w:w="1174" w:type="dxa"/>
          </w:tcPr>
          <w:p w14:paraId="4CBA68C6" w14:textId="77777777" w:rsidR="007C11E9" w:rsidRPr="000A3A07" w:rsidRDefault="007C11E9">
            <w:pPr>
              <w:spacing w:before="0"/>
              <w:jc w:val="right"/>
            </w:pPr>
            <w:r w:rsidRPr="000A3A07">
              <w:t>0,43%</w:t>
            </w:r>
          </w:p>
        </w:tc>
        <w:tc>
          <w:tcPr>
            <w:tcW w:w="1174" w:type="dxa"/>
          </w:tcPr>
          <w:p w14:paraId="265254AA" w14:textId="77777777" w:rsidR="007C11E9" w:rsidRPr="000A3A07" w:rsidRDefault="007C11E9">
            <w:pPr>
              <w:spacing w:before="0"/>
              <w:jc w:val="right"/>
            </w:pPr>
            <w:r w:rsidRPr="000A3A07">
              <w:t>- 2,22%</w:t>
            </w:r>
          </w:p>
        </w:tc>
      </w:tr>
    </w:tbl>
    <w:p w14:paraId="30271B7E" w14:textId="77777777" w:rsidR="007C11E9" w:rsidRPr="000A3A07" w:rsidRDefault="007C11E9">
      <w:pPr>
        <w:pStyle w:val="Tabell"/>
      </w:pPr>
      <w:r w:rsidRPr="000A3A07">
        <w:t>* Maxtimtrafiken förvandlas vid behov till årstrafik genom schablonmässiga upprä</w:t>
      </w:r>
      <w:r w:rsidRPr="000A3A07">
        <w:t>k</w:t>
      </w:r>
      <w:r w:rsidRPr="000A3A07">
        <w:t>ningsfaktorer.</w:t>
      </w:r>
    </w:p>
    <w:p w14:paraId="67567B1A" w14:textId="77777777" w:rsidR="007C11E9" w:rsidRPr="000A3A07" w:rsidRDefault="007C11E9">
      <w:r w:rsidRPr="000A3A07">
        <w:t>Endast de relativa förändringstalen är direkt jämförbara. Vid första anblicken kan man kanske tycka att procenttalen för förändringarna av trafikarbetet är trivialt små och "ligger inom fel</w:t>
      </w:r>
      <w:r w:rsidRPr="000A3A07">
        <w:softHyphen/>
        <w:t>marginalen". Vid närmare eftertanke inser man dock att så inte alls är fallet. Den del av länets/regionens transportsy</w:t>
      </w:r>
      <w:r w:rsidRPr="000A3A07">
        <w:t>s</w:t>
      </w:r>
      <w:r w:rsidRPr="000A3A07">
        <w:t>tem där relativt avsevärda förändringar sker är förhållandevis begränsad; det gäller resor på tvären i de inre förorterna i Söderort, samt anslutningsresor i Söderort till/från Essingeleden. Totalvolymen för detta trafikarbete är tyvärr inte angiven, men att det rör sig om storleksordningen endast några procent av det totala trafikarbetet i länet/regionen torde man kunna utgå ifrån. Det fr</w:t>
      </w:r>
      <w:r w:rsidRPr="000A3A07">
        <w:t>amgår i viss mån av data för trafikflödena i Emma-kartbilderna. Dessutom kan noteras från tabell 3 att hela innerstadstrafiken utgör minda än 10% av totala trafikarbetet i länet/regionen.</w:t>
      </w:r>
    </w:p>
    <w:p w14:paraId="7BBD7579" w14:textId="77777777" w:rsidR="007C11E9" w:rsidRPr="000A3A07" w:rsidRDefault="007C11E9">
      <w:pPr>
        <w:pStyle w:val="Normaltindrag"/>
      </w:pPr>
      <w:r w:rsidRPr="000A3A07">
        <w:t>Det totala trafikarbete i Söderort som kommer att påverkas annat än rent marginellt av Södra Länkens tillkomst torde alltså kunna antas vara begrä</w:t>
      </w:r>
      <w:r w:rsidRPr="000A3A07">
        <w:t>n</w:t>
      </w:r>
      <w:r w:rsidRPr="000A3A07">
        <w:t>sat till 2-4% av det totala trafikarbetet i länet/regionen i föreläget. När detta faktum kompletterar bilden av trafikarbetsförändringarna i tabell 3, inser man att dessa i själva verket är högst dramatiska. Det totala trafikarbetet kan grovindelas i tre kategorier: (1) vissa delar av Söderort kring Södra Länken med ett trafik</w:t>
      </w:r>
      <w:r w:rsidRPr="000A3A07">
        <w:softHyphen/>
        <w:t>arbete i föreläget, som utgör, säg 3% av totalen, (2) innerstaden med ett totalt trafikarbete som utför ungefär 9% av totalen och resten, 88% av det totala trafikarbetet.</w:t>
      </w:r>
    </w:p>
    <w:p w14:paraId="2E50ABC7" w14:textId="77777777" w:rsidR="007C11E9" w:rsidRPr="000A3A07" w:rsidRDefault="007C11E9">
      <w:pPr>
        <w:pStyle w:val="Normaltindrag"/>
      </w:pPr>
      <w:r w:rsidRPr="000A3A07">
        <w:t>Den sistnäm</w:t>
      </w:r>
      <w:r w:rsidRPr="000A3A07">
        <w:t>nda kategorin påverkas knappast alls av Södra Länken, inne</w:t>
      </w:r>
      <w:r w:rsidRPr="000A3A07">
        <w:t>r</w:t>
      </w:r>
      <w:r w:rsidRPr="000A3A07">
        <w:t>stadstrafiken mins</w:t>
      </w:r>
      <w:r w:rsidRPr="000A3A07">
        <w:softHyphen/>
        <w:t>kar marginellt, med 0,25% enligt Inregia (1996) och med 2,22% enligt Transek (1998). Den förstnämnda kategorin förändras dock högst avsevärt. Den ökar kraftigt genom Södra Län</w:t>
      </w:r>
      <w:r w:rsidRPr="000A3A07">
        <w:softHyphen/>
        <w:t>kens tillkomst. En dr</w:t>
      </w:r>
      <w:r w:rsidRPr="000A3A07">
        <w:t>a</w:t>
      </w:r>
      <w:r w:rsidRPr="000A3A07">
        <w:t>matisk skillnad mellan ökningstalen i trafikberäkningarna i de två ut</w:t>
      </w:r>
      <w:r w:rsidRPr="000A3A07">
        <w:softHyphen/>
        <w:t>redningarna blir uppenbar när man rensar bort den helt dominerande delen av totaltrafiken som inte alls påverkas. Indirekt kan man alltså dra slutsatsen att trafikarb</w:t>
      </w:r>
      <w:r w:rsidRPr="000A3A07">
        <w:t>etet i Södra Länkens huvudsakliga influensområde enligt Inregia (1996) kommer att öka med 60% på grund av investeringen, och enligt Tra</w:t>
      </w:r>
      <w:r w:rsidRPr="000A3A07">
        <w:t>n</w:t>
      </w:r>
      <w:r w:rsidRPr="000A3A07">
        <w:t>sek (1998) med mer måttliga 20%.</w:t>
      </w:r>
    </w:p>
    <w:p w14:paraId="67DABED7" w14:textId="77777777" w:rsidR="007C11E9" w:rsidRPr="000A3A07" w:rsidRDefault="007C11E9">
      <w:pPr>
        <w:pStyle w:val="Normaltindrag"/>
      </w:pPr>
      <w:r w:rsidRPr="000A3A07">
        <w:t>Dessa ökningstal är i brist på mer exakta data resultatet av ett räkneexe</w:t>
      </w:r>
      <w:r w:rsidRPr="000A3A07">
        <w:t>m</w:t>
      </w:r>
      <w:r w:rsidRPr="000A3A07">
        <w:t>pel och skall inte uppfattas som de rätta värdena. Poängen är emellertid att påpeka hur olika den fundamentala trafikberäkningen har fallit ut i de två utredningarna; relationen 60:20 följer direkt av de rela</w:t>
      </w:r>
      <w:r w:rsidRPr="000A3A07">
        <w:softHyphen/>
        <w:t>tiva förändringstalen i tabell 3 ovan. Det är bara det att när de är beräknade med det totala trafika</w:t>
      </w:r>
      <w:r w:rsidRPr="000A3A07">
        <w:t>r</w:t>
      </w:r>
      <w:r w:rsidRPr="000A3A07">
        <w:t>betet som bas går den inneboende dramatiken helt förlorad.</w:t>
      </w:r>
    </w:p>
    <w:p w14:paraId="4DD83E3B" w14:textId="77777777" w:rsidR="007C11E9" w:rsidRPr="000A3A07" w:rsidRDefault="007C11E9">
      <w:pPr>
        <w:pStyle w:val="Normaltindrag"/>
      </w:pPr>
      <w:r w:rsidRPr="000A3A07">
        <w:t>Nästa viktiga fråga, som inte heller är ordentligt klarlagd i någon av utre</w:t>
      </w:r>
      <w:r w:rsidRPr="000A3A07">
        <w:t>d</w:t>
      </w:r>
      <w:r w:rsidRPr="000A3A07">
        <w:t>ningarna, är hur stor andel av det ökade trafikarbetet utgörs av nya bilresor och hur stor andel utgörs av en förläng</w:t>
      </w:r>
      <w:r w:rsidRPr="000A3A07">
        <w:softHyphen/>
        <w:t>ning av resorna, antingen på grund av ändrad rutt eller ändrat mål. När det gäller ringleder, är det normalt att en stor andel av bilresorna på leden är förlängda resor som tidigare tog  en gen</w:t>
      </w:r>
      <w:r w:rsidRPr="000A3A07">
        <w:t>a</w:t>
      </w:r>
      <w:r w:rsidRPr="000A3A07">
        <w:t>re, men långsammare väg. Södra Länken har delvis karaktär av en ringled och indirekt kan man av Inregia (1996) dra slutsatsen att mer än hälften av det ökade trafikarbetet repre</w:t>
      </w:r>
      <w:r w:rsidRPr="000A3A07">
        <w:softHyphen/>
        <w:t>senterar en förlängni</w:t>
      </w:r>
      <w:r w:rsidRPr="000A3A07">
        <w:t xml:space="preserve">ng av resorna: </w:t>
      </w:r>
    </w:p>
    <w:p w14:paraId="7BD84E7F" w14:textId="77777777" w:rsidR="007C11E9" w:rsidRPr="000A3A07" w:rsidRDefault="007C11E9">
      <w:pPr>
        <w:pStyle w:val="Citat"/>
      </w:pPr>
      <w:r w:rsidRPr="000A3A07">
        <w:t>"Om Södra Länken byggs ökar framkomligheten på vägnätet. Den ökade framkomlig</w:t>
      </w:r>
      <w:r w:rsidRPr="000A3A07">
        <w:softHyphen/>
        <w:t>heten utnyttjas dels för att välja andra resmål så att bilresorna blir något längre (i ge</w:t>
      </w:r>
      <w:r w:rsidRPr="000A3A07">
        <w:softHyphen/>
        <w:t>nomsnitt 0,6-1,2% i länet), dels för att komma snabbare fram genom att medelhastig</w:t>
      </w:r>
      <w:r w:rsidRPr="000A3A07">
        <w:softHyphen/>
        <w:t>heten ökar (i genomsnitt 0,1-0,4% i länet), vilket i sin tur leder till att fler väljer att åka bil". (Inregia 1996, sid 10).</w:t>
      </w:r>
    </w:p>
    <w:p w14:paraId="34486203" w14:textId="77777777" w:rsidR="007C11E9" w:rsidRPr="000A3A07" w:rsidRDefault="007C11E9">
      <w:r w:rsidRPr="000A3A07">
        <w:t>Det torde vara en ren lapsus att i detta sammanhang inte nämna en tredje viktig orsak till res</w:t>
      </w:r>
      <w:r w:rsidRPr="000A3A07">
        <w:softHyphen/>
        <w:t>förlängningen: biltrafikanter väljer en ny rutt som inklud</w:t>
      </w:r>
      <w:r w:rsidRPr="000A3A07">
        <w:t>e</w:t>
      </w:r>
      <w:r w:rsidRPr="000A3A07">
        <w:t>rar Södra Länken för ett givet res</w:t>
      </w:r>
      <w:r w:rsidRPr="000A3A07">
        <w:softHyphen/>
        <w:t>mål.</w:t>
      </w:r>
    </w:p>
    <w:p w14:paraId="57E4DAF0" w14:textId="77777777" w:rsidR="007C11E9" w:rsidRPr="000A3A07" w:rsidRDefault="007C11E9">
      <w:pPr>
        <w:pStyle w:val="Normaltindrag"/>
      </w:pPr>
      <w:r w:rsidRPr="000A3A07">
        <w:t>I vilket fall som helst är det anmärkningsvärt att förlängningen av resorna är i genomsnitt tre gånger så stor som hastighetshöjningen. Om det gällde samma resor som före Södra Länkens tillkomst, vore totaleffekten rent neg</w:t>
      </w:r>
      <w:r w:rsidRPr="000A3A07">
        <w:t>a</w:t>
      </w:r>
      <w:r w:rsidRPr="000A3A07">
        <w:t>tiv, eftersom resorna i efterläget skulle vara både längre och ta mer tid i anspråk. De tillkommande biltrafikarbetet måste alltså till stor del utgöras av resor med bil som tidigare gjordes med andra färdmedel och som delvis också har mer av</w:t>
      </w:r>
      <w:r w:rsidRPr="000A3A07">
        <w:softHyphen/>
        <w:t>lägsna mål.</w:t>
      </w:r>
    </w:p>
    <w:p w14:paraId="01B01ED4" w14:textId="77777777" w:rsidR="007C11E9" w:rsidRPr="000A3A07" w:rsidRDefault="007C11E9">
      <w:pPr>
        <w:pStyle w:val="Normaltindrag"/>
      </w:pPr>
      <w:r w:rsidRPr="000A3A07">
        <w:t>Transek (1998) ger en något annan bild av vad som kommer att inträffa. Den beräknade totala ökningen av trafikarbetet sägs huvudsakligen bestå av "nygenererade resor och resor över</w:t>
      </w:r>
      <w:r w:rsidRPr="000A3A07">
        <w:softHyphen/>
        <w:t>flyttade från andra transportsätt" (Transek 1998, sid 17), d v s ingen nämnvärd förlängning av existerande bilresor beräknas ske. Den totala restiden beräknas falla med 1,6% (i genomsnitt för hela regionen), så eftersom det totala trafikarbetet beräknas öka med 0,4%, kommer den genomsnittliga restiden per km att minska med 2%. Ånyo bör påpekas att dessa skenbart små procenttal döljer mycket betydande skillnader beträffande uppskattade reslängds- och restids</w:t>
      </w:r>
      <w:r w:rsidRPr="000A3A07">
        <w:softHyphen/>
        <w:t xml:space="preserve">förändringarna mellan Inregia (1996) och Transek </w:t>
      </w:r>
      <w:r w:rsidRPr="000A3A07">
        <w:t>(1998) i Södra Länkens influensområde.</w:t>
      </w:r>
    </w:p>
    <w:p w14:paraId="5C9B653C" w14:textId="77777777" w:rsidR="007C11E9" w:rsidRPr="000A3A07" w:rsidRDefault="007C11E9">
      <w:pPr>
        <w:pStyle w:val="Normaltindrag"/>
      </w:pPr>
      <w:r w:rsidRPr="000A3A07">
        <w:t>Uppskattningarna av effekten av Södra Länkens tillkomst på den totala ökningen av antalet fordonskilometer och den totala minskningen av antalet förbrukade restimmar kan samman</w:t>
      </w:r>
      <w:r w:rsidRPr="000A3A07">
        <w:softHyphen/>
        <w:t>fattas som i tabellen nedan.</w:t>
      </w:r>
    </w:p>
    <w:p w14:paraId="50878DCF" w14:textId="77777777" w:rsidR="007C11E9" w:rsidRPr="000A3A07" w:rsidRDefault="007C11E9">
      <w:pPr>
        <w:pStyle w:val="Normaltindrag"/>
      </w:pPr>
    </w:p>
    <w:p w14:paraId="7B5814F6" w14:textId="77777777" w:rsidR="007C11E9" w:rsidRPr="000A3A07" w:rsidRDefault="007C11E9">
      <w:pPr>
        <w:tabs>
          <w:tab w:val="left" w:pos="993"/>
        </w:tabs>
        <w:spacing w:before="0" w:line="240" w:lineRule="auto"/>
        <w:rPr>
          <w:b/>
          <w:sz w:val="22"/>
        </w:rPr>
      </w:pPr>
      <w:r w:rsidRPr="000A3A07">
        <w:rPr>
          <w:b/>
          <w:sz w:val="22"/>
        </w:rPr>
        <w:t>Tabell 4.</w:t>
      </w:r>
      <w:r w:rsidRPr="000A3A07">
        <w:rPr>
          <w:b/>
          <w:sz w:val="22"/>
        </w:rPr>
        <w:tab/>
        <w:t>Sammanfattning av trafikeffekterna av Södra Lä</w:t>
      </w:r>
      <w:r w:rsidRPr="000A3A07">
        <w:rPr>
          <w:b/>
          <w:sz w:val="22"/>
        </w:rPr>
        <w:t>n</w:t>
      </w:r>
      <w:r w:rsidRPr="000A3A07">
        <w:rPr>
          <w:b/>
          <w:sz w:val="22"/>
        </w:rPr>
        <w:t>kens tillkomst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559"/>
        <w:gridCol w:w="1559"/>
      </w:tblGrid>
      <w:tr w:rsidR="00000000" w:rsidRPr="000A3A07" w14:paraId="19B2C07F" w14:textId="77777777">
        <w:tblPrEx>
          <w:tblCellMar>
            <w:top w:w="0" w:type="dxa"/>
            <w:bottom w:w="0" w:type="dxa"/>
          </w:tblCellMar>
        </w:tblPrEx>
        <w:tc>
          <w:tcPr>
            <w:tcW w:w="2764" w:type="dxa"/>
          </w:tcPr>
          <w:p w14:paraId="7D292E9B" w14:textId="77777777" w:rsidR="007C11E9" w:rsidRPr="000A3A07" w:rsidRDefault="007C11E9">
            <w:pPr>
              <w:spacing w:before="0"/>
            </w:pPr>
            <w:r w:rsidRPr="000A3A07">
              <w:t>GRUNDEFFEKTER</w:t>
            </w:r>
          </w:p>
        </w:tc>
        <w:tc>
          <w:tcPr>
            <w:tcW w:w="1559" w:type="dxa"/>
          </w:tcPr>
          <w:p w14:paraId="2FEDD949" w14:textId="77777777" w:rsidR="007C11E9" w:rsidRPr="000A3A07" w:rsidRDefault="007C11E9">
            <w:pPr>
              <w:spacing w:before="0"/>
            </w:pPr>
            <w:r w:rsidRPr="000A3A07">
              <w:t>Inregia (1996)</w:t>
            </w:r>
          </w:p>
        </w:tc>
        <w:tc>
          <w:tcPr>
            <w:tcW w:w="1559" w:type="dxa"/>
          </w:tcPr>
          <w:p w14:paraId="52B58B6D" w14:textId="77777777" w:rsidR="007C11E9" w:rsidRPr="000A3A07" w:rsidRDefault="007C11E9">
            <w:pPr>
              <w:spacing w:before="0"/>
            </w:pPr>
            <w:r w:rsidRPr="000A3A07">
              <w:t>Transek (1998)</w:t>
            </w:r>
          </w:p>
        </w:tc>
      </w:tr>
      <w:tr w:rsidR="00000000" w:rsidRPr="000A3A07" w14:paraId="787085CC" w14:textId="77777777">
        <w:tblPrEx>
          <w:tblCellMar>
            <w:top w:w="0" w:type="dxa"/>
            <w:bottom w:w="0" w:type="dxa"/>
          </w:tblCellMar>
        </w:tblPrEx>
        <w:tc>
          <w:tcPr>
            <w:tcW w:w="2764" w:type="dxa"/>
          </w:tcPr>
          <w:p w14:paraId="798F9130" w14:textId="77777777" w:rsidR="007C11E9" w:rsidRPr="000A3A07" w:rsidRDefault="007C11E9">
            <w:pPr>
              <w:spacing w:before="0"/>
            </w:pPr>
            <w:r w:rsidRPr="000A3A07">
              <w:rPr>
                <w:i/>
              </w:rPr>
              <w:t>Minskad</w:t>
            </w:r>
            <w:r w:rsidRPr="000A3A07">
              <w:t xml:space="preserve"> total restid, </w:t>
            </w:r>
          </w:p>
          <w:p w14:paraId="13C1E277" w14:textId="77777777" w:rsidR="007C11E9" w:rsidRPr="000A3A07" w:rsidRDefault="007C11E9">
            <w:pPr>
              <w:spacing w:before="0"/>
            </w:pPr>
            <w:r w:rsidRPr="000A3A07">
              <w:t>miljoner timmar per år</w:t>
            </w:r>
          </w:p>
        </w:tc>
        <w:tc>
          <w:tcPr>
            <w:tcW w:w="1559" w:type="dxa"/>
          </w:tcPr>
          <w:p w14:paraId="1019A4CF" w14:textId="77777777" w:rsidR="007C11E9" w:rsidRPr="000A3A07" w:rsidRDefault="007C11E9">
            <w:pPr>
              <w:spacing w:before="0"/>
            </w:pPr>
          </w:p>
          <w:p w14:paraId="42D447CE" w14:textId="77777777" w:rsidR="007C11E9" w:rsidRPr="000A3A07" w:rsidRDefault="007C11E9">
            <w:pPr>
              <w:spacing w:before="0"/>
            </w:pPr>
            <w:r w:rsidRPr="000A3A07">
              <w:t>1,38</w:t>
            </w:r>
          </w:p>
        </w:tc>
        <w:tc>
          <w:tcPr>
            <w:tcW w:w="1559" w:type="dxa"/>
          </w:tcPr>
          <w:p w14:paraId="64D382EC" w14:textId="77777777" w:rsidR="007C11E9" w:rsidRPr="000A3A07" w:rsidRDefault="007C11E9">
            <w:pPr>
              <w:spacing w:before="0"/>
            </w:pPr>
          </w:p>
          <w:p w14:paraId="215296D1" w14:textId="77777777" w:rsidR="007C11E9" w:rsidRPr="000A3A07" w:rsidRDefault="007C11E9">
            <w:pPr>
              <w:spacing w:before="0"/>
            </w:pPr>
            <w:r w:rsidRPr="000A3A07">
              <w:t>2,63</w:t>
            </w:r>
          </w:p>
        </w:tc>
      </w:tr>
      <w:tr w:rsidR="00000000" w:rsidRPr="000A3A07" w14:paraId="18F9E136" w14:textId="77777777">
        <w:tblPrEx>
          <w:tblCellMar>
            <w:top w:w="0" w:type="dxa"/>
            <w:bottom w:w="0" w:type="dxa"/>
          </w:tblCellMar>
        </w:tblPrEx>
        <w:tc>
          <w:tcPr>
            <w:tcW w:w="2764" w:type="dxa"/>
          </w:tcPr>
          <w:p w14:paraId="0FC9D3F4" w14:textId="77777777" w:rsidR="007C11E9" w:rsidRPr="000A3A07" w:rsidRDefault="007C11E9">
            <w:pPr>
              <w:spacing w:before="0"/>
            </w:pPr>
            <w:r w:rsidRPr="000A3A07">
              <w:rPr>
                <w:i/>
              </w:rPr>
              <w:t>Ökad</w:t>
            </w:r>
            <w:r w:rsidRPr="000A3A07">
              <w:t xml:space="preserve"> total körlängd, </w:t>
            </w:r>
          </w:p>
          <w:p w14:paraId="4CD50065" w14:textId="77777777" w:rsidR="007C11E9" w:rsidRPr="000A3A07" w:rsidRDefault="007C11E9">
            <w:pPr>
              <w:spacing w:before="0"/>
            </w:pPr>
            <w:r w:rsidRPr="000A3A07">
              <w:t>miljoner fordo</w:t>
            </w:r>
            <w:r w:rsidRPr="000A3A07">
              <w:t>n</w:t>
            </w:r>
            <w:r w:rsidRPr="000A3A07">
              <w:t>skilometer per år</w:t>
            </w:r>
          </w:p>
        </w:tc>
        <w:tc>
          <w:tcPr>
            <w:tcW w:w="1559" w:type="dxa"/>
          </w:tcPr>
          <w:p w14:paraId="227D0AD8" w14:textId="77777777" w:rsidR="007C11E9" w:rsidRPr="000A3A07" w:rsidRDefault="007C11E9">
            <w:pPr>
              <w:spacing w:before="0"/>
            </w:pPr>
          </w:p>
          <w:p w14:paraId="3215C661" w14:textId="77777777" w:rsidR="007C11E9" w:rsidRPr="000A3A07" w:rsidRDefault="007C11E9">
            <w:pPr>
              <w:spacing w:before="0"/>
            </w:pPr>
            <w:r w:rsidRPr="000A3A07">
              <w:t>150</w:t>
            </w:r>
          </w:p>
        </w:tc>
        <w:tc>
          <w:tcPr>
            <w:tcW w:w="1559" w:type="dxa"/>
          </w:tcPr>
          <w:p w14:paraId="08683CC7" w14:textId="77777777" w:rsidR="007C11E9" w:rsidRPr="000A3A07" w:rsidRDefault="007C11E9">
            <w:pPr>
              <w:spacing w:before="0"/>
            </w:pPr>
          </w:p>
          <w:p w14:paraId="21F040FD" w14:textId="77777777" w:rsidR="007C11E9" w:rsidRPr="000A3A07" w:rsidRDefault="007C11E9">
            <w:pPr>
              <w:spacing w:before="0"/>
            </w:pPr>
            <w:r w:rsidRPr="000A3A07">
              <w:t>40</w:t>
            </w:r>
          </w:p>
        </w:tc>
      </w:tr>
    </w:tbl>
    <w:p w14:paraId="45418A0B" w14:textId="77777777" w:rsidR="007C11E9" w:rsidRPr="000A3A07" w:rsidRDefault="007C11E9">
      <w:pPr>
        <w:pStyle w:val="Normaltindrag"/>
      </w:pPr>
    </w:p>
    <w:p w14:paraId="7E598F06" w14:textId="77777777" w:rsidR="007C11E9" w:rsidRPr="000A3A07" w:rsidRDefault="007C11E9">
      <w:pPr>
        <w:pStyle w:val="Rubrik1"/>
      </w:pPr>
      <w:r w:rsidRPr="000A3A07">
        <w:br w:type="page"/>
      </w:r>
      <w:bookmarkStart w:id="373" w:name="_Toc496513158"/>
      <w:bookmarkStart w:id="374" w:name="_Toc506341044"/>
      <w:r w:rsidRPr="000A3A07">
        <w:t>Trafikantkostnadsbesparingar och nyttan av nya resor</w:t>
      </w:r>
      <w:bookmarkEnd w:id="373"/>
      <w:bookmarkEnd w:id="374"/>
      <w:r w:rsidRPr="000A3A07">
        <w:t xml:space="preserve"> </w:t>
      </w:r>
    </w:p>
    <w:p w14:paraId="4CD0E0E0" w14:textId="77777777" w:rsidR="007C11E9" w:rsidRPr="000A3A07" w:rsidRDefault="007C11E9">
      <w:r w:rsidRPr="000A3A07">
        <w:t>I Inregia (1996) beskrivs relativt utförligt hur man räknar. Den grundlägga</w:t>
      </w:r>
      <w:r w:rsidRPr="000A3A07">
        <w:t>n</w:t>
      </w:r>
      <w:r w:rsidRPr="000A3A07">
        <w:t>de beräknings</w:t>
      </w:r>
      <w:r w:rsidRPr="000A3A07">
        <w:softHyphen/>
        <w:t>principen redovisas med följande resonemang:</w:t>
      </w:r>
    </w:p>
    <w:p w14:paraId="044FC96B" w14:textId="77777777" w:rsidR="007C11E9" w:rsidRPr="000A3A07" w:rsidRDefault="007C11E9">
      <w:pPr>
        <w:pStyle w:val="Citat"/>
      </w:pPr>
      <w:r w:rsidRPr="000A3A07">
        <w:t>”Vid beräkningarna kan vi urskilja tre olika typer av trafikantanknutna vä</w:t>
      </w:r>
      <w:r w:rsidRPr="000A3A07">
        <w:t>l</w:t>
      </w:r>
      <w:r w:rsidRPr="000A3A07">
        <w:t>färdsvinster vid infrastrukturutbyggnader.</w:t>
      </w:r>
    </w:p>
    <w:p w14:paraId="03EED1C3" w14:textId="77777777" w:rsidR="007C11E9" w:rsidRPr="000A3A07" w:rsidRDefault="007C11E9">
      <w:pPr>
        <w:pStyle w:val="Citat"/>
        <w:numPr>
          <w:ilvl w:val="0"/>
          <w:numId w:val="151"/>
        </w:numPr>
      </w:pPr>
      <w:r w:rsidRPr="000A3A07">
        <w:t>De som fortsätter att resa i samma relation och med samma färdmedel men som får en minskad resuppoffring genom att färdvägen blir snabb</w:t>
      </w:r>
      <w:r w:rsidRPr="000A3A07">
        <w:t>a</w:t>
      </w:r>
      <w:r w:rsidRPr="000A3A07">
        <w:t>re/genare</w:t>
      </w:r>
    </w:p>
    <w:p w14:paraId="7BF1C8AE" w14:textId="77777777" w:rsidR="007C11E9" w:rsidRPr="000A3A07" w:rsidRDefault="007C11E9">
      <w:pPr>
        <w:pStyle w:val="Citat"/>
        <w:numPr>
          <w:ilvl w:val="0"/>
          <w:numId w:val="151"/>
        </w:numPr>
      </w:pPr>
      <w:r w:rsidRPr="000A3A07">
        <w:t>De som fortsätter att resa i samma relation men som får minskad resuppof</w:t>
      </w:r>
      <w:r w:rsidRPr="000A3A07">
        <w:t>f</w:t>
      </w:r>
      <w:r w:rsidRPr="000A3A07">
        <w:t>ring genom att byta färdmedel</w:t>
      </w:r>
    </w:p>
    <w:p w14:paraId="05ACA6D0" w14:textId="77777777" w:rsidR="007C11E9" w:rsidRPr="000A3A07" w:rsidRDefault="007C11E9">
      <w:pPr>
        <w:pStyle w:val="Citat"/>
        <w:numPr>
          <w:ilvl w:val="0"/>
          <w:numId w:val="151"/>
        </w:numPr>
      </w:pPr>
      <w:r w:rsidRPr="000A3A07">
        <w:t>De som utnyttjar tillgänglighetsförbättringen och väljer att resa till andra mål. Resuppoffringen blir inte mindre men individens valfrihet ökar.</w:t>
      </w:r>
    </w:p>
    <w:p w14:paraId="4B8826BE" w14:textId="77777777" w:rsidR="007C11E9" w:rsidRPr="000A3A07" w:rsidRDefault="007C11E9">
      <w:pPr>
        <w:pStyle w:val="Citat"/>
      </w:pPr>
      <w:r w:rsidRPr="000A3A07">
        <w:t>Den samlade nyttan för den första kategorin får vi genom att summera varje enskild in</w:t>
      </w:r>
      <w:r w:rsidRPr="000A3A07">
        <w:softHyphen/>
        <w:t>divids tidsvinst och minskade utgifter för resan.</w:t>
      </w:r>
    </w:p>
    <w:p w14:paraId="4143352B" w14:textId="77777777" w:rsidR="007C11E9" w:rsidRPr="000A3A07" w:rsidRDefault="007C11E9">
      <w:pPr>
        <w:pStyle w:val="CitatIndrag"/>
      </w:pPr>
      <w:r w:rsidRPr="000A3A07">
        <w:t>Den andra kategorin behandlar vi något annorlunda. Den förbättrade fra</w:t>
      </w:r>
      <w:r w:rsidRPr="000A3A07">
        <w:t>m</w:t>
      </w:r>
      <w:r w:rsidRPr="000A3A07">
        <w:t>komligheten på vägnätet medför att ett antal trafikanter övergår från att gå, cykla eller åka kollektivt till att köra bil. För de som ändrar sitt färdmede</w:t>
      </w:r>
      <w:r w:rsidRPr="000A3A07">
        <w:t>l</w:t>
      </w:r>
      <w:r w:rsidRPr="000A3A07">
        <w:t>sval räknas endast hälften av tids- och kostnadsvinsterna som verklig nytta i den samhällsekonomiska kalkylen. De först till</w:t>
      </w:r>
      <w:r w:rsidRPr="000A3A07">
        <w:softHyphen/>
        <w:t>kommande bilisterna antas nämligen värdera sin tids-/kostnadsvinst lika högt som de som redan åker bil medan de sist til</w:t>
      </w:r>
      <w:r w:rsidRPr="000A3A07">
        <w:t>l</w:t>
      </w:r>
      <w:r w:rsidRPr="000A3A07">
        <w:t>komna värderar sin vinst till nära noll.</w:t>
      </w:r>
    </w:p>
    <w:p w14:paraId="4A5B8CE9" w14:textId="77777777" w:rsidR="007C11E9" w:rsidRPr="000A3A07" w:rsidRDefault="007C11E9">
      <w:pPr>
        <w:pStyle w:val="CitatIndrag"/>
      </w:pPr>
      <w:r w:rsidRPr="000A3A07">
        <w:t>Välfärdsvinsterna för den tredje kategorin kan inte knytas till tids</w:t>
      </w:r>
      <w:r w:rsidRPr="000A3A07">
        <w:t>- och kostnadsföränd</w:t>
      </w:r>
      <w:r w:rsidRPr="000A3A07">
        <w:softHyphen/>
        <w:t>ringar på samma sätt som de två andra. Resultatet av de traf</w:t>
      </w:r>
      <w:r w:rsidRPr="000A3A07">
        <w:t>i</w:t>
      </w:r>
      <w:r w:rsidRPr="000A3A07">
        <w:t>kanalyser som utförts upp</w:t>
      </w:r>
      <w:r w:rsidRPr="000A3A07">
        <w:softHyphen/>
        <w:t>visar ju större resuppoffring både räknat i reslängd och restid. Dyrare och mer tids</w:t>
      </w:r>
      <w:r w:rsidRPr="000A3A07">
        <w:softHyphen/>
        <w:t>krävan</w:t>
      </w:r>
      <w:r w:rsidRPr="000A3A07">
        <w:softHyphen/>
        <w:t>de resor räknar vi normalt som vä</w:t>
      </w:r>
      <w:r w:rsidRPr="000A3A07">
        <w:t>l</w:t>
      </w:r>
      <w:r w:rsidRPr="000A3A07">
        <w:t>färdsförluster. Men den ökade resuppoffringen tar man frivilligt på sig för att uppnå andra fördelar som man värderar ännu högre. Den ökade resuppof</w:t>
      </w:r>
      <w:r w:rsidRPr="000A3A07">
        <w:t>f</w:t>
      </w:r>
      <w:r w:rsidRPr="000A3A07">
        <w:t>ringen blir då i själva verket ett u</w:t>
      </w:r>
      <w:r w:rsidRPr="000A3A07">
        <w:t>t</w:t>
      </w:r>
      <w:r w:rsidRPr="000A3A07">
        <w:t>tryck för ökad nytta. Analogt med resone</w:t>
      </w:r>
      <w:r w:rsidRPr="000A3A07">
        <w:softHyphen/>
        <w:t>manget kring hur vi värderar nyttan för de som byte</w:t>
      </w:r>
      <w:r w:rsidRPr="000A3A07">
        <w:t>r färdmedel kan vi även här hävda att de som först ändrar sitt beteende tillgodogör sig hela vinsten medan de som tvekar längst får en obetydlig nytta av att byta resmål. Man bör således endast räknar hälften av tids- och kostnadsförlusterna som ver</w:t>
      </w:r>
      <w:r w:rsidRPr="000A3A07">
        <w:t>k</w:t>
      </w:r>
      <w:r w:rsidRPr="000A3A07">
        <w:t>lig nytta i den samhällsekonomiska kalkylen för kategori 3.” (Inregia sid 6-7)</w:t>
      </w:r>
    </w:p>
    <w:p w14:paraId="35399BC4" w14:textId="77777777" w:rsidR="007C11E9" w:rsidRPr="000A3A07" w:rsidRDefault="007C11E9">
      <w:r w:rsidRPr="000A3A07">
        <w:t xml:space="preserve">Ett felsteg kan noteras i slutet av resonemanget med anknytning till kategori 3 (som troligen också ligger implicit i resonemanget beträffande kategori 2): Nyttan av Södra Länken för </w:t>
      </w:r>
      <w:r w:rsidRPr="000A3A07">
        <w:t>den biltrafik som ändrar resmål approximeras inte av ”hälften av tids- och kostnadsförlusterna” (sic!), utan bör värderas på i princip samma sätt som nyttan för de nya bilresenärer som före Södra Lä</w:t>
      </w:r>
      <w:r w:rsidRPr="000A3A07">
        <w:t>n</w:t>
      </w:r>
      <w:r w:rsidRPr="000A3A07">
        <w:t>kens tillkomst reste till samma resmål men med andra färdmedel. Det är halva skillnaden mellan GC</w:t>
      </w:r>
      <w:r w:rsidRPr="000A3A07">
        <w:rPr>
          <w:vertAlign w:val="subscript"/>
        </w:rPr>
        <w:t>före</w:t>
      </w:r>
      <w:r w:rsidRPr="000A3A07">
        <w:t xml:space="preserve"> och GC</w:t>
      </w:r>
      <w:r w:rsidRPr="000A3A07">
        <w:rPr>
          <w:vertAlign w:val="subscript"/>
        </w:rPr>
        <w:t>efter</w:t>
      </w:r>
      <w:r w:rsidRPr="000A3A07">
        <w:t xml:space="preserve"> för </w:t>
      </w:r>
      <w:r w:rsidRPr="000A3A07">
        <w:rPr>
          <w:i/>
        </w:rPr>
        <w:t>bilresor</w:t>
      </w:r>
      <w:r w:rsidRPr="000A3A07">
        <w:t xml:space="preserve"> som är kalkylrelevant, såväl för färdmedels</w:t>
      </w:r>
      <w:r w:rsidRPr="000A3A07">
        <w:softHyphen/>
        <w:t>bytare (från kollektivtrafik till bil), som för de kategorier av bytare som antingen byter resmål eller både färdmedel och resmål. Skil</w:t>
      </w:r>
      <w:r w:rsidRPr="000A3A07">
        <w:t>l</w:t>
      </w:r>
      <w:r w:rsidRPr="000A3A07">
        <w:t xml:space="preserve">naden </w:t>
      </w:r>
      <w:r w:rsidRPr="000A3A07">
        <w:t>mellan GC</w:t>
      </w:r>
      <w:r w:rsidRPr="000A3A07">
        <w:rPr>
          <w:vertAlign w:val="subscript"/>
        </w:rPr>
        <w:t>före</w:t>
      </w:r>
      <w:r w:rsidRPr="000A3A07">
        <w:t xml:space="preserve"> och GC</w:t>
      </w:r>
      <w:r w:rsidRPr="000A3A07">
        <w:rPr>
          <w:vertAlign w:val="subscript"/>
        </w:rPr>
        <w:t>efter</w:t>
      </w:r>
      <w:r w:rsidRPr="000A3A07">
        <w:t xml:space="preserve"> för bilresor är förstås alltid positiv även för dessa katego</w:t>
      </w:r>
      <w:r w:rsidRPr="000A3A07">
        <w:softHyphen/>
        <w:t>rier.</w:t>
      </w:r>
    </w:p>
    <w:p w14:paraId="7E196EDD" w14:textId="77777777" w:rsidR="007C11E9" w:rsidRPr="000A3A07" w:rsidRDefault="007C11E9">
      <w:pPr>
        <w:pStyle w:val="Normaltindrag"/>
      </w:pPr>
      <w:r w:rsidRPr="000A3A07">
        <w:t>I Transek (1998) är beräkningsprincipen beträffande trafikantkostnadsb</w:t>
      </w:r>
      <w:r w:rsidRPr="000A3A07">
        <w:t>e</w:t>
      </w:r>
      <w:r w:rsidRPr="000A3A07">
        <w:t>sparingen och nyttan för nya resor knappast alls angiven. Av resultatsa</w:t>
      </w:r>
      <w:r w:rsidRPr="000A3A07">
        <w:t>m</w:t>
      </w:r>
      <w:r w:rsidRPr="000A3A07">
        <w:t>manställningen framgår dock att den väl</w:t>
      </w:r>
      <w:r w:rsidRPr="000A3A07">
        <w:softHyphen/>
        <w:t>beprövade, ingenjörsmässiga ansa</w:t>
      </w:r>
      <w:r w:rsidRPr="000A3A07">
        <w:t>t</w:t>
      </w:r>
      <w:r w:rsidRPr="000A3A07">
        <w:t>sen som Vägverket nyttjar för investeringsbedömning för det statliga vägn</w:t>
      </w:r>
      <w:r w:rsidRPr="000A3A07">
        <w:t>ä</w:t>
      </w:r>
      <w:r w:rsidRPr="000A3A07">
        <w:t>tet i huvudsak kommit till användning. De totala kostnaderna för trafiken – inte</w:t>
      </w:r>
      <w:r w:rsidRPr="000A3A07">
        <w:t>r</w:t>
      </w:r>
      <w:r w:rsidRPr="000A3A07">
        <w:t>na såväl som externa kostnader – beräknas i föreläget respektive i efter-läget och skillna</w:t>
      </w:r>
      <w:r w:rsidRPr="000A3A07">
        <w:softHyphen/>
        <w:t xml:space="preserve">den mellan dessa totalkostnader utgör investeringskalkylens nyttosida. Under förutsättning av en s k ”fix resmatris” är </w:t>
      </w:r>
      <w:r w:rsidRPr="000A3A07">
        <w:t>det helt tillfyllest, d v s när start- och målpunkterna för resorna i föreläget är oförändrade i efterläget, och endast resrutt och/eller färdmedel antas kunna för</w:t>
      </w:r>
      <w:r w:rsidRPr="000A3A07">
        <w:softHyphen/>
        <w:t xml:space="preserve">ändras. </w:t>
      </w:r>
    </w:p>
    <w:p w14:paraId="30BF0B1F" w14:textId="77777777" w:rsidR="007C11E9" w:rsidRPr="000A3A07" w:rsidRDefault="007C11E9">
      <w:pPr>
        <w:pStyle w:val="Normaltindrag"/>
      </w:pPr>
      <w:r w:rsidRPr="000A3A07">
        <w:t>Med Transeks ansats är det i princip bara att applicera det relevanta g</w:t>
      </w:r>
      <w:r w:rsidRPr="000A3A07">
        <w:t>e</w:t>
      </w:r>
      <w:r w:rsidRPr="000A3A07">
        <w:t>nomsnittliga tidsvärdet på den totala restidsbesparingen (se tabell 4 ovan!) som uppnås genom Södra Länkens till</w:t>
      </w:r>
      <w:r w:rsidRPr="000A3A07">
        <w:softHyphen/>
        <w:t>komst för att erhålla den totala besp</w:t>
      </w:r>
      <w:r w:rsidRPr="000A3A07">
        <w:t>a</w:t>
      </w:r>
      <w:r w:rsidRPr="000A3A07">
        <w:t>ringen vad gäller restidskostnader. Det tillämpade genom</w:t>
      </w:r>
      <w:r w:rsidRPr="000A3A07">
        <w:softHyphen/>
        <w:t>snittliga tidsvärdet per timme är 95 kr, varav följer att den totala årliga restidsbe</w:t>
      </w:r>
      <w:r w:rsidRPr="000A3A07">
        <w:softHyphen/>
        <w:t>sparingen up</w:t>
      </w:r>
      <w:r w:rsidRPr="000A3A07">
        <w:t>p</w:t>
      </w:r>
      <w:r w:rsidRPr="000A3A07">
        <w:t>går till 250 miljoner kr. Värdet 95 kr följer av trafikens sammansättning och den differentiering av tidsvärderingen som tillämpas: 190 kr för tjänsteresor, 170 kr för lastbils</w:t>
      </w:r>
      <w:r w:rsidRPr="000A3A07">
        <w:softHyphen/>
        <w:t>chaufförer, 40 kr för pendl</w:t>
      </w:r>
      <w:r w:rsidRPr="000A3A07">
        <w:t xml:space="preserve">ingsresor till från jobbet, och 34 kr för fritidsresor.  </w:t>
      </w:r>
    </w:p>
    <w:p w14:paraId="2C1A8166" w14:textId="77777777" w:rsidR="007C11E9" w:rsidRPr="000A3A07" w:rsidRDefault="007C11E9">
      <w:pPr>
        <w:pStyle w:val="Normaltindrag"/>
      </w:pPr>
      <w:r w:rsidRPr="000A3A07">
        <w:t>”Nytta för nygenererad trafik” kan med denna ansats inte räknas fram; a</w:t>
      </w:r>
      <w:r w:rsidRPr="000A3A07">
        <w:t>n</w:t>
      </w:r>
      <w:r w:rsidRPr="000A3A07">
        <w:t>tingen får den antas vara negligerbar, eller också får man vid sidan av trafi</w:t>
      </w:r>
      <w:r w:rsidRPr="000A3A07">
        <w:t>k</w:t>
      </w:r>
      <w:r w:rsidRPr="000A3A07">
        <w:t>beräkningsmodellen göra en över</w:t>
      </w:r>
      <w:r w:rsidRPr="000A3A07">
        <w:softHyphen/>
        <w:t>slagsmässig separat beräkning därav. Det framgår inte av Transeks utredning, om och i så fall hur en sådan komplett</w:t>
      </w:r>
      <w:r w:rsidRPr="000A3A07">
        <w:t>e</w:t>
      </w:r>
      <w:r w:rsidRPr="000A3A07">
        <w:t>rande beräkning har gjorts.</w:t>
      </w:r>
    </w:p>
    <w:p w14:paraId="0FE2F76E" w14:textId="77777777" w:rsidR="007C11E9" w:rsidRPr="000A3A07" w:rsidRDefault="007C11E9">
      <w:pPr>
        <w:pStyle w:val="Normaltindrag"/>
      </w:pPr>
      <w:r w:rsidRPr="000A3A07">
        <w:t>I Inregia (1996) förutses som framgått av föregående avsnitt en total re</w:t>
      </w:r>
      <w:r w:rsidRPr="000A3A07">
        <w:t>s</w:t>
      </w:r>
      <w:r w:rsidRPr="000A3A07">
        <w:t>tidsminskning, som endast är hälften så stor som den av Transek beräknade. Genom att Inregia tillämpar ett något högre genomsnittligt tidsvärde samt inkluderar nyttan för tillkommande trafik blir dock för</w:t>
      </w:r>
      <w:r w:rsidRPr="000A3A07">
        <w:softHyphen/>
        <w:t>hållandet mellan tota</w:t>
      </w:r>
      <w:r w:rsidRPr="000A3A07">
        <w:t>l</w:t>
      </w:r>
      <w:r w:rsidRPr="000A3A07">
        <w:t>nyttan 2:3 snarare än 1:2. Hur nyttan av tillkommande trafik har be</w:t>
      </w:r>
      <w:r w:rsidRPr="000A3A07">
        <w:softHyphen/>
        <w:t xml:space="preserve">räknats i Inregia (1996) är dock långtifrån klart. </w:t>
      </w:r>
    </w:p>
    <w:p w14:paraId="113AF47B" w14:textId="77777777" w:rsidR="007C11E9" w:rsidRPr="000A3A07" w:rsidRDefault="007C11E9">
      <w:pPr>
        <w:pStyle w:val="Normaltindrag"/>
      </w:pPr>
      <w:r w:rsidRPr="000A3A07">
        <w:t>På sid 10 i Inregia (1996) i tabellen längst ner anges att den existerande biltrafiken sparar 4313 timmar per dygn genom Södra Länkens tillkomst, medan ”restidsnytt</w:t>
      </w:r>
      <w:r w:rsidRPr="000A3A07">
        <w:t>an” för nytill</w:t>
      </w:r>
      <w:r w:rsidRPr="000A3A07">
        <w:softHyphen/>
        <w:t>komna bilister utgörs av 920 restimmar per dygn, vilket enligt ovan citerade beräknings</w:t>
      </w:r>
      <w:r w:rsidRPr="000A3A07">
        <w:softHyphen/>
        <w:t>princip motsvara det dubbla antalet faktiskt sparade restimmar, d v s 1840 restimmar per dygn. 1840 är 43% av 4313. Den totala ”restidsnytta” som faller på nytillkomna biltraf</w:t>
      </w:r>
      <w:r w:rsidRPr="000A3A07">
        <w:t>i</w:t>
      </w:r>
      <w:r w:rsidRPr="000A3A07">
        <w:t>kanter anges i den övre tabellen på sid 11 utgöra 33% av restidsnyttan för den ursprungliga trafiken, vilket är betydligt mer än hälften av 43%. Det torde förklaras av att de nytillkomna bil</w:t>
      </w:r>
      <w:r w:rsidRPr="000A3A07">
        <w:softHyphen/>
        <w:t>trafikanterna inkluderar en stor andel tjä</w:t>
      </w:r>
      <w:r w:rsidRPr="000A3A07">
        <w:t>nsteresenärer.</w:t>
      </w:r>
    </w:p>
    <w:p w14:paraId="1DC1CB08" w14:textId="77777777" w:rsidR="007C11E9" w:rsidRPr="000A3A07" w:rsidRDefault="007C11E9">
      <w:pPr>
        <w:pStyle w:val="Normaltindrag"/>
      </w:pPr>
      <w:r w:rsidRPr="000A3A07">
        <w:t>Det framgår inte av rapporten hur stor del av totalnyttan för trafikanterna som faller på de som valt nya resmål. Det sägs endast på sid 10 i Inregia (1996) att ”nyttorna för nytillkomna gäller i huvudsak trafikanter som byter färdmedel om Södra Länken byggs ut men fortsätter att resa i samma relati</w:t>
      </w:r>
      <w:r w:rsidRPr="000A3A07">
        <w:t>o</w:t>
      </w:r>
      <w:r w:rsidRPr="000A3A07">
        <w:t>ner”.</w:t>
      </w:r>
    </w:p>
    <w:p w14:paraId="2E96BC29" w14:textId="77777777" w:rsidR="007C11E9" w:rsidRPr="000A3A07" w:rsidRDefault="007C11E9">
      <w:pPr>
        <w:pStyle w:val="Normaltindrag"/>
      </w:pPr>
      <w:r w:rsidRPr="000A3A07">
        <w:t>För totalresultatet spelar därför den inkorrekta värderingsprincipen för resmålsbytares nytta förmodligen inte så stor roll. Större betydelse har två utelämnanden: dels att genuint nygene</w:t>
      </w:r>
      <w:r w:rsidRPr="000A3A07">
        <w:softHyphen/>
        <w:t>rerade resor inte beaktas, dels den explicita avgränsningen innebärande att ”tidsvinsterna för den yrkesmässiga traf</w:t>
      </w:r>
      <w:r w:rsidRPr="000A3A07">
        <w:t>i</w:t>
      </w:r>
      <w:r w:rsidRPr="000A3A07">
        <w:t>ken har inte beräknats” (Inregia 1996, sid 10).</w:t>
      </w:r>
    </w:p>
    <w:p w14:paraId="67BD4AF5" w14:textId="77777777" w:rsidR="007C11E9" w:rsidRPr="000A3A07" w:rsidRDefault="007C11E9">
      <w:pPr>
        <w:pStyle w:val="Normaltindrag"/>
      </w:pPr>
      <w:r w:rsidRPr="000A3A07">
        <w:t>Vid värderingen av trafikberäkningsresultaten är det underlättande att skilja på länkar i väg</w:t>
      </w:r>
      <w:r w:rsidRPr="000A3A07">
        <w:softHyphen/>
        <w:t xml:space="preserve">nätet som är </w:t>
      </w:r>
      <w:r w:rsidRPr="000A3A07">
        <w:rPr>
          <w:i/>
        </w:rPr>
        <w:t>substitut</w:t>
      </w:r>
      <w:r w:rsidRPr="000A3A07">
        <w:t xml:space="preserve"> till Södra Länken och länkar som är </w:t>
      </w:r>
      <w:r w:rsidRPr="000A3A07">
        <w:rPr>
          <w:i/>
        </w:rPr>
        <w:t>komplementära</w:t>
      </w:r>
      <w:r w:rsidRPr="000A3A07">
        <w:t xml:space="preserve"> till Södra Länken. Totalnyttan av Södra Länkens tillkomst för existerande biltrafik kan tredelas enligt följande: </w:t>
      </w:r>
    </w:p>
    <w:p w14:paraId="63F17F94" w14:textId="77777777" w:rsidR="007C11E9" w:rsidRPr="000A3A07" w:rsidRDefault="007C11E9">
      <w:pPr>
        <w:numPr>
          <w:ilvl w:val="0"/>
          <w:numId w:val="149"/>
        </w:numPr>
      </w:pPr>
      <w:r w:rsidRPr="000A3A07">
        <w:t>Nyttan för trafik som ursprungligen gick på substitutlänkar, som flyttat över till Södra Länken</w:t>
      </w:r>
    </w:p>
    <w:p w14:paraId="42B84428" w14:textId="77777777" w:rsidR="007C11E9" w:rsidRPr="000A3A07" w:rsidRDefault="007C11E9">
      <w:pPr>
        <w:numPr>
          <w:ilvl w:val="0"/>
          <w:numId w:val="149"/>
        </w:numPr>
      </w:pPr>
      <w:r w:rsidRPr="000A3A07">
        <w:t>Nyttan i form av minskad trängsel för trafik som går kvar på substitu</w:t>
      </w:r>
      <w:r w:rsidRPr="000A3A07">
        <w:t>t</w:t>
      </w:r>
      <w:r w:rsidRPr="000A3A07">
        <w:t>länka</w:t>
      </w:r>
      <w:r w:rsidRPr="000A3A07">
        <w:t>r</w:t>
      </w:r>
      <w:r w:rsidRPr="000A3A07">
        <w:t>na,</w:t>
      </w:r>
    </w:p>
    <w:p w14:paraId="321B81E2" w14:textId="77777777" w:rsidR="007C11E9" w:rsidRPr="000A3A07" w:rsidRDefault="007C11E9">
      <w:pPr>
        <w:numPr>
          <w:ilvl w:val="0"/>
          <w:numId w:val="149"/>
        </w:numPr>
      </w:pPr>
      <w:r w:rsidRPr="000A3A07">
        <w:t>Kostnad (d v s negativ nytta) för den ursprungliga trafiken på kompl</w:t>
      </w:r>
      <w:r w:rsidRPr="000A3A07">
        <w:t>e</w:t>
      </w:r>
      <w:r w:rsidRPr="000A3A07">
        <w:t>mentlänkar i form av ökad trängsel när trafik till/från Södra Länken til</w:t>
      </w:r>
      <w:r w:rsidRPr="000A3A07">
        <w:t>l</w:t>
      </w:r>
      <w:r w:rsidRPr="000A3A07">
        <w:t>kommer.</w:t>
      </w:r>
    </w:p>
    <w:p w14:paraId="64527C4A" w14:textId="77777777" w:rsidR="007C11E9" w:rsidRPr="000A3A07" w:rsidRDefault="007C11E9">
      <w:r w:rsidRPr="000A3A07">
        <w:t>Kategori 3 som utgör en negativ komponent i trafikantnyttan nämns inge</w:t>
      </w:r>
      <w:r w:rsidRPr="000A3A07">
        <w:t>n</w:t>
      </w:r>
      <w:r w:rsidRPr="000A3A07">
        <w:t>ting om, varken i Inregia (1996) eller Transek (1998), trots att den torde vara mycket betydelsefull just i fallet Södra Länken. Den absolut viktigaste komplementlänken är ju Essingeleden, som har ett högt kapacitetsutnyttjande för närvarande. Med ny trafik till/från Södra Länken torde trängsel</w:t>
      </w:r>
      <w:r w:rsidRPr="000A3A07">
        <w:softHyphen/>
        <w:t>kostnaderna på Essingeleden öka högst avsevärt. Vägverket Region Stoc</w:t>
      </w:r>
      <w:r w:rsidRPr="000A3A07">
        <w:t>k</w:t>
      </w:r>
      <w:r w:rsidRPr="000A3A07">
        <w:t>holm planerar redan för att möta denna nya situation, genom att öka antalet körfält på leden. Denna tillkommande kostnad tycks inte ha förutsetts</w:t>
      </w:r>
      <w:r w:rsidRPr="000A3A07">
        <w:t xml:space="preserve"> i de samhällsekonomiska kalkylerna för Södra Länken.</w:t>
      </w:r>
    </w:p>
    <w:p w14:paraId="4B76FDC5" w14:textId="77777777" w:rsidR="007C11E9" w:rsidRPr="000A3A07" w:rsidRDefault="007C11E9">
      <w:pPr>
        <w:pStyle w:val="Rubrik2"/>
      </w:pPr>
      <w:bookmarkStart w:id="375" w:name="_Toc496513159"/>
      <w:bookmarkStart w:id="376" w:name="_Toc506341045"/>
      <w:r w:rsidRPr="000A3A07">
        <w:t>Fordonskostnadseffekter</w:t>
      </w:r>
      <w:bookmarkEnd w:id="375"/>
      <w:bookmarkEnd w:id="376"/>
    </w:p>
    <w:p w14:paraId="2EF25512" w14:textId="77777777" w:rsidR="007C11E9" w:rsidRPr="000A3A07" w:rsidRDefault="007C11E9">
      <w:r w:rsidRPr="000A3A07">
        <w:t>Eftersom Inregia (1996) räknar med en betydande genomsnittlig resförlän</w:t>
      </w:r>
      <w:r w:rsidRPr="000A3A07">
        <w:t>g</w:t>
      </w:r>
      <w:r w:rsidRPr="000A3A07">
        <w:t>ning är det an</w:t>
      </w:r>
      <w:r w:rsidRPr="000A3A07">
        <w:softHyphen/>
        <w:t>märkningsvärt att man inte har med en minuspost på nyttosidan representerande ökade for</w:t>
      </w:r>
      <w:r w:rsidRPr="000A3A07">
        <w:softHyphen/>
        <w:t>donskostnader för existerande biltrafik. Avsakn</w:t>
      </w:r>
      <w:r w:rsidRPr="000A3A07">
        <w:t>a</w:t>
      </w:r>
      <w:r w:rsidRPr="000A3A07">
        <w:t>den av en sådan minuspost motiveras på föl</w:t>
      </w:r>
      <w:r w:rsidRPr="000A3A07">
        <w:softHyphen/>
        <w:t>jande sätt:</w:t>
      </w:r>
    </w:p>
    <w:p w14:paraId="21B65999" w14:textId="77777777" w:rsidR="007C11E9" w:rsidRPr="000A3A07" w:rsidRDefault="007C11E9">
      <w:pPr>
        <w:pStyle w:val="Citat"/>
      </w:pPr>
      <w:r w:rsidRPr="000A3A07">
        <w:t>”Fordonskostnaden för vägtrafiken består dels av att vägtrafiken ökar med Södra Län</w:t>
      </w:r>
      <w:r w:rsidRPr="000A3A07">
        <w:softHyphen/>
        <w:t>ken, dels av att trafiken omfördelas på vägnätet till vägar med bättre framkomlighet och därmed färre stopp som ökar kostnaderna att köra bil. Denna omfördelning har vi inte kunnat ta hänsyn till i kalkylen. Vi har antagit att dessa två effekter tar ut varandra om Södra Länken byggs och har därför inte denna post med i kalkylen” (Inregia 1996, sid 14)</w:t>
      </w:r>
    </w:p>
    <w:p w14:paraId="6B98160D" w14:textId="77777777" w:rsidR="007C11E9" w:rsidRPr="000A3A07" w:rsidRDefault="007C11E9">
      <w:r w:rsidRPr="000A3A07">
        <w:t>I Transek (1998) finns som synes i tabell 2 på sid 8 en negativ post för ökade fordonskostna</w:t>
      </w:r>
      <w:r w:rsidRPr="000A3A07">
        <w:softHyphen/>
        <w:t>der på nyttosidan. Frågan är dock med hänsyn till Transeks trafikberäkningsresultat om den bör vara där. Om den representerar längre körsträcka per resa för existerande biltrafik är den motiverad, men om den representerar nya bilresor utförda av färdmedelsbytare undrar man var deras fordonskostnader (med bil eller buss) i föreläget tagit vägen?</w:t>
      </w:r>
    </w:p>
    <w:p w14:paraId="4492D7E6" w14:textId="77777777" w:rsidR="007C11E9" w:rsidRPr="000A3A07" w:rsidRDefault="007C11E9">
      <w:pPr>
        <w:pStyle w:val="Normaltindrag"/>
      </w:pPr>
      <w:r w:rsidRPr="000A3A07">
        <w:t>Fordonskostnadseffekterna är emellertid inte bara en fråga om ökat eller minskat trafikarbete. Vissa trafikantgrupper får ökade fordonskostnader på grund av högre h</w:t>
      </w:r>
      <w:r w:rsidRPr="000A3A07">
        <w:t>astighet (från 40-50 till 80-90 km/tim) och andra får min</w:t>
      </w:r>
      <w:r w:rsidRPr="000A3A07">
        <w:t>s</w:t>
      </w:r>
      <w:r w:rsidRPr="000A3A07">
        <w:t>kade fordonskostnader av samma skäl – när kökörning övergår till ett jämnt körmönster med en hastighet omkring 50 km/tim.</w:t>
      </w:r>
    </w:p>
    <w:p w14:paraId="5071710A" w14:textId="77777777" w:rsidR="007C11E9" w:rsidRPr="000A3A07" w:rsidRDefault="007C11E9">
      <w:pPr>
        <w:pStyle w:val="Rubrik2"/>
      </w:pPr>
      <w:bookmarkStart w:id="377" w:name="_Toc496513160"/>
      <w:bookmarkStart w:id="378" w:name="_Toc506341046"/>
      <w:r w:rsidRPr="000A3A07">
        <w:t>Olyckskostnadseffekter</w:t>
      </w:r>
      <w:bookmarkEnd w:id="377"/>
      <w:bookmarkEnd w:id="378"/>
    </w:p>
    <w:p w14:paraId="2B0A6859" w14:textId="77777777" w:rsidR="007C11E9" w:rsidRPr="000A3A07" w:rsidRDefault="007C11E9">
      <w:r w:rsidRPr="000A3A07">
        <w:t>Den allra största skillnaden mellan enskilda nyttoposter i Inregias och Tra</w:t>
      </w:r>
      <w:r w:rsidRPr="000A3A07">
        <w:t>n</w:t>
      </w:r>
      <w:r w:rsidRPr="000A3A07">
        <w:t>seks samhälls</w:t>
      </w:r>
      <w:r w:rsidRPr="000A3A07">
        <w:softHyphen/>
        <w:t>ekonomiska kalkyler gäller för olyckskostnaderna. I Inregias kalkyl är olyckskostnadseffekten en negativ post på nyttosidan (nuvärde = - 255 miljoner kr), medan den är en stor positiv nytto</w:t>
      </w:r>
      <w:r w:rsidRPr="000A3A07">
        <w:softHyphen/>
        <w:t>post i Transeks kalkyl (nuvärde = 1800 miljoner kr). Hur kan så olika resultat fram</w:t>
      </w:r>
      <w:r w:rsidRPr="000A3A07">
        <w:softHyphen/>
        <w:t>komma?</w:t>
      </w:r>
    </w:p>
    <w:p w14:paraId="4951DE65" w14:textId="77777777" w:rsidR="007C11E9" w:rsidRPr="000A3A07" w:rsidRDefault="007C11E9">
      <w:pPr>
        <w:pStyle w:val="Normaltindrag"/>
      </w:pPr>
      <w:r w:rsidRPr="000A3A07">
        <w:t>Den totala olyckskostnaden i ett givet vägtrafiksystem är en produkt av tre faktorer: expone</w:t>
      </w:r>
      <w:r w:rsidRPr="000A3A07">
        <w:softHyphen/>
        <w:t>ring, olycksrisk, och skadeföljd</w:t>
      </w:r>
    </w:p>
    <w:p w14:paraId="64CDAE24" w14:textId="77777777" w:rsidR="007C11E9" w:rsidRPr="000A3A07" w:rsidRDefault="007C11E9">
      <w:r w:rsidRPr="000A3A07">
        <w:tab/>
        <w:t xml:space="preserve">TC = Q </w:t>
      </w:r>
      <w:r w:rsidRPr="000A3A07">
        <w:sym w:font="Symbol" w:char="F0D7"/>
      </w:r>
      <w:r w:rsidRPr="000A3A07">
        <w:t xml:space="preserve"> r </w:t>
      </w:r>
      <w:r w:rsidRPr="000A3A07">
        <w:sym w:font="Symbol" w:char="F0D7"/>
      </w:r>
      <w:r w:rsidRPr="000A3A07">
        <w:t xml:space="preserve"> c</w:t>
      </w:r>
    </w:p>
    <w:p w14:paraId="419E9908" w14:textId="77777777" w:rsidR="007C11E9" w:rsidRPr="000A3A07" w:rsidRDefault="007C11E9">
      <w:r w:rsidRPr="000A3A07">
        <w:t>TC = totala olyckskostnader</w:t>
      </w:r>
    </w:p>
    <w:p w14:paraId="7C61AEB4" w14:textId="77777777" w:rsidR="007C11E9" w:rsidRPr="000A3A07" w:rsidRDefault="007C11E9">
      <w:r w:rsidRPr="000A3A07">
        <w:t>Q = trafikarbete (fordonskm)</w:t>
      </w:r>
    </w:p>
    <w:p w14:paraId="4A7837AF" w14:textId="77777777" w:rsidR="007C11E9" w:rsidRPr="000A3A07" w:rsidRDefault="007C11E9">
      <w:r w:rsidRPr="000A3A07">
        <w:t>r = olycksrisk (= A/Q, där A är antalet olyckor)</w:t>
      </w:r>
    </w:p>
    <w:p w14:paraId="00FD1E01" w14:textId="77777777" w:rsidR="007C11E9" w:rsidRPr="000A3A07" w:rsidRDefault="007C11E9">
      <w:r w:rsidRPr="000A3A07">
        <w:t>c = kostnad per olycka</w:t>
      </w:r>
    </w:p>
    <w:p w14:paraId="0974AF49" w14:textId="77777777" w:rsidR="007C11E9" w:rsidRPr="000A3A07" w:rsidRDefault="007C11E9">
      <w:r w:rsidRPr="000A3A07">
        <w:t>Alla dessa tre faktorer kan påverkas genom vägtrafiksystemets utformning. Jämte målkon</w:t>
      </w:r>
      <w:r w:rsidRPr="000A3A07">
        <w:softHyphen/>
        <w:t>flikten mellan intrång och ”billig” vägutformning, är målko</w:t>
      </w:r>
      <w:r w:rsidRPr="000A3A07">
        <w:t>n</w:t>
      </w:r>
      <w:r w:rsidRPr="000A3A07">
        <w:t>flikten mellan fart och säkerhet den mest intrikata. Stora ansträngningar görs dock att utforma nya vägar så att både risk och skadeföljd minskar. Det är inte lätt eftersom ett exponentiellt samband mellan skadeföljd och hastighet gäller för kollisionsolyckor. Om farten ökar på grund av standardhöjande väginves</w:t>
      </w:r>
      <w:r w:rsidRPr="000A3A07">
        <w:softHyphen/>
        <w:t>teringar kan en rad sinsemellan motverkande effekter på TC up</w:t>
      </w:r>
      <w:r w:rsidRPr="000A3A07">
        <w:t>p</w:t>
      </w:r>
      <w:r w:rsidRPr="000A3A07">
        <w:t>komma. Trafiken (Q) ökar och ökad ex</w:t>
      </w:r>
      <w:r w:rsidRPr="000A3A07">
        <w:softHyphen/>
        <w:t>ponering leder regelmässigt till fler o</w:t>
      </w:r>
      <w:r w:rsidRPr="000A3A07">
        <w:t>lyckor, men om särskild hänsyn tas till trafiksäker</w:t>
      </w:r>
      <w:r w:rsidRPr="000A3A07">
        <w:softHyphen/>
        <w:t>het vid vägutformningen, exempelvis genom anordningar som mitträcken, kan risken minskas. Skad</w:t>
      </w:r>
      <w:r w:rsidRPr="000A3A07">
        <w:t>e</w:t>
      </w:r>
      <w:r w:rsidRPr="000A3A07">
        <w:t>följden kan bli värre på grund av högre fart, men om en ”förlåtande” vä</w:t>
      </w:r>
      <w:r w:rsidRPr="000A3A07">
        <w:t>g</w:t>
      </w:r>
      <w:r w:rsidRPr="000A3A07">
        <w:t>miljö eftersträvas genom bl a flacka slänter, kan kostnaden per olycka red</w:t>
      </w:r>
      <w:r w:rsidRPr="000A3A07">
        <w:t>u</w:t>
      </w:r>
      <w:r w:rsidRPr="000A3A07">
        <w:t>ceras. Totaleffek</w:t>
      </w:r>
      <w:r w:rsidRPr="000A3A07">
        <w:softHyphen/>
        <w:t>ten kan till och med bli positiv, d v s den totala olyckskos</w:t>
      </w:r>
      <w:r w:rsidRPr="000A3A07">
        <w:t>t</w:t>
      </w:r>
      <w:r w:rsidRPr="000A3A07">
        <w:t>naden kan reduceras.</w:t>
      </w:r>
    </w:p>
    <w:p w14:paraId="5C75295C" w14:textId="77777777" w:rsidR="007C11E9" w:rsidRPr="000A3A07" w:rsidRDefault="007C11E9">
      <w:pPr>
        <w:pStyle w:val="Normaltindrag"/>
      </w:pPr>
      <w:r w:rsidRPr="000A3A07">
        <w:t>I Inregia (1996) är ökad exponering den avgörande faktorn. Eftersom traf</w:t>
      </w:r>
      <w:r w:rsidRPr="000A3A07">
        <w:t>i</w:t>
      </w:r>
      <w:r w:rsidRPr="000A3A07">
        <w:t>karbetet förväntas öka med uppåt 60% i Södra Länkens influensområde väger de negativa effekterna på trafiksäker</w:t>
      </w:r>
      <w:r w:rsidRPr="000A3A07">
        <w:softHyphen/>
        <w:t>heten över de positiva effekterna av att de mindre vägarna blir trafikavlastade. Transek (1998) förutser en avsevärt mindre ökning av trafikarbetet (omkring 20%). Dessutom hävdas att bättre hänsyn har tagits i kalkylen till att Södra Länkens motorvägsstandard innebär frånvaro av plankorsningar och förhinder för mötesolyckor.</w:t>
      </w:r>
    </w:p>
    <w:p w14:paraId="15C0895A" w14:textId="77777777" w:rsidR="007C11E9" w:rsidRPr="000A3A07" w:rsidRDefault="007C11E9">
      <w:pPr>
        <w:pStyle w:val="Rubrik3"/>
      </w:pPr>
      <w:bookmarkStart w:id="379" w:name="_Toc496513161"/>
      <w:r w:rsidRPr="000A3A07">
        <w:t>Olycksminskning på substitutlänkar och olycksökning på komplementlänkar</w:t>
      </w:r>
      <w:bookmarkEnd w:id="379"/>
    </w:p>
    <w:p w14:paraId="1661F21A" w14:textId="77777777" w:rsidR="007C11E9" w:rsidRPr="000A3A07" w:rsidRDefault="007C11E9">
      <w:r w:rsidRPr="000A3A07">
        <w:t>För beräkningen av effekter på olyckskostnaderna är nettotillskottet av trafik liksom trafikminskning</w:t>
      </w:r>
      <w:r w:rsidRPr="000A3A07">
        <w:softHyphen/>
        <w:t>en på substitutslänkarna och trafikökningen på de till Södra Länken komplemen</w:t>
      </w:r>
      <w:r w:rsidRPr="000A3A07">
        <w:softHyphen/>
        <w:t>tära lederna helt avgörande. Trafiken på den nya Södra länken och trafikökningen på komplementära länkar leder i och för sig till en ökning av olyckskostnaderna, medan minskningen av trafiken på substitutslederna leder till en minskning av olyckskostnaderna.</w:t>
      </w:r>
    </w:p>
    <w:p w14:paraId="46918FF5" w14:textId="77777777" w:rsidR="007C11E9" w:rsidRPr="000A3A07" w:rsidRDefault="007C11E9">
      <w:pPr>
        <w:pStyle w:val="Normaltindrag"/>
      </w:pPr>
      <w:r w:rsidRPr="000A3A07">
        <w:t>Enligt Inregia (19969 tar dessa effekter nästan ut varandra; en liten m</w:t>
      </w:r>
      <w:r w:rsidRPr="000A3A07">
        <w:t>i</w:t>
      </w:r>
      <w:r w:rsidRPr="000A3A07">
        <w:t>nuspost på nyttosidan blir nettoresultatet. I Transek (1998) blir nettoresultatet en betydande pluspost på grund av att nettoökningen av det totala trafika</w:t>
      </w:r>
      <w:r w:rsidRPr="000A3A07">
        <w:t>r</w:t>
      </w:r>
      <w:r w:rsidRPr="000A3A07">
        <w:t>betet antas bli mycket mindre, vilket i sin tur verkar bero på att trafiköknin</w:t>
      </w:r>
      <w:r w:rsidRPr="000A3A07">
        <w:t>g</w:t>
      </w:r>
      <w:r w:rsidRPr="000A3A07">
        <w:t>en på komplementära leder som Essingeleden antas bli relativt obetydlig.</w:t>
      </w:r>
    </w:p>
    <w:p w14:paraId="594C92E7" w14:textId="77777777" w:rsidR="007C11E9" w:rsidRPr="000A3A07" w:rsidRDefault="007C11E9">
      <w:pPr>
        <w:pStyle w:val="Rubrik3"/>
      </w:pPr>
      <w:bookmarkStart w:id="380" w:name="_Toc496513162"/>
      <w:r w:rsidRPr="000A3A07">
        <w:t>Nivån för olyckskostnaden</w:t>
      </w:r>
      <w:bookmarkEnd w:id="380"/>
    </w:p>
    <w:p w14:paraId="69AC8D25" w14:textId="77777777" w:rsidR="007C11E9" w:rsidRPr="000A3A07" w:rsidRDefault="007C11E9">
      <w:r w:rsidRPr="000A3A07">
        <w:t>Den olyckskostnadsminskning som Södra Länkens tillkomst kan beräknas leda till är relativ. Det betyder att det absoluta värdet är proportionellt mot den antagna olyckskostnadsnivån i utgångsläget. I Transek (1998) utgår man från en olyckskostnad per fordonskilometer på 1,28 kr. Det förefaller att vara en orimligt hög nivå med tanke på att för riket som helhet är den totala olyckskostnaden av storleksordningen 50 öre per motorfordonskilometer. (Total olyckskost</w:t>
      </w:r>
      <w:r w:rsidRPr="000A3A07">
        <w:softHyphen/>
        <w:t xml:space="preserve">nad </w:t>
      </w:r>
      <w:r w:rsidRPr="000A3A07">
        <w:sym w:font="Symbol" w:char="F0BB"/>
      </w:r>
      <w:r w:rsidRPr="000A3A07">
        <w:t xml:space="preserve"> 40 miljarder kr dividerat med 80 miljarder motorfo</w:t>
      </w:r>
      <w:r w:rsidRPr="000A3A07">
        <w:t>r</w:t>
      </w:r>
      <w:r w:rsidRPr="000A3A07">
        <w:t>donskm). Det är visser</w:t>
      </w:r>
      <w:r w:rsidRPr="000A3A07">
        <w:softHyphen/>
        <w:t>ligen sant att en oproportionerligt stor andel av de allvarliga GCM-olyckorna inträffar i tätort, men å andra sidan är risken för allvarliga, rena bilolyckor något lägre i tätort än på landsbygd. Enligt ”Olycksboken” utgiven av kommunförbundet 1999 inträffade 44% av de allvarliga skadefallen (dödsfall och svåra personskador) i tätort, medan det totala trafikarbetet i tätort utfört av motorfordon är 33% av det totala traf</w:t>
      </w:r>
      <w:r w:rsidRPr="000A3A07">
        <w:t>i</w:t>
      </w:r>
      <w:r w:rsidRPr="000A3A07">
        <w:t>karbet</w:t>
      </w:r>
      <w:r w:rsidRPr="000A3A07">
        <w:t>et. Med ledning av dessa uppgifter är en rimlighetsbedömning att en halvering av den i Transek (1998) antagna olyckskostnadsnivån i utgångsl</w:t>
      </w:r>
      <w:r w:rsidRPr="000A3A07">
        <w:t>ä</w:t>
      </w:r>
      <w:r w:rsidRPr="000A3A07">
        <w:t>get är motiverad.</w:t>
      </w:r>
    </w:p>
    <w:p w14:paraId="1BAFAD7E" w14:textId="77777777" w:rsidR="007C11E9" w:rsidRPr="000A3A07" w:rsidRDefault="007C11E9">
      <w:pPr>
        <w:pStyle w:val="Rubrik1"/>
      </w:pPr>
      <w:r w:rsidRPr="000A3A07">
        <w:br w:type="page"/>
      </w:r>
      <w:bookmarkStart w:id="381" w:name="_Toc496513163"/>
      <w:bookmarkStart w:id="382" w:name="_Toc506341047"/>
      <w:r w:rsidRPr="000A3A07">
        <w:t>Miljöeffekter</w:t>
      </w:r>
      <w:bookmarkEnd w:id="381"/>
      <w:bookmarkEnd w:id="382"/>
    </w:p>
    <w:p w14:paraId="3D9F8793" w14:textId="77777777" w:rsidR="007C11E9" w:rsidRPr="000A3A07" w:rsidRDefault="007C11E9">
      <w:r w:rsidRPr="000A3A07">
        <w:t>Nästa huvudgrupp av effekter på nyttosidan är miljökonsekvenserna. Ett stort vägprojekt som Södra Länken gör ofrånkomligen ett större eller mindre intrång både i bebyggelse och natur</w:t>
      </w:r>
      <w:r w:rsidRPr="000A3A07">
        <w:softHyphen/>
        <w:t>områden. Intrångskostnaden hör till kos</w:t>
      </w:r>
      <w:r w:rsidRPr="000A3A07">
        <w:t>t</w:t>
      </w:r>
      <w:r w:rsidRPr="000A3A07">
        <w:t>nadssidan i den samhällsekonomiska kalkylen. När syftet som i fallet Södra Länken är att, förutom att sänka kostnaderna för öst-västliga bil</w:t>
      </w:r>
      <w:r w:rsidRPr="000A3A07">
        <w:softHyphen/>
        <w:t>trans</w:t>
      </w:r>
      <w:r w:rsidRPr="000A3A07">
        <w:softHyphen/>
        <w:t>porter i de inre förorterna i Stockholms södra del avlasta mindre gator och vägar i om</w:t>
      </w:r>
      <w:r w:rsidRPr="000A3A07">
        <w:softHyphen/>
        <w:t>rådet från störande biltrafik är den positiva pendangen till intrångskostn</w:t>
      </w:r>
      <w:r w:rsidRPr="000A3A07">
        <w:t>a</w:t>
      </w:r>
      <w:r w:rsidRPr="000A3A07">
        <w:t>den på kostnads</w:t>
      </w:r>
      <w:r w:rsidRPr="000A3A07">
        <w:softHyphen/>
        <w:t>sidan, nyttoposter som bullerminskning och under vissa förutsättningar minskade avgasemis</w:t>
      </w:r>
      <w:r w:rsidRPr="000A3A07">
        <w:softHyphen/>
        <w:t>sioner på grund av bättre flyt i trafiken.</w:t>
      </w:r>
    </w:p>
    <w:p w14:paraId="2C20F336" w14:textId="77777777" w:rsidR="007C11E9" w:rsidRPr="000A3A07" w:rsidRDefault="007C11E9">
      <w:pPr>
        <w:pStyle w:val="Normaltindrag"/>
      </w:pPr>
      <w:r w:rsidRPr="000A3A07">
        <w:t>De externa mi</w:t>
      </w:r>
      <w:r w:rsidRPr="000A3A07">
        <w:t>ljökostnaderna är snarare relaterade till den del av GC som representeras av fordonskostnaderna än till restiden. Bensinförbrukningen och/eller körsträckan är primära bestämningsfaktorer för avgas- och bulle</w:t>
      </w:r>
      <w:r w:rsidRPr="000A3A07">
        <w:t>r</w:t>
      </w:r>
      <w:r w:rsidRPr="000A3A07">
        <w:t>kostnaderna. Det är därför betydelsefullt att klara ut om bilresorna blir g</w:t>
      </w:r>
      <w:r w:rsidRPr="000A3A07">
        <w:t>e</w:t>
      </w:r>
      <w:r w:rsidRPr="000A3A07">
        <w:t>nomsnittligt längre eller inte till följd av Södra Länkens tillkomst. I In</w:t>
      </w:r>
      <w:r w:rsidRPr="000A3A07">
        <w:softHyphen/>
        <w:t>regia (1996) beräknas som nämnts att så blir fallet och det torde vara huvudanle</w:t>
      </w:r>
      <w:r w:rsidRPr="000A3A07">
        <w:t>d</w:t>
      </w:r>
      <w:r w:rsidRPr="000A3A07">
        <w:t xml:space="preserve">ningen till att konsekvenserna för luftföroreningen är en stor negativa </w:t>
      </w:r>
      <w:r w:rsidRPr="000A3A07">
        <w:t>post på nyttosidan (se tabell 2, sid 8). Det märkliga är att den direkta effekten på själva fordonskostnaden inte också är en negativ post i den samhällsekon</w:t>
      </w:r>
      <w:r w:rsidRPr="000A3A07">
        <w:t>o</w:t>
      </w:r>
      <w:r w:rsidRPr="000A3A07">
        <w:t>miska kalkylen i Inregia (1996). Citatet på sid 16 ger motivet till tomrummet i den rutan.</w:t>
      </w:r>
    </w:p>
    <w:p w14:paraId="071F2C2C" w14:textId="77777777" w:rsidR="007C11E9" w:rsidRPr="000A3A07" w:rsidRDefault="007C11E9">
      <w:pPr>
        <w:pStyle w:val="Normaltindrag"/>
      </w:pPr>
      <w:r w:rsidRPr="000A3A07">
        <w:t>Det något lösa resonemanget skulle lika gärna kunna föras vad beträffar avgaskostnaderna, men för dessa kostnader väljer man alltså istället att bet</w:t>
      </w:r>
      <w:r w:rsidRPr="000A3A07">
        <w:t>o</w:t>
      </w:r>
      <w:r w:rsidRPr="000A3A07">
        <w:t>na sambandet med den totala trafik</w:t>
      </w:r>
      <w:r w:rsidRPr="000A3A07">
        <w:softHyphen/>
        <w:t>volymen. Det beräknade ökade trafika</w:t>
      </w:r>
      <w:r w:rsidRPr="000A3A07">
        <w:t>r</w:t>
      </w:r>
      <w:r w:rsidRPr="000A3A07">
        <w:t>betet i Södra Länkens influensområde slår igenom mycket kraftigt i den samhällsekonomiska kalkylen i Inregia (1996).</w:t>
      </w:r>
    </w:p>
    <w:p w14:paraId="51EE4762" w14:textId="77777777" w:rsidR="007C11E9" w:rsidRPr="000A3A07" w:rsidRDefault="007C11E9">
      <w:pPr>
        <w:pStyle w:val="Normaltindrag"/>
      </w:pPr>
      <w:r w:rsidRPr="000A3A07">
        <w:t>En omvänd inkonsekvens kan observeras i Transek (1998). Där är fo</w:t>
      </w:r>
      <w:r w:rsidRPr="000A3A07">
        <w:t>r</w:t>
      </w:r>
      <w:r w:rsidRPr="000A3A07">
        <w:t>donskostnadseffekten en negativ konsekvens på nyttosidan (nuvärde = - 440 miljoner kr, se tabell 2 på sid 8) på grund av den (måttliga) beräknade ö</w:t>
      </w:r>
      <w:r w:rsidRPr="000A3A07">
        <w:t>k</w:t>
      </w:r>
      <w:r w:rsidRPr="000A3A07">
        <w:t>ningen av trafikarbetet, medan avgaseffekterna blir samman</w:t>
      </w:r>
      <w:r w:rsidRPr="000A3A07">
        <w:softHyphen/>
        <w:t>taget en positiv konsekvens på nyttosidan. Utan närmare kommentar redovisar Transek (1998) små ökningar för fyra av fem avgaskomponenter. Den femte komp</w:t>
      </w:r>
      <w:r w:rsidRPr="000A3A07">
        <w:t>o</w:t>
      </w:r>
      <w:r w:rsidRPr="000A3A07">
        <w:t>nenten, kolväten beräknas minska i regionen med tre promille på grund av Södra Länken, vilket dock är till</w:t>
      </w:r>
      <w:r w:rsidRPr="000A3A07">
        <w:softHyphen/>
        <w:t>räckligt för att en positiv nettonytta = 210</w:t>
      </w:r>
      <w:r w:rsidRPr="000A3A07">
        <w:t xml:space="preserve"> miljoner kr gäller för avgasemissionerna som hel</w:t>
      </w:r>
      <w:r w:rsidRPr="000A3A07">
        <w:softHyphen/>
        <w:t xml:space="preserve">het.  </w:t>
      </w:r>
    </w:p>
    <w:p w14:paraId="3D356BAB" w14:textId="77777777" w:rsidR="007C11E9" w:rsidRPr="000A3A07" w:rsidRDefault="007C11E9">
      <w:pPr>
        <w:pStyle w:val="Rubrik1"/>
      </w:pPr>
      <w:r w:rsidRPr="000A3A07">
        <w:br w:type="page"/>
      </w:r>
      <w:bookmarkStart w:id="383" w:name="_Toc496513164"/>
      <w:bookmarkStart w:id="384" w:name="_Toc506341048"/>
      <w:r w:rsidRPr="000A3A07">
        <w:t>Sammanfattande slutsatser</w:t>
      </w:r>
      <w:bookmarkEnd w:id="383"/>
      <w:bookmarkEnd w:id="384"/>
      <w:r w:rsidRPr="000A3A07">
        <w:t xml:space="preserve"> </w:t>
      </w:r>
    </w:p>
    <w:p w14:paraId="45705CA2" w14:textId="77777777" w:rsidR="007C11E9" w:rsidRPr="000A3A07" w:rsidRDefault="007C11E9">
      <w:pPr>
        <w:pStyle w:val="Rubrik2"/>
      </w:pPr>
      <w:bookmarkStart w:id="385" w:name="_Toc496513165"/>
      <w:bookmarkStart w:id="386" w:name="_Toc506341049"/>
      <w:r w:rsidRPr="000A3A07">
        <w:t>Objektanalysens nyttosida</w:t>
      </w:r>
      <w:bookmarkEnd w:id="385"/>
      <w:bookmarkEnd w:id="386"/>
    </w:p>
    <w:p w14:paraId="029E80B5" w14:textId="77777777" w:rsidR="007C11E9" w:rsidRPr="000A3A07" w:rsidRDefault="007C11E9">
      <w:r w:rsidRPr="000A3A07">
        <w:t>Det i pengar uttryckta slutliga innehållet på nyttosidan i en samhällsekon</w:t>
      </w:r>
      <w:r w:rsidRPr="000A3A07">
        <w:t>o</w:t>
      </w:r>
      <w:r w:rsidRPr="000A3A07">
        <w:t>misk kalkyl av det slag som Vägverket och Banverket nyttjar för väg- och järnvägsinvesteringar kan i kompakt form sammanfattas sålunda:</w:t>
      </w:r>
    </w:p>
    <w:p w14:paraId="15BC48AB" w14:textId="77777777" w:rsidR="007C11E9" w:rsidRPr="000A3A07" w:rsidRDefault="007C11E9">
      <w:r w:rsidRPr="000A3A07">
        <w:t xml:space="preserve">(1)   Trafikantkostndsbesparingar för existerande trafik = </w:t>
      </w:r>
    </w:p>
    <w:p w14:paraId="733C8257" w14:textId="7CFE8C43" w:rsidR="007C11E9" w:rsidRPr="000A3A07" w:rsidRDefault="000A3A07">
      <w:pPr>
        <w:spacing w:line="240" w:lineRule="atLeast"/>
        <w:ind w:left="992"/>
      </w:pPr>
      <w:r w:rsidRPr="000A3A07">
        <w:rPr>
          <w:noProof/>
          <w:position w:val="-28"/>
        </w:rPr>
        <w:drawing>
          <wp:inline distT="0" distB="0" distL="0" distR="0" wp14:anchorId="5C38AB1C" wp14:editId="6A55E9FD">
            <wp:extent cx="1382395" cy="3429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82395" cy="342900"/>
                    </a:xfrm>
                    <a:prstGeom prst="rect">
                      <a:avLst/>
                    </a:prstGeom>
                    <a:noFill/>
                    <a:ln>
                      <a:noFill/>
                    </a:ln>
                  </pic:spPr>
                </pic:pic>
              </a:graphicData>
            </a:graphic>
          </wp:inline>
        </w:drawing>
      </w:r>
    </w:p>
    <w:p w14:paraId="7361399D" w14:textId="77777777" w:rsidR="007C11E9" w:rsidRPr="000A3A07" w:rsidRDefault="007C11E9">
      <w:pPr>
        <w:pStyle w:val="Innehll1"/>
        <w:rPr>
          <w:noProof w:val="0"/>
        </w:rPr>
      </w:pPr>
      <w:r w:rsidRPr="000A3A07">
        <w:rPr>
          <w:noProof w:val="0"/>
        </w:rPr>
        <w:t>(2)   Ny</w:t>
      </w:r>
      <w:r w:rsidRPr="000A3A07">
        <w:rPr>
          <w:noProof w:val="0"/>
        </w:rPr>
        <w:t>t</w:t>
      </w:r>
      <w:r w:rsidRPr="000A3A07">
        <w:rPr>
          <w:noProof w:val="0"/>
        </w:rPr>
        <w:t xml:space="preserve">tan av ny trafik = </w:t>
      </w:r>
    </w:p>
    <w:p w14:paraId="73EC3F88" w14:textId="77777777" w:rsidR="007C11E9" w:rsidRPr="000A3A07" w:rsidRDefault="007C11E9">
      <w:pPr>
        <w:pStyle w:val="Normaltindrag"/>
      </w:pPr>
    </w:p>
    <w:p w14:paraId="494E3C37" w14:textId="171CE82B" w:rsidR="007C11E9" w:rsidRPr="000A3A07" w:rsidRDefault="000A3A07">
      <w:pPr>
        <w:pStyle w:val="Citat"/>
        <w:spacing w:before="122" w:line="240" w:lineRule="atLeast"/>
        <w:ind w:left="992"/>
        <w:rPr>
          <w:vertAlign w:val="subscript"/>
        </w:rPr>
      </w:pPr>
      <w:r w:rsidRPr="000A3A07">
        <w:rPr>
          <w:noProof/>
          <w:position w:val="-24"/>
        </w:rPr>
        <w:drawing>
          <wp:inline distT="0" distB="0" distL="0" distR="0" wp14:anchorId="050941CB" wp14:editId="6D314B26">
            <wp:extent cx="1600200" cy="39179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00200" cy="391795"/>
                    </a:xfrm>
                    <a:prstGeom prst="rect">
                      <a:avLst/>
                    </a:prstGeom>
                    <a:noFill/>
                    <a:ln>
                      <a:noFill/>
                    </a:ln>
                  </pic:spPr>
                </pic:pic>
              </a:graphicData>
            </a:graphic>
          </wp:inline>
        </w:drawing>
      </w:r>
    </w:p>
    <w:p w14:paraId="5968F4E7" w14:textId="77777777" w:rsidR="007C11E9" w:rsidRPr="000A3A07" w:rsidRDefault="007C11E9">
      <w:pPr>
        <w:pStyle w:val="Innehll1"/>
        <w:rPr>
          <w:noProof w:val="0"/>
        </w:rPr>
      </w:pPr>
      <w:r w:rsidRPr="000A3A07">
        <w:rPr>
          <w:noProof w:val="0"/>
        </w:rPr>
        <w:t xml:space="preserve"> </w:t>
      </w:r>
    </w:p>
    <w:p w14:paraId="2A88237A" w14:textId="77777777" w:rsidR="007C11E9" w:rsidRPr="000A3A07" w:rsidRDefault="007C11E9">
      <w:pPr>
        <w:numPr>
          <w:ilvl w:val="0"/>
          <w:numId w:val="155"/>
        </w:numPr>
      </w:pPr>
      <w:r w:rsidRPr="000A3A07">
        <w:t xml:space="preserve">Miljöeffekter i ”omgivningen” = </w:t>
      </w:r>
    </w:p>
    <w:p w14:paraId="43C5C5D4" w14:textId="185D7791" w:rsidR="007C11E9" w:rsidRPr="000A3A07" w:rsidRDefault="000A3A07">
      <w:pPr>
        <w:spacing w:line="240" w:lineRule="atLeast"/>
        <w:ind w:left="992"/>
      </w:pPr>
      <w:r w:rsidRPr="000A3A07">
        <w:rPr>
          <w:noProof/>
          <w:position w:val="-30"/>
        </w:rPr>
        <w:drawing>
          <wp:inline distT="0" distB="0" distL="0" distR="0" wp14:anchorId="4F2DBC72" wp14:editId="3F7576DB">
            <wp:extent cx="827405" cy="35369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27405" cy="353695"/>
                    </a:xfrm>
                    <a:prstGeom prst="rect">
                      <a:avLst/>
                    </a:prstGeom>
                    <a:noFill/>
                    <a:ln>
                      <a:noFill/>
                    </a:ln>
                  </pic:spPr>
                </pic:pic>
              </a:graphicData>
            </a:graphic>
          </wp:inline>
        </w:drawing>
      </w:r>
    </w:p>
    <w:p w14:paraId="15432CEF" w14:textId="77777777" w:rsidR="007C11E9" w:rsidRPr="000A3A07" w:rsidRDefault="007C11E9">
      <w:r w:rsidRPr="000A3A07">
        <w:t>Q</w:t>
      </w:r>
      <w:r w:rsidRPr="000A3A07">
        <w:rPr>
          <w:vertAlign w:val="subscript"/>
        </w:rPr>
        <w:t>0</w:t>
      </w:r>
      <w:r w:rsidRPr="000A3A07">
        <w:t xml:space="preserve"> = Existerande transporter som berörs av nyinvesteringen</w:t>
      </w:r>
    </w:p>
    <w:p w14:paraId="4D1F9B46" w14:textId="77777777" w:rsidR="007C11E9" w:rsidRPr="000A3A07" w:rsidRDefault="007C11E9">
      <w:r w:rsidRPr="000A3A07">
        <w:t>Q</w:t>
      </w:r>
      <w:r w:rsidRPr="000A3A07">
        <w:rPr>
          <w:vertAlign w:val="subscript"/>
        </w:rPr>
        <w:t>1</w:t>
      </w:r>
      <w:r w:rsidRPr="000A3A07">
        <w:t xml:space="preserve"> = Transportvolym i influensområdet efter investeringen</w:t>
      </w:r>
    </w:p>
    <w:p w14:paraId="5094AD16" w14:textId="77777777" w:rsidR="007C11E9" w:rsidRPr="000A3A07" w:rsidRDefault="007C11E9">
      <w:r w:rsidRPr="000A3A07">
        <w:sym w:font="Symbol" w:char="F044"/>
      </w:r>
      <w:r w:rsidRPr="000A3A07">
        <w:t>Q = Q</w:t>
      </w:r>
      <w:r w:rsidRPr="000A3A07">
        <w:rPr>
          <w:vertAlign w:val="subscript"/>
        </w:rPr>
        <w:t xml:space="preserve">1 </w:t>
      </w:r>
      <w:r w:rsidRPr="000A3A07">
        <w:t>- Q</w:t>
      </w:r>
      <w:r w:rsidRPr="000A3A07">
        <w:rPr>
          <w:vertAlign w:val="subscript"/>
        </w:rPr>
        <w:t>0</w:t>
      </w:r>
    </w:p>
    <w:p w14:paraId="72C10AF8" w14:textId="77777777" w:rsidR="007C11E9" w:rsidRPr="000A3A07" w:rsidRDefault="007C11E9">
      <w:r w:rsidRPr="000A3A07">
        <w:sym w:font="Symbol" w:char="F044"/>
      </w:r>
      <w:r w:rsidRPr="000A3A07">
        <w:t>GC = Förändring i  genomsnitt av den generaliserade transportkostn</w:t>
      </w:r>
      <w:r w:rsidRPr="000A3A07">
        <w:t>a</w:t>
      </w:r>
      <w:r w:rsidRPr="000A3A07">
        <w:t>den</w:t>
      </w:r>
    </w:p>
    <w:p w14:paraId="72CEAE19" w14:textId="77777777" w:rsidR="007C11E9" w:rsidRPr="000A3A07" w:rsidRDefault="007C11E9">
      <w:r w:rsidRPr="000A3A07">
        <w:t>p</w:t>
      </w:r>
      <w:r w:rsidRPr="000A3A07">
        <w:rPr>
          <w:vertAlign w:val="subscript"/>
        </w:rPr>
        <w:t>i</w:t>
      </w:r>
      <w:r w:rsidRPr="000A3A07">
        <w:t xml:space="preserve"> = à-pris för trafikantuppoffringar (restid m.m.)</w:t>
      </w:r>
    </w:p>
    <w:p w14:paraId="7DF9E565" w14:textId="77777777" w:rsidR="007C11E9" w:rsidRPr="000A3A07" w:rsidRDefault="007C11E9">
      <w:r w:rsidRPr="000A3A07">
        <w:sym w:font="Symbol" w:char="F044"/>
      </w:r>
      <w:r w:rsidRPr="000A3A07">
        <w:t>q</w:t>
      </w:r>
      <w:r w:rsidRPr="000A3A07">
        <w:rPr>
          <w:vertAlign w:val="subscript"/>
        </w:rPr>
        <w:t>i</w:t>
      </w:r>
      <w:r w:rsidRPr="000A3A07">
        <w:t xml:space="preserve"> = Förändring av trafikantuppoffringar i kvantitativa termer</w:t>
      </w:r>
    </w:p>
    <w:p w14:paraId="76E25EAE" w14:textId="77777777" w:rsidR="007C11E9" w:rsidRPr="000A3A07" w:rsidRDefault="007C11E9">
      <w:r w:rsidRPr="000A3A07">
        <w:t>P = bensinpris</w:t>
      </w:r>
    </w:p>
    <w:p w14:paraId="65573750" w14:textId="77777777" w:rsidR="007C11E9" w:rsidRPr="000A3A07" w:rsidRDefault="007C11E9">
      <w:r w:rsidRPr="000A3A07">
        <w:t>EC = externa kostnader (från den enskilde trafikantens synpunkt)</w:t>
      </w:r>
    </w:p>
    <w:p w14:paraId="5DF1ECE0" w14:textId="77777777" w:rsidR="007C11E9" w:rsidRPr="000A3A07" w:rsidRDefault="007C11E9">
      <w:r w:rsidRPr="000A3A07">
        <w:t>p</w:t>
      </w:r>
      <w:r w:rsidRPr="000A3A07">
        <w:rPr>
          <w:vertAlign w:val="subscript"/>
        </w:rPr>
        <w:t>j</w:t>
      </w:r>
      <w:r w:rsidRPr="000A3A07">
        <w:t xml:space="preserve"> = à-pris för miljöpåverkan av trafik (buller, luftföroreningar, externa olyckseffekter)</w:t>
      </w:r>
    </w:p>
    <w:p w14:paraId="25192E09" w14:textId="77777777" w:rsidR="007C11E9" w:rsidRPr="000A3A07" w:rsidRDefault="007C11E9">
      <w:r w:rsidRPr="000A3A07">
        <w:sym w:font="Symbol" w:char="F044"/>
      </w:r>
      <w:r w:rsidRPr="000A3A07">
        <w:t>q</w:t>
      </w:r>
      <w:r w:rsidRPr="000A3A07">
        <w:rPr>
          <w:vertAlign w:val="subscript"/>
        </w:rPr>
        <w:t>j</w:t>
      </w:r>
      <w:r w:rsidRPr="000A3A07">
        <w:t xml:space="preserve"> = Förändring av miljöpåverkan i kvantitativa termer</w:t>
      </w:r>
    </w:p>
    <w:p w14:paraId="5207CEE2" w14:textId="77777777" w:rsidR="007C11E9" w:rsidRPr="000A3A07" w:rsidRDefault="007C11E9">
      <w:r w:rsidRPr="000A3A07">
        <w:t>N</w:t>
      </w:r>
      <w:r w:rsidRPr="000A3A07">
        <w:rPr>
          <w:vertAlign w:val="subscript"/>
        </w:rPr>
        <w:t>j</w:t>
      </w:r>
      <w:r w:rsidRPr="000A3A07">
        <w:t xml:space="preserve"> = antal berörda individer av den miljöpåverkan som förändras genom investeringen ifråga </w:t>
      </w:r>
    </w:p>
    <w:p w14:paraId="1098961C" w14:textId="77777777" w:rsidR="007C11E9" w:rsidRPr="000A3A07" w:rsidRDefault="007C11E9"/>
    <w:p w14:paraId="48C37A20" w14:textId="77777777" w:rsidR="007C11E9" w:rsidRPr="000A3A07" w:rsidRDefault="007C11E9">
      <w:pPr>
        <w:pStyle w:val="Vinkelkoder"/>
      </w:pPr>
      <w:r w:rsidRPr="000A3A07">
        <w:t>Dessa tre huvudgrupper av monetäriserade effekter summeras och ställs mot (järn)väghållarens kostnader för investering, drift och underhåll för berä</w:t>
      </w:r>
      <w:r w:rsidRPr="000A3A07">
        <w:t>k</w:t>
      </w:r>
      <w:r w:rsidRPr="000A3A07">
        <w:t>ning av ett lönsam</w:t>
      </w:r>
      <w:r w:rsidRPr="000A3A07">
        <w:softHyphen/>
        <w:t>hetstal, vanligen nuvärdet av nettonyttan i förhållande till (järn)väghållarens tota</w:t>
      </w:r>
      <w:r w:rsidRPr="000A3A07">
        <w:t>l</w:t>
      </w:r>
      <w:r w:rsidRPr="000A3A07">
        <w:t>kostnad hänförlig till nyinvesteringen ifråga.</w:t>
      </w:r>
    </w:p>
    <w:p w14:paraId="0E31022F" w14:textId="77777777" w:rsidR="007C11E9" w:rsidRPr="000A3A07" w:rsidRDefault="007C11E9">
      <w:pPr>
        <w:pStyle w:val="Normaltindrag"/>
      </w:pPr>
      <w:r w:rsidRPr="000A3A07">
        <w:t>Vid sidan av de monetäriserade effekterna finns ytterligare beaktansvärda effekter som brukar omnämnas och beskrivas men ej värderas, t ex det i</w:t>
      </w:r>
      <w:r w:rsidRPr="000A3A07">
        <w:t>n</w:t>
      </w:r>
      <w:r w:rsidRPr="000A3A07">
        <w:t>trång som den nya trafikleden gör i när</w:t>
      </w:r>
      <w:r w:rsidRPr="000A3A07">
        <w:softHyphen/>
        <w:t>miljön för vissa boende och/eller i landskapet. Det finns också effekter som överhuvudtaget inte nämns, av vilka erodering av trafikunderlaget för befintlig kollektivtrafik kan vara viktig framför allt i stadsbygd.</w:t>
      </w:r>
    </w:p>
    <w:p w14:paraId="092D6F6A" w14:textId="77777777" w:rsidR="007C11E9" w:rsidRPr="000A3A07" w:rsidRDefault="007C11E9">
      <w:pPr>
        <w:pStyle w:val="Rubrik2"/>
      </w:pPr>
      <w:bookmarkStart w:id="387" w:name="_Toc496513166"/>
      <w:bookmarkStart w:id="388" w:name="_Toc506341050"/>
      <w:r w:rsidRPr="000A3A07">
        <w:t>Vad finns i "svarta lådan"?</w:t>
      </w:r>
      <w:bookmarkEnd w:id="387"/>
      <w:bookmarkEnd w:id="388"/>
    </w:p>
    <w:p w14:paraId="2F17DAAC" w14:textId="77777777" w:rsidR="007C11E9" w:rsidRPr="000A3A07" w:rsidRDefault="007C11E9">
      <w:r w:rsidRPr="000A3A07">
        <w:t>När det gäller det statliga väg- respektive järnvägsnätet är det normala att trafikverken själva gör de samhällsekonomiska lönsamhetskalkylerna med hjälp av egna trafikberäkningsmodel</w:t>
      </w:r>
      <w:r w:rsidRPr="000A3A07">
        <w:softHyphen/>
        <w:t>ler samt manualer för objektanalys (E</w:t>
      </w:r>
      <w:r w:rsidRPr="000A3A07">
        <w:t>f</w:t>
      </w:r>
      <w:r w:rsidRPr="000A3A07">
        <w:t>fektberäkning vid Väganalyser, EVA, respektive Beräk</w:t>
      </w:r>
      <w:r w:rsidRPr="000A3A07">
        <w:softHyphen/>
        <w:t>ningshandledning – Hjälpmedel för samhällsekonomisk lönsamhetsbedömning av järnvägsin</w:t>
      </w:r>
      <w:r w:rsidRPr="000A3A07">
        <w:softHyphen/>
        <w:t>vesteringar, BVH 106). Statens Institut för Kommunikationsanalys (SIKA) har bl a till uppgift att samordna trafikverkens investeringsplanering och ge rekommendationer beträffande ge</w:t>
      </w:r>
      <w:r w:rsidRPr="000A3A07">
        <w:softHyphen/>
        <w:t>mensamma kalkylparametrar  (à-priser för trafikantuppoffringar och miljöeffekter, m.m.).</w:t>
      </w:r>
    </w:p>
    <w:p w14:paraId="412CD5EC" w14:textId="77777777" w:rsidR="007C11E9" w:rsidRPr="000A3A07" w:rsidRDefault="007C11E9">
      <w:pPr>
        <w:pStyle w:val="Normaltindrag"/>
      </w:pPr>
      <w:r w:rsidRPr="000A3A07">
        <w:t>När det gäller väginvesteringar i stadsbygd, även i sådana fall</w:t>
      </w:r>
      <w:r w:rsidRPr="000A3A07">
        <w:t xml:space="preserve"> som Södra Länken för vilken Vägverket (Region Stockholm) är huvudansvarig, är det vanligt att utomstående konsulter genomför de samhällsekonomiska kalk</w:t>
      </w:r>
      <w:r w:rsidRPr="000A3A07">
        <w:t>y</w:t>
      </w:r>
      <w:r w:rsidRPr="000A3A07">
        <w:t>lerna. Man kan fråga sig, varför inte huvudmannen själv gör det, som är brukligt när det gäller investeringar på landsbygd? Svaret torde i första hand vara att trafikberäkningarna är mer komplicerade i stadsbygd än i landsbygd och kräver lokalt specifika resdata som Vägverket självt normalt inte tar fram. Övriga moment i kal</w:t>
      </w:r>
      <w:r w:rsidRPr="000A3A07">
        <w:softHyphen/>
        <w:t>kylen, d v s kombinationen av tr</w:t>
      </w:r>
      <w:r w:rsidRPr="000A3A07">
        <w:t>afikdata, effek</w:t>
      </w:r>
      <w:r w:rsidRPr="000A3A07">
        <w:t>t</w:t>
      </w:r>
      <w:r w:rsidRPr="000A3A07">
        <w:t>samband och "värderingar" (d v s à-priser på effek</w:t>
      </w:r>
      <w:r w:rsidRPr="000A3A07">
        <w:softHyphen/>
        <w:t>terna enligt beräkning</w:t>
      </w:r>
      <w:r w:rsidRPr="000A3A07">
        <w:t>s</w:t>
      </w:r>
      <w:r w:rsidRPr="000A3A07">
        <w:t>handledningar och SIKAs rekommendationer) är i princip ganska lika för stadsbygds- och landsbygdsinvesteringar.</w:t>
      </w:r>
    </w:p>
    <w:p w14:paraId="7017859D" w14:textId="77777777" w:rsidR="007C11E9" w:rsidRPr="000A3A07" w:rsidRDefault="007C11E9">
      <w:pPr>
        <w:pStyle w:val="Normaltindrag"/>
      </w:pPr>
      <w:r w:rsidRPr="000A3A07">
        <w:t>Vad gäller Södra Länken har alltså två välrenommerade konsultföretag u</w:t>
      </w:r>
      <w:r w:rsidRPr="000A3A07">
        <w:t>t</w:t>
      </w:r>
      <w:r w:rsidRPr="000A3A07">
        <w:t>fört varsin samhälls</w:t>
      </w:r>
      <w:r w:rsidRPr="000A3A07">
        <w:softHyphen/>
        <w:t>ekonomisk kalkyl. Med hänvisning till den sammanfa</w:t>
      </w:r>
      <w:r w:rsidRPr="000A3A07">
        <w:t>t</w:t>
      </w:r>
      <w:r w:rsidRPr="000A3A07">
        <w:t>tande beskrivningen av den monetärise</w:t>
      </w:r>
      <w:r w:rsidRPr="000A3A07">
        <w:softHyphen/>
        <w:t>rade nyttosidan av kalkylen på för</w:t>
      </w:r>
      <w:r w:rsidRPr="000A3A07">
        <w:t>e</w:t>
      </w:r>
      <w:r w:rsidRPr="000A3A07">
        <w:t>gående sida är det framtagandet av storheterna Q</w:t>
      </w:r>
      <w:r w:rsidRPr="000A3A07">
        <w:rPr>
          <w:vertAlign w:val="subscript"/>
        </w:rPr>
        <w:t>0</w:t>
      </w:r>
      <w:r w:rsidRPr="000A3A07">
        <w:t xml:space="preserve"> och Q</w:t>
      </w:r>
      <w:r w:rsidRPr="000A3A07">
        <w:rPr>
          <w:vertAlign w:val="subscript"/>
        </w:rPr>
        <w:t>1</w:t>
      </w:r>
      <w:r w:rsidRPr="000A3A07">
        <w:t>, trafiken i Södra Länkens influensområde före och efter Södra Länkens tillkomst, som är den mest krävande uppgiften, som motiverar konsulthjälp.</w:t>
      </w:r>
    </w:p>
    <w:p w14:paraId="516DD1CB" w14:textId="77777777" w:rsidR="007C11E9" w:rsidRPr="000A3A07" w:rsidRDefault="007C11E9">
      <w:pPr>
        <w:pStyle w:val="Normaltindrag"/>
      </w:pPr>
      <w:r w:rsidRPr="000A3A07">
        <w:t>Det bör påpekas att trafikvolymerna Q</w:t>
      </w:r>
      <w:r w:rsidRPr="000A3A07">
        <w:rPr>
          <w:vertAlign w:val="subscript"/>
        </w:rPr>
        <w:t>0</w:t>
      </w:r>
      <w:r w:rsidRPr="000A3A07">
        <w:t xml:space="preserve"> och Q</w:t>
      </w:r>
      <w:r w:rsidRPr="000A3A07">
        <w:rPr>
          <w:vertAlign w:val="subscript"/>
        </w:rPr>
        <w:t xml:space="preserve">1 </w:t>
      </w:r>
      <w:r w:rsidRPr="000A3A07">
        <w:t>är givna i vektorform; det är inte fråga om endast två tal, utan om en relativt omfattande resmatris, d v s resvolymer i ett stort antal rela</w:t>
      </w:r>
      <w:r w:rsidRPr="000A3A07">
        <w:softHyphen/>
        <w:t>tioner (par av start- och målpunkter).</w:t>
      </w:r>
    </w:p>
    <w:p w14:paraId="7D163907" w14:textId="77777777" w:rsidR="007C11E9" w:rsidRPr="000A3A07" w:rsidRDefault="007C11E9">
      <w:pPr>
        <w:pStyle w:val="Normaltindrag"/>
      </w:pPr>
      <w:r w:rsidRPr="000A3A07">
        <w:t>Det övriga kalkylarbetet är i huvudsak en rak tillämpning av kalkylhan</w:t>
      </w:r>
      <w:r w:rsidRPr="000A3A07">
        <w:t>d</w:t>
      </w:r>
      <w:r w:rsidRPr="000A3A07">
        <w:t>boken, som bör kunna utföras av de flesta välutbildade ekonomer och i</w:t>
      </w:r>
      <w:r w:rsidRPr="000A3A07">
        <w:t>n</w:t>
      </w:r>
      <w:r w:rsidRPr="000A3A07">
        <w:t>genjörer.</w:t>
      </w:r>
    </w:p>
    <w:p w14:paraId="5896AB0A" w14:textId="77777777" w:rsidR="007C11E9" w:rsidRPr="000A3A07" w:rsidRDefault="007C11E9">
      <w:pPr>
        <w:pStyle w:val="Normaltindrag"/>
      </w:pPr>
      <w:r w:rsidRPr="000A3A07">
        <w:t>Mot denna bakgrund är det mycket otillfredsställande att konsulternas tr</w:t>
      </w:r>
      <w:r w:rsidRPr="000A3A07">
        <w:t>a</w:t>
      </w:r>
      <w:r w:rsidRPr="000A3A07">
        <w:t>fikberäkningsresultat är så vitt skilda. Vem skall man lita på? Ligger det i sakens natur att även de mer kortsiktiga effekterna på trafikmönstret av en ny trafikled som Södra Länken är oförutsägbara? Den gängse formen för avra</w:t>
      </w:r>
      <w:r w:rsidRPr="000A3A07">
        <w:t>p</w:t>
      </w:r>
      <w:r w:rsidRPr="000A3A07">
        <w:t>portering som de bägge konsultrapporterna är exempel på gör det nästan omöjligt för utomstående granskare att ordentligt syna i sömmarna det helt avgörande trafikberäkningssteget i kalkylarbetet. Uppdragsgivare som är seriöst intresserade av att in</w:t>
      </w:r>
      <w:r w:rsidRPr="000A3A07">
        <w:softHyphen/>
        <w:t>vesteringsprojektens beräknade nyt</w:t>
      </w:r>
      <w:r w:rsidRPr="000A3A07">
        <w:t>ta och kostnad verkligen får en allsidig genomlysning, och inte endast pliktskyldigast up</w:t>
      </w:r>
      <w:r w:rsidRPr="000A3A07">
        <w:t>p</w:t>
      </w:r>
      <w:r w:rsidRPr="000A3A07">
        <w:t>fyller formella minimikrav på ett samhällsekonomiskt be</w:t>
      </w:r>
      <w:r w:rsidRPr="000A3A07">
        <w:softHyphen/>
        <w:t>slutsunderlag, borde ställa helt andra krav på avrapporteringen av just det som konsulterna "har betalt för". Precis som forskningsråd och liknande organ, bör skattefinansi</w:t>
      </w:r>
      <w:r w:rsidRPr="000A3A07">
        <w:t>e</w:t>
      </w:r>
      <w:r w:rsidRPr="000A3A07">
        <w:t>rade trafik</w:t>
      </w:r>
      <w:r w:rsidRPr="000A3A07">
        <w:softHyphen/>
        <w:t>verk och kommunala trafikkontor känna ansvar för att kunskapsn</w:t>
      </w:r>
      <w:r w:rsidRPr="000A3A07">
        <w:t>i</w:t>
      </w:r>
      <w:r w:rsidRPr="000A3A07">
        <w:t>vån i samhället höjs på detta för medborgarna/skattebetalarnas välfärd vikt</w:t>
      </w:r>
      <w:r w:rsidRPr="000A3A07">
        <w:t>i</w:t>
      </w:r>
      <w:r w:rsidRPr="000A3A07">
        <w:t>ga område.</w:t>
      </w:r>
    </w:p>
    <w:p w14:paraId="272C953F" w14:textId="77777777" w:rsidR="007C11E9" w:rsidRPr="000A3A07" w:rsidRDefault="007C11E9">
      <w:pPr>
        <w:pStyle w:val="Normaltindrag"/>
      </w:pPr>
      <w:r w:rsidRPr="000A3A07">
        <w:t>Huvudtexten i Transek (1998) av</w:t>
      </w:r>
      <w:r w:rsidRPr="000A3A07">
        <w:t>slutas med en jämförelse med den tidig</w:t>
      </w:r>
      <w:r w:rsidRPr="000A3A07">
        <w:t>a</w:t>
      </w:r>
      <w:r w:rsidRPr="000A3A07">
        <w:t>re kalkylen i Inregia (1996). Där konstateras att med hänsyn till olikheterna i kalkylperiod är skillnaden mellan nuvärdena för totalnyttan ännu större än vad som framgår av tabell 2 på sid 8 i föreliggande rapport, d v s om  liv</w:t>
      </w:r>
      <w:r w:rsidRPr="000A3A07">
        <w:t>s</w:t>
      </w:r>
      <w:r w:rsidRPr="000A3A07">
        <w:t xml:space="preserve">längden antas vara 40 år istället för 60 år skulle nyttan med </w:t>
      </w:r>
      <w:r w:rsidRPr="000A3A07">
        <w:softHyphen/>
        <w:t>den i Inregia (1996) tillämpade kalkylmetoden vara omkring noll att jämföra med 6,5 miljarder kr i Transek (1998). Den förklaring till denna väldiga diskrepans som Transek ger sätt</w:t>
      </w:r>
      <w:r w:rsidRPr="000A3A07">
        <w:t>er dock inte fingret på den ömma punkten. Först sägs att "förutsättningarna skiljer sig i en rad avseenden mellan Transeks och Inreg</w:t>
      </w:r>
      <w:r w:rsidRPr="000A3A07">
        <w:t>i</w:t>
      </w:r>
      <w:r w:rsidRPr="000A3A07">
        <w:t>as kalkyl. Det gäller bl a värderingar av tid, olyckor och avgasutsläpp "(Transek 1998, sid 23). Längre fram nämns att också tillämpade effektsa</w:t>
      </w:r>
      <w:r w:rsidRPr="000A3A07">
        <w:t>m</w:t>
      </w:r>
      <w:r w:rsidRPr="000A3A07">
        <w:t xml:space="preserve">band (med vars hjälp </w:t>
      </w:r>
      <w:r w:rsidRPr="000A3A07">
        <w:sym w:font="Symbol" w:char="F044"/>
      </w:r>
      <w:r w:rsidRPr="000A3A07">
        <w:t>q</w:t>
      </w:r>
      <w:r w:rsidRPr="000A3A07">
        <w:rPr>
          <w:vertAlign w:val="subscript"/>
        </w:rPr>
        <w:t>i</w:t>
      </w:r>
      <w:r w:rsidRPr="000A3A07">
        <w:t xml:space="preserve"> och </w:t>
      </w:r>
      <w:r w:rsidRPr="000A3A07">
        <w:sym w:font="Symbol" w:char="F044"/>
      </w:r>
      <w:r w:rsidRPr="000A3A07">
        <w:t>q</w:t>
      </w:r>
      <w:r w:rsidRPr="000A3A07">
        <w:rPr>
          <w:vertAlign w:val="subscript"/>
        </w:rPr>
        <w:t>j</w:t>
      </w:r>
      <w:r w:rsidRPr="000A3A07">
        <w:t xml:space="preserve"> kan räknas fram) är skiljaktiga. </w:t>
      </w:r>
    </w:p>
    <w:p w14:paraId="746659F7" w14:textId="77777777" w:rsidR="007C11E9" w:rsidRPr="000A3A07" w:rsidRDefault="007C11E9">
      <w:pPr>
        <w:pStyle w:val="Normaltindrag"/>
      </w:pPr>
      <w:r w:rsidRPr="000A3A07">
        <w:t>I den föregående analysen i föreliggande rapport har konstaterats att skil</w:t>
      </w:r>
      <w:r w:rsidRPr="000A3A07">
        <w:t>l</w:t>
      </w:r>
      <w:r w:rsidRPr="000A3A07">
        <w:t>naden mellan tilläm</w:t>
      </w:r>
      <w:r w:rsidRPr="000A3A07">
        <w:softHyphen/>
        <w:t>pade à-priser ("värderingar") och effektsamband förkl</w:t>
      </w:r>
      <w:r w:rsidRPr="000A3A07">
        <w:t>a</w:t>
      </w:r>
      <w:r w:rsidRPr="000A3A07">
        <w:t>rar endast en mindre del av totalnytto</w:t>
      </w:r>
      <w:r w:rsidRPr="000A3A07">
        <w:softHyphen/>
        <w:t>diskrepansen. Det är de vitt skilda trafikberäkningsresultaten som är huvudförklaringen. Detta nämns endast i förbig</w:t>
      </w:r>
      <w:r w:rsidRPr="000A3A07">
        <w:t>å</w:t>
      </w:r>
      <w:r w:rsidRPr="000A3A07">
        <w:t>ende i Transek (1998) där det konstaterar att "Inregias beräknade res</w:t>
      </w:r>
      <w:r w:rsidRPr="000A3A07">
        <w:softHyphen/>
        <w:t>tidsvinster är betydligt lägre än Transeks, trots att Inregias tillämpade re</w:t>
      </w:r>
      <w:r w:rsidRPr="000A3A07">
        <w:t>s</w:t>
      </w:r>
      <w:r w:rsidRPr="000A3A07">
        <w:t>tidsvärden ligger över dem som Transek använt. Skillnaderna måste bero på olikheter i resultat av trafikanaly</w:t>
      </w:r>
      <w:r w:rsidRPr="000A3A07">
        <w:softHyphen/>
        <w:t>serna" (Transek 1998, si</w:t>
      </w:r>
      <w:r w:rsidRPr="000A3A07">
        <w:t>d 23).</w:t>
      </w:r>
    </w:p>
    <w:p w14:paraId="15964EE5" w14:textId="77777777" w:rsidR="007C11E9" w:rsidRPr="000A3A07" w:rsidRDefault="007C11E9">
      <w:pPr>
        <w:pStyle w:val="Rubrik2"/>
      </w:pPr>
      <w:bookmarkStart w:id="389" w:name="_Toc496513167"/>
      <w:bookmarkStart w:id="390" w:name="_Toc506341051"/>
      <w:r w:rsidRPr="000A3A07">
        <w:t>Vem har rätt?</w:t>
      </w:r>
      <w:bookmarkEnd w:id="389"/>
      <w:bookmarkEnd w:id="390"/>
    </w:p>
    <w:p w14:paraId="425D6BE7" w14:textId="77777777" w:rsidR="007C11E9" w:rsidRPr="000A3A07" w:rsidRDefault="007C11E9">
      <w:r w:rsidRPr="000A3A07">
        <w:t>Det är oroväckande att två välrenommerade konsulter kommer till helt olika resultat beträf</w:t>
      </w:r>
      <w:r w:rsidRPr="000A3A07">
        <w:softHyphen/>
        <w:t>fande nyttoberäkningen för ett stort vägprojekt. Beklagligtvis går det inte att ge ett klart svar på frågan i rubriken på basis av presentati</w:t>
      </w:r>
      <w:r w:rsidRPr="000A3A07">
        <w:t>o</w:t>
      </w:r>
      <w:r w:rsidRPr="000A3A07">
        <w:t>nen av kalkylerna i de två konsultrapporterna, ef</w:t>
      </w:r>
      <w:r w:rsidRPr="000A3A07">
        <w:softHyphen/>
        <w:t>tersom trafikberäkningsr</w:t>
      </w:r>
      <w:r w:rsidRPr="000A3A07">
        <w:t>e</w:t>
      </w:r>
      <w:r w:rsidRPr="000A3A07">
        <w:t>sultaten är framtagna ur en "svart låda" utan innehållsdeklaration.</w:t>
      </w:r>
    </w:p>
    <w:p w14:paraId="1501460D" w14:textId="77777777" w:rsidR="007C11E9" w:rsidRPr="000A3A07" w:rsidRDefault="007C11E9">
      <w:pPr>
        <w:pStyle w:val="Normaltindrag"/>
      </w:pPr>
      <w:r w:rsidRPr="000A3A07">
        <w:t>Ytligt sett ger Transek (1998) det mer solida intrycket, men helt avgörande är som sagt om Inregias prognos att trafikarbetsökningen blir tre gånger större än vad Transek förutser och att det huvudsakligen beror på resförlän</w:t>
      </w:r>
      <w:r w:rsidRPr="000A3A07">
        <w:t>g</w:t>
      </w:r>
      <w:r w:rsidRPr="000A3A07">
        <w:t>ningar faller in, liksom att hastighetsök</w:t>
      </w:r>
      <w:r w:rsidRPr="000A3A07">
        <w:softHyphen/>
        <w:t>ningen blir mycket mindre än vad Transek beräknat. Dessa olika förutsägelser är den direkta orsaken till att restidsvin</w:t>
      </w:r>
      <w:r w:rsidRPr="000A3A07">
        <w:t>s</w:t>
      </w:r>
      <w:r w:rsidRPr="000A3A07">
        <w:t>terna blir mycket olika i de två kalkylerna, men indirekt också hu</w:t>
      </w:r>
      <w:r w:rsidRPr="000A3A07">
        <w:softHyphen/>
        <w:t>vudorsaken till den väldiga diskrepansen beträffande effekterna på olyc</w:t>
      </w:r>
      <w:r w:rsidRPr="000A3A07">
        <w:t>k</w:t>
      </w:r>
      <w:r w:rsidRPr="000A3A07">
        <w:t>skostnaderna och avgaskostnaderna.</w:t>
      </w:r>
    </w:p>
    <w:p w14:paraId="6CE91EFC" w14:textId="77777777" w:rsidR="007C11E9" w:rsidRPr="000A3A07" w:rsidRDefault="007C11E9">
      <w:pPr>
        <w:pStyle w:val="Rubrik2"/>
      </w:pPr>
      <w:bookmarkStart w:id="391" w:name="_Toc496513168"/>
      <w:bookmarkStart w:id="392" w:name="_Toc506341052"/>
      <w:r w:rsidRPr="000A3A07">
        <w:t>Två källor till överskattning av nyttan i Transek (1998)</w:t>
      </w:r>
      <w:bookmarkEnd w:id="391"/>
      <w:bookmarkEnd w:id="392"/>
    </w:p>
    <w:p w14:paraId="4656A794" w14:textId="77777777" w:rsidR="007C11E9" w:rsidRPr="000A3A07" w:rsidRDefault="007C11E9">
      <w:r w:rsidRPr="000A3A07">
        <w:t>Antag att trafikberäkningsresultaten i Transek (1998) har kommit sanningen nära. Skulle man i så fall kunna acceptera det samhällsekonomiska kalkylr</w:t>
      </w:r>
      <w:r w:rsidRPr="000A3A07">
        <w:t>e</w:t>
      </w:r>
      <w:r w:rsidRPr="000A3A07">
        <w:t>sultatet som framkommit i den ut</w:t>
      </w:r>
      <w:r w:rsidRPr="000A3A07">
        <w:softHyphen/>
        <w:t>redningen? Enligt min åsikt skulle i så fall uppskattningarna på nyttosidan vara acceptabla med följande två reservati</w:t>
      </w:r>
      <w:r w:rsidRPr="000A3A07">
        <w:t>o</w:t>
      </w:r>
      <w:r w:rsidRPr="000A3A07">
        <w:t>ner:</w:t>
      </w:r>
    </w:p>
    <w:p w14:paraId="0567A053" w14:textId="77777777" w:rsidR="007C11E9" w:rsidRPr="000A3A07" w:rsidRDefault="007C11E9">
      <w:pPr>
        <w:numPr>
          <w:ilvl w:val="0"/>
          <w:numId w:val="150"/>
        </w:numPr>
      </w:pPr>
      <w:r w:rsidRPr="000A3A07">
        <w:t>Nivån för olyckskostnaderna i utgångsläget är som påpekats i avsnitt 4.2.2 orealistiskt hög, vilket gör att en viss procentuell minskning av olycksrisken övervärderas.</w:t>
      </w:r>
    </w:p>
    <w:p w14:paraId="737E5588" w14:textId="77777777" w:rsidR="007C11E9" w:rsidRPr="000A3A07" w:rsidRDefault="007C11E9">
      <w:pPr>
        <w:numPr>
          <w:ilvl w:val="0"/>
          <w:numId w:val="150"/>
        </w:numPr>
      </w:pPr>
      <w:r w:rsidRPr="000A3A07">
        <w:t>Den positiva effekten på kvarvarande trafik på de länkar i vägnätet som är substitut till Södra Länken kommer med det scenario som antas i Transek (1998) att förstärkas av den prognostiserade autonoma trafi</w:t>
      </w:r>
      <w:r w:rsidRPr="000A3A07">
        <w:t>k</w:t>
      </w:r>
      <w:r w:rsidRPr="000A3A07">
        <w:t>tillväxten (d v s den trafikökning som sker på grund av befolkningsö</w:t>
      </w:r>
      <w:r w:rsidRPr="000A3A07">
        <w:t>k</w:t>
      </w:r>
      <w:r w:rsidRPr="000A3A07">
        <w:t>ningen, samt ökat bilinnehav per invånare), men frågan är om det bör tas hänsyn till i kalkylen?</w:t>
      </w:r>
    </w:p>
    <w:p w14:paraId="50A44A40" w14:textId="77777777" w:rsidR="007C11E9" w:rsidRPr="000A3A07" w:rsidRDefault="007C11E9">
      <w:r w:rsidRPr="000A3A07">
        <w:t>I jämförelsen med tidigare kalkyl framhåller Transek att substitutslänkse</w:t>
      </w:r>
      <w:r w:rsidRPr="000A3A07">
        <w:t>f</w:t>
      </w:r>
      <w:r w:rsidRPr="000A3A07">
        <w:t>fektens växande betydelse över tiden är en huvudorsak till diskrepansen mellan den beräknade trafikantnyttan i de två kalkylerna. Transek påpekar att Inregia (1996) har utgått från nyttan per fordonskilo</w:t>
      </w:r>
      <w:r w:rsidRPr="000A3A07">
        <w:softHyphen/>
        <w:t>meter det antagna öp</w:t>
      </w:r>
      <w:r w:rsidRPr="000A3A07">
        <w:t>p</w:t>
      </w:r>
      <w:r w:rsidRPr="000A3A07">
        <w:t>ningsåret 2002 och förutsatt att den nyttan kommer att vara densamma fra</w:t>
      </w:r>
      <w:r w:rsidRPr="000A3A07">
        <w:t>m</w:t>
      </w:r>
      <w:r w:rsidRPr="000A3A07">
        <w:t>över. Därav följer att den totala årliga nyttan kommer att öka endast  i pr</w:t>
      </w:r>
      <w:r w:rsidRPr="000A3A07">
        <w:t>o</w:t>
      </w:r>
      <w:r w:rsidRPr="000A3A07">
        <w:t>portion till den autonomt ökande biltrafiken.</w:t>
      </w:r>
    </w:p>
    <w:p w14:paraId="49C15F3A" w14:textId="77777777" w:rsidR="007C11E9" w:rsidRPr="000A3A07" w:rsidRDefault="007C11E9">
      <w:pPr>
        <w:pStyle w:val="Normaltindrag"/>
      </w:pPr>
      <w:r w:rsidRPr="000A3A07">
        <w:t>I Transek (1998) däremot har separata trafikberäkningar gjorts för åren 2005, 2015 och 2030</w:t>
      </w:r>
      <w:r w:rsidRPr="000A3A07">
        <w:t xml:space="preserve"> för att ta hänsyn till att den successivt ökande trafiken kommer att kunna skapa nya trånga sektioner i gatusystemet, som gör att värdet av Södra Länken ökar eftersom skillnaden mellan trafikantkostnaden per fordonskilometer med och utan Södra Länken ökar med tiden.</w:t>
      </w:r>
    </w:p>
    <w:p w14:paraId="1A6F1614" w14:textId="77777777" w:rsidR="007C11E9" w:rsidRPr="000A3A07" w:rsidRDefault="007C11E9">
      <w:pPr>
        <w:pStyle w:val="Normaltindrag"/>
      </w:pPr>
      <w:r w:rsidRPr="000A3A07">
        <w:t>Vilket räknesätt är det mest ändamålsenliga? Detta är ingalunda självklart. Vore den reella beslutssituationen rimligt lika den som Transek (1998) utgått ifrån, torde Transeks sätt att räkna vara att föredra. Så är det dock troligen inte. Om de</w:t>
      </w:r>
      <w:r w:rsidRPr="000A3A07">
        <w:t>t visar sig att svårare flaskhalsar i systemet faktiskt uppkommer, är det troligt att idag inte inplanerade åtgärder kommer att vid</w:t>
      </w:r>
      <w:r w:rsidRPr="000A3A07">
        <w:softHyphen/>
        <w:t>tas för att lösa problemen, exempelvis andra transportinvesteringar än de som var inklud</w:t>
      </w:r>
      <w:r w:rsidRPr="000A3A07">
        <w:t>e</w:t>
      </w:r>
      <w:r w:rsidRPr="000A3A07">
        <w:t xml:space="preserve">rade i Dennispaketet. Resonemanget i kapitlet om "Jämförelse med tidigare kalkyl" (sid 23-25 i Transek, 1998) påminner i detta stycke om följande, vanliga förbiseende. </w:t>
      </w:r>
    </w:p>
    <w:p w14:paraId="32AEC739" w14:textId="77777777" w:rsidR="007C11E9" w:rsidRPr="000A3A07" w:rsidRDefault="007C11E9">
      <w:pPr>
        <w:pStyle w:val="Normaltindrag"/>
      </w:pPr>
      <w:r w:rsidRPr="000A3A07">
        <w:t>Så här kan resone</w:t>
      </w:r>
      <w:r w:rsidRPr="000A3A07">
        <w:softHyphen/>
        <w:t>manget gå "Låt oss genomföra projekt A nu. Visserligen når den årliga nyttan inte upp till kapitalkostnaden per år ännu på ett bra tag, men om tio eller tjugo år kommer trafiken att ha vuxit så mycket att den årliga nyttan klart överstiger kapitalkostnaden, vilket med 40 års pla</w:t>
      </w:r>
      <w:r w:rsidRPr="000A3A07">
        <w:softHyphen/>
        <w:t xml:space="preserve">neringshorisont gör att nettonuvärdet blir positivt". </w:t>
      </w:r>
    </w:p>
    <w:p w14:paraId="761D93E5" w14:textId="77777777" w:rsidR="007C11E9" w:rsidRPr="000A3A07" w:rsidRDefault="007C11E9">
      <w:pPr>
        <w:pStyle w:val="Normaltindrag"/>
      </w:pPr>
      <w:r w:rsidRPr="000A3A07">
        <w:t xml:space="preserve">Detta är ett felaktigt resonemang. Det rätta i denna hypotetiska situation vore att </w:t>
      </w:r>
      <w:r w:rsidRPr="000A3A07">
        <w:rPr>
          <w:i/>
        </w:rPr>
        <w:t>skjuta på</w:t>
      </w:r>
      <w:r w:rsidRPr="000A3A07">
        <w:t xml:space="preserve"> den ifrågavarande investeringen åtminstone så långt fram i tiden att årsnyttan överstiger investeringskostnadsbesparingen av att vänta ytterli</w:t>
      </w:r>
      <w:r w:rsidRPr="000A3A07">
        <w:softHyphen/>
        <w:t>gare ett år med projektet. Särskilt i storstadstrafik finns starka skäl för att som jämförelsealternativ till att genomföra projekt A år 1 ta alternativet att genomföra det vid ett senare tillfälle (snarare än aldrig, vilket är det ko</w:t>
      </w:r>
      <w:r w:rsidRPr="000A3A07">
        <w:t>n</w:t>
      </w:r>
      <w:r w:rsidRPr="000A3A07">
        <w:t>ve</w:t>
      </w:r>
      <w:r w:rsidRPr="000A3A07">
        <w:t>n</w:t>
      </w:r>
      <w:r w:rsidRPr="000A3A07">
        <w:t xml:space="preserve">tionella 0-alternativet). </w:t>
      </w:r>
    </w:p>
    <w:p w14:paraId="67BFAF40" w14:textId="77777777" w:rsidR="007C11E9" w:rsidRPr="000A3A07" w:rsidRDefault="007C11E9">
      <w:pPr>
        <w:pStyle w:val="Normaltindrag"/>
      </w:pPr>
      <w:r w:rsidRPr="000A3A07">
        <w:t>Mot denna bakgrund är förfarandet i Inregia (1996) fullt rimligt, inte för att prognosen av ny</w:t>
      </w:r>
      <w:r w:rsidRPr="000A3A07">
        <w:t>ttan fram till planeringshorisonten är helt trovärdig, utan för att man egentligen har begrän</w:t>
      </w:r>
      <w:r w:rsidRPr="000A3A07">
        <w:softHyphen/>
        <w:t>sat sig till att bedöma "första årets avkastning", vilket ofta är en realistisk ambition. En god tumregel är att om första årets avkastning inte ens överstiger kalkylräntan, kan projektet avfö</w:t>
      </w:r>
      <w:r w:rsidRPr="000A3A07">
        <w:softHyphen/>
        <w:t>ras från di</w:t>
      </w:r>
      <w:r w:rsidRPr="000A3A07">
        <w:t>s</w:t>
      </w:r>
      <w:r w:rsidRPr="000A3A07">
        <w:t>kussionen i den aktuella planeringsomgången. Detta är fallet för Södra Lä</w:t>
      </w:r>
      <w:r w:rsidRPr="000A3A07">
        <w:t>n</w:t>
      </w:r>
      <w:r w:rsidRPr="000A3A07">
        <w:t>ken, såväl enligt Inregia (1996) som Transek (1998).</w:t>
      </w:r>
    </w:p>
    <w:p w14:paraId="3FB31C37" w14:textId="77777777" w:rsidR="007C11E9" w:rsidRPr="000A3A07" w:rsidRDefault="007C11E9">
      <w:pPr>
        <w:pStyle w:val="Rubrik2"/>
      </w:pPr>
      <w:bookmarkStart w:id="393" w:name="_Toc496513169"/>
      <w:bookmarkStart w:id="394" w:name="_Toc506341053"/>
      <w:r w:rsidRPr="000A3A07">
        <w:t>Slutord</w:t>
      </w:r>
      <w:bookmarkEnd w:id="393"/>
      <w:bookmarkEnd w:id="394"/>
    </w:p>
    <w:p w14:paraId="554E4E62" w14:textId="77777777" w:rsidR="007C11E9" w:rsidRPr="000A3A07" w:rsidRDefault="007C11E9">
      <w:r w:rsidRPr="000A3A07">
        <w:t>Denna granskning av de samhällsekonomiska kalkylerna för Södra Länken i Inregia (1996) och Transek (1998) har till stor del ägnats frågan, varför de två konsulterna kommit fram till helt olika resultat för den totala nyttan av Södra Länken? För balansens skull bör nu åter framhållas att detta för o</w:t>
      </w:r>
      <w:r w:rsidRPr="000A3A07">
        <w:t>b</w:t>
      </w:r>
      <w:r w:rsidRPr="000A3A07">
        <w:t>jektanalysens allmänna trovärdighet beklagliga förhållande inte änd</w:t>
      </w:r>
      <w:r w:rsidRPr="000A3A07">
        <w:softHyphen/>
        <w:t>rar det övergripande faktum att Södra Länken är en samhällsekonomiskt mycket olönsam in</w:t>
      </w:r>
      <w:r w:rsidRPr="000A3A07">
        <w:softHyphen/>
        <w:t>vestering.</w:t>
      </w:r>
    </w:p>
    <w:p w14:paraId="3821EEBA" w14:textId="77777777" w:rsidR="007C11E9" w:rsidRPr="000A3A07" w:rsidRDefault="007C11E9">
      <w:pPr>
        <w:pStyle w:val="Normaltindrag"/>
      </w:pPr>
      <w:r w:rsidRPr="000A3A07">
        <w:t>Det bör också åter påpekas att dessa två utredningar inte kan sägas utgöra delar av beslutsun</w:t>
      </w:r>
      <w:r w:rsidRPr="000A3A07">
        <w:softHyphen/>
        <w:t>derlaget för Stockholms största väginvestering sedan E</w:t>
      </w:r>
      <w:r w:rsidRPr="000A3A07">
        <w:t>s</w:t>
      </w:r>
      <w:r w:rsidRPr="000A3A07">
        <w:t>singeleden. Det är nästan pinsamt att erinra om att när Södra Länken lanser</w:t>
      </w:r>
      <w:r w:rsidRPr="000A3A07">
        <w:t>a</w:t>
      </w:r>
      <w:r w:rsidRPr="000A3A07">
        <w:t>des som "flaggskeppet" i det s k Inespaketet, som re</w:t>
      </w:r>
      <w:r w:rsidRPr="000A3A07">
        <w:softHyphen/>
        <w:t>geringen rafsade ihop efter det havererade Dennispaketet, fanns den samhällsekonomiska kalkylen i Inregia (1996), framtagen på uppdrag av Mats Hults kansli i stadshuset, att tillgå, och den kalkylen hade det chockartade beskedet att ge, att nyttan av 10-miljardersprojektet var lika med noll!</w:t>
      </w:r>
    </w:p>
    <w:p w14:paraId="08D02958" w14:textId="77777777" w:rsidR="007C11E9" w:rsidRPr="000A3A07" w:rsidRDefault="007C11E9">
      <w:pPr>
        <w:pStyle w:val="Normaltindrag"/>
      </w:pPr>
      <w:r w:rsidRPr="000A3A07">
        <w:t>Den frågeställning som ett uppfölj</w:t>
      </w:r>
      <w:r w:rsidRPr="000A3A07">
        <w:t>ande forskningsprojekt om beslutspr</w:t>
      </w:r>
      <w:r w:rsidRPr="000A3A07">
        <w:t>o</w:t>
      </w:r>
      <w:r w:rsidRPr="000A3A07">
        <w:t>cessen borde ta sig an, är att försöka få de tongivande aktöre</w:t>
      </w:r>
      <w:r w:rsidRPr="000A3A07">
        <w:t>r</w:t>
      </w:r>
      <w:r w:rsidRPr="000A3A07">
        <w:t xml:space="preserve">na/beslutsfattarna att sätta ett kryss i någon av följande tre rutor. </w:t>
      </w:r>
    </w:p>
    <w:p w14:paraId="34CECB4B" w14:textId="77777777" w:rsidR="007C11E9" w:rsidRPr="000A3A07" w:rsidRDefault="007C11E9">
      <w:r w:rsidRPr="000A3A07">
        <w:sym w:font="Monotype Sorts" w:char="F06F"/>
      </w:r>
      <w:r w:rsidRPr="000A3A07">
        <w:t xml:space="preserve"> Jag kände inte till resultatet av Inregias kalkyl</w:t>
      </w:r>
    </w:p>
    <w:p w14:paraId="7C59CA2B" w14:textId="77777777" w:rsidR="007C11E9" w:rsidRPr="000A3A07" w:rsidRDefault="007C11E9">
      <w:r w:rsidRPr="000A3A07">
        <w:sym w:font="Monotype Sorts" w:char="F06F"/>
      </w:r>
      <w:r w:rsidRPr="000A3A07">
        <w:t xml:space="preserve"> Jag kände till resultatet av Inregias kalkyl, men struntade i det</w:t>
      </w:r>
    </w:p>
    <w:p w14:paraId="1BADD03B" w14:textId="77777777" w:rsidR="007C11E9" w:rsidRPr="000A3A07" w:rsidRDefault="007C11E9">
      <w:r w:rsidRPr="000A3A07">
        <w:sym w:font="Monotype Sorts" w:char="F06F"/>
      </w:r>
      <w:r w:rsidRPr="000A3A07">
        <w:t xml:space="preserve"> Jag kände till resultatet av Inregias kalkyl, men hade föga tilltro till det</w:t>
      </w:r>
    </w:p>
    <w:p w14:paraId="761A1D9B" w14:textId="77777777" w:rsidR="007C11E9" w:rsidRPr="000A3A07" w:rsidRDefault="007C11E9">
      <w:r w:rsidRPr="000A3A07">
        <w:t>Att en ny kalkyl kom fram två år senare (Transek, 1998), när beslutsproce</w:t>
      </w:r>
      <w:r w:rsidRPr="000A3A07">
        <w:t>s</w:t>
      </w:r>
      <w:r w:rsidRPr="000A3A07">
        <w:t>sen i praktiken redan var över, som visade att det inte var riktigt så illa som framgick av Inregia (1996), utan nyttan torde uppgå till åtminstone hälften av kostnaden, är inte särskilt trösterikt.</w:t>
      </w:r>
    </w:p>
    <w:p w14:paraId="62EEA9A9" w14:textId="77777777" w:rsidR="007C11E9" w:rsidRPr="000A3A07" w:rsidRDefault="007C11E9">
      <w:pPr>
        <w:pStyle w:val="Normaltindrag"/>
      </w:pPr>
      <w:r w:rsidRPr="000A3A07">
        <w:t>Det är däremot en uppmaning om skärpning till utövarna av objektanal</w:t>
      </w:r>
      <w:r w:rsidRPr="000A3A07">
        <w:t>y</w:t>
      </w:r>
      <w:r w:rsidRPr="000A3A07">
        <w:t xml:space="preserve">sens ädla konst: Så här får det inte vara; trafikberäkningarna måste redovisas öppet för att möjliggöra utvärdering och ett successivt kunskapslyft. </w:t>
      </w:r>
    </w:p>
    <w:p w14:paraId="78EF9707" w14:textId="77777777" w:rsidR="007C11E9" w:rsidRPr="000A3A07" w:rsidRDefault="007C11E9">
      <w:pPr>
        <w:pStyle w:val="RubrikUtanNr"/>
      </w:pPr>
      <w:r w:rsidRPr="000A3A07">
        <w:br w:type="page"/>
      </w:r>
      <w:bookmarkStart w:id="395" w:name="_Toc496513170"/>
      <w:bookmarkStart w:id="396" w:name="_Toc506341054"/>
      <w:r w:rsidRPr="000A3A07">
        <w:t>Referenser</w:t>
      </w:r>
      <w:bookmarkEnd w:id="395"/>
      <w:bookmarkEnd w:id="396"/>
    </w:p>
    <w:p w14:paraId="1A81D132" w14:textId="77777777" w:rsidR="007C11E9" w:rsidRPr="000A3A07" w:rsidRDefault="007C11E9">
      <w:pPr>
        <w:tabs>
          <w:tab w:val="left" w:pos="284"/>
        </w:tabs>
      </w:pPr>
      <w:r w:rsidRPr="000A3A07">
        <w:rPr>
          <w:i/>
        </w:rPr>
        <w:t>Inregia</w:t>
      </w:r>
      <w:r w:rsidRPr="000A3A07">
        <w:t xml:space="preserve"> (1996), "Objektanalys för Södra Länken". Uppdrag av Finanskonto-</w:t>
      </w:r>
      <w:r w:rsidRPr="000A3A07">
        <w:tab/>
        <w:t>ret, Stockholms Stad</w:t>
      </w:r>
    </w:p>
    <w:p w14:paraId="01432324" w14:textId="77777777" w:rsidR="007C11E9" w:rsidRPr="000A3A07" w:rsidRDefault="007C11E9">
      <w:pPr>
        <w:tabs>
          <w:tab w:val="left" w:pos="284"/>
        </w:tabs>
      </w:pPr>
      <w:r w:rsidRPr="000A3A07">
        <w:rPr>
          <w:i/>
        </w:rPr>
        <w:t>Inregia, Transek och Temaplan</w:t>
      </w:r>
      <w:r w:rsidRPr="000A3A07">
        <w:t xml:space="preserve"> (1994), "Dennisöverenskommelsens effekter </w:t>
      </w:r>
      <w:r w:rsidRPr="000A3A07">
        <w:tab/>
        <w:t xml:space="preserve">– Samhällsnytta". Uppdrag av Banverket, Stockholms Läns Landsting, </w:t>
      </w:r>
      <w:r w:rsidRPr="000A3A07">
        <w:tab/>
        <w:t>Sto</w:t>
      </w:r>
      <w:r w:rsidRPr="000A3A07">
        <w:t>r</w:t>
      </w:r>
      <w:r w:rsidRPr="000A3A07">
        <w:t>stockholms Lokaltrafik, Stockholms stad, Vägverket</w:t>
      </w:r>
    </w:p>
    <w:p w14:paraId="07A7C37F" w14:textId="77777777" w:rsidR="007C11E9" w:rsidRPr="000A3A07" w:rsidRDefault="007C11E9">
      <w:pPr>
        <w:tabs>
          <w:tab w:val="left" w:pos="284"/>
        </w:tabs>
      </w:pPr>
      <w:r w:rsidRPr="000A3A07">
        <w:rPr>
          <w:i/>
        </w:rPr>
        <w:t>Jansson, Kjell</w:t>
      </w:r>
      <w:r w:rsidRPr="000A3A07">
        <w:t xml:space="preserve"> (1994), "Dennispaketet – är det lönsamt?" KFB</w:t>
      </w:r>
    </w:p>
    <w:p w14:paraId="4A038115" w14:textId="77777777" w:rsidR="007C11E9" w:rsidRPr="000A3A07" w:rsidRDefault="007C11E9">
      <w:pPr>
        <w:tabs>
          <w:tab w:val="left" w:pos="284"/>
        </w:tabs>
      </w:pPr>
      <w:r w:rsidRPr="000A3A07">
        <w:rPr>
          <w:i/>
        </w:rPr>
        <w:t>Länsstyrelsen i Stockholms Län</w:t>
      </w:r>
      <w:r w:rsidRPr="000A3A07">
        <w:t xml:space="preserve"> (1990), "Samhällsekonomiska aspekter på </w:t>
      </w:r>
      <w:r w:rsidRPr="000A3A07">
        <w:tab/>
        <w:t>Dennispaketet – Underlag till Dennisförhandlingen". Rapport nr 15</w:t>
      </w:r>
    </w:p>
    <w:p w14:paraId="037BCC7A" w14:textId="77777777" w:rsidR="007C11E9" w:rsidRPr="000A3A07" w:rsidRDefault="007C11E9">
      <w:pPr>
        <w:tabs>
          <w:tab w:val="left" w:pos="284"/>
        </w:tabs>
      </w:pPr>
      <w:r w:rsidRPr="000A3A07">
        <w:rPr>
          <w:i/>
        </w:rPr>
        <w:t>Svenska Kommunförbundet</w:t>
      </w:r>
      <w:r w:rsidRPr="000A3A07">
        <w:t xml:space="preserve"> (1999), "Olycksboken"</w:t>
      </w:r>
    </w:p>
    <w:p w14:paraId="3F6004D7" w14:textId="77777777" w:rsidR="007C11E9" w:rsidRPr="000A3A07" w:rsidRDefault="007C11E9">
      <w:pPr>
        <w:tabs>
          <w:tab w:val="left" w:pos="284"/>
        </w:tabs>
      </w:pPr>
      <w:r w:rsidRPr="000A3A07">
        <w:rPr>
          <w:i/>
        </w:rPr>
        <w:t>Transek</w:t>
      </w:r>
      <w:r w:rsidRPr="000A3A07">
        <w:t xml:space="preserve"> (1998), "Södra Länken – Samhällsekonomisk analys", 17 aug. Upp-</w:t>
      </w:r>
      <w:r w:rsidRPr="000A3A07">
        <w:tab/>
        <w:t>drag av Vägverket Region Stockholm</w:t>
      </w:r>
    </w:p>
    <w:p w14:paraId="61A67F80" w14:textId="77777777" w:rsidR="007C11E9" w:rsidRPr="000A3A07" w:rsidRDefault="007C11E9">
      <w:pPr>
        <w:pStyle w:val="Normaltindrag"/>
      </w:pPr>
    </w:p>
    <w:p w14:paraId="4B7631B5" w14:textId="77777777" w:rsidR="007C11E9" w:rsidRPr="000A3A07" w:rsidRDefault="007C11E9">
      <w:pPr>
        <w:pStyle w:val="Normaltindrag"/>
        <w:sectPr w:rsidR="00000000" w:rsidRPr="000A3A07">
          <w:headerReference w:type="default" r:id="rId69"/>
          <w:footerReference w:type="default" r:id="rId70"/>
          <w:footnotePr>
            <w:numRestart w:val="eachSect"/>
          </w:footnotePr>
          <w:endnotePr>
            <w:numRestart w:val="eachSect"/>
          </w:endnotePr>
          <w:pgSz w:w="11906" w:h="16838" w:code="9"/>
          <w:pgMar w:top="567" w:right="4876" w:bottom="4508" w:left="1134" w:header="227" w:footer="227" w:gutter="0"/>
          <w:cols w:space="720"/>
        </w:sectPr>
      </w:pPr>
    </w:p>
    <w:p w14:paraId="105DCF4A" w14:textId="77777777" w:rsidR="007C11E9" w:rsidRPr="000A3A07" w:rsidRDefault="007C11E9">
      <w:pPr>
        <w:pStyle w:val="Normaltindrag"/>
      </w:pPr>
    </w:p>
    <w:p w14:paraId="79E5F7E3" w14:textId="77777777" w:rsidR="007C11E9" w:rsidRPr="000A3A07" w:rsidRDefault="007C11E9">
      <w:pPr>
        <w:pStyle w:val="Normaltindrag"/>
      </w:pPr>
    </w:p>
    <w:p w14:paraId="0663AD8A" w14:textId="77777777" w:rsidR="007C11E9" w:rsidRPr="000A3A07" w:rsidRDefault="007C11E9">
      <w:pPr>
        <w:pStyle w:val="Normaltindrag"/>
        <w:sectPr w:rsidR="00000000" w:rsidRPr="000A3A07">
          <w:headerReference w:type="default" r:id="rId71"/>
          <w:footerReference w:type="default" r:id="rId72"/>
          <w:footnotePr>
            <w:numRestart w:val="eachSect"/>
          </w:footnotePr>
          <w:endnotePr>
            <w:numRestart w:val="eachSect"/>
          </w:endnotePr>
          <w:pgSz w:w="11906" w:h="16838" w:code="9"/>
          <w:pgMar w:top="567" w:right="4876" w:bottom="4508" w:left="1134" w:header="227" w:footer="227" w:gutter="0"/>
          <w:cols w:space="720"/>
        </w:sectPr>
      </w:pPr>
    </w:p>
    <w:p w14:paraId="3905342A" w14:textId="77777777" w:rsidR="007C11E9" w:rsidRPr="000A3A07" w:rsidRDefault="007C11E9">
      <w:pPr>
        <w:pStyle w:val="Rubrik1"/>
        <w:numPr>
          <w:ilvl w:val="0"/>
          <w:numId w:val="179"/>
        </w:numPr>
        <w:ind w:left="357" w:hanging="357"/>
      </w:pPr>
      <w:bookmarkStart w:id="397" w:name="_Toc504203750"/>
      <w:bookmarkStart w:id="398" w:name="_Toc506341055"/>
      <w:r w:rsidRPr="000A3A07">
        <w:t>Sammanfattning av remissyttranden</w:t>
      </w:r>
      <w:bookmarkEnd w:id="397"/>
      <w:bookmarkEnd w:id="398"/>
    </w:p>
    <w:p w14:paraId="17AF0F78" w14:textId="77777777" w:rsidR="007C11E9" w:rsidRPr="000A3A07" w:rsidRDefault="007C11E9">
      <w:pPr>
        <w:pStyle w:val="Rubrik2"/>
      </w:pPr>
      <w:bookmarkStart w:id="399" w:name="_Toc504203751"/>
      <w:bookmarkStart w:id="400" w:name="_Toc506341056"/>
      <w:r w:rsidRPr="000A3A07">
        <w:t>Remissinstanser</w:t>
      </w:r>
      <w:bookmarkEnd w:id="399"/>
      <w:bookmarkEnd w:id="400"/>
    </w:p>
    <w:p w14:paraId="31F12AC3" w14:textId="77777777" w:rsidR="007C11E9" w:rsidRPr="000A3A07" w:rsidRDefault="007C11E9">
      <w:pPr>
        <w:rPr>
          <w:i/>
        </w:rPr>
      </w:pPr>
      <w:r w:rsidRPr="000A3A07">
        <w:t xml:space="preserve">Följande remissinstanser har beretts tillfälle att yttra sig över rapporten </w:t>
      </w:r>
      <w:r w:rsidRPr="000A3A07">
        <w:rPr>
          <w:i/>
        </w:rPr>
        <w:t>Nya vägar till vägar och järnvägar?</w:t>
      </w:r>
      <w:r w:rsidRPr="000A3A07">
        <w:t>: Regeringskansliet (Finansdepartementet och Näringsdepartementet), Statskontoret, Riksgäldskontoret, Ekonomisty</w:t>
      </w:r>
      <w:r w:rsidRPr="000A3A07">
        <w:t>r</w:t>
      </w:r>
      <w:r w:rsidRPr="000A3A07">
        <w:t>ningsverket, Banverket, Vägverket, Väg- och transportforskningsinstitutet (VTI), Kommunikationsforskningsberedningen (KFB), Statens institut för kommunikationsanalys (SIKA), Svenska Kommunförbundet, Landstingsfö</w:t>
      </w:r>
      <w:r w:rsidRPr="000A3A07">
        <w:t>r</w:t>
      </w:r>
      <w:r w:rsidRPr="000A3A07">
        <w:t>bundet, Region Skåne, Stockholms stad, Malmö stad, Nacka kommun, Värmdö kommun, Örnsköldsviks kommun, Kramfors kommun, Umeå ko</w:t>
      </w:r>
      <w:r w:rsidRPr="000A3A07">
        <w:t>m</w:t>
      </w:r>
      <w:r w:rsidRPr="000A3A07">
        <w:t>mun, Nordmalings kommun o</w:t>
      </w:r>
      <w:r w:rsidRPr="000A3A07">
        <w:t xml:space="preserve">ch Botniabanegruppen. Svar har inkommit från samtliga instanser, utom Regeringskansliet och Region Skåne. Svenska Kommunförbundet har avstått från att yttra sig. Revisorerna har också fått synpunkter från Svenska Naturskyddsföreningen och Nämnden för offentlig upphandling (NOU). </w:t>
      </w:r>
    </w:p>
    <w:p w14:paraId="0C024F36" w14:textId="77777777" w:rsidR="007C11E9" w:rsidRPr="000A3A07" w:rsidRDefault="007C11E9">
      <w:pPr>
        <w:pStyle w:val="Rubrik2"/>
      </w:pPr>
      <w:bookmarkStart w:id="401" w:name="_Toc504203752"/>
      <w:bookmarkStart w:id="402" w:name="_Toc506341057"/>
      <w:r w:rsidRPr="000A3A07">
        <w:t>Allmänna synpunkter på granskningen</w:t>
      </w:r>
      <w:bookmarkEnd w:id="401"/>
      <w:bookmarkEnd w:id="402"/>
    </w:p>
    <w:p w14:paraId="4FA59253" w14:textId="77777777" w:rsidR="007C11E9" w:rsidRPr="000A3A07" w:rsidRDefault="007C11E9">
      <w:r w:rsidRPr="000A3A07">
        <w:rPr>
          <w:i/>
        </w:rPr>
        <w:t xml:space="preserve">Statskontoret </w:t>
      </w:r>
      <w:r w:rsidRPr="000A3A07">
        <w:t>delar revisorernas bedömning att det finns brister såväl i plan</w:t>
      </w:r>
      <w:r w:rsidRPr="000A3A07">
        <w:t>e</w:t>
      </w:r>
      <w:r w:rsidRPr="000A3A07">
        <w:t>ringsprocessen vid infrastrukturinvesteringar som i det underlag som ligger till grund för prioritering och beslut om olika investeringar. Statskontoret tillstyrker därför revisorernas förslag. Enligt Statskontoret bör de åtgärder som revisorerna föreslår inte bara avse alternativfinansierade investeringar, utan alla former av infrastrukturinvesteringar.</w:t>
      </w:r>
    </w:p>
    <w:p w14:paraId="1DEB4D7A" w14:textId="77777777" w:rsidR="007C11E9" w:rsidRPr="000A3A07" w:rsidRDefault="007C11E9">
      <w:pPr>
        <w:pStyle w:val="Normaltindrag"/>
      </w:pPr>
      <w:r w:rsidRPr="000A3A07">
        <w:rPr>
          <w:i/>
        </w:rPr>
        <w:t xml:space="preserve">Riksgäldskontoret </w:t>
      </w:r>
      <w:r w:rsidRPr="000A3A07">
        <w:t>instämmer i allt väsentligt i de bedömningar och stäl</w:t>
      </w:r>
      <w:r w:rsidRPr="000A3A07">
        <w:t>l</w:t>
      </w:r>
      <w:r w:rsidRPr="000A3A07">
        <w:t>ningstaganden som revisorerna gör.</w:t>
      </w:r>
    </w:p>
    <w:p w14:paraId="6707F432" w14:textId="77777777" w:rsidR="007C11E9" w:rsidRPr="000A3A07" w:rsidRDefault="007C11E9">
      <w:pPr>
        <w:pStyle w:val="Normaltindrag"/>
      </w:pPr>
      <w:r w:rsidRPr="000A3A07">
        <w:rPr>
          <w:i/>
        </w:rPr>
        <w:t xml:space="preserve">Banverket </w:t>
      </w:r>
      <w:r w:rsidRPr="000A3A07">
        <w:t>anser att rapporten ger en bra redovisning av bl.a. planering</w:t>
      </w:r>
      <w:r w:rsidRPr="000A3A07">
        <w:t>s</w:t>
      </w:r>
      <w:r w:rsidRPr="000A3A07">
        <w:t>processen, olika finansieringsformer och deras konsekvenser samt olika riksdags- och regeringsbeslut i frågan.</w:t>
      </w:r>
    </w:p>
    <w:p w14:paraId="373008D1" w14:textId="77777777" w:rsidR="007C11E9" w:rsidRPr="000A3A07" w:rsidRDefault="007C11E9">
      <w:pPr>
        <w:pStyle w:val="Normaltindrag"/>
      </w:pPr>
      <w:r w:rsidRPr="000A3A07">
        <w:rPr>
          <w:i/>
        </w:rPr>
        <w:t xml:space="preserve">Väg- och transportforskningsinstitutet (VTI) </w:t>
      </w:r>
      <w:r w:rsidRPr="000A3A07">
        <w:t>anser att rapporten ger en god bild av möjligheter och problem med s.k. alternativa finansieringsformer. VTI anser också att rapporten ger ett värdefullt bidrag till infrastrukturplan</w:t>
      </w:r>
      <w:r w:rsidRPr="000A3A07">
        <w:t>e</w:t>
      </w:r>
      <w:r w:rsidRPr="000A3A07">
        <w:t xml:space="preserve">ringen i och med att metodmässiga brister identifieras. </w:t>
      </w:r>
    </w:p>
    <w:p w14:paraId="48CF0DEC" w14:textId="77777777" w:rsidR="007C11E9" w:rsidRPr="000A3A07" w:rsidRDefault="007C11E9">
      <w:pPr>
        <w:pStyle w:val="Normaltindrag"/>
      </w:pPr>
      <w:r w:rsidRPr="000A3A07">
        <w:rPr>
          <w:i/>
        </w:rPr>
        <w:t>Kommunikationsforskningsberedningen (KFB)</w:t>
      </w:r>
      <w:r w:rsidRPr="000A3A07">
        <w:t xml:space="preserve"> anser att revisorerna har utfört ett lovvärt arbete med sin granskning. Att revisorerna har anlitat fyra externa forskare ger enligt KFB extra ”tyngd” åt granskningen. KFB i</w:t>
      </w:r>
      <w:r w:rsidRPr="000A3A07">
        <w:t>n</w:t>
      </w:r>
      <w:r w:rsidRPr="000A3A07">
        <w:t>stämmer i huvudsak i de beskrivningar, slutsatser och förslag som läggs fram i rapporten. Förslagen ligger enligt KFB i många stycken i linje med dem som den KFB-finansierade forskningen har kommit fram till.</w:t>
      </w:r>
    </w:p>
    <w:p w14:paraId="4A55E1F6" w14:textId="77777777" w:rsidR="007C11E9" w:rsidRPr="000A3A07" w:rsidRDefault="007C11E9">
      <w:pPr>
        <w:pStyle w:val="Normaltindrag"/>
      </w:pPr>
      <w:r w:rsidRPr="000A3A07">
        <w:rPr>
          <w:i/>
        </w:rPr>
        <w:t xml:space="preserve">Statens institut för kommunikationsanalys (SIKA) </w:t>
      </w:r>
      <w:r w:rsidRPr="000A3A07">
        <w:t>anser att revisorerna har tagit fram en värdefull utredning om alternativ finansiering och beslutsu</w:t>
      </w:r>
      <w:r w:rsidRPr="000A3A07">
        <w:t>n</w:t>
      </w:r>
      <w:r w:rsidRPr="000A3A07">
        <w:t>derlag för investeringar.</w:t>
      </w:r>
    </w:p>
    <w:p w14:paraId="5BCA824B" w14:textId="77777777" w:rsidR="007C11E9" w:rsidRPr="000A3A07" w:rsidRDefault="007C11E9">
      <w:pPr>
        <w:pStyle w:val="Normaltindrag"/>
      </w:pPr>
      <w:r w:rsidRPr="000A3A07">
        <w:rPr>
          <w:i/>
        </w:rPr>
        <w:t xml:space="preserve">Svenska Naturskyddsföreningen </w:t>
      </w:r>
      <w:r w:rsidRPr="000A3A07">
        <w:t>välkomnar den granskning revisorerna har genomfört och uppmanar riksdagen att avvisa tankarna på en övergång till s.k. alternativ finansiering.</w:t>
      </w:r>
    </w:p>
    <w:p w14:paraId="02F54E9E" w14:textId="77777777" w:rsidR="007C11E9" w:rsidRPr="000A3A07" w:rsidRDefault="007C11E9">
      <w:pPr>
        <w:pStyle w:val="Rubrik2"/>
      </w:pPr>
      <w:bookmarkStart w:id="403" w:name="_Toc504203753"/>
      <w:bookmarkStart w:id="404" w:name="_Toc506341058"/>
      <w:r w:rsidRPr="000A3A07">
        <w:t>Alternativa finansieringsformer</w:t>
      </w:r>
      <w:bookmarkEnd w:id="403"/>
      <w:bookmarkEnd w:id="404"/>
    </w:p>
    <w:p w14:paraId="17D5AEEF" w14:textId="77777777" w:rsidR="007C11E9" w:rsidRPr="000A3A07" w:rsidRDefault="007C11E9">
      <w:pPr>
        <w:numPr>
          <w:ilvl w:val="0"/>
          <w:numId w:val="24"/>
        </w:numPr>
      </w:pPr>
      <w:r w:rsidRPr="000A3A07">
        <w:rPr>
          <w:i/>
        </w:rPr>
        <w:t>Revisorerna</w:t>
      </w:r>
      <w:r w:rsidRPr="000A3A07">
        <w:t xml:space="preserve"> konstaterar att många alternativa finansieringsformer är förknippade med risker. Därför bör regeringen vid varje förslag om en investering med alternativ finansiering för riksdagen klargöra motiven för och riskerna med den valda finansieringsformen. Även investerin</w:t>
      </w:r>
      <w:r w:rsidRPr="000A3A07">
        <w:t>g</w:t>
      </w:r>
      <w:r w:rsidRPr="000A3A07">
        <w:t>ens inverkan på statsfinanserna bör klarläggas. Regeringen bör också följa upp genomförda investeringar och för riksdagen redovisa den valda finansieringsformens effekter. Revisorerna anser att det är angeläget att riksdagen kontinuerligt får en</w:t>
      </w:r>
      <w:r w:rsidRPr="000A3A07">
        <w:t xml:space="preserve"> samlad redovisning av väg- och jär</w:t>
      </w:r>
      <w:r w:rsidRPr="000A3A07">
        <w:t>n</w:t>
      </w:r>
      <w:r w:rsidRPr="000A3A07">
        <w:t>vägsinvesteringarnas långsiktiga statsfinansiella effekter, eftersom de flesta alternativa finansieringsformer medför att statliga medel tas i a</w:t>
      </w:r>
      <w:r w:rsidRPr="000A3A07">
        <w:t>n</w:t>
      </w:r>
      <w:r w:rsidRPr="000A3A07">
        <w:t>språk i framtiden (t.ex. för återbetalning av lån, för betalning av hyra och för infriande av statliga garant</w:t>
      </w:r>
      <w:r w:rsidRPr="000A3A07">
        <w:t>i</w:t>
      </w:r>
      <w:r w:rsidRPr="000A3A07">
        <w:t xml:space="preserve">er). </w:t>
      </w:r>
    </w:p>
    <w:p w14:paraId="7BA4CEC1" w14:textId="77777777" w:rsidR="007C11E9" w:rsidRPr="000A3A07" w:rsidRDefault="007C11E9">
      <w:pPr>
        <w:spacing w:before="240"/>
        <w:rPr>
          <w:i/>
        </w:rPr>
      </w:pPr>
      <w:r w:rsidRPr="000A3A07">
        <w:rPr>
          <w:i/>
        </w:rPr>
        <w:t>Synpunkter på definitionen av alternativa finansieringsformer</w:t>
      </w:r>
    </w:p>
    <w:p w14:paraId="7C9CC157" w14:textId="77777777" w:rsidR="007C11E9" w:rsidRPr="000A3A07" w:rsidRDefault="007C11E9">
      <w:r w:rsidRPr="000A3A07">
        <w:rPr>
          <w:i/>
        </w:rPr>
        <w:t xml:space="preserve">Riksgäldskontoret </w:t>
      </w:r>
      <w:r w:rsidRPr="000A3A07">
        <w:t>anser att det är viktigt att skilja på fall när finansieringen kan förväntas ge ett positivt utbyte och fall när en alternativ finansieringslö</w:t>
      </w:r>
      <w:r w:rsidRPr="000A3A07">
        <w:t>s</w:t>
      </w:r>
      <w:r w:rsidRPr="000A3A07">
        <w:t xml:space="preserve">ning i huvudsak väljs för att genomföra projekt utan att dessa behöver vägas mot andra satsningar med statliga medel. </w:t>
      </w:r>
    </w:p>
    <w:p w14:paraId="24B210EE" w14:textId="77777777" w:rsidR="007C11E9" w:rsidRPr="000A3A07" w:rsidRDefault="007C11E9">
      <w:pPr>
        <w:pStyle w:val="Normaltindrag"/>
      </w:pPr>
      <w:r w:rsidRPr="000A3A07">
        <w:rPr>
          <w:i/>
        </w:rPr>
        <w:t>Ekonomistyrningsverket (ESV)</w:t>
      </w:r>
      <w:r w:rsidRPr="000A3A07">
        <w:t xml:space="preserve"> konstaterar att den slutliga finansieringen av en statlig investering i princip kan ske på två sätt: med skatter eller avgi</w:t>
      </w:r>
      <w:r w:rsidRPr="000A3A07">
        <w:t>f</w:t>
      </w:r>
      <w:r w:rsidRPr="000A3A07">
        <w:t xml:space="preserve">ter. I det förra fallet betalas investeringen av skattebetalarna och i det senare av brukarna, fastslår ESV. </w:t>
      </w:r>
    </w:p>
    <w:p w14:paraId="5E404AB5" w14:textId="77777777" w:rsidR="007C11E9" w:rsidRPr="000A3A07" w:rsidRDefault="007C11E9">
      <w:pPr>
        <w:pStyle w:val="Normaltindrag"/>
      </w:pPr>
      <w:r w:rsidRPr="000A3A07">
        <w:rPr>
          <w:i/>
        </w:rPr>
        <w:t xml:space="preserve">Statens institut för kommunikationsanalys (SIKA) </w:t>
      </w:r>
      <w:r w:rsidRPr="000A3A07">
        <w:t>anser att kriteriet för a</w:t>
      </w:r>
      <w:r w:rsidRPr="000A3A07">
        <w:t>l</w:t>
      </w:r>
      <w:r w:rsidRPr="000A3A07">
        <w:t>ternativ finansiering är att någon annan än staten tar över betalningsbördan. Allt annat är enligt SIKA att st</w:t>
      </w:r>
      <w:r w:rsidRPr="000A3A07">
        <w:t>a</w:t>
      </w:r>
      <w:r w:rsidRPr="000A3A07">
        <w:t>ten skiftar sin egen börda i tiden.</w:t>
      </w:r>
    </w:p>
    <w:p w14:paraId="637EF032" w14:textId="77777777" w:rsidR="007C11E9" w:rsidRPr="000A3A07" w:rsidRDefault="007C11E9">
      <w:pPr>
        <w:spacing w:before="240"/>
        <w:rPr>
          <w:i/>
        </w:rPr>
      </w:pPr>
      <w:r w:rsidRPr="000A3A07">
        <w:rPr>
          <w:i/>
        </w:rPr>
        <w:t>Synpunkter på alternativa finansieringsformers effekter</w:t>
      </w:r>
    </w:p>
    <w:p w14:paraId="17D1A454" w14:textId="77777777" w:rsidR="007C11E9" w:rsidRPr="000A3A07" w:rsidRDefault="007C11E9">
      <w:r w:rsidRPr="000A3A07">
        <w:rPr>
          <w:i/>
        </w:rPr>
        <w:t xml:space="preserve">Riksgäldskontoret </w:t>
      </w:r>
      <w:r w:rsidRPr="000A3A07">
        <w:t>anser att det kan finnas fördelar med alternativ finansi</w:t>
      </w:r>
      <w:r w:rsidRPr="000A3A07">
        <w:t>e</w:t>
      </w:r>
      <w:r w:rsidRPr="000A3A07">
        <w:t>ring, men att det även kan finnas risker för kostnader och felsatsningar. Riksgäldskontoret anser att riskerna med alternativ finansiering i mångt och mycket följer av att projekt med sådan finansiering inte behöver budgetpr</w:t>
      </w:r>
      <w:r w:rsidRPr="000A3A07">
        <w:t>ö</w:t>
      </w:r>
      <w:r w:rsidRPr="000A3A07">
        <w:t xml:space="preserve">vas som andra satsningar och att de därför kan tyckas vara enklare att få till stånd. </w:t>
      </w:r>
    </w:p>
    <w:p w14:paraId="6099EF26" w14:textId="77777777" w:rsidR="007C11E9" w:rsidRPr="000A3A07" w:rsidRDefault="007C11E9">
      <w:pPr>
        <w:pStyle w:val="Normaltindrag"/>
      </w:pPr>
      <w:r w:rsidRPr="000A3A07">
        <w:t>Riksgäldskontoret påpekar att de finansieringsformer som medför en fö</w:t>
      </w:r>
      <w:r w:rsidRPr="000A3A07">
        <w:t>r</w:t>
      </w:r>
      <w:r w:rsidRPr="000A3A07">
        <w:t>skjuten budgetbelastning inte innebär att det skapas något realt utrymme för ökade totala investeringar. Däremot, menar kontoret, kan det innebära ett kringgående av prövning inom utgiftstaken och en undanträngning av fra</w:t>
      </w:r>
      <w:r w:rsidRPr="000A3A07">
        <w:t>m</w:t>
      </w:r>
      <w:r w:rsidRPr="000A3A07">
        <w:t>tida budgetutrymme. Riksgäldskontoret uppfattar att alternativfinansierin</w:t>
      </w:r>
      <w:r w:rsidRPr="000A3A07">
        <w:t>g</w:t>
      </w:r>
      <w:r w:rsidRPr="000A3A07">
        <w:t>ens popularitet följer av att en sektor inom staten kortsiktigt skulle kunna tillskansa sig ökade medel genom att det inte görs klart att detta tränger undan resurser från andra ändamål.</w:t>
      </w:r>
    </w:p>
    <w:p w14:paraId="0C786D55" w14:textId="77777777" w:rsidR="007C11E9" w:rsidRPr="000A3A07" w:rsidRDefault="007C11E9">
      <w:pPr>
        <w:pStyle w:val="Normaltindrag"/>
      </w:pPr>
      <w:r w:rsidRPr="000A3A07">
        <w:rPr>
          <w:i/>
        </w:rPr>
        <w:t>Ekonomistyrningsverket (ESV)</w:t>
      </w:r>
      <w:r w:rsidRPr="000A3A07">
        <w:rPr>
          <w:i/>
        </w:rPr>
        <w:t xml:space="preserve"> </w:t>
      </w:r>
      <w:r w:rsidRPr="000A3A07">
        <w:t>uppger att de realekonomiska effekterna av anslagsfinansiering och lån i Riksgäldskontoret är lika och att statens låneb</w:t>
      </w:r>
      <w:r w:rsidRPr="000A3A07">
        <w:t>e</w:t>
      </w:r>
      <w:r w:rsidRPr="000A3A07">
        <w:t>hov påverkas på samma sätt. Om en tillgång ska finansieras med anslag eller lån i Riksgäldskontoret är enligt ESV därför inte en fråga om statens finans</w:t>
      </w:r>
      <w:r w:rsidRPr="000A3A07">
        <w:t>i</w:t>
      </w:r>
      <w:r w:rsidRPr="000A3A07">
        <w:t>ering, utan om finansiell styrning av statens myndigheter.</w:t>
      </w:r>
    </w:p>
    <w:p w14:paraId="03071845" w14:textId="77777777" w:rsidR="007C11E9" w:rsidRPr="000A3A07" w:rsidRDefault="007C11E9">
      <w:pPr>
        <w:pStyle w:val="Normaltindrag"/>
      </w:pPr>
      <w:r w:rsidRPr="000A3A07">
        <w:t>ESV anser att finansiering genom partnerskap inte enbart ska ses som en alternativ finansieringsform, utan som ett nytt koncept för att tillhandahålla infrastruktur. ESV uppger a</w:t>
      </w:r>
      <w:r w:rsidRPr="000A3A07">
        <w:t>tt privatfinansiering genom partnerskap gör det möjligt för staten att föra över vissa risker på projektbolaget. Samtidigt kan staten få en bättre total kostnadskontroll än vid andra former av finansiering, menar ESV. ESV uppger att en nackdel med finansieringsmodellen är att transaktionskostnaderna är höga, varför den knappast kan vara ett alternativ till traditionell finansiering annat än i speciella fall.</w:t>
      </w:r>
    </w:p>
    <w:p w14:paraId="423ABFFF" w14:textId="77777777" w:rsidR="007C11E9" w:rsidRPr="000A3A07" w:rsidRDefault="007C11E9">
      <w:pPr>
        <w:pStyle w:val="Normaltindrag"/>
      </w:pPr>
      <w:r w:rsidRPr="000A3A07">
        <w:rPr>
          <w:i/>
        </w:rPr>
        <w:t>Väg- och transportforskningsinstitutet (VTI)</w:t>
      </w:r>
      <w:r w:rsidRPr="000A3A07">
        <w:t xml:space="preserve"> påpekar att problemet med att framtida budgetutrymme intecknas i princip också uppstår om ett projekt finansieras genom att staten ökar anslagen genom ökad upplåning. Det fa</w:t>
      </w:r>
      <w:r w:rsidRPr="000A3A07">
        <w:t>k</w:t>
      </w:r>
      <w:r w:rsidRPr="000A3A07">
        <w:t>tum att framtida anslag intecknas måste enligt VTI balanseras mot möjli</w:t>
      </w:r>
      <w:r w:rsidRPr="000A3A07">
        <w:t>g</w:t>
      </w:r>
      <w:r w:rsidRPr="000A3A07">
        <w:t>heten att tidigarelägga de samhällsekonomiska nyttorna. VTI betonar också att det måste betecknas som normalt att politiska beslut resulterar i att fra</w:t>
      </w:r>
      <w:r w:rsidRPr="000A3A07">
        <w:t>m</w:t>
      </w:r>
      <w:r w:rsidRPr="000A3A07">
        <w:t>tida möjligheter påverkas.</w:t>
      </w:r>
    </w:p>
    <w:p w14:paraId="62E46491" w14:textId="77777777" w:rsidR="007C11E9" w:rsidRPr="000A3A07" w:rsidRDefault="007C11E9">
      <w:pPr>
        <w:pStyle w:val="Normaltindrag"/>
      </w:pPr>
      <w:r w:rsidRPr="000A3A07">
        <w:rPr>
          <w:i/>
        </w:rPr>
        <w:t>Kommunikationsforskningsberedningen (KFB)</w:t>
      </w:r>
      <w:r w:rsidRPr="000A3A07">
        <w:t xml:space="preserve"> konstaterar att handling</w:t>
      </w:r>
      <w:r w:rsidRPr="000A3A07">
        <w:t>s</w:t>
      </w:r>
      <w:r w:rsidRPr="000A3A07">
        <w:t>friheten och beredskapen för snabba förändringar i transportpolitiken på ett allvarligt sätt minskar om stora delar av det framtida ekonomiska utrymmet för infrastrukturinvesteringar låses upp i förtid. Samtidigt kan växthuseffe</w:t>
      </w:r>
      <w:r w:rsidRPr="000A3A07">
        <w:t>k</w:t>
      </w:r>
      <w:r w:rsidRPr="000A3A07">
        <w:t>ter och koldioxidproblematiken medföra att snabba förändringar i transpor</w:t>
      </w:r>
      <w:r w:rsidRPr="000A3A07">
        <w:t>t</w:t>
      </w:r>
      <w:r w:rsidRPr="000A3A07">
        <w:t>politiken kan komma att krävas. KFB anser att klimatfrågan kräver ett lån</w:t>
      </w:r>
      <w:r w:rsidRPr="000A3A07">
        <w:t>g</w:t>
      </w:r>
      <w:r w:rsidRPr="000A3A07">
        <w:t>siktigt perspektiv då det framgent kan bli aktuellt med betydligt större minskningar av koldioxidutsläppen, v</w:t>
      </w:r>
      <w:r w:rsidRPr="000A3A07">
        <w:t>ilket kan komma att ställa helt andra krav på u</w:t>
      </w:r>
      <w:r w:rsidRPr="000A3A07">
        <w:t>t</w:t>
      </w:r>
      <w:r w:rsidRPr="000A3A07">
        <w:t>formningen av transportsystemet.</w:t>
      </w:r>
    </w:p>
    <w:p w14:paraId="6EF2F1BA" w14:textId="77777777" w:rsidR="007C11E9" w:rsidRPr="000A3A07" w:rsidRDefault="007C11E9">
      <w:pPr>
        <w:pStyle w:val="Normaltindrag"/>
      </w:pPr>
      <w:r w:rsidRPr="000A3A07">
        <w:rPr>
          <w:i/>
        </w:rPr>
        <w:t xml:space="preserve">Statens institut för kommunikationsanalys (SIKA) </w:t>
      </w:r>
      <w:r w:rsidRPr="000A3A07">
        <w:t>instämmer i revisorernas bedömning att det empiriska stödet för olika argument för och emot nya finansieringsformer är svagt.</w:t>
      </w:r>
    </w:p>
    <w:p w14:paraId="793071B7" w14:textId="77777777" w:rsidR="007C11E9" w:rsidRPr="000A3A07" w:rsidRDefault="007C11E9">
      <w:pPr>
        <w:pStyle w:val="Normaltindrag"/>
        <w:rPr>
          <w:i/>
        </w:rPr>
      </w:pPr>
      <w:r w:rsidRPr="000A3A07">
        <w:rPr>
          <w:i/>
        </w:rPr>
        <w:t xml:space="preserve">Landstingsförbundet </w:t>
      </w:r>
      <w:r w:rsidRPr="000A3A07">
        <w:t>instämmer i revisorernas slutsatser att investeringar som tidigareläggs med hjälp av alternativ finansiering kan medföra samhäll</w:t>
      </w:r>
      <w:r w:rsidRPr="000A3A07">
        <w:t>s</w:t>
      </w:r>
      <w:r w:rsidRPr="000A3A07">
        <w:t>ekonomiska vinster och effektivitetsvinster. Förbundet delar också uppfat</w:t>
      </w:r>
      <w:r w:rsidRPr="000A3A07">
        <w:t>t</w:t>
      </w:r>
      <w:r w:rsidRPr="000A3A07">
        <w:t>ningen att alternativa finansieringsformer kan medföra att framtida anslag kan intecknas för att betala redan gjorda investeringar, vilket begränsar mö</w:t>
      </w:r>
      <w:r w:rsidRPr="000A3A07">
        <w:t>j</w:t>
      </w:r>
      <w:r w:rsidRPr="000A3A07">
        <w:t>lighete</w:t>
      </w:r>
      <w:r w:rsidRPr="000A3A07">
        <w:t>r</w:t>
      </w:r>
      <w:r w:rsidRPr="000A3A07">
        <w:t>na till framtida investeringar.</w:t>
      </w:r>
    </w:p>
    <w:p w14:paraId="52877124" w14:textId="77777777" w:rsidR="007C11E9" w:rsidRPr="000A3A07" w:rsidRDefault="007C11E9">
      <w:pPr>
        <w:pStyle w:val="Normaltindrag"/>
      </w:pPr>
      <w:r w:rsidRPr="000A3A07">
        <w:rPr>
          <w:i/>
        </w:rPr>
        <w:t xml:space="preserve">Nordmalings kommun </w:t>
      </w:r>
      <w:r w:rsidRPr="000A3A07">
        <w:t>anser att finansieringsformen med statligt garant</w:t>
      </w:r>
      <w:r w:rsidRPr="000A3A07">
        <w:t>e</w:t>
      </w:r>
      <w:r w:rsidRPr="000A3A07">
        <w:t>rade lån samt regional delfinansiering och regionala garantier för framtida drift borde vara ett argument för infrastrukturinvesteringars framgång, oaktat budgetlagens huvudregel och eventuella risker med alternativa finansiering</w:t>
      </w:r>
      <w:r w:rsidRPr="000A3A07">
        <w:t>s</w:t>
      </w:r>
      <w:r w:rsidRPr="000A3A07">
        <w:t>former.</w:t>
      </w:r>
    </w:p>
    <w:p w14:paraId="310C4F11" w14:textId="77777777" w:rsidR="007C11E9" w:rsidRPr="000A3A07" w:rsidRDefault="007C11E9">
      <w:pPr>
        <w:pStyle w:val="Normaltindrag"/>
        <w:rPr>
          <w:i/>
        </w:rPr>
      </w:pPr>
      <w:r w:rsidRPr="000A3A07">
        <w:rPr>
          <w:i/>
        </w:rPr>
        <w:t xml:space="preserve">Botniabanegruppen </w:t>
      </w:r>
      <w:r w:rsidRPr="000A3A07">
        <w:t xml:space="preserve">och </w:t>
      </w:r>
      <w:r w:rsidRPr="000A3A07">
        <w:rPr>
          <w:i/>
        </w:rPr>
        <w:t xml:space="preserve">Örnsköldsviks kommun </w:t>
      </w:r>
      <w:r w:rsidRPr="000A3A07">
        <w:t>delar revisorernas up</w:t>
      </w:r>
      <w:r w:rsidRPr="000A3A07">
        <w:t>p</w:t>
      </w:r>
      <w:r w:rsidRPr="000A3A07">
        <w:t>fattning att samhällsekonomiska vinster kan skapas om lönsamma invest</w:t>
      </w:r>
      <w:r w:rsidRPr="000A3A07">
        <w:t>e</w:t>
      </w:r>
      <w:r w:rsidRPr="000A3A07">
        <w:t>ringar kan göras i förtid genom alternativ finansiering, utan att utgiftstaket överskrids.</w:t>
      </w:r>
    </w:p>
    <w:p w14:paraId="4042029D" w14:textId="77777777" w:rsidR="007C11E9" w:rsidRPr="000A3A07" w:rsidRDefault="007C11E9">
      <w:pPr>
        <w:pStyle w:val="Normaltindrag"/>
      </w:pPr>
      <w:r w:rsidRPr="000A3A07">
        <w:rPr>
          <w:i/>
        </w:rPr>
        <w:t xml:space="preserve">Svenska Naturskyddsföreningen </w:t>
      </w:r>
      <w:r w:rsidRPr="000A3A07">
        <w:t>anser att argumenten för privatfinansi</w:t>
      </w:r>
      <w:r w:rsidRPr="000A3A07">
        <w:t>e</w:t>
      </w:r>
      <w:r w:rsidRPr="000A3A07">
        <w:t>ring genom partnerskap är svagt grundade. De effektivitetsvinster som inte</w:t>
      </w:r>
      <w:r w:rsidRPr="000A3A07">
        <w:t>r</w:t>
      </w:r>
      <w:r w:rsidRPr="000A3A07">
        <w:t>nationella erfarenheter visar på fångas enligt föreningen sannolikt in av den upphandling i konkurrens som Vägverket och Banverket numera tillämpar. Föreningen menar att den statliga upphandlingen på väg- och järnvägssidan säkert kan utvecklas, men att de ekonomiska vinster som efterfinansiering</w:t>
      </w:r>
      <w:r w:rsidRPr="000A3A07">
        <w:t>s</w:t>
      </w:r>
      <w:r w:rsidRPr="000A3A07">
        <w:t>projekt eventuellt skulle kunna ge knappast uppväger de skador på demokr</w:t>
      </w:r>
      <w:r w:rsidRPr="000A3A07">
        <w:t>a</w:t>
      </w:r>
      <w:r w:rsidRPr="000A3A07">
        <w:t>tin och miljöpolitiken som u</w:t>
      </w:r>
      <w:r w:rsidRPr="000A3A07">
        <w:t xml:space="preserve">ppkommer. </w:t>
      </w:r>
    </w:p>
    <w:p w14:paraId="3F6B06CB" w14:textId="77777777" w:rsidR="007C11E9" w:rsidRPr="000A3A07" w:rsidRDefault="007C11E9">
      <w:pPr>
        <w:pStyle w:val="Normaltindrag"/>
      </w:pPr>
      <w:r w:rsidRPr="000A3A07">
        <w:t>Svenska Naturskyddsföreningen menar att möjligheterna för politiker att göra prioriteringar mellan infrastruktur och andra områden upphävs om statens kostnader för infrastruktur är reglerade i långsiktiga avtal eller fina</w:t>
      </w:r>
      <w:r w:rsidRPr="000A3A07">
        <w:t>n</w:t>
      </w:r>
      <w:r w:rsidRPr="000A3A07">
        <w:t>sieras med speciell upplåning. Att bygga infrastruktur på kredit eller köpa den på avbetalning betyder enligt föreningen att demokratin urholkas för kommande generationer skattebetalare, väljare och beslutsfattare. Föreningen påpekar också att satsningar på ny infrastruktur undergräver möjligheterna att uppnå de svenska miljömålen.</w:t>
      </w:r>
    </w:p>
    <w:p w14:paraId="07F077B6" w14:textId="77777777" w:rsidR="007C11E9" w:rsidRPr="000A3A07" w:rsidRDefault="007C11E9">
      <w:pPr>
        <w:spacing w:before="240"/>
        <w:rPr>
          <w:i/>
        </w:rPr>
      </w:pPr>
      <w:r w:rsidRPr="000A3A07">
        <w:rPr>
          <w:i/>
        </w:rPr>
        <w:t>Synpunkter på olika finansieringsformer</w:t>
      </w:r>
    </w:p>
    <w:p w14:paraId="2F2D2C0D" w14:textId="77777777" w:rsidR="007C11E9" w:rsidRPr="000A3A07" w:rsidRDefault="007C11E9">
      <w:r w:rsidRPr="000A3A07">
        <w:rPr>
          <w:i/>
        </w:rPr>
        <w:t xml:space="preserve">Statskontoret </w:t>
      </w:r>
      <w:r w:rsidRPr="000A3A07">
        <w:t>konstaterar att statlig lånefinansiering, till skillnad från priva</w:t>
      </w:r>
      <w:r w:rsidRPr="000A3A07">
        <w:t>t</w:t>
      </w:r>
      <w:r w:rsidRPr="000A3A07">
        <w:t>finansiering genom partnerskap, inte erbjuder några nya alternativ till trad</w:t>
      </w:r>
      <w:r w:rsidRPr="000A3A07">
        <w:t>i</w:t>
      </w:r>
      <w:r w:rsidRPr="000A3A07">
        <w:t>tionell anslagsfinansiering. Statskontoret menar att fördelarna med lånefina</w:t>
      </w:r>
      <w:r w:rsidRPr="000A3A07">
        <w:t>n</w:t>
      </w:r>
      <w:r w:rsidRPr="000A3A07">
        <w:t>siering främst ligger i att kostnaderna sprids över investeringens ekonomiska livslängd och att det därmed är möjligt att frigöra offentliga medel för andra satsningar. Statskontoret tillägger att möjligheten att tidigarelägga projekt skapar risk för minskade investeringsramar i framtiden.</w:t>
      </w:r>
    </w:p>
    <w:p w14:paraId="72FFCBA2" w14:textId="77777777" w:rsidR="007C11E9" w:rsidRPr="000A3A07" w:rsidRDefault="007C11E9">
      <w:pPr>
        <w:pStyle w:val="Normaltindrag"/>
        <w:rPr>
          <w:i/>
        </w:rPr>
      </w:pPr>
      <w:r w:rsidRPr="000A3A07">
        <w:rPr>
          <w:i/>
        </w:rPr>
        <w:t xml:space="preserve">Riksgäldskontoret </w:t>
      </w:r>
      <w:r w:rsidRPr="000A3A07">
        <w:t>menar att lånefinansiering med amorteringar och räntor som ska betalas med skattemedel inte är alternativ till budgetfinansiering. Det gäller även om betalningarna går genom s.k. anslagsbolag, vars huvu</w:t>
      </w:r>
      <w:r w:rsidRPr="000A3A07">
        <w:t>d</w:t>
      </w:r>
      <w:r w:rsidRPr="000A3A07">
        <w:t>sakliga intäktskälla är budgetmedel (som t.ex. Botniabanan AB). Däremot anser kontoret att brukaravgifter respektive privata investeringar kan utgöra alternativ till skattemedel. Kontoret menar dock att det till stor del är en politisk fråga huruvida en investering ska bekostas av skattebetalarna eller av an</w:t>
      </w:r>
      <w:r w:rsidRPr="000A3A07">
        <w:t>vändarna. Alternativet att staten köper kapacitet eller annan tjänst av pr</w:t>
      </w:r>
      <w:r w:rsidRPr="000A3A07">
        <w:t>i</w:t>
      </w:r>
      <w:r w:rsidRPr="000A3A07">
        <w:t>vata entreprenörer som tillhandahåller en vägsträcka kan enligt Riksgäld</w:t>
      </w:r>
      <w:r w:rsidRPr="000A3A07">
        <w:t>s</w:t>
      </w:r>
      <w:r w:rsidRPr="000A3A07">
        <w:t>kontoret vara lämpligt i vissa fall. Kontoret tillägger dock att valet att köpa tjänster från privata företag måste grundas på en ekonomisk kalkyl som visar att det alternativet sammantaget är förenat med en lägre kostnad för staten jämfört med om staten själv skulle leda byggandet och svara för kostnaderna.</w:t>
      </w:r>
      <w:r w:rsidRPr="000A3A07">
        <w:rPr>
          <w:i/>
        </w:rPr>
        <w:t xml:space="preserve"> </w:t>
      </w:r>
    </w:p>
    <w:p w14:paraId="5A33E8AE" w14:textId="77777777" w:rsidR="007C11E9" w:rsidRPr="000A3A07" w:rsidRDefault="007C11E9">
      <w:pPr>
        <w:pStyle w:val="Normaltindrag"/>
      </w:pPr>
      <w:r w:rsidRPr="000A3A07">
        <w:rPr>
          <w:i/>
        </w:rPr>
        <w:t xml:space="preserve">Ekonomistyrningsverket (ESV) </w:t>
      </w:r>
      <w:r w:rsidRPr="000A3A07">
        <w:t>anser att det bör vara en fördel om det vid sidan av anslagsfinansiering också finns andra alternativ, om utgångspunkten är att vägar och järnvägar ska finansieras på ett för staten kostnadseffektivt sätt. Val av finansieringsform bör enligt ESV kunna prövas från fall till fall med hänsyn till effekterna på ekonomin, inkomstfördelningen och statsfina</w:t>
      </w:r>
      <w:r w:rsidRPr="000A3A07">
        <w:t>n</w:t>
      </w:r>
      <w:r w:rsidRPr="000A3A07">
        <w:t>serna. ESV anser inte att valet av finansieringssätt bör påverkas av huruvida utgiftstaket belastas direkt vid investeringstillfället eller i framtiden under a</w:t>
      </w:r>
      <w:r w:rsidRPr="000A3A07">
        <w:t>nläggningens ekonomiska livstid. I stället menar ESV att utgiftstaket bör utformas så att det är neutralt med avseende på formerna för finansiering av investeringsutgifter.</w:t>
      </w:r>
    </w:p>
    <w:p w14:paraId="14724B88" w14:textId="77777777" w:rsidR="007C11E9" w:rsidRPr="000A3A07" w:rsidRDefault="007C11E9">
      <w:pPr>
        <w:pStyle w:val="Normaltindrag"/>
      </w:pPr>
      <w:r w:rsidRPr="000A3A07">
        <w:rPr>
          <w:i/>
        </w:rPr>
        <w:t xml:space="preserve">Väg- och transportforskningsinstitutet (VTI) </w:t>
      </w:r>
      <w:r w:rsidRPr="000A3A07">
        <w:t>anser att lån eller andra alte</w:t>
      </w:r>
      <w:r w:rsidRPr="000A3A07">
        <w:t>r</w:t>
      </w:r>
      <w:r w:rsidRPr="000A3A07">
        <w:t>nativa finansieringsformer kan vara motiverade för att åstadkomma en mer flexibel projektplanering, för att tidigarelägga samhällsekonomiska vinster eller för att göra det möjligt att genomföra infrastrukturprojekt med stor betydelse för den ekonomiska tillväxten. VTI anser att privat finansiering kan innebära effektivare riskhantering, då privata aktörer har starka incit</w:t>
      </w:r>
      <w:r w:rsidRPr="000A3A07">
        <w:t>a</w:t>
      </w:r>
      <w:r w:rsidRPr="000A3A07">
        <w:t>ment att identifiera risker. Bättre riskhantering torde också bidra till en mer realistisk budgetering, me</w:t>
      </w:r>
      <w:r w:rsidRPr="000A3A07">
        <w:t>nar VTI. VTI hävdar också att ökat privat inslag i infrastrukturhanteringen medför att antalet aktörer ökar, vilket möjliggör en kreativ process som kan utmynna i effektivare lösningar. Alternativa finans</w:t>
      </w:r>
      <w:r w:rsidRPr="000A3A07">
        <w:t>i</w:t>
      </w:r>
      <w:r w:rsidRPr="000A3A07">
        <w:t xml:space="preserve">eringsformer bör enligt VTI främst användas då det finns en väl fungerande marknad. </w:t>
      </w:r>
    </w:p>
    <w:p w14:paraId="7FC85E98" w14:textId="77777777" w:rsidR="007C11E9" w:rsidRPr="000A3A07" w:rsidRDefault="007C11E9">
      <w:pPr>
        <w:pStyle w:val="Normaltindrag"/>
      </w:pPr>
      <w:r w:rsidRPr="000A3A07">
        <w:rPr>
          <w:i/>
        </w:rPr>
        <w:t xml:space="preserve">Landstingsförbundet </w:t>
      </w:r>
      <w:r w:rsidRPr="000A3A07">
        <w:t>anser att möjligheten att tidigarelägga projekt genom alternativ finansiering bör användas med försiktighet. Ett grundläggande krav på sådana projekt är att man kan konstatera en samhällsekonomisk vinst, menar förbundet. Samtidigt anser Landstingsförbundet att privatfina</w:t>
      </w:r>
      <w:r w:rsidRPr="000A3A07">
        <w:t>n</w:t>
      </w:r>
      <w:r w:rsidRPr="000A3A07">
        <w:t>siering genom partnerskap kan vara ett intressant alternativ för stora i</w:t>
      </w:r>
      <w:r w:rsidRPr="000A3A07">
        <w:t>n</w:t>
      </w:r>
      <w:r w:rsidRPr="000A3A07">
        <w:t>frastrukturinvesteringar. Förbundet pekar både på samhällsekonomiska vinster och effektivitetsvinster. Landstingsförbundet anser dock att det är av största vikt att in</w:t>
      </w:r>
      <w:r w:rsidRPr="000A3A07">
        <w:t>slag av privat finansiering inte innebär att staten undandrar sig sitt ansvar för den nati</w:t>
      </w:r>
      <w:r w:rsidRPr="000A3A07">
        <w:t>o</w:t>
      </w:r>
      <w:r w:rsidRPr="000A3A07">
        <w:t>nellla infrastrukturen.</w:t>
      </w:r>
    </w:p>
    <w:p w14:paraId="44E1E448" w14:textId="77777777" w:rsidR="007C11E9" w:rsidRPr="000A3A07" w:rsidRDefault="007C11E9">
      <w:pPr>
        <w:pStyle w:val="Normaltindrag"/>
      </w:pPr>
      <w:r w:rsidRPr="000A3A07">
        <w:rPr>
          <w:i/>
        </w:rPr>
        <w:t>Stockholms stad</w:t>
      </w:r>
      <w:r w:rsidRPr="000A3A07">
        <w:t xml:space="preserve"> är positiv till alternativa finansieringsformer, förutsatt att man förvaltar skattemedlen på bästa sätt. Stockholms stad anser att i</w:t>
      </w:r>
      <w:r w:rsidRPr="000A3A07">
        <w:t>n</w:t>
      </w:r>
      <w:r w:rsidRPr="000A3A07">
        <w:t>frastrukturproblemen i staden är så stora att det är nödvändigt att tänka nytt i sättet att skaffa medel. Staden understryker dock att staten fortfarande måste ha huvudansvaret för utbyggnad och finansiering av infrastrukturella åtgä</w:t>
      </w:r>
      <w:r w:rsidRPr="000A3A07">
        <w:t>r</w:t>
      </w:r>
      <w:r w:rsidRPr="000A3A07">
        <w:t>der i Sverige. Det ska endast vara i undantagsfall som staden går in som medfinansiär eller förskotterar investeringsmedel.</w:t>
      </w:r>
    </w:p>
    <w:p w14:paraId="28FF69C3" w14:textId="77777777" w:rsidR="007C11E9" w:rsidRPr="000A3A07" w:rsidRDefault="007C11E9">
      <w:pPr>
        <w:pStyle w:val="Normaltindrag"/>
        <w:rPr>
          <w:i/>
        </w:rPr>
      </w:pPr>
      <w:r w:rsidRPr="000A3A07">
        <w:rPr>
          <w:i/>
        </w:rPr>
        <w:t xml:space="preserve">Malmö stad </w:t>
      </w:r>
      <w:r w:rsidRPr="000A3A07">
        <w:t>anser att möjlighet till alternativa finansieringsformer bör fi</w:t>
      </w:r>
      <w:r w:rsidRPr="000A3A07">
        <w:t>n</w:t>
      </w:r>
      <w:r w:rsidRPr="000A3A07">
        <w:t xml:space="preserve">nas. Det viktigaste motivet är enligt Malmö stad att uppnå större stabilitet och effektivitet vid genomförande av infrastrukturprojekt som ingår i kom–plicerade stadsbyggnadsprocesser. </w:t>
      </w:r>
    </w:p>
    <w:p w14:paraId="69891BE1" w14:textId="77777777" w:rsidR="007C11E9" w:rsidRPr="000A3A07" w:rsidRDefault="007C11E9">
      <w:pPr>
        <w:pStyle w:val="Normaltindrag"/>
      </w:pPr>
      <w:r w:rsidRPr="000A3A07">
        <w:rPr>
          <w:i/>
        </w:rPr>
        <w:t xml:space="preserve">Umeå kommun </w:t>
      </w:r>
      <w:r w:rsidRPr="000A3A07">
        <w:t>anser att alternativ finansiering bör tillåtas när samhäll</w:t>
      </w:r>
      <w:r w:rsidRPr="000A3A07">
        <w:t>s</w:t>
      </w:r>
      <w:r w:rsidRPr="000A3A07">
        <w:t>ekonomiska fördelar kan påvisas. Huvudalternativet bör vara anslagsfinans</w:t>
      </w:r>
      <w:r w:rsidRPr="000A3A07">
        <w:t>i</w:t>
      </w:r>
      <w:r w:rsidRPr="000A3A07">
        <w:t xml:space="preserve">ering över statsbudgeten, menar Umeå kommun. </w:t>
      </w:r>
    </w:p>
    <w:p w14:paraId="4BFF6FDD" w14:textId="77777777" w:rsidR="007C11E9" w:rsidRPr="000A3A07" w:rsidRDefault="007C11E9">
      <w:pPr>
        <w:pStyle w:val="Normaltindrag"/>
      </w:pPr>
      <w:r w:rsidRPr="000A3A07">
        <w:rPr>
          <w:i/>
        </w:rPr>
        <w:t xml:space="preserve">Svenska Naturskyddsföreningen </w:t>
      </w:r>
      <w:r w:rsidRPr="000A3A07">
        <w:t>anser att statliga satsningar på drift, u</w:t>
      </w:r>
      <w:r w:rsidRPr="000A3A07">
        <w:t>n</w:t>
      </w:r>
      <w:r w:rsidRPr="000A3A07">
        <w:t>derhåll och investeringar i infrastruktur bör betalas med anslagsmedel. För</w:t>
      </w:r>
      <w:r w:rsidRPr="000A3A07">
        <w:t>e</w:t>
      </w:r>
      <w:r w:rsidRPr="000A3A07">
        <w:t>ningen menar att direktavskrivning ger de bästa förutsättningarna för pol</w:t>
      </w:r>
      <w:r w:rsidRPr="000A3A07">
        <w:t>i</w:t>
      </w:r>
      <w:r w:rsidRPr="000A3A07">
        <w:t>tiskt ansvarstagande och skärper kraven på beslutsfattare att hushålla med skattebetalarnas pengar. Olika lånelösningar bör enligt föreningen betraktas som nödlösningar och endast komma i fråga i undantagsfall för att klara extremt stora investeringar. Om man anser att ramarna för satsningar på infrastruktur är för små</w:t>
      </w:r>
      <w:r w:rsidRPr="000A3A07">
        <w:t xml:space="preserve"> är lösningen enligt Svenska Naturskyddsföreningen inte att skapa speciella besluts- och finansieringsgångar för infrastruktur, utan att utöka ramarna för infrastruktur. </w:t>
      </w:r>
    </w:p>
    <w:p w14:paraId="2173450F" w14:textId="77777777" w:rsidR="007C11E9" w:rsidRPr="000A3A07" w:rsidRDefault="007C11E9">
      <w:pPr>
        <w:spacing w:before="240"/>
        <w:rPr>
          <w:i/>
        </w:rPr>
      </w:pPr>
      <w:r w:rsidRPr="000A3A07">
        <w:rPr>
          <w:i/>
        </w:rPr>
        <w:t>Motiv till finansiering och effekter av en investering bör redovisas</w:t>
      </w:r>
    </w:p>
    <w:p w14:paraId="5E2D06C5" w14:textId="77777777" w:rsidR="007C11E9" w:rsidRPr="000A3A07" w:rsidRDefault="007C11E9">
      <w:r w:rsidRPr="000A3A07">
        <w:rPr>
          <w:i/>
        </w:rPr>
        <w:t>Statskontoret</w:t>
      </w:r>
      <w:r w:rsidRPr="000A3A07">
        <w:t xml:space="preserve"> tillstyrker revisorernas förslag om bättre analys och motivering vid finansieringsbeslut, bättre uppföljning och utvärdering av genomförda investeringar och att en samlad redovisning av statens samtliga finansiella åtaganden tas fram.</w:t>
      </w:r>
    </w:p>
    <w:p w14:paraId="0069A7DC" w14:textId="77777777" w:rsidR="007C11E9" w:rsidRPr="000A3A07" w:rsidRDefault="007C11E9">
      <w:pPr>
        <w:pStyle w:val="Normaltindrag"/>
      </w:pPr>
      <w:r w:rsidRPr="000A3A07">
        <w:t>Statskontoret konstaterar att beslut om alternativfinansierade projekt fattas utanför den ordinarie planeringsprocessen. Det har bl.a. inneburit att red</w:t>
      </w:r>
      <w:r w:rsidRPr="000A3A07">
        <w:t>o</w:t>
      </w:r>
      <w:r w:rsidRPr="000A3A07">
        <w:t>visningen av dessa projekt inte sker samlat inom statsbudgeten, vilket enligt Statskontoret gör att det blir svårt att få en överblick över statens totala ek</w:t>
      </w:r>
      <w:r w:rsidRPr="000A3A07">
        <w:t>o</w:t>
      </w:r>
      <w:r w:rsidRPr="000A3A07">
        <w:t xml:space="preserve">nomiska åtaganden. Statskontoret uppger att man i en tidigare rapport har föreslagit att statens ekonomiska åtaganden för alternativfinansierade projekt ska särredovisas och underställas riksdagen för att möjliggöra en samlad prövning av statens samtliga utgifter och inkomster. </w:t>
      </w:r>
    </w:p>
    <w:p w14:paraId="705952CC" w14:textId="77777777" w:rsidR="007C11E9" w:rsidRPr="000A3A07" w:rsidRDefault="007C11E9">
      <w:pPr>
        <w:pStyle w:val="Normaltindrag"/>
      </w:pPr>
      <w:r w:rsidRPr="000A3A07">
        <w:rPr>
          <w:i/>
        </w:rPr>
        <w:t xml:space="preserve">Riksgäldskontoret </w:t>
      </w:r>
      <w:r w:rsidRPr="000A3A07">
        <w:t>uppger att alternativ finansiering kan leda till felbeslut och ge merkostnader om skälen för finansieringslösningen inte är tydliga.</w:t>
      </w:r>
    </w:p>
    <w:p w14:paraId="2DCA5EF0" w14:textId="77777777" w:rsidR="007C11E9" w:rsidRPr="000A3A07" w:rsidRDefault="007C11E9">
      <w:pPr>
        <w:pStyle w:val="Normaltindrag"/>
      </w:pPr>
      <w:r w:rsidRPr="000A3A07">
        <w:rPr>
          <w:i/>
        </w:rPr>
        <w:t>Ekonomistyrningsverket</w:t>
      </w:r>
      <w:r w:rsidRPr="000A3A07">
        <w:t xml:space="preserve"> </w:t>
      </w:r>
      <w:r w:rsidRPr="000A3A07">
        <w:rPr>
          <w:i/>
        </w:rPr>
        <w:t xml:space="preserve">(ESV) </w:t>
      </w:r>
      <w:r w:rsidRPr="000A3A07">
        <w:t>anser att det är viktigt att motiven till valet av finansieringsform redovisas klart i varje enskilt fall och att de ekonomiska konsekvenserna beskrivs på ett sådant sätt att olika finansieringsalternativ kan jämföras med varandra vid investeringstillfället samt att kostnaderna för infrastrukturen kan följas upp i efterhand.</w:t>
      </w:r>
    </w:p>
    <w:p w14:paraId="47A8E498" w14:textId="77777777" w:rsidR="007C11E9" w:rsidRPr="000A3A07" w:rsidRDefault="007C11E9">
      <w:pPr>
        <w:pStyle w:val="Normaltindrag"/>
      </w:pPr>
      <w:r w:rsidRPr="000A3A07">
        <w:rPr>
          <w:i/>
        </w:rPr>
        <w:t xml:space="preserve">Banverket </w:t>
      </w:r>
      <w:r w:rsidRPr="000A3A07">
        <w:t>instämmer i revisorernas slutsats att investeringar i vägar och järnvägar ska ske så kostnadseffektivt som möjligt. Verket anser också att man för investeringar med alternativ finansiering bör beskriva investeringa</w:t>
      </w:r>
      <w:r w:rsidRPr="000A3A07">
        <w:t>r</w:t>
      </w:r>
      <w:r w:rsidRPr="000A3A07">
        <w:t>nas inverkan på statsfinanserna.</w:t>
      </w:r>
    </w:p>
    <w:p w14:paraId="35567908" w14:textId="77777777" w:rsidR="007C11E9" w:rsidRPr="000A3A07" w:rsidRDefault="007C11E9">
      <w:pPr>
        <w:pStyle w:val="Normaltindrag"/>
      </w:pPr>
      <w:r w:rsidRPr="000A3A07">
        <w:rPr>
          <w:i/>
        </w:rPr>
        <w:t xml:space="preserve">Landstingsförbundet </w:t>
      </w:r>
      <w:r w:rsidRPr="000A3A07">
        <w:t>delar revisorernas uppfattning att regeringens red</w:t>
      </w:r>
      <w:r w:rsidRPr="000A3A07">
        <w:t>o</w:t>
      </w:r>
      <w:r w:rsidRPr="000A3A07">
        <w:t>visning av väg- och järnvägsinvesteringars finansiering bör förbättras. Reg</w:t>
      </w:r>
      <w:r w:rsidRPr="000A3A07">
        <w:t>e</w:t>
      </w:r>
      <w:r w:rsidRPr="000A3A07">
        <w:t>ringen bör vid varje förslag till investering med alternativ finansiering kla</w:t>
      </w:r>
      <w:r w:rsidRPr="000A3A07">
        <w:t>r</w:t>
      </w:r>
      <w:r w:rsidRPr="000A3A07">
        <w:t>göra motiven för och riskerna med den valda finansieringsformen, menar förbundet.</w:t>
      </w:r>
    </w:p>
    <w:p w14:paraId="516DEB44" w14:textId="77777777" w:rsidR="007C11E9" w:rsidRPr="000A3A07" w:rsidRDefault="007C11E9">
      <w:pPr>
        <w:pStyle w:val="Normaltindrag"/>
      </w:pPr>
      <w:r w:rsidRPr="000A3A07">
        <w:rPr>
          <w:i/>
        </w:rPr>
        <w:t xml:space="preserve">Umeå kommun </w:t>
      </w:r>
      <w:r w:rsidRPr="000A3A07">
        <w:t>delar revisorernas uppfattning att motiven för valet av a</w:t>
      </w:r>
      <w:r w:rsidRPr="000A3A07">
        <w:t>l</w:t>
      </w:r>
      <w:r w:rsidRPr="000A3A07">
        <w:t>ternativ finansieringsform alltid ska redovisas och att konsekvenserna på kort och lång sikt ska klargöras. Kommunen uppger att det kan göras genom att kalkylerna utökas med arbetsm</w:t>
      </w:r>
      <w:r w:rsidRPr="000A3A07">
        <w:t>o</w:t>
      </w:r>
      <w:r w:rsidRPr="000A3A07">
        <w:t>mentet ”finansiering”.</w:t>
      </w:r>
    </w:p>
    <w:p w14:paraId="00E774DC" w14:textId="77777777" w:rsidR="007C11E9" w:rsidRPr="000A3A07" w:rsidRDefault="007C11E9">
      <w:pPr>
        <w:spacing w:before="240"/>
        <w:rPr>
          <w:i/>
        </w:rPr>
      </w:pPr>
      <w:r w:rsidRPr="000A3A07">
        <w:rPr>
          <w:i/>
        </w:rPr>
        <w:t>Övriga synpunkter</w:t>
      </w:r>
    </w:p>
    <w:p w14:paraId="4A7AD7A4" w14:textId="77777777" w:rsidR="007C11E9" w:rsidRPr="000A3A07" w:rsidRDefault="007C11E9">
      <w:r w:rsidRPr="000A3A07">
        <w:rPr>
          <w:i/>
        </w:rPr>
        <w:t xml:space="preserve">Svenska Naturskyddsföreningen </w:t>
      </w:r>
      <w:r w:rsidRPr="000A3A07">
        <w:t>anser att investeringar i infrastruktur inte är mer angelägna än investeringar på andra områden. Om lånefinansiering anses acceptabel för ny infrastruktur bör samma modell även accepteras för miljöområdet, utbildnings- och forskningssystemet och en stor del av sju</w:t>
      </w:r>
      <w:r w:rsidRPr="000A3A07">
        <w:t>k</w:t>
      </w:r>
      <w:r w:rsidRPr="000A3A07">
        <w:t>vården, menar föreningen.</w:t>
      </w:r>
    </w:p>
    <w:p w14:paraId="65AF7F80" w14:textId="77777777" w:rsidR="007C11E9" w:rsidRPr="000A3A07" w:rsidRDefault="007C11E9">
      <w:pPr>
        <w:pStyle w:val="Normaltindrag"/>
        <w:rPr>
          <w:i/>
        </w:rPr>
      </w:pPr>
      <w:r w:rsidRPr="000A3A07">
        <w:rPr>
          <w:i/>
        </w:rPr>
        <w:t xml:space="preserve">Riksgäldskontoret </w:t>
      </w:r>
      <w:r w:rsidRPr="000A3A07">
        <w:t>påpekar att det inte bara är på infrastrukturområdet som anspråk på lånefinansierade anslagsbolag kan komma att resas för att vidga verksamheten utöver de begränsningar som löpande sätts av tillgängliga budgetmedel. Frågan kan enligt Riksgäldskontoret tänkas avse vilka invest</w:t>
      </w:r>
      <w:r w:rsidRPr="000A3A07">
        <w:t>e</w:t>
      </w:r>
      <w:r w:rsidRPr="000A3A07">
        <w:t>ringar och vilken finansiering som helst: ambassadbyggnader, militära i</w:t>
      </w:r>
      <w:r w:rsidRPr="000A3A07">
        <w:t>n</w:t>
      </w:r>
      <w:r w:rsidRPr="000A3A07">
        <w:t>stallationer, polisfordon, uppköp av skogsmark, investeringar i utbildning m.m. Riksgäldskontoret konstaterar dock att staten/skattebetalarna inte i något fall und</w:t>
      </w:r>
      <w:r w:rsidRPr="000A3A07">
        <w:t>går räkningen för investeringen – den bara skjuts på framtiden.</w:t>
      </w:r>
      <w:r w:rsidRPr="000A3A07">
        <w:rPr>
          <w:i/>
        </w:rPr>
        <w:t xml:space="preserve"> </w:t>
      </w:r>
    </w:p>
    <w:p w14:paraId="18BB3D66" w14:textId="77777777" w:rsidR="007C11E9" w:rsidRPr="000A3A07" w:rsidRDefault="007C11E9">
      <w:pPr>
        <w:pStyle w:val="Normaltindrag"/>
      </w:pPr>
      <w:r w:rsidRPr="000A3A07">
        <w:t>Riksgäldskontoret påpekar också att statens intresse noga behöver värnas i projekt med samfinansiering. Kontoret pekar på risken att privata finansiärer och aktieägare rider på det statliga intresset av att få en viss investering till stånd och utverkar en förhållandevis hög och riskfri ersättning på bekostnad av staten.</w:t>
      </w:r>
    </w:p>
    <w:p w14:paraId="622F3B1C" w14:textId="77777777" w:rsidR="007C11E9" w:rsidRPr="000A3A07" w:rsidRDefault="007C11E9">
      <w:pPr>
        <w:pStyle w:val="Normaltindrag"/>
      </w:pPr>
      <w:r w:rsidRPr="000A3A07">
        <w:rPr>
          <w:i/>
        </w:rPr>
        <w:t xml:space="preserve">Statens institut för kommunikationsanalys (SIKA) </w:t>
      </w:r>
      <w:r w:rsidRPr="000A3A07">
        <w:t xml:space="preserve">anser att det kan vara önskvärt att de som drar nytta av investeringar (även kommuner) också är med och bär en större del av den finansiella bördan. </w:t>
      </w:r>
    </w:p>
    <w:p w14:paraId="48FB7ED5" w14:textId="77777777" w:rsidR="007C11E9" w:rsidRPr="000A3A07" w:rsidRDefault="007C11E9">
      <w:pPr>
        <w:pStyle w:val="Normaltindrag"/>
      </w:pPr>
      <w:r w:rsidRPr="000A3A07">
        <w:rPr>
          <w:i/>
        </w:rPr>
        <w:t>Nämnden för offentlig upphandling (NOU)</w:t>
      </w:r>
      <w:r w:rsidRPr="000A3A07">
        <w:t xml:space="preserve"> konstaterar att det inte finns någon lagligt bindande definition av privatfinansiering genom partnerskap. NOU menar att finansiering och upphandlingsform är nära anknutna frågor. Med utgångspunkt från lagen om offentlig upphandling skiljer NOU mellan byggentreprenad och byggkoncession. Skillnaden mellan upphandlingsfo</w:t>
      </w:r>
      <w:r w:rsidRPr="000A3A07">
        <w:t>r</w:t>
      </w:r>
      <w:r w:rsidRPr="000A3A07">
        <w:t xml:space="preserve">merna är enligt NOU att anbudsgivaren vid en koncession får rätt att utnyttja anläggningen/tjänsterna kommersiellt. NOU uppger att en byggkoncession innebär att de risker som är förenade med </w:t>
      </w:r>
      <w:r w:rsidRPr="000A3A07">
        <w:t>nyttjandet övergår på koncession</w:t>
      </w:r>
      <w:r w:rsidRPr="000A3A07">
        <w:t>s</w:t>
      </w:r>
      <w:r w:rsidRPr="000A3A07">
        <w:t>havaren. NOU menar att privatfinansiering genom partnerskap innebär att staten antingen köper en byggentreprenad och en tjänst eller en byggkonce</w:t>
      </w:r>
      <w:r w:rsidRPr="000A3A07">
        <w:t>s</w:t>
      </w:r>
      <w:r w:rsidRPr="000A3A07">
        <w:t>sion.</w:t>
      </w:r>
    </w:p>
    <w:p w14:paraId="733D8D2A" w14:textId="77777777" w:rsidR="007C11E9" w:rsidRPr="000A3A07" w:rsidRDefault="007C11E9">
      <w:pPr>
        <w:pStyle w:val="Rubrik2"/>
      </w:pPr>
      <w:bookmarkStart w:id="405" w:name="_Toc504203754"/>
      <w:bookmarkStart w:id="406" w:name="_Toc506341059"/>
      <w:r w:rsidRPr="000A3A07">
        <w:t>Planeringsprocessen bör ses över</w:t>
      </w:r>
      <w:bookmarkEnd w:id="405"/>
      <w:bookmarkEnd w:id="406"/>
    </w:p>
    <w:p w14:paraId="1B5D71A8" w14:textId="77777777" w:rsidR="007C11E9" w:rsidRPr="000A3A07" w:rsidRDefault="007C11E9">
      <w:pPr>
        <w:numPr>
          <w:ilvl w:val="0"/>
          <w:numId w:val="21"/>
        </w:numPr>
      </w:pPr>
      <w:r w:rsidRPr="000A3A07">
        <w:rPr>
          <w:i/>
        </w:rPr>
        <w:t>Revisorerna</w:t>
      </w:r>
      <w:r w:rsidRPr="000A3A07">
        <w:t xml:space="preserve"> anser att det finns anledning att se över planeringsprocessen för investeringar i vägar och järnvägar. Översynen bör ta sikte på en planeringsmodell där samtliga nationella väg- och järnvägsinvesteringar som helt eller delvis finansieras med statliga medel prövas inbördes, oberoende av finansieringsform. Revisorerna anser att valet av invest</w:t>
      </w:r>
      <w:r w:rsidRPr="000A3A07">
        <w:t>e</w:t>
      </w:r>
      <w:r w:rsidRPr="000A3A07">
        <w:t>ringsprojekt bör baseras på samhällsekonomiska bedömningar med u</w:t>
      </w:r>
      <w:r w:rsidRPr="000A3A07">
        <w:t>t</w:t>
      </w:r>
      <w:r w:rsidRPr="000A3A07">
        <w:t>gångspunkt från de transportpolitiska målen. Med dagens system finns risk för att samhällsekonomiskt m</w:t>
      </w:r>
      <w:r w:rsidRPr="000A3A07">
        <w:t>indre angelägna investeringar ges f</w:t>
      </w:r>
      <w:r w:rsidRPr="000A3A07">
        <w:t>ö</w:t>
      </w:r>
      <w:r w:rsidRPr="000A3A07">
        <w:t>reträde om de kan finansieras på annat sätt än med anslag över statsbu</w:t>
      </w:r>
      <w:r w:rsidRPr="000A3A07">
        <w:t>d</w:t>
      </w:r>
      <w:r w:rsidRPr="000A3A07">
        <w:t>geten. Därmed finns också risk för att projekt med alternativ finansi</w:t>
      </w:r>
      <w:r w:rsidRPr="000A3A07">
        <w:t>e</w:t>
      </w:r>
      <w:r w:rsidRPr="000A3A07">
        <w:t>ring tränger undan resurser för samhällsekonomiskt mer lönsamma å</w:t>
      </w:r>
      <w:r w:rsidRPr="000A3A07">
        <w:t>t</w:t>
      </w:r>
      <w:r w:rsidRPr="000A3A07">
        <w:t>gärder.</w:t>
      </w:r>
    </w:p>
    <w:p w14:paraId="6ADDF4FF" w14:textId="77777777" w:rsidR="007C11E9" w:rsidRPr="000A3A07" w:rsidRDefault="007C11E9">
      <w:pPr>
        <w:spacing w:before="240"/>
        <w:rPr>
          <w:i/>
        </w:rPr>
      </w:pPr>
      <w:r w:rsidRPr="000A3A07">
        <w:rPr>
          <w:i/>
        </w:rPr>
        <w:t>Projekt bör prioriteras på samma grunder</w:t>
      </w:r>
    </w:p>
    <w:p w14:paraId="600CD8F7" w14:textId="77777777" w:rsidR="007C11E9" w:rsidRPr="000A3A07" w:rsidRDefault="007C11E9">
      <w:r w:rsidRPr="000A3A07">
        <w:rPr>
          <w:i/>
        </w:rPr>
        <w:t>Statskontoret</w:t>
      </w:r>
      <w:r w:rsidRPr="000A3A07">
        <w:t xml:space="preserve"> anser att alla infrastrukturprojekt som helt eller delvis finansi</w:t>
      </w:r>
      <w:r w:rsidRPr="000A3A07">
        <w:t>e</w:t>
      </w:r>
      <w:r w:rsidRPr="000A3A07">
        <w:t>ras med statliga medel bör hanteras inom samma planeringsprocess och prioriteras efter sin samhällsekonomiska lönsamhet. Statskontoret tillstyrker därför revisorernas förslag om en översyn av nuvarande planeringsprocess för väg- och järnvägsinvesteringar.</w:t>
      </w:r>
    </w:p>
    <w:p w14:paraId="67EC5F28" w14:textId="77777777" w:rsidR="007C11E9" w:rsidRPr="000A3A07" w:rsidRDefault="007C11E9">
      <w:pPr>
        <w:pStyle w:val="Normaltindrag"/>
      </w:pPr>
      <w:r w:rsidRPr="000A3A07">
        <w:rPr>
          <w:i/>
        </w:rPr>
        <w:t>Riksgäldskontoret</w:t>
      </w:r>
      <w:r w:rsidRPr="000A3A07">
        <w:t xml:space="preserve"> menar att alternativ finansiering kan leda till felbeslut och ge merkostnader om inte förutsättningar finns för en avvägning mellan statens olika satsningar. Många av riskerna med alternativ finansiering följer enligt Riksgäldskontoret av att projekt med sådan finansiering kan tänkas vara enklare att få till stånd, eftersom de varken behöver budgetprövas som andra satsningar eller prövas i förhållande till andra satsningar. Riksgäld</w:t>
      </w:r>
      <w:r w:rsidRPr="000A3A07">
        <w:t>s</w:t>
      </w:r>
      <w:r w:rsidRPr="000A3A07">
        <w:t>kontoret anser att revisorernas förslag till skärpningar av kraven för att</w:t>
      </w:r>
      <w:r w:rsidRPr="000A3A07">
        <w:t xml:space="preserve"> alte</w:t>
      </w:r>
      <w:r w:rsidRPr="000A3A07">
        <w:t>r</w:t>
      </w:r>
      <w:r w:rsidRPr="000A3A07">
        <w:t>nativa finansieringsformer ska kunna komma i fråga är väl motiver</w:t>
      </w:r>
      <w:r w:rsidRPr="000A3A07">
        <w:t>a</w:t>
      </w:r>
      <w:r w:rsidRPr="000A3A07">
        <w:t xml:space="preserve">de. </w:t>
      </w:r>
    </w:p>
    <w:p w14:paraId="720B8328" w14:textId="77777777" w:rsidR="007C11E9" w:rsidRPr="000A3A07" w:rsidRDefault="007C11E9">
      <w:pPr>
        <w:pStyle w:val="Normaltindrag"/>
      </w:pPr>
      <w:r w:rsidRPr="000A3A07">
        <w:rPr>
          <w:i/>
        </w:rPr>
        <w:t xml:space="preserve">Ekonomistyrningsverket (ESV) </w:t>
      </w:r>
      <w:r w:rsidRPr="000A3A07">
        <w:t>delar revisorernas uppfattning att det är önskvärt att samtliga väg- och järnvägsinvesteringar som helt eller delvis finansieras av staten prövas inbördes med hänsyn till projektens samhäl</w:t>
      </w:r>
      <w:r w:rsidRPr="000A3A07">
        <w:t>l</w:t>
      </w:r>
      <w:r w:rsidRPr="000A3A07">
        <w:t>s-nytta oavsett finansieringssätt. ESV anser också att valet av projekt bör bas</w:t>
      </w:r>
      <w:r w:rsidRPr="000A3A07">
        <w:t>e</w:t>
      </w:r>
      <w:r w:rsidRPr="000A3A07">
        <w:t>ras på samhällsekonomiska bedömningar utifrån de transportpolitiska målen. ESV instämmer med revisorerna att det kan finnas anledning att se över utformningen av planeringsprocessen i syfte att åstadkomma en från sa</w:t>
      </w:r>
      <w:r w:rsidRPr="000A3A07">
        <w:t>m</w:t>
      </w:r>
      <w:r w:rsidRPr="000A3A07">
        <w:t>hällsek</w:t>
      </w:r>
      <w:r w:rsidRPr="000A3A07">
        <w:t>o</w:t>
      </w:r>
      <w:r w:rsidRPr="000A3A07">
        <w:t>nomisk synpunkt bät</w:t>
      </w:r>
      <w:r w:rsidRPr="000A3A07">
        <w:t>tre prioritering.</w:t>
      </w:r>
    </w:p>
    <w:p w14:paraId="3EB37883" w14:textId="77777777" w:rsidR="007C11E9" w:rsidRPr="000A3A07" w:rsidRDefault="007C11E9">
      <w:pPr>
        <w:pStyle w:val="Normaltindrag"/>
      </w:pPr>
      <w:r w:rsidRPr="000A3A07">
        <w:rPr>
          <w:i/>
        </w:rPr>
        <w:t xml:space="preserve">Banverket </w:t>
      </w:r>
      <w:r w:rsidRPr="000A3A07">
        <w:t>delar revisorernas uppfattning att det finns anledning att se över planeringsprocessen. Verket anser att alla väg- och järnvägsinvesteringar bör prioriteras på samma grund – en bedömning av samhällsekonomisk lönsa</w:t>
      </w:r>
      <w:r w:rsidRPr="000A3A07">
        <w:t>m</w:t>
      </w:r>
      <w:r w:rsidRPr="000A3A07">
        <w:t xml:space="preserve">het och transportpolitisk måluppfyllelse. </w:t>
      </w:r>
    </w:p>
    <w:p w14:paraId="0623117C" w14:textId="77777777" w:rsidR="007C11E9" w:rsidRPr="000A3A07" w:rsidRDefault="007C11E9">
      <w:pPr>
        <w:pStyle w:val="Normaltindrag"/>
      </w:pPr>
      <w:r w:rsidRPr="000A3A07">
        <w:rPr>
          <w:i/>
        </w:rPr>
        <w:t>Vägverket</w:t>
      </w:r>
      <w:r w:rsidRPr="000A3A07">
        <w:t xml:space="preserve"> delar uppfattningen att planeringssystemet bör vara utformat så att alla projekt och åtgärder blir föremål för en likartad behandling. Även om det finns projekt som av olika orsaker behandlas utanför den ordinarie plan</w:t>
      </w:r>
      <w:r w:rsidRPr="000A3A07">
        <w:t>e</w:t>
      </w:r>
      <w:r w:rsidRPr="000A3A07">
        <w:t xml:space="preserve">ringen är det viktigt att de motiv som prioriteringen av dessa grundas på blir tydliga, menar verket. Vägverket menar att samma krav ska ställas på alla projekt, vad gäller den samhällsekonomiska lönsamheten och andra kriterier som används som prioriteringsgrund. </w:t>
      </w:r>
    </w:p>
    <w:p w14:paraId="0A627800" w14:textId="77777777" w:rsidR="007C11E9" w:rsidRPr="000A3A07" w:rsidRDefault="007C11E9">
      <w:pPr>
        <w:pStyle w:val="Normaltindrag"/>
      </w:pPr>
      <w:r w:rsidRPr="000A3A07">
        <w:t>Vägverket har uppfattningen</w:t>
      </w:r>
      <w:r w:rsidRPr="000A3A07">
        <w:t xml:space="preserve"> att man inom ramen för gällande planering</w:t>
      </w:r>
      <w:r w:rsidRPr="000A3A07">
        <w:t>s</w:t>
      </w:r>
      <w:r w:rsidRPr="000A3A07">
        <w:t>process även ska kunna hantera den typ av större, komplexa och kostnad</w:t>
      </w:r>
      <w:r w:rsidRPr="000A3A07">
        <w:t>s</w:t>
      </w:r>
      <w:r w:rsidRPr="000A3A07">
        <w:t>krävande åtgärder som behandlas i revisorernas ra</w:t>
      </w:r>
      <w:r w:rsidRPr="000A3A07">
        <w:t>p</w:t>
      </w:r>
      <w:r w:rsidRPr="000A3A07">
        <w:t>port.</w:t>
      </w:r>
    </w:p>
    <w:p w14:paraId="7EA24315" w14:textId="77777777" w:rsidR="007C11E9" w:rsidRPr="000A3A07" w:rsidRDefault="007C11E9">
      <w:pPr>
        <w:pStyle w:val="Normaltindrag"/>
      </w:pPr>
      <w:r w:rsidRPr="000A3A07">
        <w:rPr>
          <w:i/>
        </w:rPr>
        <w:t>Väg- och transportforskningsinstitutet (VTI)</w:t>
      </w:r>
      <w:r w:rsidRPr="000A3A07">
        <w:t xml:space="preserve"> anser att det vore önskvärt om beslutsprocesserna utvecklas så att alternativt finansierade infrastrukturpr</w:t>
      </w:r>
      <w:r w:rsidRPr="000A3A07">
        <w:t>o</w:t>
      </w:r>
      <w:r w:rsidRPr="000A3A07">
        <w:t>jekt utvärderas enligt samma kriterier som anslagsfinansierade investeringar och att det politiska inflytandet inte försvagas. Samtliga projekt, oavsett finansieringsform, bör enligt VTI hanteras inom riksdagens ekonomiska planeringsram. Kriteriet för genomförande och rangordning av olika projekt bör vara samhällsek</w:t>
      </w:r>
      <w:r w:rsidRPr="000A3A07">
        <w:t>o</w:t>
      </w:r>
      <w:r w:rsidRPr="000A3A07">
        <w:t xml:space="preserve">nomisk lönsamhet, anser VTI. </w:t>
      </w:r>
    </w:p>
    <w:p w14:paraId="31F4677A" w14:textId="77777777" w:rsidR="007C11E9" w:rsidRPr="000A3A07" w:rsidRDefault="007C11E9">
      <w:pPr>
        <w:pStyle w:val="Normaltindrag"/>
      </w:pPr>
      <w:r w:rsidRPr="000A3A07">
        <w:rPr>
          <w:i/>
        </w:rPr>
        <w:t>Kommunikationsforskningsberedningen (KFB)</w:t>
      </w:r>
      <w:r w:rsidRPr="000A3A07">
        <w:t xml:space="preserve"> finner revisorernas kritik mot att de alternativfinansierade objekten inte alltid bedöms samhällsekon</w:t>
      </w:r>
      <w:r w:rsidRPr="000A3A07">
        <w:t>o</w:t>
      </w:r>
      <w:r w:rsidRPr="000A3A07">
        <w:t>miskt och i konkurrens med anslagsfinansierade objekt relevant. KFB ställer sig därför bakom förslaget att göra en översyn av planeringsprocessen. KFB ser positivt på revisorernas uppfattning att den svenska transportpolitiken även fortsättningsvis bör baseras på ett samhällsekonomiskt synsätt. KFB konstaterar att denna transportpolitiska princip överensstämmer med ekon</w:t>
      </w:r>
      <w:r w:rsidRPr="000A3A07">
        <w:t>o</w:t>
      </w:r>
      <w:r w:rsidRPr="000A3A07">
        <w:t>misk vetenskap på området.</w:t>
      </w:r>
    </w:p>
    <w:p w14:paraId="08328E10" w14:textId="77777777" w:rsidR="007C11E9" w:rsidRPr="000A3A07" w:rsidRDefault="007C11E9">
      <w:pPr>
        <w:pStyle w:val="Normaltindrag"/>
      </w:pPr>
      <w:r w:rsidRPr="000A3A07">
        <w:rPr>
          <w:i/>
        </w:rPr>
        <w:t>Statens i</w:t>
      </w:r>
      <w:r w:rsidRPr="000A3A07">
        <w:rPr>
          <w:i/>
        </w:rPr>
        <w:t xml:space="preserve">nstitut för kommunikationsanalys (SIKA) </w:t>
      </w:r>
      <w:r w:rsidRPr="000A3A07">
        <w:t xml:space="preserve">instämmer i att alla väg- och järnvägsinvesteringar som helt eller delvis finansieras med statliga medel bör prövas oberoende av finansieringsform. </w:t>
      </w:r>
    </w:p>
    <w:p w14:paraId="1680AE04" w14:textId="77777777" w:rsidR="007C11E9" w:rsidRPr="000A3A07" w:rsidRDefault="007C11E9">
      <w:pPr>
        <w:pStyle w:val="Normaltindrag"/>
      </w:pPr>
      <w:r w:rsidRPr="000A3A07">
        <w:rPr>
          <w:i/>
        </w:rPr>
        <w:t xml:space="preserve">Landstingsförbundet </w:t>
      </w:r>
      <w:r w:rsidRPr="000A3A07">
        <w:t>delar revisorernas uppfattning att det finns anledning att se över planeringsprocessen för investeringar i vägar och järnvägar. Fö</w:t>
      </w:r>
      <w:r w:rsidRPr="000A3A07">
        <w:t>r</w:t>
      </w:r>
      <w:r w:rsidRPr="000A3A07">
        <w:t>bundet delar också uppfattningen att valet av investeringsprojekt bör baseras på samhällsekonomiska bedömningar med utgångspunkt från de transpor</w:t>
      </w:r>
      <w:r w:rsidRPr="000A3A07">
        <w:t>t</w:t>
      </w:r>
      <w:r w:rsidRPr="000A3A07">
        <w:t>politiska målen.</w:t>
      </w:r>
    </w:p>
    <w:p w14:paraId="61A09DC0" w14:textId="77777777" w:rsidR="007C11E9" w:rsidRPr="000A3A07" w:rsidRDefault="007C11E9">
      <w:pPr>
        <w:pStyle w:val="Normaltindrag"/>
      </w:pPr>
      <w:r w:rsidRPr="000A3A07">
        <w:rPr>
          <w:i/>
        </w:rPr>
        <w:t xml:space="preserve">Nacka kommun </w:t>
      </w:r>
      <w:r w:rsidRPr="000A3A07">
        <w:t>anser att alla aktuella projekt oavsett finansieringsform borde vara med på samma prioriteringslista. Kommunen menar att Södra länken blev försenad på grund av att projektet lyftes ur den statliga i</w:t>
      </w:r>
      <w:r w:rsidRPr="000A3A07">
        <w:t>n</w:t>
      </w:r>
      <w:r w:rsidRPr="000A3A07">
        <w:t>frastrukturplaneringen (för att projektet skulle genomföras med alternativ finansiering). Med en gemensam prioriteringslista skulle risken för liknande fördröjningar minska, menar kommunen.</w:t>
      </w:r>
    </w:p>
    <w:p w14:paraId="69D0C7D5" w14:textId="77777777" w:rsidR="007C11E9" w:rsidRPr="000A3A07" w:rsidRDefault="007C11E9">
      <w:pPr>
        <w:pStyle w:val="Normaltindrag"/>
      </w:pPr>
      <w:r w:rsidRPr="000A3A07">
        <w:t>Nacka kommun anser också att det är viktigt att beslut fattas över huvud taget. Den största risken i Stockholmsregionen med</w:t>
      </w:r>
      <w:r w:rsidRPr="000A3A07">
        <w:t xml:space="preserve"> många aktörer och b</w:t>
      </w:r>
      <w:r w:rsidRPr="000A3A07">
        <w:t>e</w:t>
      </w:r>
      <w:r w:rsidRPr="000A3A07">
        <w:t>slutsfattare är alla ”icke-beslut”, menar kommunen.</w:t>
      </w:r>
    </w:p>
    <w:p w14:paraId="098F249A" w14:textId="77777777" w:rsidR="007C11E9" w:rsidRPr="000A3A07" w:rsidRDefault="007C11E9">
      <w:pPr>
        <w:pStyle w:val="Normaltindrag"/>
      </w:pPr>
      <w:r w:rsidRPr="000A3A07">
        <w:rPr>
          <w:i/>
        </w:rPr>
        <w:t>Umeå kommun</w:t>
      </w:r>
      <w:r w:rsidRPr="000A3A07">
        <w:t xml:space="preserve"> instämmer i att planeringsprocessen bör vara gemensam och att värderingsgrunderna och prioriteringsreglerna ska vara lika för alla projekt, oavsett finansieringsmetod.</w:t>
      </w:r>
    </w:p>
    <w:p w14:paraId="537BE2D7" w14:textId="77777777" w:rsidR="007C11E9" w:rsidRPr="000A3A07" w:rsidRDefault="007C11E9">
      <w:pPr>
        <w:pStyle w:val="Normaltindrag"/>
      </w:pPr>
      <w:r w:rsidRPr="000A3A07">
        <w:rPr>
          <w:i/>
        </w:rPr>
        <w:t xml:space="preserve">Botniabanegruppen </w:t>
      </w:r>
      <w:r w:rsidRPr="000A3A07">
        <w:t xml:space="preserve">och </w:t>
      </w:r>
      <w:r w:rsidRPr="000A3A07">
        <w:rPr>
          <w:i/>
        </w:rPr>
        <w:t xml:space="preserve">Örnsköldsviks kommun </w:t>
      </w:r>
      <w:r w:rsidRPr="000A3A07">
        <w:t>anser att valet av invest</w:t>
      </w:r>
      <w:r w:rsidRPr="000A3A07">
        <w:t>e</w:t>
      </w:r>
      <w:r w:rsidRPr="000A3A07">
        <w:t>ringsprojekt bör baseras på samhällsekonomiska bedömningar med utgång</w:t>
      </w:r>
      <w:r w:rsidRPr="000A3A07">
        <w:t>s</w:t>
      </w:r>
      <w:r w:rsidRPr="000A3A07">
        <w:t>punkt från de transportpol</w:t>
      </w:r>
      <w:r w:rsidRPr="000A3A07">
        <w:t>i</w:t>
      </w:r>
      <w:r w:rsidRPr="000A3A07">
        <w:t>tiska målen.</w:t>
      </w:r>
    </w:p>
    <w:p w14:paraId="52BA231A" w14:textId="77777777" w:rsidR="007C11E9" w:rsidRPr="000A3A07" w:rsidRDefault="007C11E9">
      <w:pPr>
        <w:pStyle w:val="Normaltindrag"/>
      </w:pPr>
      <w:r w:rsidRPr="000A3A07">
        <w:rPr>
          <w:i/>
        </w:rPr>
        <w:t xml:space="preserve">Svenska Naturskyddsföreningen </w:t>
      </w:r>
      <w:r w:rsidRPr="000A3A07">
        <w:t>anser att beslut om statliga satsningar s</w:t>
      </w:r>
      <w:r w:rsidRPr="000A3A07">
        <w:t>å</w:t>
      </w:r>
      <w:r w:rsidRPr="000A3A07">
        <w:t>väl på drift och underhåll av befintlig infrastruktur som på investeringar i ny infrastruktur bör ske i en sammanhållen prioriteringsprocess där satsningar inom dessa områden konkurrerar om statens medel på samma villkor som andra utgiftsområden. Föreningen anser att basen för prioriteringarna bör vara samhällsekonomiska beräkningar tillsammans med faktorer som exe</w:t>
      </w:r>
      <w:r w:rsidRPr="000A3A07">
        <w:t>m</w:t>
      </w:r>
      <w:r w:rsidRPr="000A3A07">
        <w:t>pelvis intrång och regionalpolitik.</w:t>
      </w:r>
    </w:p>
    <w:p w14:paraId="49E183D9" w14:textId="77777777" w:rsidR="007C11E9" w:rsidRPr="000A3A07" w:rsidRDefault="007C11E9">
      <w:pPr>
        <w:spacing w:before="240"/>
        <w:rPr>
          <w:i/>
        </w:rPr>
      </w:pPr>
      <w:r w:rsidRPr="000A3A07">
        <w:rPr>
          <w:i/>
        </w:rPr>
        <w:t>Övriga synpunkter</w:t>
      </w:r>
    </w:p>
    <w:p w14:paraId="6B8BE8C8" w14:textId="77777777" w:rsidR="007C11E9" w:rsidRPr="000A3A07" w:rsidRDefault="007C11E9">
      <w:r w:rsidRPr="000A3A07">
        <w:rPr>
          <w:i/>
        </w:rPr>
        <w:t xml:space="preserve">Statskontoret </w:t>
      </w:r>
      <w:r w:rsidRPr="000A3A07">
        <w:t>konstaterar att revisorernas rapport i stort sett bekräftar den problembild från planering och beslut om infrastrukturinvesteringar som tidigare granskningar har visat. Statskontoret har i en rapport om den regi</w:t>
      </w:r>
      <w:r w:rsidRPr="000A3A07">
        <w:t>o</w:t>
      </w:r>
      <w:r w:rsidRPr="000A3A07">
        <w:t>nala beslutsprocessen för infrastrukturinvesteringar funnit att beslut om statliga investeringar i vägar och järnvägar har fattats trots att de samhäll</w:t>
      </w:r>
      <w:r w:rsidRPr="000A3A07">
        <w:t>s</w:t>
      </w:r>
      <w:r w:rsidRPr="000A3A07">
        <w:t>ekonomiska kalkylerna visade att projekten var klart olönsamma. I vissa fall där kalkyler saknades fanns inte heller några kompletterande beslutsund</w:t>
      </w:r>
      <w:r w:rsidRPr="000A3A07">
        <w:t>erlag som förklarade varför projektet prioriterats, uppger Statskontoret. Statskont</w:t>
      </w:r>
      <w:r w:rsidRPr="000A3A07">
        <w:t>o</w:t>
      </w:r>
      <w:r w:rsidRPr="000A3A07">
        <w:t>ret fann också att kalkylerna sällan reviderades och att investeringarna sällan följdes upp.</w:t>
      </w:r>
    </w:p>
    <w:p w14:paraId="716E2F66" w14:textId="77777777" w:rsidR="007C11E9" w:rsidRPr="000A3A07" w:rsidRDefault="007C11E9">
      <w:pPr>
        <w:pStyle w:val="Normaltindrag"/>
      </w:pPr>
      <w:r w:rsidRPr="000A3A07">
        <w:rPr>
          <w:i/>
        </w:rPr>
        <w:t xml:space="preserve">Banverket </w:t>
      </w:r>
      <w:r w:rsidRPr="000A3A07">
        <w:t>påpekar att det är viktigt att planeringsramarna överensstämmer med den faktiska finansieringsmöjligheten. Bristande överensstämmelse mellan planeringsram och anslag skapar enligt verket stora problem, efte</w:t>
      </w:r>
      <w:r w:rsidRPr="000A3A07">
        <w:t>r</w:t>
      </w:r>
      <w:r w:rsidRPr="000A3A07">
        <w:t>som investeringsprojekt ofta samplaneras med exempelvis kommuner, som vill vidta kompletterande åtgärder i samband med i</w:t>
      </w:r>
      <w:r w:rsidRPr="000A3A07">
        <w:t>n</w:t>
      </w:r>
      <w:r w:rsidRPr="000A3A07">
        <w:t>vesteringen.</w:t>
      </w:r>
    </w:p>
    <w:p w14:paraId="2B1D47E1" w14:textId="77777777" w:rsidR="007C11E9" w:rsidRPr="000A3A07" w:rsidRDefault="007C11E9">
      <w:pPr>
        <w:pStyle w:val="Normaltindrag"/>
      </w:pPr>
      <w:r w:rsidRPr="000A3A07">
        <w:t>Banverket anser att man inom ramen för en eventuell översyn av plan</w:t>
      </w:r>
      <w:r w:rsidRPr="000A3A07">
        <w:t>e</w:t>
      </w:r>
      <w:r w:rsidRPr="000A3A07">
        <w:t>ringsprocessen också bör studera om och hur en fördelning av medel mellan transportslagen samt mellan investeringar och drift och underhåll ska geno</w:t>
      </w:r>
      <w:r w:rsidRPr="000A3A07">
        <w:t>m</w:t>
      </w:r>
      <w:r w:rsidRPr="000A3A07">
        <w:t>föras. I denna översyn bör man enligt Banverket studera möjligheten att använda en mer målstyrd fördelningsmodell. Verket ställer sig tveksamt till att basera fördelningen på samhällsekonomiska kalkyler.</w:t>
      </w:r>
    </w:p>
    <w:p w14:paraId="1D5B44E7" w14:textId="77777777" w:rsidR="007C11E9" w:rsidRPr="000A3A07" w:rsidRDefault="007C11E9">
      <w:pPr>
        <w:pStyle w:val="Rubrik2"/>
      </w:pPr>
      <w:bookmarkStart w:id="407" w:name="_Toc504203755"/>
      <w:bookmarkStart w:id="408" w:name="_Toc506341060"/>
      <w:r w:rsidRPr="000A3A07">
        <w:t>Det samhällsekonomiska beslutsunderlaget för väg- och järnvägsinvesteringar måste utvecklas</w:t>
      </w:r>
      <w:bookmarkEnd w:id="407"/>
      <w:bookmarkEnd w:id="408"/>
    </w:p>
    <w:p w14:paraId="516F144E" w14:textId="77777777" w:rsidR="007C11E9" w:rsidRPr="000A3A07" w:rsidRDefault="007C11E9">
      <w:pPr>
        <w:numPr>
          <w:ilvl w:val="0"/>
          <w:numId w:val="22"/>
        </w:numPr>
      </w:pPr>
      <w:r w:rsidRPr="000A3A07">
        <w:rPr>
          <w:i/>
        </w:rPr>
        <w:t xml:space="preserve">Revisorerna </w:t>
      </w:r>
      <w:r w:rsidRPr="000A3A07">
        <w:t>anser att samhällsekonomiska kalkyler utgör en viktig del av det samlade beslutsunderlaget för alla väg- och järnvägsinvesteringar. Det faktum att en investerings samtliga effekter inte kan beaktas i en kalkyl påverkar enligt revisorernas uppfattning inte kravet på att kalk</w:t>
      </w:r>
      <w:r w:rsidRPr="000A3A07">
        <w:t>y</w:t>
      </w:r>
      <w:r w:rsidRPr="000A3A07">
        <w:t>lerna måste vara av hög kvalitet. Av de fallstudier som har genomförts inom ramen för revisorernas granskning framgår att det finns betydande brister i de samhällsekonomiska kalkylerna för de studerade projekten (Arlandabanan, Botniabana</w:t>
      </w:r>
      <w:r w:rsidRPr="000A3A07">
        <w:t>n, Citytunneln i Malmö och Södra länken i Stockholm). Därför anser revisorerna att kraven på utformningen av det samhällsekonomiska beslutsunderlaget för väg- och järnvägsinvest</w:t>
      </w:r>
      <w:r w:rsidRPr="000A3A07">
        <w:t>e</w:t>
      </w:r>
      <w:r w:rsidRPr="000A3A07">
        <w:t>ringar bör diskuteras. Revisorerna anser att beslutsunderlaget bör vara informativt, tydligt, lättillgängligt och aktuellt. Dessutom bör flera alte</w:t>
      </w:r>
      <w:r w:rsidRPr="000A3A07">
        <w:t>r</w:t>
      </w:r>
      <w:r w:rsidRPr="000A3A07">
        <w:t>nativa lösningar redovisas. Revisorerna anser också att det är viktigt att en investerings alla effekter (både de som ingår i kalkylen och de som hanteras utanför kalkylen) redovisas sam</w:t>
      </w:r>
      <w:r w:rsidRPr="000A3A07">
        <w:t>lat för att underlätta en bedö</w:t>
      </w:r>
      <w:r w:rsidRPr="000A3A07">
        <w:t>m</w:t>
      </w:r>
      <w:r w:rsidRPr="000A3A07">
        <w:t>ning av projektet. Regeringen bör för riksdagen tydligt motivera och r</w:t>
      </w:r>
      <w:r w:rsidRPr="000A3A07">
        <w:t>e</w:t>
      </w:r>
      <w:r w:rsidRPr="000A3A07">
        <w:t>dovisa sina förslag till enskilda väg- och järnvägsinve</w:t>
      </w:r>
      <w:r w:rsidRPr="000A3A07">
        <w:t>s</w:t>
      </w:r>
      <w:r w:rsidRPr="000A3A07">
        <w:t xml:space="preserve">teringar. </w:t>
      </w:r>
    </w:p>
    <w:p w14:paraId="2D6ACBA1" w14:textId="77777777" w:rsidR="007C11E9" w:rsidRPr="000A3A07" w:rsidRDefault="007C11E9">
      <w:pPr>
        <w:spacing w:before="240"/>
        <w:rPr>
          <w:i/>
        </w:rPr>
      </w:pPr>
      <w:r w:rsidRPr="000A3A07">
        <w:rPr>
          <w:i/>
        </w:rPr>
        <w:t>Viktigt att beslutsunderlagen utvecklas</w:t>
      </w:r>
    </w:p>
    <w:p w14:paraId="7512AA6A" w14:textId="77777777" w:rsidR="007C11E9" w:rsidRPr="000A3A07" w:rsidRDefault="007C11E9">
      <w:r w:rsidRPr="000A3A07">
        <w:rPr>
          <w:i/>
        </w:rPr>
        <w:t xml:space="preserve">Statskontoret </w:t>
      </w:r>
      <w:r w:rsidRPr="000A3A07">
        <w:t xml:space="preserve">uppger att de samhällsekonomiska kalkylernas värde som ekonomiskt beslutsunderlag för offentliga investeringar kan ifrågasättas om de problem som revisorerna redovisar inte åtgärdas. Ett sätt att förbättra beslutsunderlaget och öka förståelsen för kalkylerna vore enligt Statskontoret att komplettera kalkylerna med kvalitativa omdömen om effekter som inte är möjliga att kvantifiera och som därför inte ingår i själva kalkylen. </w:t>
      </w:r>
    </w:p>
    <w:p w14:paraId="682096EC" w14:textId="77777777" w:rsidR="007C11E9" w:rsidRPr="000A3A07" w:rsidRDefault="007C11E9">
      <w:pPr>
        <w:pStyle w:val="Normaltindrag"/>
      </w:pPr>
      <w:r w:rsidRPr="000A3A07">
        <w:t>Statskontoret anser att det är angeläget att särskilt satsa på utvecklingen av sam</w:t>
      </w:r>
      <w:r w:rsidRPr="000A3A07">
        <w:t>hällsekonomiska kalkyler för informations-, reglerings- samt drift- och underhållsåtgärder som kan utgöra alternativ till investeringsåtgärder.</w:t>
      </w:r>
    </w:p>
    <w:p w14:paraId="454AC3A9" w14:textId="77777777" w:rsidR="007C11E9" w:rsidRPr="000A3A07" w:rsidRDefault="007C11E9">
      <w:pPr>
        <w:pStyle w:val="Normaltindrag"/>
      </w:pPr>
      <w:r w:rsidRPr="000A3A07">
        <w:rPr>
          <w:i/>
        </w:rPr>
        <w:t xml:space="preserve">Ekonomistyrningsverket (ESV) </w:t>
      </w:r>
      <w:r w:rsidRPr="000A3A07">
        <w:t>anser att det är angeläget att de samhäll</w:t>
      </w:r>
      <w:r w:rsidRPr="000A3A07">
        <w:t>s</w:t>
      </w:r>
      <w:r w:rsidRPr="000A3A07">
        <w:t xml:space="preserve">ekonomiska kalkylerna förbättras, bl.a. när det gäller hantering av osäkerhet och risk samt dokumentation av kalkylerna. ESV tillägger att det är en fördel om flera olika handlingsalternativ undersöks. Det faktum att de antaganden som kalkylerna baseras på alltid kan diskuteras understryker enligt ESV behovet av känslighetsanalyser och transparens, menar ESV. </w:t>
      </w:r>
    </w:p>
    <w:p w14:paraId="604101C2" w14:textId="77777777" w:rsidR="007C11E9" w:rsidRPr="000A3A07" w:rsidRDefault="007C11E9">
      <w:pPr>
        <w:pStyle w:val="Normaltindrag"/>
      </w:pPr>
      <w:r w:rsidRPr="000A3A07">
        <w:rPr>
          <w:i/>
        </w:rPr>
        <w:t xml:space="preserve">Banverket </w:t>
      </w:r>
      <w:r w:rsidRPr="000A3A07">
        <w:t>uppger att det är viktigt att kraven på utformning och uppföl</w:t>
      </w:r>
      <w:r w:rsidRPr="000A3A07">
        <w:t>j</w:t>
      </w:r>
      <w:r w:rsidRPr="000A3A07">
        <w:t xml:space="preserve">ning av beslutsunderlaget utvecklas. </w:t>
      </w:r>
    </w:p>
    <w:p w14:paraId="38ED67BD" w14:textId="77777777" w:rsidR="007C11E9" w:rsidRPr="000A3A07" w:rsidRDefault="007C11E9">
      <w:pPr>
        <w:pStyle w:val="Normaltindrag"/>
      </w:pPr>
      <w:r w:rsidRPr="000A3A07">
        <w:t>Banverket instämmer i revisorernas slutsatser att osäkerheter i antaganden, prognosresultat och beräkningar måste tydliggöras och beskrivas bättre. Verket uppger dock att en stor mängd rimlighetsbedömningar och känsli</w:t>
      </w:r>
      <w:r w:rsidRPr="000A3A07">
        <w:t>g</w:t>
      </w:r>
      <w:r w:rsidRPr="000A3A07">
        <w:t xml:space="preserve">hetsanalyser har gjorts beträffande Botniabaneprojektet. </w:t>
      </w:r>
    </w:p>
    <w:p w14:paraId="06B18598" w14:textId="77777777" w:rsidR="007C11E9" w:rsidRPr="000A3A07" w:rsidRDefault="007C11E9">
      <w:pPr>
        <w:pStyle w:val="Normaltindrag"/>
      </w:pPr>
      <w:r w:rsidRPr="000A3A07">
        <w:t>Banverket delar de synpunkter som framkommit angående vikten av att miljöeffekter redovisas på ett tydligt sätt. Banverket uppger att endast de effekter som kan kvantifieras och för vilka den samlade expertisen är överens om ingående värden ska inkluderas i den samhällsekonomiska kalkylen. Övriga effekter ska beskrivas verbalt, menar Banverket. Miljöeffekterna ska också presenteras i en separat milj</w:t>
      </w:r>
      <w:r w:rsidRPr="000A3A07">
        <w:t>ö</w:t>
      </w:r>
      <w:r w:rsidRPr="000A3A07">
        <w:t xml:space="preserve">konsekvensbeskrivning, påminner verket. </w:t>
      </w:r>
    </w:p>
    <w:p w14:paraId="635EDA14" w14:textId="77777777" w:rsidR="007C11E9" w:rsidRPr="000A3A07" w:rsidRDefault="007C11E9">
      <w:pPr>
        <w:pStyle w:val="Normaltindrag"/>
      </w:pPr>
      <w:r w:rsidRPr="000A3A07">
        <w:rPr>
          <w:i/>
        </w:rPr>
        <w:t xml:space="preserve">Vägverket </w:t>
      </w:r>
      <w:r w:rsidRPr="000A3A07">
        <w:t>delar revisorernas uppfattning att samhällsekonomiska bedö</w:t>
      </w:r>
      <w:r w:rsidRPr="000A3A07">
        <w:t>m</w:t>
      </w:r>
      <w:r w:rsidRPr="000A3A07">
        <w:t>ningar som är kopplade till de transportpolitiska målen ska göras och att de måste hålla hög kvalitet. Samtidigt framhåller verket att de nuvarande ka</w:t>
      </w:r>
      <w:r w:rsidRPr="000A3A07">
        <w:t>l</w:t>
      </w:r>
      <w:r w:rsidRPr="000A3A07">
        <w:t xml:space="preserve">kylmodellerna är dåligt anpassade till att spegla de speciella förutsättningar som gäller för stora och komplicerade projekt. </w:t>
      </w:r>
    </w:p>
    <w:p w14:paraId="48E12481" w14:textId="77777777" w:rsidR="007C11E9" w:rsidRPr="000A3A07" w:rsidRDefault="007C11E9">
      <w:pPr>
        <w:pStyle w:val="Normaltindrag"/>
      </w:pPr>
      <w:r w:rsidRPr="000A3A07">
        <w:t>Vägverket uppger att det är viktigt att modellen för samhällsekonomisk kalkyl vidareutvecklas för att bättre kunna fånga de särskilda förutsättningar som gäller i tätortsmiljö</w:t>
      </w:r>
      <w:r w:rsidRPr="000A3A07">
        <w:t>. Vägverket påpekar också att prognoser för framtida trafik bör bli föremål för särskild granskning eller känslighetsanalys, efte</w:t>
      </w:r>
      <w:r w:rsidRPr="000A3A07">
        <w:t>r</w:t>
      </w:r>
      <w:r w:rsidRPr="000A3A07">
        <w:t>som antaganden om framtida trafik ofta har visat sig vara alltför optimistiska.</w:t>
      </w:r>
    </w:p>
    <w:p w14:paraId="004250A5" w14:textId="77777777" w:rsidR="007C11E9" w:rsidRPr="000A3A07" w:rsidRDefault="007C11E9">
      <w:pPr>
        <w:pStyle w:val="Normaltindrag"/>
      </w:pPr>
      <w:r w:rsidRPr="000A3A07">
        <w:t>Vägverket anser i enlighet med revisorerna att det är nödvändigt att öve</w:t>
      </w:r>
      <w:r w:rsidRPr="000A3A07">
        <w:t>r</w:t>
      </w:r>
      <w:r w:rsidRPr="000A3A07">
        <w:t>väga alternativa lösningar och att ett projekt bör omprövas under planering</w:t>
      </w:r>
      <w:r w:rsidRPr="000A3A07">
        <w:t>s</w:t>
      </w:r>
      <w:r w:rsidRPr="000A3A07">
        <w:t>processens gång. Vägverket uppger att verket har tagit initiativ till ett sådant förfaringssätt genom att utveckla en systematiserad metodik för val av alte</w:t>
      </w:r>
      <w:r w:rsidRPr="000A3A07">
        <w:t>r</w:t>
      </w:r>
      <w:r w:rsidRPr="000A3A07">
        <w:t xml:space="preserve">nativa åtgärder. </w:t>
      </w:r>
    </w:p>
    <w:p w14:paraId="0B1C6D03" w14:textId="77777777" w:rsidR="007C11E9" w:rsidRPr="000A3A07" w:rsidRDefault="007C11E9">
      <w:pPr>
        <w:pStyle w:val="Normaltindrag"/>
      </w:pPr>
      <w:r w:rsidRPr="000A3A07">
        <w:rPr>
          <w:i/>
        </w:rPr>
        <w:t xml:space="preserve">Statens institut för kommunikationsanalys (SIKA) </w:t>
      </w:r>
      <w:r w:rsidRPr="000A3A07">
        <w:t>instämmer med revis</w:t>
      </w:r>
      <w:r w:rsidRPr="000A3A07">
        <w:t>o</w:t>
      </w:r>
      <w:r w:rsidRPr="000A3A07">
        <w:t>rerna att det finns betydande brister i det samhällsekonomiska underlaget för besluten om de studerade väg- och järnvägsinvesteringarna och att det i dessa fall är reg</w:t>
      </w:r>
      <w:r w:rsidRPr="000A3A07">
        <w:t>e</w:t>
      </w:r>
      <w:r w:rsidRPr="000A3A07">
        <w:t xml:space="preserve">ringens ansvar att allsidigt beslutsunderlag tas fram. </w:t>
      </w:r>
    </w:p>
    <w:p w14:paraId="5C8EBFDE" w14:textId="77777777" w:rsidR="007C11E9" w:rsidRPr="000A3A07" w:rsidRDefault="007C11E9">
      <w:pPr>
        <w:pStyle w:val="Normaltindrag"/>
      </w:pPr>
      <w:r w:rsidRPr="000A3A07">
        <w:t>SIKA konstaterar att en orsak till bristerna i underlaget är att olika föru</w:t>
      </w:r>
      <w:r w:rsidRPr="000A3A07">
        <w:t>t</w:t>
      </w:r>
      <w:r w:rsidRPr="000A3A07">
        <w:t>sättningar och realistiska alternativ inte har analyserats. Anledningen till att analysen begränsas är enligt SIKA att det är tidskrävande och kostsamt att producera beslutsunderlag. SIKA uppger att det inte är möjligt att göra en helt förutsättningslös analys på den korta tid som brukar anslås för stora väg- och järnvägsprojekt som beslutas av regeringen i särskild ordning. SIKA uppfattar att avsikten ibland verkar vara att producera beslutsunderlag som får ett på förhand definierat handlingsalternativ at</w:t>
      </w:r>
      <w:r w:rsidRPr="000A3A07">
        <w:t>t framstå som attra</w:t>
      </w:r>
      <w:r w:rsidRPr="000A3A07">
        <w:t>k</w:t>
      </w:r>
      <w:r w:rsidRPr="000A3A07">
        <w:t>tivt.</w:t>
      </w:r>
    </w:p>
    <w:p w14:paraId="6B637D34" w14:textId="77777777" w:rsidR="007C11E9" w:rsidRPr="000A3A07" w:rsidRDefault="007C11E9">
      <w:pPr>
        <w:pStyle w:val="Normaltindrag"/>
      </w:pPr>
      <w:r w:rsidRPr="000A3A07">
        <w:t>SIKA anser att de flesta av de brister i underlaget som revisorerna pekar på skulle kunna hanteras med befintliga metoder. SIKA menar att bristerna inte beror på avsaknad av kompetens. I stället krävs, enligt SIKA:s bedömning, en förändring av de spelregler av institutionell karaktär som gäller för fra</w:t>
      </w:r>
      <w:r w:rsidRPr="000A3A07">
        <w:t>m</w:t>
      </w:r>
      <w:r w:rsidRPr="000A3A07">
        <w:t>tagande av beslutsunderlag vid stora infrastrukturinvesteringar. SIKA anser att ansvaret för beslutsprocessen bör tydliggöras. Man bör kräva att politiker och tjänstemän följer beslutsprocessens spelregler, bl.a. vad gäller beslut</w:t>
      </w:r>
      <w:r w:rsidRPr="000A3A07">
        <w:t>s</w:t>
      </w:r>
      <w:r w:rsidRPr="000A3A07">
        <w:t>fattande, beslutsunderlag och kontrolli</w:t>
      </w:r>
      <w:r w:rsidRPr="000A3A07">
        <w:t>n</w:t>
      </w:r>
      <w:r w:rsidRPr="000A3A07">
        <w:t xml:space="preserve">stanser. </w:t>
      </w:r>
    </w:p>
    <w:p w14:paraId="62C73571" w14:textId="77777777" w:rsidR="007C11E9" w:rsidRPr="000A3A07" w:rsidRDefault="007C11E9">
      <w:pPr>
        <w:pStyle w:val="Normaltindrag"/>
      </w:pPr>
      <w:r w:rsidRPr="000A3A07">
        <w:t xml:space="preserve">SIKA anser att beslutsunderlaget och utfallet av investeringar bör följas upp regelbundet. Uppföljning underlättas om det finns tydliga kriterier för hur ett beslutsunderlag ska se ut, menar SIKA. Det bör enligt SIKA också finnas </w:t>
      </w:r>
      <w:r w:rsidRPr="000A3A07">
        <w:t xml:space="preserve">tydligare krav på att beslutsunderlaget ska innehålla redovisningar av bl.a. antagna förutsättningar och alternativ. </w:t>
      </w:r>
    </w:p>
    <w:p w14:paraId="0F5A0C24" w14:textId="77777777" w:rsidR="007C11E9" w:rsidRPr="000A3A07" w:rsidRDefault="007C11E9">
      <w:pPr>
        <w:pStyle w:val="Normaltindrag"/>
      </w:pPr>
      <w:r w:rsidRPr="000A3A07">
        <w:rPr>
          <w:i/>
        </w:rPr>
        <w:t>Nacka kommun</w:t>
      </w:r>
      <w:r w:rsidRPr="000A3A07">
        <w:t xml:space="preserve"> instämmer i kritiken av samhällsekonomiska kalkyler, i huvudsak när det gäller bakomliggande antaganden och den omgivande beredningsprocessen. Kommunen menar att man inför en investering i högre utsträckning bör utreda alternativa lösningar på trafikproblemen. Kommunen anser också att det är viktigt att man utgår från gemensamma förutsättningar i samhällsekonomiska beräkningar som används som jämförande beslutsu</w:t>
      </w:r>
      <w:r w:rsidRPr="000A3A07">
        <w:t>n</w:t>
      </w:r>
      <w:r w:rsidRPr="000A3A07">
        <w:t>derlag samt att man redovisar berä</w:t>
      </w:r>
      <w:r w:rsidRPr="000A3A07">
        <w:t>k</w:t>
      </w:r>
      <w:r w:rsidRPr="000A3A07">
        <w:t>ningarna på ett lättillgängligt sätt.</w:t>
      </w:r>
    </w:p>
    <w:p w14:paraId="0C907DA0" w14:textId="77777777" w:rsidR="007C11E9" w:rsidRPr="000A3A07" w:rsidRDefault="007C11E9">
      <w:pPr>
        <w:pStyle w:val="Normaltindrag"/>
      </w:pPr>
      <w:r w:rsidRPr="000A3A07">
        <w:rPr>
          <w:i/>
        </w:rPr>
        <w:t>Umeå kommun</w:t>
      </w:r>
      <w:r w:rsidRPr="000A3A07">
        <w:t xml:space="preserve"> anser att samhällsekonomiska bedömningar bör ges stor betydelse vid prioriteringsbeslut och att det därför är angeläget att utveckla metoderna. Umeå kommun anser att beräkningsantaganden och annat u</w:t>
      </w:r>
      <w:r w:rsidRPr="000A3A07">
        <w:t>n</w:t>
      </w:r>
      <w:r w:rsidRPr="000A3A07">
        <w:t>derlag för kalkylerna ska redovisas, liksom känslighetsanalyser.</w:t>
      </w:r>
    </w:p>
    <w:p w14:paraId="1E300D9D" w14:textId="77777777" w:rsidR="007C11E9" w:rsidRPr="000A3A07" w:rsidRDefault="007C11E9">
      <w:pPr>
        <w:pStyle w:val="Normaltindrag"/>
      </w:pPr>
      <w:r w:rsidRPr="000A3A07">
        <w:rPr>
          <w:i/>
        </w:rPr>
        <w:t xml:space="preserve">Botniabanegruppen </w:t>
      </w:r>
      <w:r w:rsidRPr="000A3A07">
        <w:t xml:space="preserve">och </w:t>
      </w:r>
      <w:r w:rsidRPr="000A3A07">
        <w:rPr>
          <w:i/>
        </w:rPr>
        <w:t xml:space="preserve">Örnsköldsviks kommun </w:t>
      </w:r>
      <w:r w:rsidRPr="000A3A07">
        <w:t>anser att det är angeläget att berörda myndigheter snarast utvecklar beräkningsmodellen på ett vete</w:t>
      </w:r>
      <w:r w:rsidRPr="000A3A07">
        <w:t>n</w:t>
      </w:r>
      <w:r w:rsidRPr="000A3A07">
        <w:t xml:space="preserve">skapligt godtagbart sätt för att undvika tillfälliga och subjektiva bedömningar i enskilda projekt. Botniabanegruppen och Örnsköldsviks kommun anser att det faktum att ansvariga myndigheter kan komma fram till olika slutsatser om ett projekts samhällsnytta undergräver trovärdigheten till planeringssy–stemet.  </w:t>
      </w:r>
    </w:p>
    <w:p w14:paraId="3486F323" w14:textId="77777777" w:rsidR="007C11E9" w:rsidRPr="000A3A07" w:rsidRDefault="007C11E9">
      <w:pPr>
        <w:spacing w:before="240"/>
        <w:rPr>
          <w:i/>
        </w:rPr>
      </w:pPr>
      <w:r w:rsidRPr="000A3A07">
        <w:rPr>
          <w:i/>
        </w:rPr>
        <w:t>Samhällsekonomiska kalkyler – ett viktigt men inte tillräckligt underlag</w:t>
      </w:r>
    </w:p>
    <w:p w14:paraId="382A5AE9" w14:textId="77777777" w:rsidR="007C11E9" w:rsidRPr="000A3A07" w:rsidRDefault="007C11E9">
      <w:r w:rsidRPr="000A3A07">
        <w:rPr>
          <w:i/>
        </w:rPr>
        <w:t xml:space="preserve">Statskontoret </w:t>
      </w:r>
      <w:r w:rsidRPr="000A3A07">
        <w:t>anser att man kan diskutera frågan om samhällsekonomiska kalkyler är lämpliga som beslutsunderlag i en politiskt styrd process. Statskontoret uppger att det finns tecken på att kalkylerna snarast används för att bekräfta en investering som i praktiken redan är beslutad. Statskontoret anger som exempel att besluten om Botniabanan och Citytunneln har gru</w:t>
      </w:r>
      <w:r w:rsidRPr="000A3A07">
        <w:t>n</w:t>
      </w:r>
      <w:r w:rsidRPr="000A3A07">
        <w:t>dats på politiska och strategiska bedömningar som är oberoende av resultatet av den samhällsekonomiska kalkylen.</w:t>
      </w:r>
    </w:p>
    <w:p w14:paraId="4BEE6447" w14:textId="77777777" w:rsidR="007C11E9" w:rsidRPr="000A3A07" w:rsidRDefault="007C11E9">
      <w:pPr>
        <w:pStyle w:val="Normaltindrag"/>
        <w:rPr>
          <w:i/>
        </w:rPr>
      </w:pPr>
      <w:r w:rsidRPr="000A3A07">
        <w:rPr>
          <w:i/>
        </w:rPr>
        <w:t>Ekonomistyrningsverket (ESV)</w:t>
      </w:r>
      <w:r w:rsidRPr="000A3A07">
        <w:t xml:space="preserve"> anser att samhällsekonomiska analyser är ett viktigt underlag i planeringen och att det därför är allvarligt att revisore</w:t>
      </w:r>
      <w:r w:rsidRPr="000A3A07">
        <w:t>r</w:t>
      </w:r>
      <w:r w:rsidRPr="000A3A07">
        <w:t>na funnit brister i de kalkyler som legat till grund för beslut om väg- och järnvägsinvesteringar med alternativ finansiering.</w:t>
      </w:r>
      <w:r w:rsidRPr="000A3A07">
        <w:rPr>
          <w:i/>
        </w:rPr>
        <w:t xml:space="preserve"> </w:t>
      </w:r>
    </w:p>
    <w:p w14:paraId="1389C426" w14:textId="77777777" w:rsidR="007C11E9" w:rsidRPr="000A3A07" w:rsidRDefault="007C11E9">
      <w:pPr>
        <w:pStyle w:val="Normaltindrag"/>
      </w:pPr>
      <w:r w:rsidRPr="000A3A07">
        <w:rPr>
          <w:i/>
        </w:rPr>
        <w:t xml:space="preserve">Väg- och transportforskningsinstitutet (VTI) </w:t>
      </w:r>
      <w:r w:rsidRPr="000A3A07">
        <w:t xml:space="preserve">anser att avsnittet om kvalitet på samhällsekonomiska kalkyler ger en god bild av metodmässiga problem och brister i tillämpningen. VTI konstaterar att de effekter som inte fångas upp av en traditionell samhällsekonomisk lönsamhetskalkyl, t.ex. regional utveckling, också är de som kan motivera exempelvis lånefinansiering. I de fall som redovisats måste dessa nyttor dock vara mycket stora för att väga upp underskottet i kalkylen, konstaterar VTI. VTI instämmer i att dylika effekter bör inkluderas i kalkylen </w:t>
      </w:r>
      <w:r w:rsidRPr="000A3A07">
        <w:t>under förutsättning att de kan belä</w:t>
      </w:r>
      <w:r w:rsidRPr="000A3A07">
        <w:t>g</w:t>
      </w:r>
      <w:r w:rsidRPr="000A3A07">
        <w:t>gas.</w:t>
      </w:r>
    </w:p>
    <w:p w14:paraId="27369CCE" w14:textId="77777777" w:rsidR="007C11E9" w:rsidRPr="000A3A07" w:rsidRDefault="007C11E9">
      <w:pPr>
        <w:pStyle w:val="Normaltindrag"/>
      </w:pPr>
      <w:r w:rsidRPr="000A3A07">
        <w:rPr>
          <w:i/>
        </w:rPr>
        <w:t xml:space="preserve">Kommunikationsforskningsberedningen (KFB) </w:t>
      </w:r>
      <w:r w:rsidRPr="000A3A07">
        <w:t>anser att den samhällsek</w:t>
      </w:r>
      <w:r w:rsidRPr="000A3A07">
        <w:t>o</w:t>
      </w:r>
      <w:r w:rsidRPr="000A3A07">
        <w:t xml:space="preserve">nomiska kalkylen, trots sina brister, är ett bra verktyg för att mäta den totala välfärdsförändringen som transportinfrastrukturinvesteringar ger upphov till. Därmed kan den samhällsekonomiska kalkylen verka som instrument för en kostnadseffektiv transportpolitik, menar KFB. </w:t>
      </w:r>
    </w:p>
    <w:p w14:paraId="752A4ABF" w14:textId="77777777" w:rsidR="007C11E9" w:rsidRPr="000A3A07" w:rsidRDefault="007C11E9">
      <w:pPr>
        <w:pStyle w:val="Normaltindrag"/>
      </w:pPr>
      <w:r w:rsidRPr="000A3A07">
        <w:rPr>
          <w:i/>
        </w:rPr>
        <w:t xml:space="preserve">Banverket </w:t>
      </w:r>
      <w:r w:rsidRPr="000A3A07">
        <w:t>delar revisorernas uppfattning att samhällsekonomiska kalkyler inte är ett tillräckligt underlag vid investeringsbeslut. Det slutliga beslutsu</w:t>
      </w:r>
      <w:r w:rsidRPr="000A3A07">
        <w:t>n</w:t>
      </w:r>
      <w:r w:rsidRPr="000A3A07">
        <w:t>derlaget är enligt Banverket en sammanvägning av både den samhällsek</w:t>
      </w:r>
      <w:r w:rsidRPr="000A3A07">
        <w:t>o</w:t>
      </w:r>
      <w:r w:rsidRPr="000A3A07">
        <w:t>nomiska analysen, de effekter som framkommer i miljökonsekvensbeskri</w:t>
      </w:r>
      <w:r w:rsidRPr="000A3A07">
        <w:t>v</w:t>
      </w:r>
      <w:r w:rsidRPr="000A3A07">
        <w:t>ningen och andra ej kvantifierbara effekter (som t.ex. trafikpolitiska överv</w:t>
      </w:r>
      <w:r w:rsidRPr="000A3A07">
        <w:t>ä</w:t>
      </w:r>
      <w:r w:rsidRPr="000A3A07">
        <w:t xml:space="preserve">ganden). Därför anser Banverket att det är av stor vikt att inte låta sig styras alltför mycket av samhällsekonomiska lönsamhetsmått. </w:t>
      </w:r>
    </w:p>
    <w:p w14:paraId="72827F43" w14:textId="77777777" w:rsidR="007C11E9" w:rsidRPr="000A3A07" w:rsidRDefault="007C11E9">
      <w:pPr>
        <w:pStyle w:val="Normaltindrag"/>
      </w:pPr>
      <w:r w:rsidRPr="000A3A07">
        <w:rPr>
          <w:i/>
        </w:rPr>
        <w:t xml:space="preserve">Vägverket </w:t>
      </w:r>
      <w:r w:rsidRPr="000A3A07">
        <w:t>framhåller att samhällsekonomiska bedömningar bör betraktas som ett av flera underlag som åberopas vid prioriteringsbeslut och val av åtgärder.</w:t>
      </w:r>
    </w:p>
    <w:p w14:paraId="1359338A" w14:textId="77777777" w:rsidR="007C11E9" w:rsidRPr="000A3A07" w:rsidRDefault="007C11E9">
      <w:pPr>
        <w:pStyle w:val="Normaltindrag"/>
      </w:pPr>
      <w:r w:rsidRPr="000A3A07">
        <w:rPr>
          <w:i/>
        </w:rPr>
        <w:t xml:space="preserve">Landstingsförbundet </w:t>
      </w:r>
      <w:r w:rsidRPr="000A3A07">
        <w:t>anser att man vid ett ställningstagande till ett projekt måste göra politiska och strategiska bedömningar av hur samhället ska u</w:t>
      </w:r>
      <w:r w:rsidRPr="000A3A07">
        <w:t>t</w:t>
      </w:r>
      <w:r w:rsidRPr="000A3A07">
        <w:t>formas. Vid sidan av kalkylen måste hänsyn tas till effekter som miljömässig hållbarhet och regional utveckling, menar förbundet.</w:t>
      </w:r>
    </w:p>
    <w:p w14:paraId="601AF4E5" w14:textId="77777777" w:rsidR="007C11E9" w:rsidRPr="000A3A07" w:rsidRDefault="007C11E9">
      <w:pPr>
        <w:pStyle w:val="Normaltindrag"/>
      </w:pPr>
      <w:r w:rsidRPr="000A3A07">
        <w:rPr>
          <w:i/>
        </w:rPr>
        <w:t>Stockholms stad</w:t>
      </w:r>
      <w:r w:rsidRPr="000A3A07">
        <w:t xml:space="preserve"> anser att samhällsekonomiska kalkyler är ett verktyg som står till buds för att beräkna samhällsnyttan av en investering, men menar att det sker en ständig utveckling av olika beräkningsmodeller. Stockholms stad uppger att många stora och tunga projekt som rör människors välfärd i en storstadsmiljö är svåra att lönsamhetsbedöma i en samhällsekonomisk an</w:t>
      </w:r>
      <w:r w:rsidRPr="000A3A07">
        <w:t>a</w:t>
      </w:r>
      <w:r w:rsidRPr="000A3A07">
        <w:t xml:space="preserve">lys. Stockholms stad menar att bristerna i de samhällsekonomiska kalkylerna kan visa sig tydligare för projekt i Stockholm än i övriga landet. </w:t>
      </w:r>
    </w:p>
    <w:p w14:paraId="0531E523" w14:textId="77777777" w:rsidR="007C11E9" w:rsidRPr="000A3A07" w:rsidRDefault="007C11E9">
      <w:pPr>
        <w:pStyle w:val="Normaltindrag"/>
      </w:pPr>
      <w:r w:rsidRPr="000A3A07">
        <w:rPr>
          <w:i/>
        </w:rPr>
        <w:t xml:space="preserve">Malmö stad </w:t>
      </w:r>
      <w:r w:rsidRPr="000A3A07">
        <w:t>anser att samhällsekonomiska kalkyler kan användas som ett delunderlag vid beslut, men att de behöver kompletteras med kvalitativa bedömningar. Malmö stad påpekar att alla effekter inte kan mätas i en sa</w:t>
      </w:r>
      <w:r w:rsidRPr="000A3A07">
        <w:t>m</w:t>
      </w:r>
      <w:r w:rsidRPr="000A3A07">
        <w:t>hällsekonomisk kalkyl och att effekterna av byggande i en större stad är svårare att kvantifiera än effekterna av by</w:t>
      </w:r>
      <w:r w:rsidRPr="000A3A07">
        <w:t>g</w:t>
      </w:r>
      <w:r w:rsidRPr="000A3A07">
        <w:t>gande på landsbygden.</w:t>
      </w:r>
    </w:p>
    <w:p w14:paraId="6630316D" w14:textId="77777777" w:rsidR="007C11E9" w:rsidRPr="000A3A07" w:rsidRDefault="007C11E9">
      <w:pPr>
        <w:pStyle w:val="Normaltindrag"/>
      </w:pPr>
      <w:r w:rsidRPr="000A3A07">
        <w:rPr>
          <w:i/>
        </w:rPr>
        <w:t xml:space="preserve">Nacka kommun </w:t>
      </w:r>
      <w:r w:rsidRPr="000A3A07">
        <w:t>påpekar att kvalitativa aspekter, som samhällets värderin</w:t>
      </w:r>
      <w:r w:rsidRPr="000A3A07">
        <w:t>g</w:t>
      </w:r>
      <w:r w:rsidRPr="000A3A07">
        <w:t>ar att nå mål om tillgänglighet, säkerhet osv. inte fångas in i kalkylerna. Därför måste kalkylernas resultat prövas mot politiska mål och värderingar, menar Nacka kommun. Kalkylerna måste också ses över/kompletteras med effekter för näringslivet, möjlighet till rörlighet, sociala faktorer osv.</w:t>
      </w:r>
    </w:p>
    <w:p w14:paraId="61E507E6" w14:textId="77777777" w:rsidR="007C11E9" w:rsidRPr="000A3A07" w:rsidRDefault="007C11E9">
      <w:pPr>
        <w:pStyle w:val="Normaltindrag"/>
      </w:pPr>
      <w:r w:rsidRPr="000A3A07">
        <w:rPr>
          <w:i/>
        </w:rPr>
        <w:t xml:space="preserve">Värmdö kommun </w:t>
      </w:r>
      <w:r w:rsidRPr="000A3A07">
        <w:t>påpekar att den politiska beslutsprocessen inte får ne</w:t>
      </w:r>
      <w:r w:rsidRPr="000A3A07">
        <w:t>d</w:t>
      </w:r>
      <w:r w:rsidRPr="000A3A07">
        <w:t>värderas. Kommunen uppger att samhällsekonomiska kalkyler framställs som en objektiv modell samtidigt som kalkylerna innehåller en mängd fakt</w:t>
      </w:r>
      <w:r w:rsidRPr="000A3A07">
        <w:t>o</w:t>
      </w:r>
      <w:r w:rsidRPr="000A3A07">
        <w:t>rer som kan värderas olika. Dessutom finns det viktiga värderingar som inte ryms i de samhällsekonomiska kalkylerna, påpekar kommunen. Värmdö kommun uppger att samhällsekonomiska kalkyler utgör en svår och komplex metod som beslutsfattarna har liten kännedom om och som har liten påve</w:t>
      </w:r>
      <w:r w:rsidRPr="000A3A07">
        <w:t>r</w:t>
      </w:r>
      <w:r w:rsidRPr="000A3A07">
        <w:t>kan på de politiska prioriteri</w:t>
      </w:r>
      <w:r w:rsidRPr="000A3A07">
        <w:t>nga</w:t>
      </w:r>
      <w:r w:rsidRPr="000A3A07">
        <w:t>r</w:t>
      </w:r>
      <w:r w:rsidRPr="000A3A07">
        <w:t>na.</w:t>
      </w:r>
    </w:p>
    <w:p w14:paraId="2A6CF293" w14:textId="77777777" w:rsidR="007C11E9" w:rsidRPr="000A3A07" w:rsidRDefault="007C11E9">
      <w:pPr>
        <w:pStyle w:val="Normaltindrag"/>
      </w:pPr>
      <w:r w:rsidRPr="000A3A07">
        <w:t>Värmdö kommun menar att samhällsekonomiska kalkyler över stora i</w:t>
      </w:r>
      <w:r w:rsidRPr="000A3A07">
        <w:t>n</w:t>
      </w:r>
      <w:r w:rsidRPr="000A3A07">
        <w:t>vesteringar i vägar och spårbunden trafik inom en storstadsregion förmodl</w:t>
      </w:r>
      <w:r w:rsidRPr="000A3A07">
        <w:t>i</w:t>
      </w:r>
      <w:r w:rsidRPr="000A3A07">
        <w:t>gen alltid kommer att visa på olönsamhet, då kalkylen är bättre anpassad till investeringar på landsbygd. I en storstadsregion tycks kalkylens främsta roll vara att skilja de samhällsekonomiskt mest olönsamma objekten från den fortsatta diskussi</w:t>
      </w:r>
      <w:r w:rsidRPr="000A3A07">
        <w:t>o</w:t>
      </w:r>
      <w:r w:rsidRPr="000A3A07">
        <w:t xml:space="preserve">nen, menar kommunen. </w:t>
      </w:r>
    </w:p>
    <w:p w14:paraId="30A2BA16" w14:textId="77777777" w:rsidR="007C11E9" w:rsidRPr="000A3A07" w:rsidRDefault="007C11E9">
      <w:pPr>
        <w:pStyle w:val="Normaltindrag"/>
      </w:pPr>
      <w:r w:rsidRPr="000A3A07">
        <w:rPr>
          <w:i/>
        </w:rPr>
        <w:t xml:space="preserve">Botniabanegruppen </w:t>
      </w:r>
      <w:r w:rsidRPr="000A3A07">
        <w:t xml:space="preserve">och </w:t>
      </w:r>
      <w:r w:rsidRPr="000A3A07">
        <w:rPr>
          <w:i/>
        </w:rPr>
        <w:t xml:space="preserve">Örnsköldsviks kommun </w:t>
      </w:r>
      <w:r w:rsidRPr="000A3A07">
        <w:t xml:space="preserve">anser att en utvecklad samhällsekonomisk kalkyl är ett viktigt beslutsunderlag för prioritering av investeringar, men att det i det slutliga valet av investeringsobjekt måste finnas utrymme för att väga in andra faktorer som är till nytta för samhället. </w:t>
      </w:r>
    </w:p>
    <w:p w14:paraId="6DC998CF" w14:textId="77777777" w:rsidR="007C11E9" w:rsidRPr="000A3A07" w:rsidRDefault="007C11E9">
      <w:pPr>
        <w:pStyle w:val="Normaltindrag"/>
      </w:pPr>
      <w:r w:rsidRPr="000A3A07">
        <w:t>Botniabanegruppen och Örnsköldsviks kommun anser att det tydligare bör framgå i revisorernas rapport att samhällsekonomiska bedömningar kan rymma fler faktorer än samhällsekonomiska kalkyler. Som exempel på såd</w:t>
      </w:r>
      <w:r w:rsidRPr="000A3A07">
        <w:t>a</w:t>
      </w:r>
      <w:r w:rsidRPr="000A3A07">
        <w:t>na faktorer nämner Botniabanegruppen och Örnsköldsviks kommun viljan till samhällsförändring, regionalpolitiska och strategiska överväganden samt mellanfolkliga aspekter. Botniabanegruppen och Örnsköldsviks kommun menar att sådana faktorer blir betydande i stora projekt som Botniabanan.</w:t>
      </w:r>
    </w:p>
    <w:p w14:paraId="69F82D97" w14:textId="77777777" w:rsidR="007C11E9" w:rsidRPr="000A3A07" w:rsidRDefault="007C11E9">
      <w:pPr>
        <w:pStyle w:val="Rubrik2"/>
      </w:pPr>
      <w:bookmarkStart w:id="409" w:name="_Toc504203756"/>
      <w:bookmarkStart w:id="410" w:name="_Toc506341061"/>
      <w:r w:rsidRPr="000A3A07">
        <w:t>Kritik mot fallstudierna</w:t>
      </w:r>
      <w:bookmarkEnd w:id="409"/>
      <w:bookmarkEnd w:id="410"/>
    </w:p>
    <w:p w14:paraId="70F9E560" w14:textId="77777777" w:rsidR="007C11E9" w:rsidRPr="000A3A07" w:rsidRDefault="007C11E9">
      <w:r w:rsidRPr="000A3A07">
        <w:rPr>
          <w:i/>
        </w:rPr>
        <w:t xml:space="preserve">Stockholms stad </w:t>
      </w:r>
      <w:r w:rsidRPr="000A3A07">
        <w:t xml:space="preserve">anser att beslutet att genomföra Södra länken grundades på ett tillräckligt omfattande och ingående beslutsunderlag. De traditionella kalkylerna visade att projektet var olönsamt, men Stockholms stad tror att nyttan av projektet kommer att visa sig större än vad som kunde kvantifieras i kalkylen. </w:t>
      </w:r>
    </w:p>
    <w:p w14:paraId="3DE186D1" w14:textId="77777777" w:rsidR="007C11E9" w:rsidRPr="000A3A07" w:rsidRDefault="007C11E9">
      <w:pPr>
        <w:pStyle w:val="Normaltindrag"/>
      </w:pPr>
      <w:r w:rsidRPr="000A3A07">
        <w:rPr>
          <w:i/>
        </w:rPr>
        <w:t xml:space="preserve">Nacka kommun </w:t>
      </w:r>
      <w:r w:rsidRPr="000A3A07">
        <w:t>och</w:t>
      </w:r>
      <w:r w:rsidRPr="000A3A07">
        <w:rPr>
          <w:i/>
        </w:rPr>
        <w:t xml:space="preserve"> Värmdö kommun </w:t>
      </w:r>
      <w:r w:rsidRPr="000A3A07">
        <w:t>anser att författaren till rapportens bilaga om Södra länken gör sarkastiska angrepp på den politiska beslutspr</w:t>
      </w:r>
      <w:r w:rsidRPr="000A3A07">
        <w:t>o</w:t>
      </w:r>
      <w:r w:rsidRPr="000A3A07">
        <w:t>cessen. Kommunerna menar att författaren tycks uppfatta den demokratiska processen som en störning i en rationell beslutsprocess. Kommunerna tar avstånd från en sådan inställning till värdet av en demokratisk beslutspr</w:t>
      </w:r>
      <w:r w:rsidRPr="000A3A07">
        <w:t>o</w:t>
      </w:r>
      <w:r w:rsidRPr="000A3A07">
        <w:t>cess.</w:t>
      </w:r>
    </w:p>
    <w:p w14:paraId="0FFDCBFB" w14:textId="77777777" w:rsidR="007C11E9" w:rsidRPr="000A3A07" w:rsidRDefault="007C11E9">
      <w:pPr>
        <w:pStyle w:val="Normaltindrag"/>
      </w:pPr>
      <w:r w:rsidRPr="000A3A07">
        <w:t>Nacka kommun och Värmdö kommun påpekar också att kalkylen för Sö</w:t>
      </w:r>
      <w:r w:rsidRPr="000A3A07">
        <w:t>d</w:t>
      </w:r>
      <w:r w:rsidRPr="000A3A07">
        <w:t>ra länken antagligen skulle få ett helt annat resultat med de nya prognoser för befol</w:t>
      </w:r>
      <w:r w:rsidRPr="000A3A07">
        <w:t>k</w:t>
      </w:r>
      <w:r w:rsidRPr="000A3A07">
        <w:t>nings- och trafikutveckling som har tagits fram sedan mitten av 1990-talet. De nya prognoserna visar på en dubbelt så snabb befolknings- och trafikutveckling som de tidigare prognoserna, enligt Vär</w:t>
      </w:r>
      <w:r w:rsidRPr="000A3A07">
        <w:t>m</w:t>
      </w:r>
      <w:r w:rsidRPr="000A3A07">
        <w:t>dö kommun.</w:t>
      </w:r>
    </w:p>
    <w:p w14:paraId="16871DAC" w14:textId="77777777" w:rsidR="007C11E9" w:rsidRPr="000A3A07" w:rsidRDefault="007C11E9">
      <w:pPr>
        <w:pStyle w:val="Normaltindrag"/>
      </w:pPr>
      <w:r w:rsidRPr="000A3A07">
        <w:rPr>
          <w:i/>
        </w:rPr>
        <w:t xml:space="preserve">Malmö stad </w:t>
      </w:r>
      <w:r w:rsidRPr="000A3A07">
        <w:t>drar slutsatsen att projekt av Citytunnelns typ inte kan värd</w:t>
      </w:r>
      <w:r w:rsidRPr="000A3A07">
        <w:t>e</w:t>
      </w:r>
      <w:r w:rsidRPr="000A3A07">
        <w:t>ras på ett rättvisande sätt med samhällsekonomiska kalkyler. Malmö stad konstaterar att förhållandena är komplicerade i stadsbygd, särskilt i ett fall då två urbana områden förenas som i projektet Citytunneln. Malmö stad anser att det finns ett antal faktorer som inte har beaktats i Citytunnelns samhäll</w:t>
      </w:r>
      <w:r w:rsidRPr="000A3A07">
        <w:t>s</w:t>
      </w:r>
      <w:r w:rsidRPr="000A3A07">
        <w:t xml:space="preserve">ekonomiska värdering. Kommunen menar att man inte har tagit hänsyn till exempelvis kapacitetssvagheterna i jämförelsealternativet, det betydligt </w:t>
      </w:r>
      <w:r w:rsidRPr="000A3A07">
        <w:t>mer förgrenade tågsystem som Citytunneln medger, lokaliseringseffekter och nya resandepr</w:t>
      </w:r>
      <w:r w:rsidRPr="000A3A07">
        <w:t>o</w:t>
      </w:r>
      <w:r w:rsidRPr="000A3A07">
        <w:t>gnoser.</w:t>
      </w:r>
    </w:p>
    <w:p w14:paraId="588A1FE2" w14:textId="77777777" w:rsidR="007C11E9" w:rsidRPr="000A3A07" w:rsidRDefault="007C11E9">
      <w:pPr>
        <w:pStyle w:val="Normaltindrag"/>
      </w:pPr>
      <w:r w:rsidRPr="000A3A07">
        <w:rPr>
          <w:i/>
        </w:rPr>
        <w:t>Botniabanegruppen</w:t>
      </w:r>
      <w:r w:rsidRPr="000A3A07">
        <w:t xml:space="preserve"> och </w:t>
      </w:r>
      <w:r w:rsidRPr="000A3A07">
        <w:rPr>
          <w:i/>
        </w:rPr>
        <w:t xml:space="preserve">Örnsköldsviks kommun </w:t>
      </w:r>
      <w:r w:rsidRPr="000A3A07">
        <w:t xml:space="preserve">anser att rapportens bilaga 2 om Botniabanan visar så stora brister att den inte borde göra underlag för revisorernas överväganden. Botniabanegruppen och Örnsköldsviks kommun ifrågasätter också den metod som använts i Botniabaneutredningen (SOU 1996:95), den utredning som legat till grund för beslut om Botniabanan. Även </w:t>
      </w:r>
      <w:r w:rsidRPr="000A3A07">
        <w:rPr>
          <w:i/>
        </w:rPr>
        <w:t xml:space="preserve">Nordmalings kommun </w:t>
      </w:r>
      <w:r w:rsidRPr="000A3A07">
        <w:t>framför kritik mot Bo</w:t>
      </w:r>
      <w:r w:rsidRPr="000A3A07">
        <w:t>t</w:t>
      </w:r>
      <w:r w:rsidRPr="000A3A07">
        <w:t xml:space="preserve">niabaneutredningen. </w:t>
      </w:r>
    </w:p>
    <w:p w14:paraId="45F5F71F" w14:textId="77777777" w:rsidR="007C11E9" w:rsidRPr="000A3A07" w:rsidRDefault="007C11E9">
      <w:pPr>
        <w:pStyle w:val="Normaltindrag"/>
      </w:pPr>
      <w:r w:rsidRPr="000A3A07">
        <w:t>Botniabanegruppen och Örnsköldsviks kommun pekar på att annat unde</w:t>
      </w:r>
      <w:r w:rsidRPr="000A3A07">
        <w:t>r</w:t>
      </w:r>
      <w:r w:rsidRPr="000A3A07">
        <w:t>lag som visar att Botniabanan är en viktig investering finns framtaget och att det vid sidan av Botniautredningen borde ha utgjort underlag för beslut om Botniabanan. Botniabanegruppen och Örnsköldsviks kommun gör bedö</w:t>
      </w:r>
      <w:r w:rsidRPr="000A3A07">
        <w:t>m</w:t>
      </w:r>
      <w:r w:rsidRPr="000A3A07">
        <w:t>ningen att det är få projekt som är så grundligt belysta i utredningar som Botniab</w:t>
      </w:r>
      <w:r w:rsidRPr="000A3A07">
        <w:t>a</w:t>
      </w:r>
      <w:r w:rsidRPr="000A3A07">
        <w:t>nan.</w:t>
      </w:r>
    </w:p>
    <w:p w14:paraId="081627D2" w14:textId="77777777" w:rsidR="007C11E9" w:rsidRPr="000A3A07" w:rsidRDefault="007C11E9">
      <w:pPr>
        <w:pStyle w:val="Normaltindrag"/>
      </w:pPr>
      <w:r w:rsidRPr="000A3A07">
        <w:rPr>
          <w:i/>
        </w:rPr>
        <w:t xml:space="preserve">Kramfors kommun </w:t>
      </w:r>
      <w:r w:rsidRPr="000A3A07">
        <w:t>ansluter sig till Banverkets bedömning att Botniabanan är ett samhällsekonomiskt lö</w:t>
      </w:r>
      <w:r w:rsidRPr="000A3A07">
        <w:t>n</w:t>
      </w:r>
      <w:r w:rsidRPr="000A3A07">
        <w:t>samt projekt.</w:t>
      </w:r>
    </w:p>
    <w:p w14:paraId="550268AC" w14:textId="77777777" w:rsidR="007C11E9" w:rsidRPr="000A3A07" w:rsidRDefault="007C11E9">
      <w:pPr>
        <w:pStyle w:val="Normaltindrag"/>
      </w:pPr>
      <w:r w:rsidRPr="000A3A07">
        <w:rPr>
          <w:i/>
        </w:rPr>
        <w:t xml:space="preserve">Umeå kommun </w:t>
      </w:r>
      <w:r w:rsidRPr="000A3A07">
        <w:t>uppger att olika investeringsalternativ har behandlats ing</w:t>
      </w:r>
      <w:r w:rsidRPr="000A3A07">
        <w:t>å</w:t>
      </w:r>
      <w:r w:rsidRPr="000A3A07">
        <w:t>ende i projektet Botniabanan och hänvisar till Botniabanegruppens yttrande.</w:t>
      </w:r>
    </w:p>
    <w:p w14:paraId="58766FF7" w14:textId="77777777" w:rsidR="007C11E9" w:rsidRPr="000A3A07" w:rsidRDefault="007C11E9">
      <w:pPr>
        <w:pStyle w:val="Normaltindrag"/>
        <w:ind w:firstLine="0"/>
        <w:sectPr w:rsidR="00000000" w:rsidRPr="000A3A07">
          <w:headerReference w:type="even" r:id="rId73"/>
          <w:headerReference w:type="default" r:id="rId74"/>
          <w:footerReference w:type="default" r:id="rId75"/>
          <w:footnotePr>
            <w:numRestart w:val="eachSect"/>
          </w:footnotePr>
          <w:endnotePr>
            <w:numRestart w:val="eachSect"/>
          </w:endnotePr>
          <w:pgSz w:w="11906" w:h="16838" w:code="9"/>
          <w:pgMar w:top="567" w:right="4876" w:bottom="4508" w:left="1134" w:header="227" w:footer="227" w:gutter="0"/>
          <w:cols w:space="720"/>
        </w:sectPr>
      </w:pPr>
    </w:p>
    <w:p w14:paraId="52B23CA2" w14:textId="77777777" w:rsidR="007C11E9" w:rsidRPr="000A3A07" w:rsidRDefault="007C11E9">
      <w:pPr>
        <w:pStyle w:val="Innehll"/>
        <w:numPr>
          <w:ilvl w:val="0"/>
          <w:numId w:val="0"/>
        </w:numPr>
      </w:pPr>
      <w:r w:rsidRPr="000A3A07">
        <w:t>Innehållsförteckning</w:t>
      </w:r>
    </w:p>
    <w:p w14:paraId="1ACCEDE4" w14:textId="77777777" w:rsidR="007C11E9" w:rsidRPr="000A3A07" w:rsidRDefault="007C11E9">
      <w:pPr>
        <w:pStyle w:val="Innehll1"/>
        <w:rPr>
          <w:noProof w:val="0"/>
        </w:rPr>
      </w:pPr>
      <w:r w:rsidRPr="000A3A07">
        <w:rPr>
          <w:noProof w:val="0"/>
        </w:rPr>
        <w:t>1</w:t>
      </w:r>
      <w:r w:rsidRPr="000A3A07">
        <w:rPr>
          <w:noProof w:val="0"/>
        </w:rPr>
        <w:tab/>
        <w:t>Revisorernas granskning</w:t>
      </w:r>
      <w:r w:rsidRPr="000A3A07">
        <w:rPr>
          <w:noProof w:val="0"/>
        </w:rPr>
        <w:tab/>
        <w:t>1</w:t>
      </w:r>
    </w:p>
    <w:p w14:paraId="42CF11E7" w14:textId="77777777" w:rsidR="007C11E9" w:rsidRPr="000A3A07" w:rsidRDefault="007C11E9">
      <w:pPr>
        <w:pStyle w:val="Innehll2"/>
        <w:tabs>
          <w:tab w:val="left" w:pos="680"/>
        </w:tabs>
        <w:rPr>
          <w:noProof w:val="0"/>
        </w:rPr>
      </w:pPr>
      <w:r w:rsidRPr="000A3A07">
        <w:rPr>
          <w:noProof w:val="0"/>
        </w:rPr>
        <w:t>1.1</w:t>
      </w:r>
      <w:r w:rsidRPr="000A3A07">
        <w:rPr>
          <w:noProof w:val="0"/>
        </w:rPr>
        <w:tab/>
        <w:t>Sammanfattning av rapporten</w:t>
      </w:r>
      <w:r w:rsidRPr="000A3A07">
        <w:rPr>
          <w:noProof w:val="0"/>
        </w:rPr>
        <w:tab/>
        <w:t>1</w:t>
      </w:r>
    </w:p>
    <w:p w14:paraId="1CEEAF19" w14:textId="77777777" w:rsidR="007C11E9" w:rsidRPr="000A3A07" w:rsidRDefault="007C11E9">
      <w:pPr>
        <w:pStyle w:val="Innehll1"/>
        <w:rPr>
          <w:noProof w:val="0"/>
        </w:rPr>
      </w:pPr>
      <w:r w:rsidRPr="000A3A07">
        <w:rPr>
          <w:noProof w:val="0"/>
        </w:rPr>
        <w:t>2</w:t>
      </w:r>
      <w:r w:rsidRPr="000A3A07">
        <w:rPr>
          <w:noProof w:val="0"/>
        </w:rPr>
        <w:tab/>
        <w:t>Revisorernas överväganden och förslag</w:t>
      </w:r>
      <w:r w:rsidRPr="000A3A07">
        <w:rPr>
          <w:noProof w:val="0"/>
        </w:rPr>
        <w:tab/>
        <w:t>3</w:t>
      </w:r>
    </w:p>
    <w:p w14:paraId="0BC0264E" w14:textId="77777777" w:rsidR="007C11E9" w:rsidRPr="000A3A07" w:rsidRDefault="007C11E9">
      <w:pPr>
        <w:pStyle w:val="Innehll2"/>
        <w:tabs>
          <w:tab w:val="left" w:pos="680"/>
        </w:tabs>
        <w:rPr>
          <w:noProof w:val="0"/>
        </w:rPr>
      </w:pPr>
      <w:r w:rsidRPr="000A3A07">
        <w:rPr>
          <w:noProof w:val="0"/>
        </w:rPr>
        <w:t>2.1</w:t>
      </w:r>
      <w:r w:rsidRPr="000A3A07">
        <w:rPr>
          <w:noProof w:val="0"/>
        </w:rPr>
        <w:tab/>
        <w:t>Regeringens redovisning av investeringarnas finansiering måste förbättras</w:t>
      </w:r>
      <w:r w:rsidRPr="000A3A07">
        <w:rPr>
          <w:noProof w:val="0"/>
        </w:rPr>
        <w:tab/>
        <w:t>3</w:t>
      </w:r>
    </w:p>
    <w:p w14:paraId="658A381B" w14:textId="77777777" w:rsidR="007C11E9" w:rsidRPr="000A3A07" w:rsidRDefault="007C11E9">
      <w:pPr>
        <w:pStyle w:val="Innehll2"/>
        <w:tabs>
          <w:tab w:val="left" w:pos="680"/>
        </w:tabs>
        <w:rPr>
          <w:noProof w:val="0"/>
        </w:rPr>
      </w:pPr>
      <w:r w:rsidRPr="000A3A07">
        <w:rPr>
          <w:noProof w:val="0"/>
        </w:rPr>
        <w:t>2.2</w:t>
      </w:r>
      <w:r w:rsidRPr="000A3A07">
        <w:rPr>
          <w:noProof w:val="0"/>
        </w:rPr>
        <w:tab/>
        <w:t>Planeringsprocessen bör ses över</w:t>
      </w:r>
      <w:r w:rsidRPr="000A3A07">
        <w:rPr>
          <w:noProof w:val="0"/>
        </w:rPr>
        <w:tab/>
        <w:t>4</w:t>
      </w:r>
    </w:p>
    <w:p w14:paraId="02973F60" w14:textId="77777777" w:rsidR="007C11E9" w:rsidRPr="000A3A07" w:rsidRDefault="007C11E9">
      <w:pPr>
        <w:pStyle w:val="Innehll2"/>
        <w:tabs>
          <w:tab w:val="left" w:pos="680"/>
        </w:tabs>
        <w:rPr>
          <w:noProof w:val="0"/>
        </w:rPr>
      </w:pPr>
      <w:r w:rsidRPr="000A3A07">
        <w:rPr>
          <w:noProof w:val="0"/>
        </w:rPr>
        <w:t>2.3</w:t>
      </w:r>
      <w:r w:rsidRPr="000A3A07">
        <w:rPr>
          <w:noProof w:val="0"/>
        </w:rPr>
        <w:tab/>
        <w:t>Det samhällsekonomisköa beslutsunderlaget bör utvecklas</w:t>
      </w:r>
      <w:r w:rsidRPr="000A3A07">
        <w:rPr>
          <w:noProof w:val="0"/>
        </w:rPr>
        <w:tab/>
        <w:t>5</w:t>
      </w:r>
    </w:p>
    <w:p w14:paraId="7F66F800" w14:textId="77777777" w:rsidR="007C11E9" w:rsidRPr="000A3A07" w:rsidRDefault="007C11E9">
      <w:pPr>
        <w:pStyle w:val="Innehll1"/>
        <w:rPr>
          <w:noProof w:val="0"/>
        </w:rPr>
      </w:pPr>
      <w:r w:rsidRPr="000A3A07">
        <w:rPr>
          <w:noProof w:val="0"/>
        </w:rPr>
        <w:t>3</w:t>
      </w:r>
      <w:r w:rsidRPr="000A3A07">
        <w:rPr>
          <w:noProof w:val="0"/>
        </w:rPr>
        <w:tab/>
        <w:t>Revisorernas förslag</w:t>
      </w:r>
      <w:r w:rsidRPr="000A3A07">
        <w:rPr>
          <w:noProof w:val="0"/>
        </w:rPr>
        <w:tab/>
        <w:t>8</w:t>
      </w:r>
    </w:p>
    <w:p w14:paraId="2C4505B3" w14:textId="77777777" w:rsidR="007C11E9" w:rsidRPr="000A3A07" w:rsidRDefault="007C11E9">
      <w:pPr>
        <w:pStyle w:val="Innehll1"/>
        <w:spacing w:before="120"/>
        <w:rPr>
          <w:i/>
          <w:noProof w:val="0"/>
        </w:rPr>
      </w:pPr>
      <w:r w:rsidRPr="000A3A07">
        <w:rPr>
          <w:i/>
          <w:noProof w:val="0"/>
        </w:rPr>
        <w:t>Bilaga 1 Nya vägar till vägar och järnvägar?</w:t>
      </w:r>
    </w:p>
    <w:p w14:paraId="6EF86B95" w14:textId="77777777" w:rsidR="007C11E9" w:rsidRPr="000A3A07" w:rsidRDefault="007C11E9">
      <w:pPr>
        <w:pStyle w:val="Innehll1"/>
        <w:rPr>
          <w:noProof w:val="0"/>
        </w:rPr>
      </w:pPr>
      <w:r w:rsidRPr="000A3A07">
        <w:rPr>
          <w:noProof w:val="0"/>
        </w:rPr>
        <w:t>Förord</w:t>
      </w:r>
      <w:r w:rsidRPr="000A3A07">
        <w:rPr>
          <w:noProof w:val="0"/>
        </w:rPr>
        <w:tab/>
        <w:t>11</w:t>
      </w:r>
    </w:p>
    <w:p w14:paraId="4B441EE0" w14:textId="77777777" w:rsidR="007C11E9" w:rsidRPr="000A3A07" w:rsidRDefault="007C11E9">
      <w:pPr>
        <w:pStyle w:val="Innehll1"/>
        <w:rPr>
          <w:noProof w:val="0"/>
        </w:rPr>
      </w:pPr>
      <w:r w:rsidRPr="000A3A07">
        <w:rPr>
          <w:noProof w:val="0"/>
        </w:rPr>
        <w:t>Sammanfattning</w:t>
      </w:r>
      <w:r w:rsidRPr="000A3A07">
        <w:rPr>
          <w:noProof w:val="0"/>
        </w:rPr>
        <w:tab/>
        <w:t>13</w:t>
      </w:r>
    </w:p>
    <w:p w14:paraId="0F615903" w14:textId="77777777" w:rsidR="007C11E9" w:rsidRPr="000A3A07" w:rsidRDefault="007C11E9">
      <w:pPr>
        <w:pStyle w:val="Innehll1"/>
        <w:rPr>
          <w:noProof w:val="0"/>
        </w:rPr>
      </w:pPr>
      <w:r w:rsidRPr="000A3A07">
        <w:rPr>
          <w:noProof w:val="0"/>
        </w:rPr>
        <w:t>1</w:t>
      </w:r>
      <w:r w:rsidRPr="000A3A07">
        <w:rPr>
          <w:noProof w:val="0"/>
        </w:rPr>
        <w:tab/>
        <w:t>Granskningens bakgrund och inriktning</w:t>
      </w:r>
      <w:r w:rsidRPr="000A3A07">
        <w:rPr>
          <w:noProof w:val="0"/>
        </w:rPr>
        <w:tab/>
        <w:t>16</w:t>
      </w:r>
    </w:p>
    <w:p w14:paraId="24A06F34" w14:textId="77777777" w:rsidR="007C11E9" w:rsidRPr="000A3A07" w:rsidRDefault="007C11E9">
      <w:pPr>
        <w:pStyle w:val="Innehll1"/>
        <w:rPr>
          <w:noProof w:val="0"/>
        </w:rPr>
      </w:pPr>
      <w:r w:rsidRPr="000A3A07">
        <w:rPr>
          <w:noProof w:val="0"/>
        </w:rPr>
        <w:t>2</w:t>
      </w:r>
      <w:r w:rsidRPr="000A3A07">
        <w:rPr>
          <w:noProof w:val="0"/>
        </w:rPr>
        <w:tab/>
        <w:t>Vägverket och Banverket</w:t>
      </w:r>
      <w:r w:rsidRPr="000A3A07">
        <w:rPr>
          <w:noProof w:val="0"/>
        </w:rPr>
        <w:tab/>
        <w:t>17</w:t>
      </w:r>
    </w:p>
    <w:p w14:paraId="39D6F0B0" w14:textId="77777777" w:rsidR="007C11E9" w:rsidRPr="000A3A07" w:rsidRDefault="007C11E9">
      <w:pPr>
        <w:pStyle w:val="Innehll1"/>
        <w:rPr>
          <w:noProof w:val="0"/>
        </w:rPr>
      </w:pPr>
      <w:r w:rsidRPr="000A3A07">
        <w:rPr>
          <w:noProof w:val="0"/>
        </w:rPr>
        <w:t>3</w:t>
      </w:r>
      <w:r w:rsidRPr="000A3A07">
        <w:rPr>
          <w:noProof w:val="0"/>
        </w:rPr>
        <w:tab/>
        <w:t>Planering av investeringar i vägar och järnvägar</w:t>
      </w:r>
      <w:r w:rsidRPr="000A3A07">
        <w:rPr>
          <w:noProof w:val="0"/>
        </w:rPr>
        <w:tab/>
        <w:t>18</w:t>
      </w:r>
    </w:p>
    <w:p w14:paraId="05DC5EC4" w14:textId="77777777" w:rsidR="007C11E9" w:rsidRPr="000A3A07" w:rsidRDefault="007C11E9">
      <w:pPr>
        <w:pStyle w:val="Innehll1"/>
        <w:rPr>
          <w:noProof w:val="0"/>
        </w:rPr>
      </w:pPr>
      <w:r w:rsidRPr="000A3A07">
        <w:rPr>
          <w:noProof w:val="0"/>
        </w:rPr>
        <w:t>4</w:t>
      </w:r>
      <w:r w:rsidRPr="000A3A07">
        <w:rPr>
          <w:noProof w:val="0"/>
        </w:rPr>
        <w:tab/>
        <w:t>Anslagsfinansiering</w:t>
      </w:r>
      <w:r w:rsidRPr="000A3A07">
        <w:rPr>
          <w:noProof w:val="0"/>
        </w:rPr>
        <w:tab/>
        <w:t>23</w:t>
      </w:r>
    </w:p>
    <w:p w14:paraId="722C3BF9" w14:textId="77777777" w:rsidR="007C11E9" w:rsidRPr="000A3A07" w:rsidRDefault="007C11E9">
      <w:pPr>
        <w:pStyle w:val="Innehll1"/>
        <w:rPr>
          <w:noProof w:val="0"/>
        </w:rPr>
      </w:pPr>
      <w:r w:rsidRPr="000A3A07">
        <w:rPr>
          <w:noProof w:val="0"/>
        </w:rPr>
        <w:t>5</w:t>
      </w:r>
      <w:r w:rsidRPr="000A3A07">
        <w:rPr>
          <w:noProof w:val="0"/>
        </w:rPr>
        <w:tab/>
        <w:t>Alternativa finansieringsformer</w:t>
      </w:r>
      <w:r w:rsidRPr="000A3A07">
        <w:rPr>
          <w:noProof w:val="0"/>
        </w:rPr>
        <w:tab/>
        <w:t>26</w:t>
      </w:r>
    </w:p>
    <w:p w14:paraId="2605B732" w14:textId="77777777" w:rsidR="007C11E9" w:rsidRPr="000A3A07" w:rsidRDefault="007C11E9">
      <w:pPr>
        <w:pStyle w:val="Innehll2"/>
        <w:tabs>
          <w:tab w:val="left" w:pos="680"/>
        </w:tabs>
        <w:rPr>
          <w:noProof w:val="0"/>
        </w:rPr>
      </w:pPr>
      <w:r w:rsidRPr="000A3A07">
        <w:rPr>
          <w:noProof w:val="0"/>
        </w:rPr>
        <w:t>5.1</w:t>
      </w:r>
      <w:r w:rsidRPr="000A3A07">
        <w:rPr>
          <w:noProof w:val="0"/>
        </w:rPr>
        <w:tab/>
        <w:t>Riksdagens ställningstaganden</w:t>
      </w:r>
      <w:r w:rsidRPr="000A3A07">
        <w:rPr>
          <w:noProof w:val="0"/>
        </w:rPr>
        <w:tab/>
        <w:t>26</w:t>
      </w:r>
    </w:p>
    <w:p w14:paraId="4451B6D5" w14:textId="77777777" w:rsidR="007C11E9" w:rsidRPr="000A3A07" w:rsidRDefault="007C11E9">
      <w:pPr>
        <w:pStyle w:val="Innehll2"/>
        <w:tabs>
          <w:tab w:val="left" w:pos="680"/>
        </w:tabs>
        <w:rPr>
          <w:noProof w:val="0"/>
        </w:rPr>
      </w:pPr>
      <w:r w:rsidRPr="000A3A07">
        <w:rPr>
          <w:noProof w:val="0"/>
        </w:rPr>
        <w:t>5.2</w:t>
      </w:r>
      <w:r w:rsidRPr="000A3A07">
        <w:rPr>
          <w:noProof w:val="0"/>
        </w:rPr>
        <w:tab/>
        <w:t>Lånefinansiering</w:t>
      </w:r>
      <w:r w:rsidRPr="000A3A07">
        <w:rPr>
          <w:noProof w:val="0"/>
        </w:rPr>
        <w:tab/>
        <w:t>27</w:t>
      </w:r>
    </w:p>
    <w:p w14:paraId="0DDFCFAA" w14:textId="77777777" w:rsidR="007C11E9" w:rsidRPr="000A3A07" w:rsidRDefault="007C11E9">
      <w:pPr>
        <w:pStyle w:val="Innehll2"/>
        <w:tabs>
          <w:tab w:val="left" w:pos="680"/>
        </w:tabs>
        <w:rPr>
          <w:noProof w:val="0"/>
        </w:rPr>
      </w:pPr>
      <w:r w:rsidRPr="000A3A07">
        <w:rPr>
          <w:noProof w:val="0"/>
        </w:rPr>
        <w:t>5.3</w:t>
      </w:r>
      <w:r w:rsidRPr="000A3A07">
        <w:rPr>
          <w:noProof w:val="0"/>
        </w:rPr>
        <w:tab/>
        <w:t>Statliga garantier</w:t>
      </w:r>
      <w:r w:rsidRPr="000A3A07">
        <w:rPr>
          <w:noProof w:val="0"/>
        </w:rPr>
        <w:tab/>
        <w:t>30</w:t>
      </w:r>
    </w:p>
    <w:p w14:paraId="5E2E6EC5" w14:textId="77777777" w:rsidR="007C11E9" w:rsidRPr="000A3A07" w:rsidRDefault="007C11E9">
      <w:pPr>
        <w:pStyle w:val="Innehll2"/>
        <w:tabs>
          <w:tab w:val="left" w:pos="680"/>
        </w:tabs>
        <w:rPr>
          <w:noProof w:val="0"/>
        </w:rPr>
      </w:pPr>
      <w:r w:rsidRPr="000A3A07">
        <w:rPr>
          <w:noProof w:val="0"/>
        </w:rPr>
        <w:t>5.4</w:t>
      </w:r>
      <w:r w:rsidRPr="000A3A07">
        <w:rPr>
          <w:noProof w:val="0"/>
        </w:rPr>
        <w:tab/>
        <w:t>Förskottering</w:t>
      </w:r>
      <w:r w:rsidRPr="000A3A07">
        <w:rPr>
          <w:noProof w:val="0"/>
        </w:rPr>
        <w:tab/>
        <w:t>32</w:t>
      </w:r>
    </w:p>
    <w:p w14:paraId="365C5661" w14:textId="77777777" w:rsidR="007C11E9" w:rsidRPr="000A3A07" w:rsidRDefault="007C11E9">
      <w:pPr>
        <w:pStyle w:val="Innehll2"/>
        <w:tabs>
          <w:tab w:val="left" w:pos="680"/>
        </w:tabs>
        <w:rPr>
          <w:noProof w:val="0"/>
        </w:rPr>
      </w:pPr>
      <w:r w:rsidRPr="000A3A07">
        <w:rPr>
          <w:noProof w:val="0"/>
        </w:rPr>
        <w:t>5.5</w:t>
      </w:r>
      <w:r w:rsidRPr="000A3A07">
        <w:rPr>
          <w:noProof w:val="0"/>
        </w:rPr>
        <w:tab/>
        <w:t>Avgiftsfinansiering</w:t>
      </w:r>
      <w:r w:rsidRPr="000A3A07">
        <w:rPr>
          <w:noProof w:val="0"/>
        </w:rPr>
        <w:tab/>
        <w:t>32</w:t>
      </w:r>
    </w:p>
    <w:p w14:paraId="0F6AA6C6" w14:textId="77777777" w:rsidR="007C11E9" w:rsidRPr="000A3A07" w:rsidRDefault="007C11E9">
      <w:pPr>
        <w:pStyle w:val="Innehll2"/>
        <w:tabs>
          <w:tab w:val="left" w:pos="680"/>
        </w:tabs>
        <w:rPr>
          <w:noProof w:val="0"/>
        </w:rPr>
      </w:pPr>
      <w:r w:rsidRPr="000A3A07">
        <w:rPr>
          <w:noProof w:val="0"/>
        </w:rPr>
        <w:t>5.6</w:t>
      </w:r>
      <w:r w:rsidRPr="000A3A07">
        <w:rPr>
          <w:noProof w:val="0"/>
        </w:rPr>
        <w:tab/>
        <w:t>Privatfinansiering genom partnerskap</w:t>
      </w:r>
      <w:r w:rsidRPr="000A3A07">
        <w:rPr>
          <w:noProof w:val="0"/>
        </w:rPr>
        <w:tab/>
        <w:t>32</w:t>
      </w:r>
    </w:p>
    <w:p w14:paraId="098CC41D" w14:textId="77777777" w:rsidR="007C11E9" w:rsidRPr="000A3A07" w:rsidRDefault="007C11E9">
      <w:pPr>
        <w:pStyle w:val="Innehll2"/>
        <w:tabs>
          <w:tab w:val="left" w:pos="680"/>
        </w:tabs>
        <w:rPr>
          <w:noProof w:val="0"/>
        </w:rPr>
      </w:pPr>
      <w:r w:rsidRPr="000A3A07">
        <w:rPr>
          <w:noProof w:val="0"/>
        </w:rPr>
        <w:t>5.7</w:t>
      </w:r>
      <w:r w:rsidRPr="000A3A07">
        <w:rPr>
          <w:noProof w:val="0"/>
        </w:rPr>
        <w:tab/>
        <w:t>Bidrag från EU</w:t>
      </w:r>
      <w:r w:rsidRPr="000A3A07">
        <w:rPr>
          <w:noProof w:val="0"/>
        </w:rPr>
        <w:tab/>
        <w:t>33</w:t>
      </w:r>
    </w:p>
    <w:p w14:paraId="784C3944" w14:textId="77777777" w:rsidR="007C11E9" w:rsidRPr="000A3A07" w:rsidRDefault="007C11E9">
      <w:pPr>
        <w:pStyle w:val="Innehll2"/>
        <w:tabs>
          <w:tab w:val="left" w:pos="680"/>
        </w:tabs>
        <w:rPr>
          <w:noProof w:val="0"/>
        </w:rPr>
      </w:pPr>
      <w:r w:rsidRPr="000A3A07">
        <w:rPr>
          <w:noProof w:val="0"/>
        </w:rPr>
        <w:t>5.8</w:t>
      </w:r>
      <w:r w:rsidRPr="000A3A07">
        <w:rPr>
          <w:noProof w:val="0"/>
        </w:rPr>
        <w:tab/>
        <w:t>Samfinansiering</w:t>
      </w:r>
      <w:r w:rsidRPr="000A3A07">
        <w:rPr>
          <w:noProof w:val="0"/>
        </w:rPr>
        <w:tab/>
        <w:t>33</w:t>
      </w:r>
    </w:p>
    <w:p w14:paraId="1F3DD067" w14:textId="77777777" w:rsidR="007C11E9" w:rsidRPr="000A3A07" w:rsidRDefault="007C11E9">
      <w:pPr>
        <w:pStyle w:val="Innehll1"/>
        <w:rPr>
          <w:noProof w:val="0"/>
        </w:rPr>
      </w:pPr>
      <w:r w:rsidRPr="000A3A07">
        <w:rPr>
          <w:noProof w:val="0"/>
        </w:rPr>
        <w:t>6</w:t>
      </w:r>
      <w:r w:rsidRPr="000A3A07">
        <w:rPr>
          <w:noProof w:val="0"/>
        </w:rPr>
        <w:tab/>
        <w:t>Motiv till alternativa finansieringsformer</w:t>
      </w:r>
      <w:r w:rsidRPr="000A3A07">
        <w:rPr>
          <w:noProof w:val="0"/>
        </w:rPr>
        <w:tab/>
        <w:t>34</w:t>
      </w:r>
    </w:p>
    <w:p w14:paraId="2170CC12" w14:textId="77777777" w:rsidR="007C11E9" w:rsidRPr="000A3A07" w:rsidRDefault="007C11E9">
      <w:pPr>
        <w:pStyle w:val="Innehll2"/>
        <w:tabs>
          <w:tab w:val="left" w:pos="680"/>
        </w:tabs>
        <w:rPr>
          <w:noProof w:val="0"/>
        </w:rPr>
      </w:pPr>
      <w:r w:rsidRPr="000A3A07">
        <w:rPr>
          <w:noProof w:val="0"/>
        </w:rPr>
        <w:t>6.1</w:t>
      </w:r>
      <w:r w:rsidRPr="000A3A07">
        <w:rPr>
          <w:noProof w:val="0"/>
        </w:rPr>
        <w:tab/>
        <w:t>Tidigareläggning av de samhällsekonomiska vinsterna</w:t>
      </w:r>
      <w:r w:rsidRPr="000A3A07">
        <w:rPr>
          <w:noProof w:val="0"/>
        </w:rPr>
        <w:tab/>
        <w:t>34</w:t>
      </w:r>
    </w:p>
    <w:p w14:paraId="7F51A168" w14:textId="77777777" w:rsidR="007C11E9" w:rsidRPr="000A3A07" w:rsidRDefault="007C11E9">
      <w:pPr>
        <w:pStyle w:val="Innehll2"/>
        <w:tabs>
          <w:tab w:val="left" w:pos="680"/>
        </w:tabs>
        <w:rPr>
          <w:noProof w:val="0"/>
        </w:rPr>
      </w:pPr>
      <w:r w:rsidRPr="000A3A07">
        <w:rPr>
          <w:noProof w:val="0"/>
        </w:rPr>
        <w:t>6.2</w:t>
      </w:r>
      <w:r w:rsidRPr="000A3A07">
        <w:rPr>
          <w:noProof w:val="0"/>
        </w:rPr>
        <w:tab/>
        <w:t>Ökad effektivitet</w:t>
      </w:r>
      <w:r w:rsidRPr="000A3A07">
        <w:rPr>
          <w:noProof w:val="0"/>
        </w:rPr>
        <w:tab/>
        <w:t>35</w:t>
      </w:r>
    </w:p>
    <w:p w14:paraId="79AA0EEF" w14:textId="77777777" w:rsidR="007C11E9" w:rsidRPr="000A3A07" w:rsidRDefault="007C11E9">
      <w:pPr>
        <w:pStyle w:val="Innehll2"/>
        <w:tabs>
          <w:tab w:val="left" w:pos="680"/>
        </w:tabs>
        <w:rPr>
          <w:noProof w:val="0"/>
        </w:rPr>
      </w:pPr>
      <w:r w:rsidRPr="000A3A07">
        <w:rPr>
          <w:noProof w:val="0"/>
        </w:rPr>
        <w:t>6.3</w:t>
      </w:r>
      <w:r w:rsidRPr="000A3A07">
        <w:rPr>
          <w:noProof w:val="0"/>
        </w:rPr>
        <w:tab/>
        <w:t>Utjämning av kostnader</w:t>
      </w:r>
      <w:r w:rsidRPr="000A3A07">
        <w:rPr>
          <w:noProof w:val="0"/>
        </w:rPr>
        <w:tab/>
        <w:t>37</w:t>
      </w:r>
    </w:p>
    <w:p w14:paraId="0C0BE648" w14:textId="77777777" w:rsidR="007C11E9" w:rsidRPr="000A3A07" w:rsidRDefault="007C11E9">
      <w:pPr>
        <w:pStyle w:val="Innehll1"/>
        <w:rPr>
          <w:noProof w:val="0"/>
        </w:rPr>
      </w:pPr>
      <w:r w:rsidRPr="000A3A07">
        <w:rPr>
          <w:noProof w:val="0"/>
        </w:rPr>
        <w:t>7</w:t>
      </w:r>
      <w:r w:rsidRPr="000A3A07">
        <w:rPr>
          <w:noProof w:val="0"/>
        </w:rPr>
        <w:tab/>
        <w:t>Exempel på infrastrukturprojekt med alternativ finansiering</w:t>
      </w:r>
      <w:r w:rsidRPr="000A3A07">
        <w:rPr>
          <w:noProof w:val="0"/>
        </w:rPr>
        <w:tab/>
        <w:t>38</w:t>
      </w:r>
    </w:p>
    <w:p w14:paraId="3F8E0A95" w14:textId="77777777" w:rsidR="007C11E9" w:rsidRPr="000A3A07" w:rsidRDefault="007C11E9">
      <w:pPr>
        <w:pStyle w:val="Innehll2"/>
        <w:tabs>
          <w:tab w:val="left" w:pos="680"/>
        </w:tabs>
        <w:rPr>
          <w:noProof w:val="0"/>
        </w:rPr>
      </w:pPr>
      <w:r w:rsidRPr="000A3A07">
        <w:rPr>
          <w:noProof w:val="0"/>
        </w:rPr>
        <w:t>7.1</w:t>
      </w:r>
      <w:r w:rsidRPr="000A3A07">
        <w:rPr>
          <w:noProof w:val="0"/>
        </w:rPr>
        <w:tab/>
        <w:t>Lånefinansierade vägprojekt</w:t>
      </w:r>
      <w:r w:rsidRPr="000A3A07">
        <w:rPr>
          <w:noProof w:val="0"/>
        </w:rPr>
        <w:tab/>
        <w:t>38</w:t>
      </w:r>
    </w:p>
    <w:p w14:paraId="4738D955" w14:textId="77777777" w:rsidR="007C11E9" w:rsidRPr="000A3A07" w:rsidRDefault="007C11E9">
      <w:pPr>
        <w:pStyle w:val="Innehll2"/>
        <w:tabs>
          <w:tab w:val="left" w:pos="680"/>
        </w:tabs>
        <w:rPr>
          <w:noProof w:val="0"/>
        </w:rPr>
      </w:pPr>
      <w:r w:rsidRPr="000A3A07">
        <w:rPr>
          <w:noProof w:val="0"/>
        </w:rPr>
        <w:t>7.2</w:t>
      </w:r>
      <w:r w:rsidRPr="000A3A07">
        <w:rPr>
          <w:noProof w:val="0"/>
        </w:rPr>
        <w:tab/>
        <w:t>Tranebergsbron</w:t>
      </w:r>
      <w:r w:rsidRPr="000A3A07">
        <w:rPr>
          <w:noProof w:val="0"/>
        </w:rPr>
        <w:tab/>
        <w:t>39</w:t>
      </w:r>
    </w:p>
    <w:p w14:paraId="6AF67E99" w14:textId="77777777" w:rsidR="007C11E9" w:rsidRPr="000A3A07" w:rsidRDefault="007C11E9">
      <w:pPr>
        <w:pStyle w:val="Innehll2"/>
        <w:tabs>
          <w:tab w:val="left" w:pos="680"/>
        </w:tabs>
        <w:rPr>
          <w:noProof w:val="0"/>
        </w:rPr>
      </w:pPr>
      <w:r w:rsidRPr="000A3A07">
        <w:rPr>
          <w:noProof w:val="0"/>
        </w:rPr>
        <w:t>7.3</w:t>
      </w:r>
      <w:r w:rsidRPr="000A3A07">
        <w:rPr>
          <w:noProof w:val="0"/>
        </w:rPr>
        <w:tab/>
        <w:t>Rödöbron</w:t>
      </w:r>
      <w:r w:rsidRPr="000A3A07">
        <w:rPr>
          <w:noProof w:val="0"/>
        </w:rPr>
        <w:tab/>
        <w:t>39</w:t>
      </w:r>
    </w:p>
    <w:p w14:paraId="0D63A2EE" w14:textId="77777777" w:rsidR="007C11E9" w:rsidRPr="000A3A07" w:rsidRDefault="007C11E9">
      <w:pPr>
        <w:pStyle w:val="Innehll2"/>
        <w:tabs>
          <w:tab w:val="left" w:pos="680"/>
        </w:tabs>
        <w:rPr>
          <w:noProof w:val="0"/>
        </w:rPr>
      </w:pPr>
      <w:r w:rsidRPr="000A3A07">
        <w:rPr>
          <w:noProof w:val="0"/>
        </w:rPr>
        <w:t>7.4</w:t>
      </w:r>
      <w:r w:rsidRPr="000A3A07">
        <w:rPr>
          <w:noProof w:val="0"/>
        </w:rPr>
        <w:tab/>
        <w:t>Grödingebanan och SL-investeringar</w:t>
      </w:r>
      <w:r w:rsidRPr="000A3A07">
        <w:rPr>
          <w:noProof w:val="0"/>
        </w:rPr>
        <w:tab/>
        <w:t>39</w:t>
      </w:r>
    </w:p>
    <w:p w14:paraId="426E34F1" w14:textId="77777777" w:rsidR="007C11E9" w:rsidRPr="000A3A07" w:rsidRDefault="007C11E9">
      <w:pPr>
        <w:pStyle w:val="Innehll2"/>
        <w:tabs>
          <w:tab w:val="left" w:pos="680"/>
        </w:tabs>
        <w:rPr>
          <w:noProof w:val="0"/>
        </w:rPr>
      </w:pPr>
      <w:r w:rsidRPr="000A3A07">
        <w:rPr>
          <w:noProof w:val="0"/>
        </w:rPr>
        <w:t>7.5</w:t>
      </w:r>
      <w:r w:rsidRPr="000A3A07">
        <w:rPr>
          <w:noProof w:val="0"/>
        </w:rPr>
        <w:tab/>
        <w:t>Alandabanan</w:t>
      </w:r>
      <w:r w:rsidRPr="000A3A07">
        <w:rPr>
          <w:noProof w:val="0"/>
        </w:rPr>
        <w:tab/>
        <w:t>39</w:t>
      </w:r>
    </w:p>
    <w:p w14:paraId="18F1C909" w14:textId="77777777" w:rsidR="007C11E9" w:rsidRPr="000A3A07" w:rsidRDefault="007C11E9">
      <w:pPr>
        <w:pStyle w:val="Innehll2"/>
        <w:tabs>
          <w:tab w:val="left" w:pos="680"/>
        </w:tabs>
        <w:rPr>
          <w:noProof w:val="0"/>
        </w:rPr>
      </w:pPr>
      <w:r w:rsidRPr="000A3A07">
        <w:rPr>
          <w:noProof w:val="0"/>
        </w:rPr>
        <w:t>7.6</w:t>
      </w:r>
      <w:r w:rsidRPr="000A3A07">
        <w:rPr>
          <w:noProof w:val="0"/>
        </w:rPr>
        <w:tab/>
        <w:t>Botniabanan</w:t>
      </w:r>
      <w:r w:rsidRPr="000A3A07">
        <w:rPr>
          <w:noProof w:val="0"/>
        </w:rPr>
        <w:tab/>
        <w:t>40</w:t>
      </w:r>
    </w:p>
    <w:p w14:paraId="0EBA1CB0" w14:textId="77777777" w:rsidR="007C11E9" w:rsidRPr="000A3A07" w:rsidRDefault="007C11E9">
      <w:pPr>
        <w:pStyle w:val="Innehll2"/>
        <w:tabs>
          <w:tab w:val="left" w:pos="680"/>
        </w:tabs>
        <w:rPr>
          <w:noProof w:val="0"/>
        </w:rPr>
      </w:pPr>
      <w:r w:rsidRPr="000A3A07">
        <w:rPr>
          <w:noProof w:val="0"/>
        </w:rPr>
        <w:t>7.7</w:t>
      </w:r>
      <w:r w:rsidRPr="000A3A07">
        <w:rPr>
          <w:noProof w:val="0"/>
        </w:rPr>
        <w:tab/>
        <w:t>Öresundsförbindelsen med anslutningar och Citytunneln</w:t>
      </w:r>
      <w:r w:rsidRPr="000A3A07">
        <w:rPr>
          <w:noProof w:val="0"/>
        </w:rPr>
        <w:tab/>
        <w:t>41</w:t>
      </w:r>
    </w:p>
    <w:p w14:paraId="14EB4B2E" w14:textId="77777777" w:rsidR="007C11E9" w:rsidRPr="000A3A07" w:rsidRDefault="007C11E9">
      <w:pPr>
        <w:pStyle w:val="Innehll2"/>
        <w:tabs>
          <w:tab w:val="left" w:pos="680"/>
        </w:tabs>
        <w:rPr>
          <w:noProof w:val="0"/>
        </w:rPr>
      </w:pPr>
      <w:r w:rsidRPr="000A3A07">
        <w:rPr>
          <w:noProof w:val="0"/>
        </w:rPr>
        <w:t>7.8</w:t>
      </w:r>
      <w:r w:rsidRPr="000A3A07">
        <w:rPr>
          <w:noProof w:val="0"/>
        </w:rPr>
        <w:tab/>
        <w:t>Stockholms- och Göteborgsprojekten</w:t>
      </w:r>
      <w:r w:rsidRPr="000A3A07">
        <w:rPr>
          <w:noProof w:val="0"/>
        </w:rPr>
        <w:tab/>
        <w:t>44</w:t>
      </w:r>
    </w:p>
    <w:p w14:paraId="21AFE2E1" w14:textId="77777777" w:rsidR="007C11E9" w:rsidRPr="000A3A07" w:rsidRDefault="007C11E9">
      <w:pPr>
        <w:pStyle w:val="Innehll1"/>
        <w:rPr>
          <w:noProof w:val="0"/>
        </w:rPr>
      </w:pPr>
      <w:r w:rsidRPr="000A3A07">
        <w:rPr>
          <w:noProof w:val="0"/>
        </w:rPr>
        <w:t>8</w:t>
      </w:r>
      <w:r w:rsidRPr="000A3A07">
        <w:rPr>
          <w:noProof w:val="0"/>
        </w:rPr>
        <w:tab/>
        <w:t>Samhällsekonomiska kalkyler – en viktig del av beslutsunderlaget</w:t>
      </w:r>
      <w:r w:rsidRPr="000A3A07">
        <w:rPr>
          <w:noProof w:val="0"/>
        </w:rPr>
        <w:tab/>
        <w:t>46</w:t>
      </w:r>
    </w:p>
    <w:p w14:paraId="739F89EF" w14:textId="77777777" w:rsidR="007C11E9" w:rsidRPr="000A3A07" w:rsidRDefault="007C11E9">
      <w:pPr>
        <w:pStyle w:val="Innehll2"/>
        <w:tabs>
          <w:tab w:val="left" w:pos="680"/>
        </w:tabs>
        <w:rPr>
          <w:noProof w:val="0"/>
        </w:rPr>
      </w:pPr>
      <w:r w:rsidRPr="000A3A07">
        <w:rPr>
          <w:noProof w:val="0"/>
        </w:rPr>
        <w:t>8.1</w:t>
      </w:r>
      <w:r w:rsidRPr="000A3A07">
        <w:rPr>
          <w:noProof w:val="0"/>
        </w:rPr>
        <w:tab/>
        <w:t>Samhällsekonomiska analyser i teori och praktik</w:t>
      </w:r>
      <w:r w:rsidRPr="000A3A07">
        <w:rPr>
          <w:noProof w:val="0"/>
        </w:rPr>
        <w:tab/>
        <w:t>46</w:t>
      </w:r>
    </w:p>
    <w:p w14:paraId="4A7B7881" w14:textId="77777777" w:rsidR="007C11E9" w:rsidRPr="000A3A07" w:rsidRDefault="007C11E9">
      <w:pPr>
        <w:pStyle w:val="Innehll2"/>
        <w:tabs>
          <w:tab w:val="left" w:pos="680"/>
        </w:tabs>
        <w:rPr>
          <w:noProof w:val="0"/>
        </w:rPr>
      </w:pPr>
      <w:r w:rsidRPr="000A3A07">
        <w:rPr>
          <w:noProof w:val="0"/>
        </w:rPr>
        <w:t>8.2</w:t>
      </w:r>
      <w:r w:rsidRPr="000A3A07">
        <w:rPr>
          <w:noProof w:val="0"/>
        </w:rPr>
        <w:tab/>
        <w:t>Fallstudier</w:t>
      </w:r>
      <w:r w:rsidRPr="000A3A07">
        <w:rPr>
          <w:noProof w:val="0"/>
        </w:rPr>
        <w:tab/>
        <w:t>49</w:t>
      </w:r>
    </w:p>
    <w:p w14:paraId="7DCACF3E" w14:textId="77777777" w:rsidR="007C11E9" w:rsidRPr="000A3A07" w:rsidRDefault="007C11E9">
      <w:pPr>
        <w:pStyle w:val="Innehll2"/>
        <w:tabs>
          <w:tab w:val="left" w:pos="680"/>
        </w:tabs>
        <w:rPr>
          <w:noProof w:val="0"/>
        </w:rPr>
      </w:pPr>
      <w:r w:rsidRPr="000A3A07">
        <w:rPr>
          <w:noProof w:val="0"/>
        </w:rPr>
        <w:t>8.3</w:t>
      </w:r>
      <w:r w:rsidRPr="000A3A07">
        <w:rPr>
          <w:noProof w:val="0"/>
        </w:rPr>
        <w:tab/>
        <w:t>Sammanfattande iakttagelser</w:t>
      </w:r>
      <w:r w:rsidRPr="000A3A07">
        <w:rPr>
          <w:noProof w:val="0"/>
        </w:rPr>
        <w:tab/>
        <w:t>72</w:t>
      </w:r>
    </w:p>
    <w:p w14:paraId="687D6A51" w14:textId="77777777" w:rsidR="007C11E9" w:rsidRPr="000A3A07" w:rsidRDefault="007C11E9">
      <w:pPr>
        <w:pStyle w:val="Innehll1"/>
        <w:rPr>
          <w:noProof w:val="0"/>
        </w:rPr>
      </w:pPr>
      <w:r w:rsidRPr="000A3A07">
        <w:rPr>
          <w:noProof w:val="0"/>
        </w:rPr>
        <w:t>9</w:t>
      </w:r>
      <w:r w:rsidRPr="000A3A07">
        <w:rPr>
          <w:noProof w:val="0"/>
        </w:rPr>
        <w:tab/>
        <w:t>Revisorernas överväganden</w:t>
      </w:r>
      <w:r w:rsidRPr="000A3A07">
        <w:rPr>
          <w:noProof w:val="0"/>
        </w:rPr>
        <w:tab/>
        <w:t>76</w:t>
      </w:r>
    </w:p>
    <w:p w14:paraId="2E649BBD" w14:textId="77777777" w:rsidR="007C11E9" w:rsidRPr="000A3A07" w:rsidRDefault="007C11E9">
      <w:pPr>
        <w:pStyle w:val="Innehll1"/>
        <w:rPr>
          <w:noProof w:val="0"/>
        </w:rPr>
      </w:pPr>
      <w:r w:rsidRPr="000A3A07">
        <w:rPr>
          <w:noProof w:val="0"/>
        </w:rPr>
        <w:t>Referenser</w:t>
      </w:r>
      <w:r w:rsidRPr="000A3A07">
        <w:rPr>
          <w:noProof w:val="0"/>
        </w:rPr>
        <w:tab/>
        <w:t>81</w:t>
      </w:r>
    </w:p>
    <w:p w14:paraId="64B7743B" w14:textId="77777777" w:rsidR="007C11E9" w:rsidRPr="000A3A07" w:rsidRDefault="007C11E9">
      <w:pPr>
        <w:pStyle w:val="Innehll1"/>
        <w:rPr>
          <w:noProof w:val="0"/>
        </w:rPr>
      </w:pPr>
      <w:r w:rsidRPr="000A3A07">
        <w:rPr>
          <w:noProof w:val="0"/>
        </w:rPr>
        <w:t>Appendix: Statsbudgeten och statens investeringar</w:t>
      </w:r>
      <w:r w:rsidRPr="000A3A07">
        <w:rPr>
          <w:noProof w:val="0"/>
        </w:rPr>
        <w:tab/>
        <w:t>84</w:t>
      </w:r>
    </w:p>
    <w:p w14:paraId="6CF2DBB7" w14:textId="77777777" w:rsidR="007C11E9" w:rsidRPr="000A3A07" w:rsidRDefault="007C11E9">
      <w:pPr>
        <w:pStyle w:val="Innehll2"/>
        <w:rPr>
          <w:noProof w:val="0"/>
        </w:rPr>
      </w:pPr>
      <w:r w:rsidRPr="000A3A07">
        <w:rPr>
          <w:noProof w:val="0"/>
        </w:rPr>
        <w:t>Bakgrund</w:t>
      </w:r>
      <w:r w:rsidRPr="000A3A07">
        <w:rPr>
          <w:noProof w:val="0"/>
        </w:rPr>
        <w:tab/>
        <w:t>84</w:t>
      </w:r>
    </w:p>
    <w:p w14:paraId="3BE3E4FB" w14:textId="77777777" w:rsidR="007C11E9" w:rsidRPr="000A3A07" w:rsidRDefault="007C11E9">
      <w:pPr>
        <w:pStyle w:val="Innehll2"/>
        <w:rPr>
          <w:noProof w:val="0"/>
        </w:rPr>
      </w:pPr>
      <w:r w:rsidRPr="000A3A07">
        <w:rPr>
          <w:noProof w:val="0"/>
        </w:rPr>
        <w:t>Principiellt om investeringar och statsbudget</w:t>
      </w:r>
      <w:r w:rsidRPr="000A3A07">
        <w:rPr>
          <w:noProof w:val="0"/>
        </w:rPr>
        <w:tab/>
        <w:t>84</w:t>
      </w:r>
    </w:p>
    <w:p w14:paraId="30D4416F" w14:textId="77777777" w:rsidR="007C11E9" w:rsidRPr="000A3A07" w:rsidRDefault="007C11E9">
      <w:pPr>
        <w:pStyle w:val="Innehll2"/>
        <w:rPr>
          <w:noProof w:val="0"/>
        </w:rPr>
      </w:pPr>
      <w:r w:rsidRPr="000A3A07">
        <w:rPr>
          <w:noProof w:val="0"/>
        </w:rPr>
        <w:t>Drift- och kapitalbudget</w:t>
      </w:r>
      <w:r w:rsidRPr="000A3A07">
        <w:rPr>
          <w:noProof w:val="0"/>
        </w:rPr>
        <w:tab/>
        <w:t>86</w:t>
      </w:r>
    </w:p>
    <w:p w14:paraId="59DF0767" w14:textId="77777777" w:rsidR="007C11E9" w:rsidRPr="000A3A07" w:rsidRDefault="007C11E9">
      <w:pPr>
        <w:pStyle w:val="Innehll2"/>
        <w:rPr>
          <w:noProof w:val="0"/>
        </w:rPr>
      </w:pPr>
      <w:r w:rsidRPr="000A3A07">
        <w:rPr>
          <w:noProof w:val="0"/>
        </w:rPr>
        <w:t>En kostnadsmässig budget</w:t>
      </w:r>
      <w:r w:rsidRPr="000A3A07">
        <w:rPr>
          <w:noProof w:val="0"/>
        </w:rPr>
        <w:tab/>
        <w:t>93</w:t>
      </w:r>
    </w:p>
    <w:p w14:paraId="5C2BF094" w14:textId="77777777" w:rsidR="007C11E9" w:rsidRPr="000A3A07" w:rsidRDefault="007C11E9">
      <w:pPr>
        <w:pStyle w:val="Innehll1"/>
        <w:spacing w:before="120"/>
        <w:rPr>
          <w:i/>
          <w:noProof w:val="0"/>
        </w:rPr>
      </w:pPr>
      <w:r w:rsidRPr="000A3A07">
        <w:rPr>
          <w:i/>
          <w:noProof w:val="0"/>
        </w:rPr>
        <w:t xml:space="preserve">Underbilaga 1 Beslutsunderlaget för Arlandabanan: en granskning av de samhällsekonomiska bedömningarna </w:t>
      </w:r>
    </w:p>
    <w:p w14:paraId="1CB948C4" w14:textId="77777777" w:rsidR="007C11E9" w:rsidRPr="000A3A07" w:rsidRDefault="007C11E9">
      <w:pPr>
        <w:pStyle w:val="Innehll1"/>
        <w:rPr>
          <w:noProof w:val="0"/>
        </w:rPr>
      </w:pPr>
      <w:r w:rsidRPr="000A3A07">
        <w:rPr>
          <w:noProof w:val="0"/>
        </w:rPr>
        <w:t>Sammanfattning</w:t>
      </w:r>
      <w:r w:rsidRPr="000A3A07">
        <w:rPr>
          <w:noProof w:val="0"/>
        </w:rPr>
        <w:tab/>
      </w:r>
      <w:bookmarkStart w:id="411" w:name="_Hlt506342749"/>
      <w:r w:rsidRPr="000A3A07">
        <w:rPr>
          <w:noProof w:val="0"/>
        </w:rPr>
        <w:t>97</w:t>
      </w:r>
      <w:bookmarkEnd w:id="411"/>
    </w:p>
    <w:p w14:paraId="0B29495E" w14:textId="77777777" w:rsidR="007C11E9" w:rsidRPr="000A3A07" w:rsidRDefault="007C11E9">
      <w:pPr>
        <w:pStyle w:val="Innehll1"/>
        <w:rPr>
          <w:noProof w:val="0"/>
        </w:rPr>
      </w:pPr>
      <w:r w:rsidRPr="000A3A07">
        <w:rPr>
          <w:noProof w:val="0"/>
        </w:rPr>
        <w:t>1</w:t>
      </w:r>
      <w:r w:rsidRPr="000A3A07">
        <w:rPr>
          <w:noProof w:val="0"/>
        </w:rPr>
        <w:tab/>
        <w:t>Inledning</w:t>
      </w:r>
      <w:r w:rsidRPr="000A3A07">
        <w:rPr>
          <w:noProof w:val="0"/>
        </w:rPr>
        <w:tab/>
        <w:t>98</w:t>
      </w:r>
    </w:p>
    <w:p w14:paraId="49F05D89" w14:textId="77777777" w:rsidR="007C11E9" w:rsidRPr="000A3A07" w:rsidRDefault="007C11E9">
      <w:pPr>
        <w:pStyle w:val="Innehll2"/>
        <w:tabs>
          <w:tab w:val="left" w:pos="680"/>
        </w:tabs>
        <w:rPr>
          <w:noProof w:val="0"/>
        </w:rPr>
      </w:pPr>
      <w:r w:rsidRPr="000A3A07">
        <w:rPr>
          <w:noProof w:val="0"/>
        </w:rPr>
        <w:t>1.1</w:t>
      </w:r>
      <w:r w:rsidRPr="000A3A07">
        <w:rPr>
          <w:noProof w:val="0"/>
        </w:rPr>
        <w:tab/>
        <w:t>Samhällsekonomiska analyser av Arlandabanan</w:t>
      </w:r>
      <w:r w:rsidRPr="000A3A07">
        <w:rPr>
          <w:noProof w:val="0"/>
        </w:rPr>
        <w:tab/>
        <w:t>98</w:t>
      </w:r>
    </w:p>
    <w:p w14:paraId="25412810" w14:textId="77777777" w:rsidR="007C11E9" w:rsidRPr="000A3A07" w:rsidRDefault="007C11E9">
      <w:pPr>
        <w:pStyle w:val="Innehll2"/>
        <w:tabs>
          <w:tab w:val="left" w:pos="680"/>
        </w:tabs>
        <w:rPr>
          <w:noProof w:val="0"/>
        </w:rPr>
      </w:pPr>
      <w:r w:rsidRPr="000A3A07">
        <w:rPr>
          <w:noProof w:val="0"/>
        </w:rPr>
        <w:t>1.2</w:t>
      </w:r>
      <w:r w:rsidRPr="000A3A07">
        <w:rPr>
          <w:noProof w:val="0"/>
        </w:rPr>
        <w:tab/>
        <w:t>Samhällsekonomisk kalkylering som hjälpmedel i en kunskapsprocess</w:t>
      </w:r>
      <w:r w:rsidRPr="000A3A07">
        <w:rPr>
          <w:noProof w:val="0"/>
        </w:rPr>
        <w:tab/>
        <w:t>98</w:t>
      </w:r>
    </w:p>
    <w:p w14:paraId="4FAAB8BD" w14:textId="77777777" w:rsidR="007C11E9" w:rsidRPr="000A3A07" w:rsidRDefault="007C11E9">
      <w:pPr>
        <w:pStyle w:val="Innehll2"/>
        <w:tabs>
          <w:tab w:val="left" w:pos="680"/>
        </w:tabs>
        <w:rPr>
          <w:noProof w:val="0"/>
        </w:rPr>
      </w:pPr>
      <w:r w:rsidRPr="000A3A07">
        <w:rPr>
          <w:noProof w:val="0"/>
        </w:rPr>
        <w:t>1.3</w:t>
      </w:r>
      <w:r w:rsidRPr="000A3A07">
        <w:rPr>
          <w:noProof w:val="0"/>
        </w:rPr>
        <w:tab/>
        <w:t>Arlandabanan</w:t>
      </w:r>
      <w:r w:rsidRPr="000A3A07">
        <w:rPr>
          <w:noProof w:val="0"/>
        </w:rPr>
        <w:tab/>
        <w:t>99</w:t>
      </w:r>
    </w:p>
    <w:p w14:paraId="637E1D13" w14:textId="77777777" w:rsidR="007C11E9" w:rsidRPr="000A3A07" w:rsidRDefault="007C11E9">
      <w:pPr>
        <w:pStyle w:val="Innehll2"/>
        <w:tabs>
          <w:tab w:val="left" w:pos="680"/>
        </w:tabs>
        <w:rPr>
          <w:noProof w:val="0"/>
        </w:rPr>
      </w:pPr>
      <w:r w:rsidRPr="000A3A07">
        <w:rPr>
          <w:noProof w:val="0"/>
        </w:rPr>
        <w:t>1.4</w:t>
      </w:r>
      <w:r w:rsidRPr="000A3A07">
        <w:rPr>
          <w:noProof w:val="0"/>
        </w:rPr>
        <w:tab/>
        <w:t>Disposition</w:t>
      </w:r>
      <w:r w:rsidRPr="000A3A07">
        <w:rPr>
          <w:noProof w:val="0"/>
        </w:rPr>
        <w:tab/>
        <w:t>99</w:t>
      </w:r>
    </w:p>
    <w:p w14:paraId="782E49C0" w14:textId="77777777" w:rsidR="007C11E9" w:rsidRPr="000A3A07" w:rsidRDefault="007C11E9">
      <w:pPr>
        <w:pStyle w:val="Innehll1"/>
        <w:rPr>
          <w:noProof w:val="0"/>
        </w:rPr>
      </w:pPr>
      <w:r w:rsidRPr="000A3A07">
        <w:rPr>
          <w:noProof w:val="0"/>
        </w:rPr>
        <w:t>2</w:t>
      </w:r>
      <w:r w:rsidRPr="000A3A07">
        <w:rPr>
          <w:noProof w:val="0"/>
        </w:rPr>
        <w:tab/>
        <w:t>BV1: Analysen av hela projektet</w:t>
      </w:r>
      <w:r w:rsidRPr="000A3A07">
        <w:rPr>
          <w:noProof w:val="0"/>
        </w:rPr>
        <w:tab/>
        <w:t>101</w:t>
      </w:r>
    </w:p>
    <w:p w14:paraId="22D04183" w14:textId="77777777" w:rsidR="007C11E9" w:rsidRPr="000A3A07" w:rsidRDefault="007C11E9">
      <w:pPr>
        <w:pStyle w:val="Innehll2"/>
        <w:tabs>
          <w:tab w:val="left" w:pos="680"/>
        </w:tabs>
        <w:rPr>
          <w:noProof w:val="0"/>
        </w:rPr>
      </w:pPr>
      <w:r w:rsidRPr="000A3A07">
        <w:rPr>
          <w:noProof w:val="0"/>
        </w:rPr>
        <w:t>2.1</w:t>
      </w:r>
      <w:r w:rsidRPr="000A3A07">
        <w:rPr>
          <w:noProof w:val="0"/>
        </w:rPr>
        <w:tab/>
        <w:t>Val av åtgärds- och jämförelsealternativ</w:t>
      </w:r>
      <w:r w:rsidRPr="000A3A07">
        <w:rPr>
          <w:noProof w:val="0"/>
        </w:rPr>
        <w:tab/>
        <w:t>101</w:t>
      </w:r>
    </w:p>
    <w:p w14:paraId="2A6E14AF" w14:textId="77777777" w:rsidR="007C11E9" w:rsidRPr="000A3A07" w:rsidRDefault="007C11E9">
      <w:pPr>
        <w:pStyle w:val="Innehll2"/>
        <w:tabs>
          <w:tab w:val="left" w:pos="680"/>
        </w:tabs>
        <w:rPr>
          <w:noProof w:val="0"/>
        </w:rPr>
      </w:pPr>
      <w:r w:rsidRPr="000A3A07">
        <w:rPr>
          <w:noProof w:val="0"/>
        </w:rPr>
        <w:t>2.2</w:t>
      </w:r>
      <w:r w:rsidRPr="000A3A07">
        <w:rPr>
          <w:noProof w:val="0"/>
        </w:rPr>
        <w:tab/>
        <w:t>Resandeströmmar, resandeintäkter och trafikantnyttor</w:t>
      </w:r>
      <w:r w:rsidRPr="000A3A07">
        <w:rPr>
          <w:noProof w:val="0"/>
        </w:rPr>
        <w:tab/>
        <w:t>104</w:t>
      </w:r>
    </w:p>
    <w:p w14:paraId="5C1C4C19" w14:textId="77777777" w:rsidR="007C11E9" w:rsidRPr="000A3A07" w:rsidRDefault="007C11E9">
      <w:pPr>
        <w:pStyle w:val="Innehll2"/>
        <w:tabs>
          <w:tab w:val="left" w:pos="680"/>
        </w:tabs>
        <w:rPr>
          <w:noProof w:val="0"/>
        </w:rPr>
      </w:pPr>
      <w:r w:rsidRPr="000A3A07">
        <w:rPr>
          <w:noProof w:val="0"/>
        </w:rPr>
        <w:t>2.3</w:t>
      </w:r>
      <w:r w:rsidRPr="000A3A07">
        <w:rPr>
          <w:noProof w:val="0"/>
        </w:rPr>
        <w:tab/>
        <w:t>Externa effekter och finansieringskostnader</w:t>
      </w:r>
      <w:r w:rsidRPr="000A3A07">
        <w:rPr>
          <w:noProof w:val="0"/>
        </w:rPr>
        <w:tab/>
        <w:t>107</w:t>
      </w:r>
    </w:p>
    <w:p w14:paraId="44A042B5" w14:textId="77777777" w:rsidR="007C11E9" w:rsidRPr="000A3A07" w:rsidRDefault="007C11E9">
      <w:pPr>
        <w:pStyle w:val="Innehll2"/>
        <w:tabs>
          <w:tab w:val="left" w:pos="680"/>
        </w:tabs>
        <w:rPr>
          <w:noProof w:val="0"/>
        </w:rPr>
      </w:pPr>
      <w:r w:rsidRPr="000A3A07">
        <w:rPr>
          <w:noProof w:val="0"/>
        </w:rPr>
        <w:t>2.4</w:t>
      </w:r>
      <w:r w:rsidRPr="000A3A07">
        <w:rPr>
          <w:noProof w:val="0"/>
        </w:rPr>
        <w:tab/>
        <w:t>Sammanfattning</w:t>
      </w:r>
      <w:r w:rsidRPr="000A3A07">
        <w:rPr>
          <w:noProof w:val="0"/>
        </w:rPr>
        <w:tab/>
        <w:t>108</w:t>
      </w:r>
    </w:p>
    <w:p w14:paraId="532BFB9C" w14:textId="77777777" w:rsidR="007C11E9" w:rsidRPr="000A3A07" w:rsidRDefault="007C11E9">
      <w:pPr>
        <w:pStyle w:val="Innehll1"/>
        <w:rPr>
          <w:noProof w:val="0"/>
        </w:rPr>
      </w:pPr>
      <w:r w:rsidRPr="000A3A07">
        <w:rPr>
          <w:noProof w:val="0"/>
        </w:rPr>
        <w:t>3</w:t>
      </w:r>
      <w:r w:rsidRPr="000A3A07">
        <w:rPr>
          <w:noProof w:val="0"/>
        </w:rPr>
        <w:tab/>
        <w:t>SB: Analys av projektgenomförande som ”private public partnership”-projekt</w:t>
      </w:r>
      <w:r w:rsidRPr="000A3A07">
        <w:rPr>
          <w:noProof w:val="0"/>
        </w:rPr>
        <w:tab/>
        <w:t>109</w:t>
      </w:r>
    </w:p>
    <w:p w14:paraId="5960720D" w14:textId="77777777" w:rsidR="007C11E9" w:rsidRPr="000A3A07" w:rsidRDefault="007C11E9">
      <w:pPr>
        <w:pStyle w:val="Innehll2"/>
        <w:tabs>
          <w:tab w:val="left" w:pos="680"/>
        </w:tabs>
        <w:rPr>
          <w:noProof w:val="0"/>
        </w:rPr>
      </w:pPr>
      <w:r w:rsidRPr="000A3A07">
        <w:rPr>
          <w:noProof w:val="0"/>
        </w:rPr>
        <w:t>3.1</w:t>
      </w:r>
      <w:r w:rsidRPr="000A3A07">
        <w:rPr>
          <w:noProof w:val="0"/>
        </w:rPr>
        <w:tab/>
        <w:t>Val av åtgärds- och jämförelsealternativ</w:t>
      </w:r>
      <w:r w:rsidRPr="000A3A07">
        <w:rPr>
          <w:noProof w:val="0"/>
        </w:rPr>
        <w:tab/>
        <w:t>109</w:t>
      </w:r>
    </w:p>
    <w:p w14:paraId="64044984" w14:textId="77777777" w:rsidR="007C11E9" w:rsidRPr="000A3A07" w:rsidRDefault="007C11E9">
      <w:pPr>
        <w:pStyle w:val="Innehll2"/>
        <w:tabs>
          <w:tab w:val="left" w:pos="680"/>
        </w:tabs>
        <w:rPr>
          <w:noProof w:val="0"/>
        </w:rPr>
      </w:pPr>
      <w:r w:rsidRPr="000A3A07">
        <w:rPr>
          <w:noProof w:val="0"/>
        </w:rPr>
        <w:t>3.2</w:t>
      </w:r>
      <w:r w:rsidRPr="000A3A07">
        <w:rPr>
          <w:noProof w:val="0"/>
        </w:rPr>
        <w:tab/>
        <w:t>Resandeströmmar, resandeintäkter och trafikantnyttor</w:t>
      </w:r>
      <w:r w:rsidRPr="000A3A07">
        <w:rPr>
          <w:noProof w:val="0"/>
        </w:rPr>
        <w:tab/>
        <w:t>110</w:t>
      </w:r>
    </w:p>
    <w:p w14:paraId="13854345" w14:textId="77777777" w:rsidR="007C11E9" w:rsidRPr="000A3A07" w:rsidRDefault="007C11E9">
      <w:pPr>
        <w:pStyle w:val="Innehll2"/>
        <w:tabs>
          <w:tab w:val="left" w:pos="680"/>
        </w:tabs>
        <w:rPr>
          <w:noProof w:val="0"/>
        </w:rPr>
      </w:pPr>
      <w:r w:rsidRPr="000A3A07">
        <w:rPr>
          <w:noProof w:val="0"/>
        </w:rPr>
        <w:t>3.3</w:t>
      </w:r>
      <w:r w:rsidRPr="000A3A07">
        <w:rPr>
          <w:noProof w:val="0"/>
        </w:rPr>
        <w:tab/>
        <w:t>Finansieringskostnader</w:t>
      </w:r>
      <w:r w:rsidRPr="000A3A07">
        <w:rPr>
          <w:noProof w:val="0"/>
        </w:rPr>
        <w:tab/>
        <w:t>110</w:t>
      </w:r>
    </w:p>
    <w:p w14:paraId="7A725A45" w14:textId="77777777" w:rsidR="007C11E9" w:rsidRPr="000A3A07" w:rsidRDefault="007C11E9">
      <w:pPr>
        <w:pStyle w:val="Innehll2"/>
        <w:tabs>
          <w:tab w:val="left" w:pos="680"/>
        </w:tabs>
        <w:rPr>
          <w:noProof w:val="0"/>
        </w:rPr>
      </w:pPr>
      <w:r w:rsidRPr="000A3A07">
        <w:rPr>
          <w:noProof w:val="0"/>
        </w:rPr>
        <w:t>3.4</w:t>
      </w:r>
      <w:r w:rsidRPr="000A3A07">
        <w:rPr>
          <w:noProof w:val="0"/>
        </w:rPr>
        <w:tab/>
        <w:t>Sammanfattning</w:t>
      </w:r>
      <w:r w:rsidRPr="000A3A07">
        <w:rPr>
          <w:noProof w:val="0"/>
        </w:rPr>
        <w:tab/>
        <w:t>112</w:t>
      </w:r>
    </w:p>
    <w:p w14:paraId="0FFE0FB7" w14:textId="77777777" w:rsidR="007C11E9" w:rsidRPr="000A3A07" w:rsidRDefault="007C11E9">
      <w:pPr>
        <w:pStyle w:val="Innehll1"/>
        <w:rPr>
          <w:noProof w:val="0"/>
        </w:rPr>
      </w:pPr>
      <w:r w:rsidRPr="000A3A07">
        <w:rPr>
          <w:noProof w:val="0"/>
        </w:rPr>
        <w:t>4</w:t>
      </w:r>
      <w:r w:rsidRPr="000A3A07">
        <w:rPr>
          <w:noProof w:val="0"/>
        </w:rPr>
        <w:tab/>
        <w:t>BV: Analysen av ”Norra böjen”</w:t>
      </w:r>
      <w:r w:rsidRPr="000A3A07">
        <w:rPr>
          <w:noProof w:val="0"/>
        </w:rPr>
        <w:tab/>
        <w:t>113</w:t>
      </w:r>
    </w:p>
    <w:p w14:paraId="20ADA2B2" w14:textId="77777777" w:rsidR="007C11E9" w:rsidRPr="000A3A07" w:rsidRDefault="007C11E9">
      <w:pPr>
        <w:pStyle w:val="Innehll2"/>
        <w:tabs>
          <w:tab w:val="left" w:pos="680"/>
        </w:tabs>
        <w:rPr>
          <w:noProof w:val="0"/>
        </w:rPr>
      </w:pPr>
      <w:r w:rsidRPr="000A3A07">
        <w:rPr>
          <w:noProof w:val="0"/>
        </w:rPr>
        <w:t>4.1</w:t>
      </w:r>
      <w:r w:rsidRPr="000A3A07">
        <w:rPr>
          <w:noProof w:val="0"/>
        </w:rPr>
        <w:tab/>
        <w:t>Val av åtgärds- och jämförelsealternativ</w:t>
      </w:r>
      <w:r w:rsidRPr="000A3A07">
        <w:rPr>
          <w:noProof w:val="0"/>
        </w:rPr>
        <w:tab/>
        <w:t>113</w:t>
      </w:r>
    </w:p>
    <w:p w14:paraId="40473785" w14:textId="77777777" w:rsidR="007C11E9" w:rsidRPr="000A3A07" w:rsidRDefault="007C11E9">
      <w:pPr>
        <w:pStyle w:val="Innehll2"/>
        <w:tabs>
          <w:tab w:val="left" w:pos="680"/>
        </w:tabs>
        <w:rPr>
          <w:noProof w:val="0"/>
        </w:rPr>
      </w:pPr>
      <w:r w:rsidRPr="000A3A07">
        <w:rPr>
          <w:noProof w:val="0"/>
        </w:rPr>
        <w:t>4.2</w:t>
      </w:r>
      <w:r w:rsidRPr="000A3A07">
        <w:rPr>
          <w:noProof w:val="0"/>
        </w:rPr>
        <w:tab/>
        <w:t>Resandeströmmar, resandeintäkter och trafikantnyttor</w:t>
      </w:r>
      <w:r w:rsidRPr="000A3A07">
        <w:rPr>
          <w:noProof w:val="0"/>
        </w:rPr>
        <w:tab/>
        <w:t>114</w:t>
      </w:r>
    </w:p>
    <w:p w14:paraId="0729AD48" w14:textId="77777777" w:rsidR="007C11E9" w:rsidRPr="000A3A07" w:rsidRDefault="007C11E9">
      <w:pPr>
        <w:pStyle w:val="Innehll2"/>
        <w:tabs>
          <w:tab w:val="left" w:pos="680"/>
        </w:tabs>
        <w:rPr>
          <w:noProof w:val="0"/>
        </w:rPr>
      </w:pPr>
      <w:r w:rsidRPr="000A3A07">
        <w:rPr>
          <w:noProof w:val="0"/>
        </w:rPr>
        <w:t>4.3</w:t>
      </w:r>
      <w:r w:rsidRPr="000A3A07">
        <w:rPr>
          <w:noProof w:val="0"/>
        </w:rPr>
        <w:tab/>
        <w:t>Externa effekter och finansieringskostnader</w:t>
      </w:r>
      <w:r w:rsidRPr="000A3A07">
        <w:rPr>
          <w:noProof w:val="0"/>
        </w:rPr>
        <w:tab/>
        <w:t>114</w:t>
      </w:r>
    </w:p>
    <w:p w14:paraId="64E94CF7" w14:textId="77777777" w:rsidR="007C11E9" w:rsidRPr="000A3A07" w:rsidRDefault="007C11E9">
      <w:pPr>
        <w:pStyle w:val="Innehll2"/>
        <w:tabs>
          <w:tab w:val="left" w:pos="680"/>
        </w:tabs>
        <w:rPr>
          <w:noProof w:val="0"/>
        </w:rPr>
      </w:pPr>
      <w:r w:rsidRPr="000A3A07">
        <w:rPr>
          <w:noProof w:val="0"/>
        </w:rPr>
        <w:t>4.4</w:t>
      </w:r>
      <w:r w:rsidRPr="000A3A07">
        <w:rPr>
          <w:noProof w:val="0"/>
        </w:rPr>
        <w:tab/>
        <w:t>Sammanfattning</w:t>
      </w:r>
      <w:r w:rsidRPr="000A3A07">
        <w:rPr>
          <w:noProof w:val="0"/>
        </w:rPr>
        <w:tab/>
        <w:t>114</w:t>
      </w:r>
    </w:p>
    <w:p w14:paraId="653A8734" w14:textId="77777777" w:rsidR="007C11E9" w:rsidRPr="000A3A07" w:rsidRDefault="007C11E9">
      <w:pPr>
        <w:pStyle w:val="Innehll1"/>
        <w:rPr>
          <w:noProof w:val="0"/>
        </w:rPr>
      </w:pPr>
      <w:r w:rsidRPr="000A3A07">
        <w:rPr>
          <w:noProof w:val="0"/>
        </w:rPr>
        <w:t>5</w:t>
      </w:r>
      <w:r w:rsidRPr="000A3A07">
        <w:rPr>
          <w:noProof w:val="0"/>
        </w:rPr>
        <w:tab/>
        <w:t>Sammanfattning: fyra hypoteser om organisatoriska brister i den beslutsprocess som föregår större investeringar i infrastruktur</w:t>
      </w:r>
      <w:r w:rsidRPr="000A3A07">
        <w:rPr>
          <w:noProof w:val="0"/>
        </w:rPr>
        <w:tab/>
        <w:t>115</w:t>
      </w:r>
    </w:p>
    <w:p w14:paraId="1161D02D" w14:textId="77777777" w:rsidR="007C11E9" w:rsidRPr="000A3A07" w:rsidRDefault="007C11E9">
      <w:pPr>
        <w:pStyle w:val="Innehll1"/>
        <w:rPr>
          <w:noProof w:val="0"/>
        </w:rPr>
      </w:pPr>
      <w:r w:rsidRPr="000A3A07">
        <w:rPr>
          <w:noProof w:val="0"/>
        </w:rPr>
        <w:t>Referenser</w:t>
      </w:r>
      <w:r w:rsidRPr="000A3A07">
        <w:rPr>
          <w:noProof w:val="0"/>
        </w:rPr>
        <w:tab/>
      </w:r>
      <w:bookmarkStart w:id="412" w:name="_Hlt506342849"/>
      <w:r w:rsidRPr="000A3A07">
        <w:rPr>
          <w:noProof w:val="0"/>
        </w:rPr>
        <w:t>117</w:t>
      </w:r>
      <w:bookmarkEnd w:id="412"/>
    </w:p>
    <w:p w14:paraId="707C129B" w14:textId="77777777" w:rsidR="007C11E9" w:rsidRPr="000A3A07" w:rsidRDefault="007C11E9">
      <w:pPr>
        <w:pStyle w:val="Innehll1"/>
        <w:spacing w:before="120"/>
        <w:rPr>
          <w:i/>
          <w:noProof w:val="0"/>
        </w:rPr>
      </w:pPr>
      <w:r w:rsidRPr="000A3A07">
        <w:rPr>
          <w:i/>
          <w:noProof w:val="0"/>
        </w:rPr>
        <w:t>Underbilaga 2 Botniautredningens samhällsekonomiska analys  En granskning</w:t>
      </w:r>
    </w:p>
    <w:p w14:paraId="62E2B05A" w14:textId="77777777" w:rsidR="007C11E9" w:rsidRPr="000A3A07" w:rsidRDefault="007C11E9">
      <w:pPr>
        <w:pStyle w:val="Innehll1"/>
        <w:rPr>
          <w:noProof w:val="0"/>
        </w:rPr>
      </w:pPr>
      <w:r w:rsidRPr="000A3A07">
        <w:rPr>
          <w:noProof w:val="0"/>
        </w:rPr>
        <w:t>Förord</w:t>
      </w:r>
      <w:r w:rsidRPr="000A3A07">
        <w:rPr>
          <w:noProof w:val="0"/>
        </w:rPr>
        <w:tab/>
      </w:r>
      <w:bookmarkStart w:id="413" w:name="_Hlt506688933"/>
      <w:r w:rsidRPr="000A3A07">
        <w:rPr>
          <w:noProof w:val="0"/>
        </w:rPr>
        <w:t>121</w:t>
      </w:r>
      <w:bookmarkEnd w:id="413"/>
    </w:p>
    <w:p w14:paraId="2D946A34" w14:textId="77777777" w:rsidR="007C11E9" w:rsidRPr="000A3A07" w:rsidRDefault="007C11E9">
      <w:pPr>
        <w:pStyle w:val="Innehll1"/>
        <w:rPr>
          <w:noProof w:val="0"/>
        </w:rPr>
      </w:pPr>
      <w:r w:rsidRPr="000A3A07">
        <w:rPr>
          <w:noProof w:val="0"/>
        </w:rPr>
        <w:t>1</w:t>
      </w:r>
      <w:r w:rsidRPr="000A3A07">
        <w:rPr>
          <w:noProof w:val="0"/>
        </w:rPr>
        <w:tab/>
        <w:t>Inledning</w:t>
      </w:r>
      <w:r w:rsidRPr="000A3A07">
        <w:rPr>
          <w:noProof w:val="0"/>
        </w:rPr>
        <w:tab/>
        <w:t>122</w:t>
      </w:r>
    </w:p>
    <w:p w14:paraId="31BB09E2" w14:textId="77777777" w:rsidR="007C11E9" w:rsidRPr="000A3A07" w:rsidRDefault="007C11E9">
      <w:pPr>
        <w:pStyle w:val="Innehll1"/>
        <w:rPr>
          <w:noProof w:val="0"/>
        </w:rPr>
      </w:pPr>
      <w:r w:rsidRPr="000A3A07">
        <w:rPr>
          <w:noProof w:val="0"/>
        </w:rPr>
        <w:t>2</w:t>
      </w:r>
      <w:r w:rsidRPr="000A3A07">
        <w:rPr>
          <w:noProof w:val="0"/>
        </w:rPr>
        <w:tab/>
        <w:t>Botniautredningens bedömningar</w:t>
      </w:r>
      <w:r w:rsidRPr="000A3A07">
        <w:rPr>
          <w:noProof w:val="0"/>
        </w:rPr>
        <w:tab/>
        <w:t>122</w:t>
      </w:r>
    </w:p>
    <w:p w14:paraId="6F76F765" w14:textId="77777777" w:rsidR="007C11E9" w:rsidRPr="000A3A07" w:rsidRDefault="007C11E9">
      <w:pPr>
        <w:pStyle w:val="Innehll1"/>
        <w:rPr>
          <w:noProof w:val="0"/>
        </w:rPr>
      </w:pPr>
      <w:r w:rsidRPr="000A3A07">
        <w:rPr>
          <w:noProof w:val="0"/>
        </w:rPr>
        <w:t>3</w:t>
      </w:r>
      <w:r w:rsidRPr="000A3A07">
        <w:rPr>
          <w:noProof w:val="0"/>
        </w:rPr>
        <w:tab/>
        <w:t>Botniautredningens konsumentöverskottsberäkning</w:t>
      </w:r>
      <w:r w:rsidRPr="000A3A07">
        <w:rPr>
          <w:noProof w:val="0"/>
        </w:rPr>
        <w:tab/>
        <w:t>125</w:t>
      </w:r>
    </w:p>
    <w:p w14:paraId="41FDC4CB" w14:textId="77777777" w:rsidR="007C11E9" w:rsidRPr="000A3A07" w:rsidRDefault="007C11E9">
      <w:pPr>
        <w:pStyle w:val="Innehll1"/>
        <w:rPr>
          <w:noProof w:val="0"/>
        </w:rPr>
      </w:pPr>
      <w:r w:rsidRPr="000A3A07">
        <w:rPr>
          <w:noProof w:val="0"/>
        </w:rPr>
        <w:t>4</w:t>
      </w:r>
      <w:r w:rsidRPr="000A3A07">
        <w:rPr>
          <w:noProof w:val="0"/>
        </w:rPr>
        <w:tab/>
        <w:t>En granskning av konsumentöverskottsberäkningen</w:t>
      </w:r>
      <w:r w:rsidRPr="000A3A07">
        <w:rPr>
          <w:noProof w:val="0"/>
        </w:rPr>
        <w:tab/>
        <w:t>128</w:t>
      </w:r>
    </w:p>
    <w:p w14:paraId="3F737730" w14:textId="77777777" w:rsidR="007C11E9" w:rsidRPr="000A3A07" w:rsidRDefault="007C11E9">
      <w:pPr>
        <w:pStyle w:val="Innehll2"/>
        <w:tabs>
          <w:tab w:val="left" w:pos="680"/>
        </w:tabs>
        <w:rPr>
          <w:noProof w:val="0"/>
        </w:rPr>
      </w:pPr>
      <w:r w:rsidRPr="000A3A07">
        <w:rPr>
          <w:noProof w:val="0"/>
        </w:rPr>
        <w:t>4.1</w:t>
      </w:r>
      <w:r w:rsidRPr="000A3A07">
        <w:rPr>
          <w:noProof w:val="0"/>
        </w:rPr>
        <w:tab/>
        <w:t>Resenärer med nattåg</w:t>
      </w:r>
      <w:r w:rsidRPr="000A3A07">
        <w:rPr>
          <w:noProof w:val="0"/>
        </w:rPr>
        <w:tab/>
        <w:t>128</w:t>
      </w:r>
    </w:p>
    <w:p w14:paraId="4BB0454D" w14:textId="77777777" w:rsidR="007C11E9" w:rsidRPr="000A3A07" w:rsidRDefault="007C11E9">
      <w:pPr>
        <w:pStyle w:val="Innehll2"/>
        <w:tabs>
          <w:tab w:val="left" w:pos="680"/>
        </w:tabs>
        <w:rPr>
          <w:noProof w:val="0"/>
        </w:rPr>
      </w:pPr>
      <w:r w:rsidRPr="000A3A07">
        <w:rPr>
          <w:noProof w:val="0"/>
        </w:rPr>
        <w:t>4.2</w:t>
      </w:r>
      <w:r w:rsidRPr="000A3A07">
        <w:rPr>
          <w:noProof w:val="0"/>
        </w:rPr>
        <w:tab/>
        <w:t>Tidigare resande med nattåg</w:t>
      </w:r>
      <w:r w:rsidRPr="000A3A07">
        <w:rPr>
          <w:noProof w:val="0"/>
        </w:rPr>
        <w:tab/>
        <w:t>128</w:t>
      </w:r>
    </w:p>
    <w:p w14:paraId="445F8525" w14:textId="77777777" w:rsidR="007C11E9" w:rsidRPr="000A3A07" w:rsidRDefault="007C11E9">
      <w:pPr>
        <w:pStyle w:val="Innehll2"/>
        <w:tabs>
          <w:tab w:val="left" w:pos="680"/>
        </w:tabs>
        <w:rPr>
          <w:noProof w:val="0"/>
        </w:rPr>
      </w:pPr>
      <w:r w:rsidRPr="000A3A07">
        <w:rPr>
          <w:noProof w:val="0"/>
        </w:rPr>
        <w:t>4.3</w:t>
      </w:r>
      <w:r w:rsidRPr="000A3A07">
        <w:rPr>
          <w:noProof w:val="0"/>
        </w:rPr>
        <w:tab/>
        <w:t>Tidigare flygresenärer</w:t>
      </w:r>
      <w:r w:rsidRPr="000A3A07">
        <w:rPr>
          <w:noProof w:val="0"/>
        </w:rPr>
        <w:tab/>
        <w:t>129</w:t>
      </w:r>
    </w:p>
    <w:p w14:paraId="1F83C50B" w14:textId="77777777" w:rsidR="007C11E9" w:rsidRPr="000A3A07" w:rsidRDefault="007C11E9">
      <w:pPr>
        <w:pStyle w:val="Innehll2"/>
        <w:tabs>
          <w:tab w:val="left" w:pos="680"/>
        </w:tabs>
        <w:rPr>
          <w:noProof w:val="0"/>
        </w:rPr>
      </w:pPr>
      <w:r w:rsidRPr="000A3A07">
        <w:rPr>
          <w:noProof w:val="0"/>
        </w:rPr>
        <w:t>4.4</w:t>
      </w:r>
      <w:r w:rsidRPr="000A3A07">
        <w:rPr>
          <w:noProof w:val="0"/>
        </w:rPr>
        <w:tab/>
        <w:t>Övriga långväga resenärer</w:t>
      </w:r>
      <w:r w:rsidRPr="000A3A07">
        <w:rPr>
          <w:noProof w:val="0"/>
        </w:rPr>
        <w:tab/>
        <w:t>131</w:t>
      </w:r>
    </w:p>
    <w:p w14:paraId="1D2B005A" w14:textId="77777777" w:rsidR="007C11E9" w:rsidRPr="000A3A07" w:rsidRDefault="007C11E9">
      <w:pPr>
        <w:pStyle w:val="Innehll2"/>
        <w:tabs>
          <w:tab w:val="left" w:pos="680"/>
        </w:tabs>
        <w:rPr>
          <w:noProof w:val="0"/>
        </w:rPr>
      </w:pPr>
      <w:r w:rsidRPr="000A3A07">
        <w:rPr>
          <w:noProof w:val="0"/>
        </w:rPr>
        <w:t>4.5</w:t>
      </w:r>
      <w:r w:rsidRPr="000A3A07">
        <w:rPr>
          <w:noProof w:val="0"/>
        </w:rPr>
        <w:tab/>
        <w:t>Konsumentöverskottsanalysen: en sammanfattning</w:t>
      </w:r>
      <w:r w:rsidRPr="000A3A07">
        <w:rPr>
          <w:noProof w:val="0"/>
        </w:rPr>
        <w:tab/>
        <w:t>132</w:t>
      </w:r>
    </w:p>
    <w:p w14:paraId="15B94FDE" w14:textId="77777777" w:rsidR="007C11E9" w:rsidRPr="000A3A07" w:rsidRDefault="007C11E9">
      <w:pPr>
        <w:pStyle w:val="Innehll1"/>
        <w:rPr>
          <w:noProof w:val="0"/>
        </w:rPr>
      </w:pPr>
      <w:r w:rsidRPr="000A3A07">
        <w:rPr>
          <w:noProof w:val="0"/>
        </w:rPr>
        <w:t>5</w:t>
      </w:r>
      <w:r w:rsidRPr="000A3A07">
        <w:rPr>
          <w:noProof w:val="0"/>
        </w:rPr>
        <w:tab/>
        <w:t>Godstrafiken på Botniabanan</w:t>
      </w:r>
      <w:r w:rsidRPr="000A3A07">
        <w:rPr>
          <w:noProof w:val="0"/>
        </w:rPr>
        <w:tab/>
        <w:t>135</w:t>
      </w:r>
    </w:p>
    <w:p w14:paraId="0139C2F5" w14:textId="77777777" w:rsidR="007C11E9" w:rsidRPr="000A3A07" w:rsidRDefault="007C11E9">
      <w:pPr>
        <w:pStyle w:val="Innehll1"/>
        <w:rPr>
          <w:noProof w:val="0"/>
        </w:rPr>
      </w:pPr>
      <w:r w:rsidRPr="000A3A07">
        <w:rPr>
          <w:noProof w:val="0"/>
        </w:rPr>
        <w:t>6</w:t>
      </w:r>
      <w:r w:rsidRPr="000A3A07">
        <w:rPr>
          <w:noProof w:val="0"/>
        </w:rPr>
        <w:tab/>
        <w:t>Miljöeffekter</w:t>
      </w:r>
      <w:r w:rsidRPr="000A3A07">
        <w:rPr>
          <w:noProof w:val="0"/>
        </w:rPr>
        <w:tab/>
        <w:t>136</w:t>
      </w:r>
    </w:p>
    <w:p w14:paraId="1FF8D32C" w14:textId="77777777" w:rsidR="007C11E9" w:rsidRPr="000A3A07" w:rsidRDefault="007C11E9">
      <w:pPr>
        <w:pStyle w:val="Innehll1"/>
        <w:rPr>
          <w:noProof w:val="0"/>
        </w:rPr>
      </w:pPr>
      <w:r w:rsidRPr="000A3A07">
        <w:rPr>
          <w:noProof w:val="0"/>
        </w:rPr>
        <w:t>7</w:t>
      </w:r>
      <w:r w:rsidRPr="000A3A07">
        <w:rPr>
          <w:noProof w:val="0"/>
        </w:rPr>
        <w:tab/>
        <w:t>Sysselsättningseffekter</w:t>
      </w:r>
      <w:r w:rsidRPr="000A3A07">
        <w:rPr>
          <w:noProof w:val="0"/>
        </w:rPr>
        <w:tab/>
        <w:t>138</w:t>
      </w:r>
    </w:p>
    <w:p w14:paraId="27CA123C" w14:textId="77777777" w:rsidR="007C11E9" w:rsidRPr="000A3A07" w:rsidRDefault="007C11E9">
      <w:pPr>
        <w:pStyle w:val="Innehll1"/>
        <w:rPr>
          <w:noProof w:val="0"/>
        </w:rPr>
      </w:pPr>
      <w:r w:rsidRPr="000A3A07">
        <w:rPr>
          <w:noProof w:val="0"/>
        </w:rPr>
        <w:t>8</w:t>
      </w:r>
      <w:r w:rsidRPr="000A3A07">
        <w:rPr>
          <w:noProof w:val="0"/>
        </w:rPr>
        <w:tab/>
        <w:t>Övriga effekter och antaganden</w:t>
      </w:r>
      <w:r w:rsidRPr="000A3A07">
        <w:rPr>
          <w:noProof w:val="0"/>
        </w:rPr>
        <w:tab/>
        <w:t>139</w:t>
      </w:r>
    </w:p>
    <w:p w14:paraId="0E2A3F36" w14:textId="77777777" w:rsidR="007C11E9" w:rsidRPr="000A3A07" w:rsidRDefault="007C11E9">
      <w:pPr>
        <w:pStyle w:val="Innehll1"/>
        <w:rPr>
          <w:noProof w:val="0"/>
        </w:rPr>
      </w:pPr>
      <w:r w:rsidRPr="000A3A07">
        <w:rPr>
          <w:noProof w:val="0"/>
        </w:rPr>
        <w:t>9</w:t>
      </w:r>
      <w:r w:rsidRPr="000A3A07">
        <w:rPr>
          <w:noProof w:val="0"/>
        </w:rPr>
        <w:tab/>
        <w:t>Sammanfattande synpunkter på Botniautredningens samhällsekonomiska analys</w:t>
      </w:r>
      <w:r w:rsidRPr="000A3A07">
        <w:rPr>
          <w:noProof w:val="0"/>
        </w:rPr>
        <w:tab/>
        <w:t>142</w:t>
      </w:r>
    </w:p>
    <w:p w14:paraId="05C7A751" w14:textId="77777777" w:rsidR="007C11E9" w:rsidRPr="000A3A07" w:rsidRDefault="007C11E9">
      <w:pPr>
        <w:pStyle w:val="Innehll1"/>
        <w:rPr>
          <w:noProof w:val="0"/>
        </w:rPr>
      </w:pPr>
      <w:r w:rsidRPr="000A3A07">
        <w:rPr>
          <w:noProof w:val="0"/>
        </w:rPr>
        <w:t>Referenser</w:t>
      </w:r>
      <w:r w:rsidRPr="000A3A07">
        <w:rPr>
          <w:noProof w:val="0"/>
        </w:rPr>
        <w:tab/>
        <w:t>144</w:t>
      </w:r>
    </w:p>
    <w:p w14:paraId="576A7C18" w14:textId="77777777" w:rsidR="007C11E9" w:rsidRPr="000A3A07" w:rsidRDefault="007C11E9">
      <w:pPr>
        <w:pStyle w:val="Innehll1"/>
        <w:spacing w:before="120"/>
        <w:rPr>
          <w:i/>
          <w:noProof w:val="0"/>
        </w:rPr>
      </w:pPr>
      <w:r w:rsidRPr="000A3A07">
        <w:rPr>
          <w:i/>
          <w:noProof w:val="0"/>
        </w:rPr>
        <w:t xml:space="preserve">Underbilaga 3 Citytunneln; beslutsprocess och beslutsunderlag </w:t>
      </w:r>
    </w:p>
    <w:p w14:paraId="2B27869D" w14:textId="77777777" w:rsidR="007C11E9" w:rsidRPr="000A3A07" w:rsidRDefault="007C11E9">
      <w:pPr>
        <w:pStyle w:val="Innehll1"/>
        <w:rPr>
          <w:noProof w:val="0"/>
        </w:rPr>
      </w:pPr>
      <w:r w:rsidRPr="000A3A07">
        <w:rPr>
          <w:noProof w:val="0"/>
        </w:rPr>
        <w:t>Sammanfattning</w:t>
      </w:r>
      <w:r w:rsidRPr="000A3A07">
        <w:rPr>
          <w:noProof w:val="0"/>
        </w:rPr>
        <w:tab/>
        <w:t>153</w:t>
      </w:r>
    </w:p>
    <w:p w14:paraId="266407C2" w14:textId="77777777" w:rsidR="007C11E9" w:rsidRPr="000A3A07" w:rsidRDefault="007C11E9">
      <w:pPr>
        <w:pStyle w:val="Innehll1"/>
        <w:rPr>
          <w:noProof w:val="0"/>
        </w:rPr>
      </w:pPr>
      <w:r w:rsidRPr="000A3A07">
        <w:rPr>
          <w:noProof w:val="0"/>
        </w:rPr>
        <w:t>1</w:t>
      </w:r>
      <w:r w:rsidRPr="000A3A07">
        <w:rPr>
          <w:noProof w:val="0"/>
        </w:rPr>
        <w:tab/>
        <w:t>Inledning</w:t>
      </w:r>
      <w:r w:rsidRPr="000A3A07">
        <w:rPr>
          <w:noProof w:val="0"/>
        </w:rPr>
        <w:tab/>
        <w:t>154</w:t>
      </w:r>
    </w:p>
    <w:p w14:paraId="668A6555" w14:textId="77777777" w:rsidR="007C11E9" w:rsidRPr="000A3A07" w:rsidRDefault="007C11E9">
      <w:pPr>
        <w:pStyle w:val="Innehll1"/>
        <w:rPr>
          <w:noProof w:val="0"/>
        </w:rPr>
      </w:pPr>
      <w:r w:rsidRPr="000A3A07">
        <w:rPr>
          <w:noProof w:val="0"/>
        </w:rPr>
        <w:t>2</w:t>
      </w:r>
      <w:r w:rsidRPr="000A3A07">
        <w:rPr>
          <w:noProof w:val="0"/>
        </w:rPr>
        <w:tab/>
        <w:t>Ärendets hantering</w:t>
      </w:r>
      <w:r w:rsidRPr="000A3A07">
        <w:rPr>
          <w:noProof w:val="0"/>
        </w:rPr>
        <w:tab/>
        <w:t>154</w:t>
      </w:r>
    </w:p>
    <w:p w14:paraId="665E4F22" w14:textId="77777777" w:rsidR="007C11E9" w:rsidRPr="000A3A07" w:rsidRDefault="007C11E9">
      <w:pPr>
        <w:pStyle w:val="Innehll1"/>
        <w:rPr>
          <w:noProof w:val="0"/>
        </w:rPr>
      </w:pPr>
      <w:r w:rsidRPr="000A3A07">
        <w:rPr>
          <w:noProof w:val="0"/>
        </w:rPr>
        <w:t>3</w:t>
      </w:r>
      <w:r w:rsidRPr="000A3A07">
        <w:rPr>
          <w:noProof w:val="0"/>
        </w:rPr>
        <w:tab/>
        <w:t>Projektet</w:t>
      </w:r>
      <w:r w:rsidRPr="000A3A07">
        <w:rPr>
          <w:noProof w:val="0"/>
        </w:rPr>
        <w:tab/>
        <w:t>156</w:t>
      </w:r>
    </w:p>
    <w:p w14:paraId="4B0EC2B6" w14:textId="77777777" w:rsidR="007C11E9" w:rsidRPr="000A3A07" w:rsidRDefault="007C11E9">
      <w:pPr>
        <w:pStyle w:val="Innehll1"/>
        <w:rPr>
          <w:noProof w:val="0"/>
        </w:rPr>
      </w:pPr>
      <w:r w:rsidRPr="000A3A07">
        <w:rPr>
          <w:noProof w:val="0"/>
        </w:rPr>
        <w:t>4</w:t>
      </w:r>
      <w:r w:rsidRPr="000A3A07">
        <w:rPr>
          <w:noProof w:val="0"/>
        </w:rPr>
        <w:tab/>
        <w:t>Utredningsmaterialet</w:t>
      </w:r>
      <w:r w:rsidRPr="000A3A07">
        <w:rPr>
          <w:noProof w:val="0"/>
        </w:rPr>
        <w:tab/>
        <w:t>158</w:t>
      </w:r>
    </w:p>
    <w:p w14:paraId="1050A785" w14:textId="77777777" w:rsidR="007C11E9" w:rsidRPr="000A3A07" w:rsidRDefault="007C11E9">
      <w:pPr>
        <w:pStyle w:val="Innehll2"/>
        <w:tabs>
          <w:tab w:val="left" w:pos="680"/>
        </w:tabs>
        <w:rPr>
          <w:noProof w:val="0"/>
        </w:rPr>
      </w:pPr>
      <w:r w:rsidRPr="000A3A07">
        <w:rPr>
          <w:noProof w:val="0"/>
        </w:rPr>
        <w:t>4.1</w:t>
      </w:r>
      <w:r w:rsidRPr="000A3A07">
        <w:rPr>
          <w:noProof w:val="0"/>
        </w:rPr>
        <w:tab/>
        <w:t>Malmöhusförhandlingarna</w:t>
      </w:r>
      <w:r w:rsidRPr="000A3A07">
        <w:rPr>
          <w:noProof w:val="0"/>
        </w:rPr>
        <w:tab/>
        <w:t>158</w:t>
      </w:r>
    </w:p>
    <w:p w14:paraId="01376646" w14:textId="77777777" w:rsidR="007C11E9" w:rsidRPr="000A3A07" w:rsidRDefault="007C11E9">
      <w:pPr>
        <w:pStyle w:val="Innehll2"/>
        <w:tabs>
          <w:tab w:val="left" w:pos="680"/>
        </w:tabs>
        <w:rPr>
          <w:noProof w:val="0"/>
        </w:rPr>
      </w:pPr>
      <w:r w:rsidRPr="000A3A07">
        <w:rPr>
          <w:noProof w:val="0"/>
        </w:rPr>
        <w:t>4.2</w:t>
      </w:r>
      <w:r w:rsidRPr="000A3A07">
        <w:rPr>
          <w:noProof w:val="0"/>
        </w:rPr>
        <w:tab/>
        <w:t>Dennisutredningen</w:t>
      </w:r>
      <w:r w:rsidRPr="000A3A07">
        <w:rPr>
          <w:noProof w:val="0"/>
        </w:rPr>
        <w:tab/>
        <w:t>159</w:t>
      </w:r>
    </w:p>
    <w:p w14:paraId="455B2D72" w14:textId="77777777" w:rsidR="007C11E9" w:rsidRPr="000A3A07" w:rsidRDefault="007C11E9">
      <w:pPr>
        <w:pStyle w:val="Innehll2"/>
        <w:tabs>
          <w:tab w:val="left" w:pos="680"/>
        </w:tabs>
        <w:rPr>
          <w:noProof w:val="0"/>
        </w:rPr>
      </w:pPr>
      <w:r w:rsidRPr="000A3A07">
        <w:rPr>
          <w:noProof w:val="0"/>
        </w:rPr>
        <w:t>4.3</w:t>
      </w:r>
      <w:r w:rsidRPr="000A3A07">
        <w:rPr>
          <w:noProof w:val="0"/>
        </w:rPr>
        <w:tab/>
        <w:t>1996 års utredningar</w:t>
      </w:r>
      <w:r w:rsidRPr="000A3A07">
        <w:rPr>
          <w:noProof w:val="0"/>
        </w:rPr>
        <w:tab/>
        <w:t>160</w:t>
      </w:r>
    </w:p>
    <w:p w14:paraId="55EB5A16" w14:textId="77777777" w:rsidR="007C11E9" w:rsidRPr="000A3A07" w:rsidRDefault="007C11E9">
      <w:pPr>
        <w:pStyle w:val="Innehll1"/>
        <w:rPr>
          <w:noProof w:val="0"/>
        </w:rPr>
      </w:pPr>
      <w:r w:rsidRPr="000A3A07">
        <w:rPr>
          <w:noProof w:val="0"/>
        </w:rPr>
        <w:t>5</w:t>
      </w:r>
      <w:r w:rsidRPr="000A3A07">
        <w:rPr>
          <w:noProof w:val="0"/>
        </w:rPr>
        <w:tab/>
        <w:t>Den samhällsekonomiska kalkylen i Dennisutredningen</w:t>
      </w:r>
      <w:r w:rsidRPr="000A3A07">
        <w:rPr>
          <w:noProof w:val="0"/>
        </w:rPr>
        <w:tab/>
        <w:t>161</w:t>
      </w:r>
    </w:p>
    <w:p w14:paraId="40EBE3F8" w14:textId="77777777" w:rsidR="007C11E9" w:rsidRPr="000A3A07" w:rsidRDefault="007C11E9">
      <w:pPr>
        <w:pStyle w:val="Innehll2"/>
        <w:tabs>
          <w:tab w:val="left" w:pos="680"/>
        </w:tabs>
        <w:rPr>
          <w:noProof w:val="0"/>
        </w:rPr>
      </w:pPr>
      <w:r w:rsidRPr="000A3A07">
        <w:rPr>
          <w:noProof w:val="0"/>
        </w:rPr>
        <w:t>5.1</w:t>
      </w:r>
      <w:r w:rsidRPr="000A3A07">
        <w:rPr>
          <w:noProof w:val="0"/>
        </w:rPr>
        <w:tab/>
        <w:t>Kostnader</w:t>
      </w:r>
      <w:r w:rsidRPr="000A3A07">
        <w:rPr>
          <w:noProof w:val="0"/>
        </w:rPr>
        <w:tab/>
        <w:t>161</w:t>
      </w:r>
    </w:p>
    <w:p w14:paraId="3495831A" w14:textId="77777777" w:rsidR="007C11E9" w:rsidRPr="000A3A07" w:rsidRDefault="007C11E9">
      <w:pPr>
        <w:pStyle w:val="Innehll2"/>
        <w:tabs>
          <w:tab w:val="left" w:pos="680"/>
        </w:tabs>
        <w:rPr>
          <w:noProof w:val="0"/>
        </w:rPr>
      </w:pPr>
      <w:r w:rsidRPr="000A3A07">
        <w:rPr>
          <w:noProof w:val="0"/>
        </w:rPr>
        <w:t>5.2</w:t>
      </w:r>
      <w:r w:rsidRPr="000A3A07">
        <w:rPr>
          <w:noProof w:val="0"/>
        </w:rPr>
        <w:tab/>
        <w:t>Kostnader för och intäkter från tågtrafiken</w:t>
      </w:r>
      <w:r w:rsidRPr="000A3A07">
        <w:rPr>
          <w:noProof w:val="0"/>
        </w:rPr>
        <w:tab/>
        <w:t>162</w:t>
      </w:r>
    </w:p>
    <w:p w14:paraId="66D34666" w14:textId="77777777" w:rsidR="007C11E9" w:rsidRPr="000A3A07" w:rsidRDefault="007C11E9">
      <w:pPr>
        <w:pStyle w:val="Innehll2"/>
        <w:tabs>
          <w:tab w:val="left" w:pos="680"/>
        </w:tabs>
        <w:rPr>
          <w:noProof w:val="0"/>
        </w:rPr>
      </w:pPr>
      <w:r w:rsidRPr="000A3A07">
        <w:rPr>
          <w:noProof w:val="0"/>
        </w:rPr>
        <w:t>5.3</w:t>
      </w:r>
      <w:r w:rsidRPr="000A3A07">
        <w:rPr>
          <w:noProof w:val="0"/>
        </w:rPr>
        <w:tab/>
        <w:t>Effekter för resenärerna</w:t>
      </w:r>
      <w:r w:rsidRPr="000A3A07">
        <w:rPr>
          <w:noProof w:val="0"/>
        </w:rPr>
        <w:tab/>
        <w:t>165</w:t>
      </w:r>
    </w:p>
    <w:p w14:paraId="52409B9C" w14:textId="77777777" w:rsidR="007C11E9" w:rsidRPr="000A3A07" w:rsidRDefault="007C11E9">
      <w:pPr>
        <w:pStyle w:val="Innehll2"/>
        <w:tabs>
          <w:tab w:val="left" w:pos="680"/>
        </w:tabs>
        <w:rPr>
          <w:noProof w:val="0"/>
        </w:rPr>
      </w:pPr>
      <w:r w:rsidRPr="000A3A07">
        <w:rPr>
          <w:noProof w:val="0"/>
        </w:rPr>
        <w:t>5.4</w:t>
      </w:r>
      <w:r w:rsidRPr="000A3A07">
        <w:rPr>
          <w:noProof w:val="0"/>
        </w:rPr>
        <w:tab/>
        <w:t>Miljöeffekter</w:t>
      </w:r>
      <w:r w:rsidRPr="000A3A07">
        <w:rPr>
          <w:noProof w:val="0"/>
        </w:rPr>
        <w:tab/>
        <w:t>166</w:t>
      </w:r>
    </w:p>
    <w:p w14:paraId="139E805F" w14:textId="77777777" w:rsidR="007C11E9" w:rsidRPr="000A3A07" w:rsidRDefault="007C11E9">
      <w:pPr>
        <w:pStyle w:val="Innehll2"/>
        <w:tabs>
          <w:tab w:val="left" w:pos="680"/>
        </w:tabs>
        <w:rPr>
          <w:noProof w:val="0"/>
        </w:rPr>
      </w:pPr>
      <w:r w:rsidRPr="000A3A07">
        <w:rPr>
          <w:noProof w:val="0"/>
        </w:rPr>
        <w:t>5.5</w:t>
      </w:r>
      <w:r w:rsidRPr="000A3A07">
        <w:rPr>
          <w:noProof w:val="0"/>
        </w:rPr>
        <w:tab/>
        <w:t>Sammanfattning</w:t>
      </w:r>
      <w:r w:rsidRPr="000A3A07">
        <w:rPr>
          <w:noProof w:val="0"/>
        </w:rPr>
        <w:tab/>
        <w:t>166</w:t>
      </w:r>
    </w:p>
    <w:p w14:paraId="42AF880A" w14:textId="77777777" w:rsidR="007C11E9" w:rsidRPr="000A3A07" w:rsidRDefault="007C11E9">
      <w:pPr>
        <w:pStyle w:val="Innehll1"/>
        <w:rPr>
          <w:noProof w:val="0"/>
        </w:rPr>
      </w:pPr>
      <w:r w:rsidRPr="000A3A07">
        <w:rPr>
          <w:noProof w:val="0"/>
        </w:rPr>
        <w:t>6</w:t>
      </w:r>
      <w:r w:rsidRPr="000A3A07">
        <w:rPr>
          <w:noProof w:val="0"/>
        </w:rPr>
        <w:tab/>
        <w:t>Beslutsunderlag från konsultbolaget Inregia</w:t>
      </w:r>
      <w:r w:rsidRPr="000A3A07">
        <w:rPr>
          <w:noProof w:val="0"/>
        </w:rPr>
        <w:tab/>
        <w:t>168</w:t>
      </w:r>
    </w:p>
    <w:p w14:paraId="6302C511" w14:textId="77777777" w:rsidR="007C11E9" w:rsidRPr="000A3A07" w:rsidRDefault="007C11E9">
      <w:pPr>
        <w:pStyle w:val="Innehll2"/>
        <w:tabs>
          <w:tab w:val="left" w:pos="680"/>
        </w:tabs>
        <w:rPr>
          <w:noProof w:val="0"/>
        </w:rPr>
      </w:pPr>
      <w:r w:rsidRPr="000A3A07">
        <w:rPr>
          <w:noProof w:val="0"/>
        </w:rPr>
        <w:t>6.1</w:t>
      </w:r>
      <w:r w:rsidRPr="000A3A07">
        <w:rPr>
          <w:noProof w:val="0"/>
        </w:rPr>
        <w:tab/>
        <w:t>Inregias rapport</w:t>
      </w:r>
      <w:r w:rsidRPr="000A3A07">
        <w:rPr>
          <w:noProof w:val="0"/>
        </w:rPr>
        <w:tab/>
        <w:t>168</w:t>
      </w:r>
    </w:p>
    <w:p w14:paraId="7C4F0A6B" w14:textId="77777777" w:rsidR="007C11E9" w:rsidRPr="000A3A07" w:rsidRDefault="007C11E9">
      <w:pPr>
        <w:pStyle w:val="Innehll2"/>
        <w:tabs>
          <w:tab w:val="left" w:pos="680"/>
        </w:tabs>
        <w:rPr>
          <w:noProof w:val="0"/>
        </w:rPr>
      </w:pPr>
      <w:r w:rsidRPr="000A3A07">
        <w:rPr>
          <w:noProof w:val="0"/>
        </w:rPr>
        <w:t>6.2</w:t>
      </w:r>
      <w:r w:rsidRPr="000A3A07">
        <w:rPr>
          <w:noProof w:val="0"/>
        </w:rPr>
        <w:tab/>
        <w:t>Saknas viktiga effekter i den samhällsekonomiska kalkylen?</w:t>
      </w:r>
      <w:r w:rsidRPr="000A3A07">
        <w:rPr>
          <w:noProof w:val="0"/>
        </w:rPr>
        <w:tab/>
        <w:t>169</w:t>
      </w:r>
    </w:p>
    <w:p w14:paraId="7F4FA4A0" w14:textId="77777777" w:rsidR="007C11E9" w:rsidRPr="000A3A07" w:rsidRDefault="007C11E9">
      <w:pPr>
        <w:pStyle w:val="Innehll2"/>
        <w:tabs>
          <w:tab w:val="left" w:pos="680"/>
        </w:tabs>
        <w:rPr>
          <w:noProof w:val="0"/>
        </w:rPr>
      </w:pPr>
      <w:r w:rsidRPr="000A3A07">
        <w:rPr>
          <w:noProof w:val="0"/>
        </w:rPr>
        <w:t>6.3</w:t>
      </w:r>
      <w:r w:rsidRPr="000A3A07">
        <w:rPr>
          <w:noProof w:val="0"/>
        </w:rPr>
        <w:tab/>
        <w:t>Slutsatser</w:t>
      </w:r>
      <w:r w:rsidRPr="000A3A07">
        <w:rPr>
          <w:noProof w:val="0"/>
        </w:rPr>
        <w:tab/>
        <w:t>171</w:t>
      </w:r>
    </w:p>
    <w:p w14:paraId="2D6B94C6" w14:textId="77777777" w:rsidR="007C11E9" w:rsidRPr="000A3A07" w:rsidRDefault="007C11E9">
      <w:pPr>
        <w:pStyle w:val="Innehll1"/>
        <w:rPr>
          <w:noProof w:val="0"/>
        </w:rPr>
      </w:pPr>
      <w:r w:rsidRPr="000A3A07">
        <w:rPr>
          <w:noProof w:val="0"/>
        </w:rPr>
        <w:t>7</w:t>
      </w:r>
      <w:r w:rsidRPr="000A3A07">
        <w:rPr>
          <w:noProof w:val="0"/>
        </w:rPr>
        <w:tab/>
        <w:t>Remissvaren</w:t>
      </w:r>
      <w:r w:rsidRPr="000A3A07">
        <w:rPr>
          <w:noProof w:val="0"/>
        </w:rPr>
        <w:tab/>
        <w:t>173</w:t>
      </w:r>
    </w:p>
    <w:p w14:paraId="13373325" w14:textId="77777777" w:rsidR="007C11E9" w:rsidRPr="000A3A07" w:rsidRDefault="007C11E9">
      <w:pPr>
        <w:pStyle w:val="Innehll1"/>
        <w:rPr>
          <w:noProof w:val="0"/>
        </w:rPr>
      </w:pPr>
      <w:r w:rsidRPr="000A3A07">
        <w:rPr>
          <w:noProof w:val="0"/>
        </w:rPr>
        <w:t>8</w:t>
      </w:r>
      <w:r w:rsidRPr="000A3A07">
        <w:rPr>
          <w:noProof w:val="0"/>
        </w:rPr>
        <w:tab/>
        <w:t>Regeringens proposition</w:t>
      </w:r>
      <w:r w:rsidRPr="000A3A07">
        <w:rPr>
          <w:noProof w:val="0"/>
        </w:rPr>
        <w:tab/>
        <w:t>175</w:t>
      </w:r>
    </w:p>
    <w:p w14:paraId="47B1C34B" w14:textId="77777777" w:rsidR="007C11E9" w:rsidRPr="000A3A07" w:rsidRDefault="007C11E9">
      <w:pPr>
        <w:pStyle w:val="Innehll2"/>
        <w:tabs>
          <w:tab w:val="left" w:pos="680"/>
        </w:tabs>
        <w:rPr>
          <w:noProof w:val="0"/>
        </w:rPr>
      </w:pPr>
      <w:r w:rsidRPr="000A3A07">
        <w:rPr>
          <w:noProof w:val="0"/>
        </w:rPr>
        <w:t>8.1</w:t>
      </w:r>
      <w:r w:rsidRPr="000A3A07">
        <w:rPr>
          <w:noProof w:val="0"/>
        </w:rPr>
        <w:tab/>
        <w:t>Provisoriska föreskrifter för trafikering av Kontinentalbanan</w:t>
      </w:r>
      <w:r w:rsidRPr="000A3A07">
        <w:rPr>
          <w:noProof w:val="0"/>
        </w:rPr>
        <w:tab/>
        <w:t>175</w:t>
      </w:r>
    </w:p>
    <w:p w14:paraId="099DFE93" w14:textId="77777777" w:rsidR="007C11E9" w:rsidRPr="000A3A07" w:rsidRDefault="007C11E9">
      <w:pPr>
        <w:pStyle w:val="Innehll2"/>
        <w:tabs>
          <w:tab w:val="left" w:pos="680"/>
        </w:tabs>
        <w:rPr>
          <w:noProof w:val="0"/>
        </w:rPr>
      </w:pPr>
      <w:r w:rsidRPr="000A3A07">
        <w:rPr>
          <w:noProof w:val="0"/>
        </w:rPr>
        <w:t>8.2</w:t>
      </w:r>
      <w:r w:rsidRPr="000A3A07">
        <w:rPr>
          <w:noProof w:val="0"/>
        </w:rPr>
        <w:tab/>
        <w:t>Regeringens motiv för att ge tillstånd till Citytunneln</w:t>
      </w:r>
      <w:r w:rsidRPr="000A3A07">
        <w:rPr>
          <w:noProof w:val="0"/>
        </w:rPr>
        <w:tab/>
        <w:t>175</w:t>
      </w:r>
    </w:p>
    <w:p w14:paraId="0D3BF737" w14:textId="77777777" w:rsidR="007C11E9" w:rsidRPr="000A3A07" w:rsidRDefault="007C11E9">
      <w:pPr>
        <w:pStyle w:val="Innehll2"/>
        <w:tabs>
          <w:tab w:val="left" w:pos="680"/>
        </w:tabs>
        <w:rPr>
          <w:noProof w:val="0"/>
        </w:rPr>
      </w:pPr>
      <w:r w:rsidRPr="000A3A07">
        <w:rPr>
          <w:noProof w:val="0"/>
        </w:rPr>
        <w:t>8.3</w:t>
      </w:r>
      <w:r w:rsidRPr="000A3A07">
        <w:rPr>
          <w:noProof w:val="0"/>
        </w:rPr>
        <w:tab/>
        <w:t>Organisation och finansiering av projektet</w:t>
      </w:r>
      <w:r w:rsidRPr="000A3A07">
        <w:rPr>
          <w:noProof w:val="0"/>
        </w:rPr>
        <w:tab/>
        <w:t>176</w:t>
      </w:r>
    </w:p>
    <w:p w14:paraId="5087BA18" w14:textId="77777777" w:rsidR="007C11E9" w:rsidRPr="000A3A07" w:rsidRDefault="007C11E9">
      <w:pPr>
        <w:pStyle w:val="Innehll1"/>
        <w:rPr>
          <w:noProof w:val="0"/>
        </w:rPr>
      </w:pPr>
      <w:r w:rsidRPr="000A3A07">
        <w:rPr>
          <w:noProof w:val="0"/>
        </w:rPr>
        <w:t>9</w:t>
      </w:r>
      <w:r w:rsidRPr="000A3A07">
        <w:rPr>
          <w:noProof w:val="0"/>
        </w:rPr>
        <w:tab/>
        <w:t>Slutsatser</w:t>
      </w:r>
      <w:r w:rsidRPr="000A3A07">
        <w:rPr>
          <w:noProof w:val="0"/>
        </w:rPr>
        <w:tab/>
        <w:t>179</w:t>
      </w:r>
    </w:p>
    <w:p w14:paraId="01FAFEA4" w14:textId="77777777" w:rsidR="007C11E9" w:rsidRPr="000A3A07" w:rsidRDefault="007C11E9">
      <w:pPr>
        <w:pStyle w:val="Innehll2"/>
        <w:tabs>
          <w:tab w:val="left" w:pos="680"/>
        </w:tabs>
        <w:rPr>
          <w:noProof w:val="0"/>
        </w:rPr>
      </w:pPr>
      <w:r w:rsidRPr="000A3A07">
        <w:rPr>
          <w:noProof w:val="0"/>
        </w:rPr>
        <w:t>9.1</w:t>
      </w:r>
      <w:r w:rsidRPr="000A3A07">
        <w:rPr>
          <w:noProof w:val="0"/>
        </w:rPr>
        <w:tab/>
        <w:t>Den samhällsekonomiska kalkylen</w:t>
      </w:r>
      <w:r w:rsidRPr="000A3A07">
        <w:rPr>
          <w:noProof w:val="0"/>
        </w:rPr>
        <w:tab/>
        <w:t>179</w:t>
      </w:r>
    </w:p>
    <w:p w14:paraId="15079DD7" w14:textId="77777777" w:rsidR="007C11E9" w:rsidRPr="000A3A07" w:rsidRDefault="007C11E9">
      <w:pPr>
        <w:pStyle w:val="Innehll2"/>
        <w:tabs>
          <w:tab w:val="left" w:pos="680"/>
        </w:tabs>
        <w:rPr>
          <w:noProof w:val="0"/>
        </w:rPr>
      </w:pPr>
      <w:r w:rsidRPr="000A3A07">
        <w:rPr>
          <w:noProof w:val="0"/>
        </w:rPr>
        <w:t>9.2</w:t>
      </w:r>
      <w:r w:rsidRPr="000A3A07">
        <w:rPr>
          <w:noProof w:val="0"/>
        </w:rPr>
        <w:tab/>
        <w:t>Beslutsprocessen och projektets kostnader</w:t>
      </w:r>
      <w:r w:rsidRPr="000A3A07">
        <w:rPr>
          <w:noProof w:val="0"/>
        </w:rPr>
        <w:tab/>
        <w:t>180</w:t>
      </w:r>
    </w:p>
    <w:p w14:paraId="603F06CA" w14:textId="77777777" w:rsidR="007C11E9" w:rsidRPr="000A3A07" w:rsidRDefault="007C11E9">
      <w:pPr>
        <w:pStyle w:val="Innehll2"/>
        <w:tabs>
          <w:tab w:val="left" w:pos="680"/>
        </w:tabs>
        <w:rPr>
          <w:noProof w:val="0"/>
        </w:rPr>
      </w:pPr>
      <w:r w:rsidRPr="000A3A07">
        <w:rPr>
          <w:noProof w:val="0"/>
        </w:rPr>
        <w:t>9.3</w:t>
      </w:r>
      <w:r w:rsidRPr="000A3A07">
        <w:rPr>
          <w:noProof w:val="0"/>
        </w:rPr>
        <w:tab/>
        <w:t>Regeringens beslut</w:t>
      </w:r>
      <w:r w:rsidRPr="000A3A07">
        <w:rPr>
          <w:noProof w:val="0"/>
        </w:rPr>
        <w:tab/>
        <w:t xml:space="preserve">181 </w:t>
      </w:r>
    </w:p>
    <w:p w14:paraId="6CF46160" w14:textId="77777777" w:rsidR="007C11E9" w:rsidRPr="000A3A07" w:rsidRDefault="007C11E9">
      <w:pPr>
        <w:pStyle w:val="Innehll2"/>
        <w:tabs>
          <w:tab w:val="left" w:pos="680"/>
        </w:tabs>
        <w:rPr>
          <w:noProof w:val="0"/>
        </w:rPr>
      </w:pPr>
      <w:r w:rsidRPr="000A3A07">
        <w:rPr>
          <w:noProof w:val="0"/>
        </w:rPr>
        <w:t>Referenser</w:t>
      </w:r>
      <w:r w:rsidRPr="000A3A07">
        <w:rPr>
          <w:noProof w:val="0"/>
        </w:rPr>
        <w:tab/>
        <w:t>182</w:t>
      </w:r>
    </w:p>
    <w:p w14:paraId="76489296" w14:textId="77777777" w:rsidR="007C11E9" w:rsidRPr="000A3A07" w:rsidRDefault="007C11E9">
      <w:pPr>
        <w:pStyle w:val="Innehll1"/>
        <w:spacing w:before="120"/>
        <w:rPr>
          <w:i/>
          <w:noProof w:val="0"/>
        </w:rPr>
      </w:pPr>
      <w:r w:rsidRPr="000A3A07">
        <w:rPr>
          <w:i/>
          <w:noProof w:val="0"/>
        </w:rPr>
        <w:t>Underbilaga 4 Granskning av de samhällsekonomiska kalkylerna för Södra länken presenterade i Inregia (1996) och Transek (1998)</w:t>
      </w:r>
    </w:p>
    <w:p w14:paraId="592C884A" w14:textId="77777777" w:rsidR="007C11E9" w:rsidRPr="000A3A07" w:rsidRDefault="007C11E9">
      <w:pPr>
        <w:pStyle w:val="Innehll1"/>
        <w:rPr>
          <w:noProof w:val="0"/>
        </w:rPr>
      </w:pPr>
      <w:r w:rsidRPr="000A3A07">
        <w:rPr>
          <w:noProof w:val="0"/>
        </w:rPr>
        <w:t>1</w:t>
      </w:r>
      <w:r w:rsidRPr="000A3A07">
        <w:rPr>
          <w:noProof w:val="0"/>
        </w:rPr>
        <w:tab/>
        <w:t>Bakgrund och syfte</w:t>
      </w:r>
      <w:r w:rsidRPr="000A3A07">
        <w:rPr>
          <w:noProof w:val="0"/>
        </w:rPr>
        <w:tab/>
        <w:t>185</w:t>
      </w:r>
    </w:p>
    <w:p w14:paraId="1C756C35" w14:textId="77777777" w:rsidR="007C11E9" w:rsidRPr="000A3A07" w:rsidRDefault="007C11E9">
      <w:pPr>
        <w:pStyle w:val="Innehll2"/>
        <w:tabs>
          <w:tab w:val="left" w:pos="680"/>
        </w:tabs>
        <w:rPr>
          <w:noProof w:val="0"/>
        </w:rPr>
      </w:pPr>
      <w:r w:rsidRPr="000A3A07">
        <w:rPr>
          <w:noProof w:val="0"/>
        </w:rPr>
        <w:t>1.1</w:t>
      </w:r>
      <w:r w:rsidRPr="000A3A07">
        <w:rPr>
          <w:noProof w:val="0"/>
        </w:rPr>
        <w:tab/>
        <w:t>Södra länken</w:t>
      </w:r>
      <w:r w:rsidRPr="000A3A07">
        <w:rPr>
          <w:noProof w:val="0"/>
        </w:rPr>
        <w:tab/>
        <w:t>185</w:t>
      </w:r>
    </w:p>
    <w:p w14:paraId="5FC4E141" w14:textId="77777777" w:rsidR="007C11E9" w:rsidRPr="000A3A07" w:rsidRDefault="007C11E9">
      <w:pPr>
        <w:pStyle w:val="Innehll2"/>
        <w:tabs>
          <w:tab w:val="left" w:pos="680"/>
        </w:tabs>
        <w:rPr>
          <w:noProof w:val="0"/>
        </w:rPr>
      </w:pPr>
      <w:r w:rsidRPr="000A3A07">
        <w:rPr>
          <w:noProof w:val="0"/>
        </w:rPr>
        <w:t>1.2</w:t>
      </w:r>
      <w:r w:rsidRPr="000A3A07">
        <w:rPr>
          <w:noProof w:val="0"/>
        </w:rPr>
        <w:tab/>
        <w:t>Samhällsekonomiska kalkyler för Dennispaketet och dess beståndsdelar</w:t>
      </w:r>
      <w:r w:rsidRPr="000A3A07">
        <w:rPr>
          <w:noProof w:val="0"/>
        </w:rPr>
        <w:tab/>
        <w:t>185</w:t>
      </w:r>
    </w:p>
    <w:p w14:paraId="1F0256B4" w14:textId="77777777" w:rsidR="007C11E9" w:rsidRPr="000A3A07" w:rsidRDefault="007C11E9">
      <w:pPr>
        <w:pStyle w:val="Innehll2"/>
        <w:tabs>
          <w:tab w:val="left" w:pos="680"/>
        </w:tabs>
        <w:rPr>
          <w:noProof w:val="0"/>
        </w:rPr>
      </w:pPr>
      <w:r w:rsidRPr="000A3A07">
        <w:rPr>
          <w:noProof w:val="0"/>
        </w:rPr>
        <w:t>1.3</w:t>
      </w:r>
      <w:r w:rsidRPr="000A3A07">
        <w:rPr>
          <w:noProof w:val="0"/>
        </w:rPr>
        <w:tab/>
        <w:t>Syfte och uppläggning</w:t>
      </w:r>
      <w:r w:rsidRPr="000A3A07">
        <w:rPr>
          <w:noProof w:val="0"/>
        </w:rPr>
        <w:tab/>
        <w:t>186</w:t>
      </w:r>
    </w:p>
    <w:p w14:paraId="37C4F3EF" w14:textId="77777777" w:rsidR="007C11E9" w:rsidRPr="000A3A07" w:rsidRDefault="007C11E9">
      <w:pPr>
        <w:pStyle w:val="Innehll1"/>
        <w:rPr>
          <w:noProof w:val="0"/>
        </w:rPr>
      </w:pPr>
      <w:r w:rsidRPr="000A3A07">
        <w:rPr>
          <w:noProof w:val="0"/>
        </w:rPr>
        <w:t>2</w:t>
      </w:r>
      <w:r w:rsidRPr="000A3A07">
        <w:rPr>
          <w:noProof w:val="0"/>
        </w:rPr>
        <w:tab/>
        <w:t>Dennispaketets akilleshäl: tunnellösningar fördyrar väginvesteringar mångfalt</w:t>
      </w:r>
      <w:r w:rsidRPr="000A3A07">
        <w:rPr>
          <w:noProof w:val="0"/>
        </w:rPr>
        <w:tab/>
        <w:t>187</w:t>
      </w:r>
    </w:p>
    <w:p w14:paraId="19CEE8AD" w14:textId="77777777" w:rsidR="007C11E9" w:rsidRPr="000A3A07" w:rsidRDefault="007C11E9">
      <w:pPr>
        <w:pStyle w:val="Innehll1"/>
        <w:rPr>
          <w:noProof w:val="0"/>
        </w:rPr>
      </w:pPr>
      <w:r w:rsidRPr="000A3A07">
        <w:rPr>
          <w:noProof w:val="0"/>
        </w:rPr>
        <w:t>3</w:t>
      </w:r>
      <w:r w:rsidRPr="000A3A07">
        <w:rPr>
          <w:noProof w:val="0"/>
        </w:rPr>
        <w:tab/>
        <w:t>Första överblick över kalkylerna för Södra länken</w:t>
      </w:r>
      <w:r w:rsidRPr="000A3A07">
        <w:rPr>
          <w:noProof w:val="0"/>
        </w:rPr>
        <w:tab/>
        <w:t>188</w:t>
      </w:r>
    </w:p>
    <w:p w14:paraId="31C0E7F3" w14:textId="77777777" w:rsidR="007C11E9" w:rsidRPr="000A3A07" w:rsidRDefault="007C11E9">
      <w:pPr>
        <w:pStyle w:val="Innehll2"/>
        <w:tabs>
          <w:tab w:val="left" w:pos="680"/>
        </w:tabs>
        <w:rPr>
          <w:noProof w:val="0"/>
        </w:rPr>
      </w:pPr>
      <w:r w:rsidRPr="000A3A07">
        <w:rPr>
          <w:noProof w:val="0"/>
        </w:rPr>
        <w:t>3.1</w:t>
      </w:r>
      <w:r w:rsidRPr="000A3A07">
        <w:rPr>
          <w:noProof w:val="0"/>
        </w:rPr>
        <w:tab/>
        <w:t>Vad bör en samhällsekonomisk kalkyl för ett vägprojekt innehålla?</w:t>
      </w:r>
      <w:r w:rsidRPr="000A3A07">
        <w:rPr>
          <w:noProof w:val="0"/>
        </w:rPr>
        <w:tab/>
        <w:t>188</w:t>
      </w:r>
    </w:p>
    <w:p w14:paraId="508F2A78" w14:textId="77777777" w:rsidR="007C11E9" w:rsidRPr="000A3A07" w:rsidRDefault="007C11E9">
      <w:pPr>
        <w:pStyle w:val="Innehll2"/>
        <w:tabs>
          <w:tab w:val="left" w:pos="680"/>
        </w:tabs>
        <w:rPr>
          <w:noProof w:val="0"/>
        </w:rPr>
      </w:pPr>
      <w:r w:rsidRPr="000A3A07">
        <w:rPr>
          <w:noProof w:val="0"/>
        </w:rPr>
        <w:t>3.2</w:t>
      </w:r>
      <w:r w:rsidRPr="000A3A07">
        <w:rPr>
          <w:noProof w:val="0"/>
        </w:rPr>
        <w:tab/>
        <w:t>Inregia (1996) och Transek (1998) i sammandrag</w:t>
      </w:r>
      <w:r w:rsidRPr="000A3A07">
        <w:rPr>
          <w:noProof w:val="0"/>
        </w:rPr>
        <w:tab/>
        <w:t>189</w:t>
      </w:r>
    </w:p>
    <w:p w14:paraId="1F5D2B97" w14:textId="77777777" w:rsidR="007C11E9" w:rsidRPr="000A3A07" w:rsidRDefault="007C11E9">
      <w:pPr>
        <w:pStyle w:val="Innehll2"/>
        <w:tabs>
          <w:tab w:val="left" w:pos="680"/>
        </w:tabs>
        <w:rPr>
          <w:noProof w:val="0"/>
        </w:rPr>
      </w:pPr>
      <w:r w:rsidRPr="000A3A07">
        <w:rPr>
          <w:noProof w:val="0"/>
        </w:rPr>
        <w:t>3.3</w:t>
      </w:r>
      <w:r w:rsidRPr="000A3A07">
        <w:rPr>
          <w:noProof w:val="0"/>
        </w:rPr>
        <w:tab/>
        <w:t>Skillnader på kostnadssidan</w:t>
      </w:r>
      <w:r w:rsidRPr="000A3A07">
        <w:rPr>
          <w:noProof w:val="0"/>
        </w:rPr>
        <w:tab/>
        <w:t>190</w:t>
      </w:r>
    </w:p>
    <w:p w14:paraId="545E0C35" w14:textId="77777777" w:rsidR="007C11E9" w:rsidRPr="000A3A07" w:rsidRDefault="007C11E9">
      <w:pPr>
        <w:pStyle w:val="Innehll2"/>
        <w:tabs>
          <w:tab w:val="left" w:pos="680"/>
        </w:tabs>
        <w:rPr>
          <w:noProof w:val="0"/>
        </w:rPr>
      </w:pPr>
      <w:r w:rsidRPr="000A3A07">
        <w:rPr>
          <w:noProof w:val="0"/>
        </w:rPr>
        <w:t>3.4</w:t>
      </w:r>
      <w:r w:rsidRPr="000A3A07">
        <w:rPr>
          <w:noProof w:val="0"/>
        </w:rPr>
        <w:tab/>
        <w:t>Skillnader på nyttosidan</w:t>
      </w:r>
      <w:r w:rsidRPr="000A3A07">
        <w:rPr>
          <w:noProof w:val="0"/>
        </w:rPr>
        <w:tab/>
        <w:t>190</w:t>
      </w:r>
    </w:p>
    <w:p w14:paraId="37072A9E" w14:textId="77777777" w:rsidR="007C11E9" w:rsidRPr="000A3A07" w:rsidRDefault="007C11E9">
      <w:pPr>
        <w:pStyle w:val="Innehll1"/>
        <w:rPr>
          <w:noProof w:val="0"/>
        </w:rPr>
      </w:pPr>
      <w:r w:rsidRPr="000A3A07">
        <w:rPr>
          <w:noProof w:val="0"/>
        </w:rPr>
        <w:t>4</w:t>
      </w:r>
      <w:r w:rsidRPr="000A3A07">
        <w:rPr>
          <w:noProof w:val="0"/>
        </w:rPr>
        <w:tab/>
        <w:t>Trafikantkostnadsbesparingar och nyttan av nya resor</w:t>
      </w:r>
      <w:r w:rsidRPr="000A3A07">
        <w:rPr>
          <w:noProof w:val="0"/>
        </w:rPr>
        <w:tab/>
        <w:t>194</w:t>
      </w:r>
    </w:p>
    <w:p w14:paraId="28FAAF50" w14:textId="77777777" w:rsidR="007C11E9" w:rsidRPr="000A3A07" w:rsidRDefault="007C11E9">
      <w:pPr>
        <w:pStyle w:val="Innehll2"/>
        <w:tabs>
          <w:tab w:val="left" w:pos="680"/>
        </w:tabs>
        <w:rPr>
          <w:noProof w:val="0"/>
        </w:rPr>
      </w:pPr>
      <w:r w:rsidRPr="000A3A07">
        <w:rPr>
          <w:noProof w:val="0"/>
        </w:rPr>
        <w:t>4.1</w:t>
      </w:r>
      <w:r w:rsidRPr="000A3A07">
        <w:rPr>
          <w:noProof w:val="0"/>
        </w:rPr>
        <w:tab/>
        <w:t>Fordonskostnadseffekter</w:t>
      </w:r>
      <w:r w:rsidRPr="000A3A07">
        <w:rPr>
          <w:noProof w:val="0"/>
        </w:rPr>
        <w:tab/>
        <w:t>196</w:t>
      </w:r>
    </w:p>
    <w:p w14:paraId="34246794" w14:textId="77777777" w:rsidR="007C11E9" w:rsidRPr="000A3A07" w:rsidRDefault="007C11E9">
      <w:pPr>
        <w:pStyle w:val="Innehll2"/>
        <w:tabs>
          <w:tab w:val="left" w:pos="680"/>
        </w:tabs>
        <w:rPr>
          <w:noProof w:val="0"/>
        </w:rPr>
      </w:pPr>
      <w:r w:rsidRPr="000A3A07">
        <w:rPr>
          <w:noProof w:val="0"/>
        </w:rPr>
        <w:t>4.2</w:t>
      </w:r>
      <w:r w:rsidRPr="000A3A07">
        <w:rPr>
          <w:noProof w:val="0"/>
        </w:rPr>
        <w:tab/>
        <w:t>Olyckskostnadseffekter</w:t>
      </w:r>
      <w:r w:rsidRPr="000A3A07">
        <w:rPr>
          <w:noProof w:val="0"/>
        </w:rPr>
        <w:tab/>
        <w:t>197</w:t>
      </w:r>
    </w:p>
    <w:p w14:paraId="73A67899" w14:textId="77777777" w:rsidR="007C11E9" w:rsidRPr="000A3A07" w:rsidRDefault="007C11E9">
      <w:pPr>
        <w:pStyle w:val="Innehll1"/>
        <w:rPr>
          <w:noProof w:val="0"/>
        </w:rPr>
      </w:pPr>
      <w:r w:rsidRPr="000A3A07">
        <w:rPr>
          <w:noProof w:val="0"/>
        </w:rPr>
        <w:t>5</w:t>
      </w:r>
      <w:r w:rsidRPr="000A3A07">
        <w:rPr>
          <w:noProof w:val="0"/>
        </w:rPr>
        <w:tab/>
        <w:t>Miljöeffekter</w:t>
      </w:r>
      <w:r w:rsidRPr="000A3A07">
        <w:rPr>
          <w:noProof w:val="0"/>
        </w:rPr>
        <w:tab/>
        <w:t>199</w:t>
      </w:r>
    </w:p>
    <w:p w14:paraId="546D6BA2" w14:textId="77777777" w:rsidR="007C11E9" w:rsidRPr="000A3A07" w:rsidRDefault="007C11E9">
      <w:pPr>
        <w:pStyle w:val="Innehll1"/>
        <w:rPr>
          <w:noProof w:val="0"/>
        </w:rPr>
      </w:pPr>
      <w:r w:rsidRPr="000A3A07">
        <w:rPr>
          <w:noProof w:val="0"/>
        </w:rPr>
        <w:t>6</w:t>
      </w:r>
      <w:r w:rsidRPr="000A3A07">
        <w:rPr>
          <w:noProof w:val="0"/>
        </w:rPr>
        <w:tab/>
        <w:t>Sammanfattande slutsatser</w:t>
      </w:r>
      <w:r w:rsidRPr="000A3A07">
        <w:rPr>
          <w:noProof w:val="0"/>
        </w:rPr>
        <w:tab/>
        <w:t>200</w:t>
      </w:r>
    </w:p>
    <w:p w14:paraId="04C70EFB" w14:textId="77777777" w:rsidR="007C11E9" w:rsidRPr="000A3A07" w:rsidRDefault="007C11E9">
      <w:pPr>
        <w:pStyle w:val="Innehll2"/>
        <w:tabs>
          <w:tab w:val="left" w:pos="680"/>
        </w:tabs>
        <w:rPr>
          <w:noProof w:val="0"/>
        </w:rPr>
      </w:pPr>
      <w:r w:rsidRPr="000A3A07">
        <w:rPr>
          <w:noProof w:val="0"/>
        </w:rPr>
        <w:t>6.1</w:t>
      </w:r>
      <w:r w:rsidRPr="000A3A07">
        <w:rPr>
          <w:noProof w:val="0"/>
        </w:rPr>
        <w:tab/>
        <w:t>Objektanalysens nyttosida</w:t>
      </w:r>
      <w:r w:rsidRPr="000A3A07">
        <w:rPr>
          <w:noProof w:val="0"/>
        </w:rPr>
        <w:tab/>
        <w:t>200</w:t>
      </w:r>
    </w:p>
    <w:p w14:paraId="63966097" w14:textId="77777777" w:rsidR="007C11E9" w:rsidRPr="000A3A07" w:rsidRDefault="007C11E9">
      <w:pPr>
        <w:pStyle w:val="Innehll2"/>
        <w:tabs>
          <w:tab w:val="left" w:pos="680"/>
        </w:tabs>
        <w:rPr>
          <w:noProof w:val="0"/>
        </w:rPr>
      </w:pPr>
      <w:r w:rsidRPr="000A3A07">
        <w:rPr>
          <w:noProof w:val="0"/>
        </w:rPr>
        <w:t>6.2</w:t>
      </w:r>
      <w:r w:rsidRPr="000A3A07">
        <w:rPr>
          <w:noProof w:val="0"/>
        </w:rPr>
        <w:tab/>
        <w:t>Vad finns i "svarta lådan"?</w:t>
      </w:r>
      <w:r w:rsidRPr="000A3A07">
        <w:rPr>
          <w:noProof w:val="0"/>
        </w:rPr>
        <w:tab/>
        <w:t>201</w:t>
      </w:r>
    </w:p>
    <w:p w14:paraId="1B045D8B" w14:textId="77777777" w:rsidR="007C11E9" w:rsidRPr="000A3A07" w:rsidRDefault="007C11E9">
      <w:pPr>
        <w:pStyle w:val="Innehll2"/>
        <w:tabs>
          <w:tab w:val="left" w:pos="680"/>
        </w:tabs>
        <w:rPr>
          <w:noProof w:val="0"/>
        </w:rPr>
      </w:pPr>
      <w:r w:rsidRPr="000A3A07">
        <w:rPr>
          <w:noProof w:val="0"/>
        </w:rPr>
        <w:t>6.3</w:t>
      </w:r>
      <w:r w:rsidRPr="000A3A07">
        <w:rPr>
          <w:noProof w:val="0"/>
        </w:rPr>
        <w:tab/>
        <w:t>Vem har rätt?</w:t>
      </w:r>
      <w:r w:rsidRPr="000A3A07">
        <w:rPr>
          <w:noProof w:val="0"/>
        </w:rPr>
        <w:tab/>
        <w:t>202</w:t>
      </w:r>
    </w:p>
    <w:p w14:paraId="11856B6D" w14:textId="77777777" w:rsidR="007C11E9" w:rsidRPr="000A3A07" w:rsidRDefault="007C11E9">
      <w:pPr>
        <w:pStyle w:val="Innehll2"/>
        <w:tabs>
          <w:tab w:val="left" w:pos="680"/>
        </w:tabs>
        <w:rPr>
          <w:noProof w:val="0"/>
        </w:rPr>
      </w:pPr>
      <w:r w:rsidRPr="000A3A07">
        <w:rPr>
          <w:noProof w:val="0"/>
        </w:rPr>
        <w:t>6.4</w:t>
      </w:r>
      <w:r w:rsidRPr="000A3A07">
        <w:rPr>
          <w:noProof w:val="0"/>
        </w:rPr>
        <w:tab/>
        <w:t>Två källor till överskattning av nyttan i Transek (1998)</w:t>
      </w:r>
      <w:r w:rsidRPr="000A3A07">
        <w:rPr>
          <w:noProof w:val="0"/>
        </w:rPr>
        <w:tab/>
        <w:t>202</w:t>
      </w:r>
    </w:p>
    <w:p w14:paraId="4676E47A" w14:textId="77777777" w:rsidR="007C11E9" w:rsidRPr="000A3A07" w:rsidRDefault="007C11E9">
      <w:pPr>
        <w:pStyle w:val="Innehll2"/>
        <w:tabs>
          <w:tab w:val="left" w:pos="680"/>
        </w:tabs>
        <w:rPr>
          <w:noProof w:val="0"/>
        </w:rPr>
      </w:pPr>
      <w:r w:rsidRPr="000A3A07">
        <w:rPr>
          <w:noProof w:val="0"/>
        </w:rPr>
        <w:t>6.5</w:t>
      </w:r>
      <w:r w:rsidRPr="000A3A07">
        <w:rPr>
          <w:noProof w:val="0"/>
        </w:rPr>
        <w:tab/>
        <w:t>Slutord</w:t>
      </w:r>
      <w:r w:rsidRPr="000A3A07">
        <w:rPr>
          <w:noProof w:val="0"/>
        </w:rPr>
        <w:tab/>
        <w:t>204</w:t>
      </w:r>
    </w:p>
    <w:p w14:paraId="5A27F8C8" w14:textId="77777777" w:rsidR="007C11E9" w:rsidRPr="000A3A07" w:rsidRDefault="007C11E9">
      <w:pPr>
        <w:pStyle w:val="Innehll1"/>
        <w:rPr>
          <w:noProof w:val="0"/>
        </w:rPr>
      </w:pPr>
      <w:r w:rsidRPr="000A3A07">
        <w:rPr>
          <w:noProof w:val="0"/>
        </w:rPr>
        <w:t>Referenser</w:t>
      </w:r>
      <w:r w:rsidRPr="000A3A07">
        <w:rPr>
          <w:noProof w:val="0"/>
        </w:rPr>
        <w:tab/>
        <w:t>205</w:t>
      </w:r>
    </w:p>
    <w:p w14:paraId="4A7FF00A" w14:textId="77777777" w:rsidR="007C11E9" w:rsidRPr="000A3A07" w:rsidRDefault="007C11E9">
      <w:pPr>
        <w:pStyle w:val="Innehll1"/>
        <w:spacing w:before="120"/>
        <w:rPr>
          <w:i/>
          <w:noProof w:val="0"/>
        </w:rPr>
      </w:pPr>
      <w:r w:rsidRPr="000A3A07">
        <w:rPr>
          <w:i/>
          <w:noProof w:val="0"/>
        </w:rPr>
        <w:t>Bilaga 2 Sammanfattning av remissyttranden  till rapport 2000/01:5</w:t>
      </w:r>
    </w:p>
    <w:p w14:paraId="2928923D" w14:textId="77777777" w:rsidR="007C11E9" w:rsidRPr="000A3A07" w:rsidRDefault="007C11E9">
      <w:pPr>
        <w:pStyle w:val="Innehll1"/>
        <w:rPr>
          <w:noProof w:val="0"/>
        </w:rPr>
      </w:pPr>
      <w:r w:rsidRPr="000A3A07">
        <w:rPr>
          <w:noProof w:val="0"/>
        </w:rPr>
        <w:t>1</w:t>
      </w:r>
      <w:r w:rsidRPr="000A3A07">
        <w:rPr>
          <w:noProof w:val="0"/>
        </w:rPr>
        <w:tab/>
        <w:t>Sammanfattning av remissyttranden</w:t>
      </w:r>
      <w:r w:rsidRPr="000A3A07">
        <w:rPr>
          <w:noProof w:val="0"/>
        </w:rPr>
        <w:tab/>
        <w:t>207</w:t>
      </w:r>
    </w:p>
    <w:p w14:paraId="147F0980" w14:textId="77777777" w:rsidR="007C11E9" w:rsidRPr="000A3A07" w:rsidRDefault="007C11E9">
      <w:pPr>
        <w:pStyle w:val="Innehll2"/>
        <w:tabs>
          <w:tab w:val="left" w:pos="680"/>
        </w:tabs>
        <w:rPr>
          <w:noProof w:val="0"/>
        </w:rPr>
      </w:pPr>
      <w:r w:rsidRPr="000A3A07">
        <w:rPr>
          <w:noProof w:val="0"/>
        </w:rPr>
        <w:t>1.1</w:t>
      </w:r>
      <w:r w:rsidRPr="000A3A07">
        <w:rPr>
          <w:noProof w:val="0"/>
        </w:rPr>
        <w:tab/>
        <w:t>Remissinstanser</w:t>
      </w:r>
      <w:r w:rsidRPr="000A3A07">
        <w:rPr>
          <w:noProof w:val="0"/>
        </w:rPr>
        <w:tab/>
        <w:t>207</w:t>
      </w:r>
    </w:p>
    <w:p w14:paraId="689C3715" w14:textId="77777777" w:rsidR="007C11E9" w:rsidRPr="000A3A07" w:rsidRDefault="007C11E9">
      <w:pPr>
        <w:pStyle w:val="Innehll2"/>
        <w:tabs>
          <w:tab w:val="left" w:pos="680"/>
        </w:tabs>
        <w:rPr>
          <w:noProof w:val="0"/>
        </w:rPr>
      </w:pPr>
      <w:r w:rsidRPr="000A3A07">
        <w:rPr>
          <w:noProof w:val="0"/>
        </w:rPr>
        <w:t>1.2</w:t>
      </w:r>
      <w:r w:rsidRPr="000A3A07">
        <w:rPr>
          <w:noProof w:val="0"/>
        </w:rPr>
        <w:tab/>
        <w:t>Allmänna synpunkter på granskningen</w:t>
      </w:r>
      <w:r w:rsidRPr="000A3A07">
        <w:rPr>
          <w:noProof w:val="0"/>
        </w:rPr>
        <w:tab/>
        <w:t>207</w:t>
      </w:r>
    </w:p>
    <w:p w14:paraId="4BFA1AB0" w14:textId="77777777" w:rsidR="007C11E9" w:rsidRPr="000A3A07" w:rsidRDefault="007C11E9">
      <w:pPr>
        <w:pStyle w:val="Innehll2"/>
        <w:tabs>
          <w:tab w:val="left" w:pos="680"/>
        </w:tabs>
        <w:rPr>
          <w:noProof w:val="0"/>
        </w:rPr>
      </w:pPr>
      <w:r w:rsidRPr="000A3A07">
        <w:rPr>
          <w:noProof w:val="0"/>
        </w:rPr>
        <w:t>1.3</w:t>
      </w:r>
      <w:r w:rsidRPr="000A3A07">
        <w:rPr>
          <w:noProof w:val="0"/>
        </w:rPr>
        <w:tab/>
        <w:t>Alternativa finansieringsformer</w:t>
      </w:r>
      <w:r w:rsidRPr="000A3A07">
        <w:rPr>
          <w:noProof w:val="0"/>
        </w:rPr>
        <w:tab/>
        <w:t>208</w:t>
      </w:r>
    </w:p>
    <w:p w14:paraId="54DEA7A8" w14:textId="77777777" w:rsidR="007C11E9" w:rsidRPr="000A3A07" w:rsidRDefault="007C11E9">
      <w:pPr>
        <w:pStyle w:val="Innehll2"/>
        <w:tabs>
          <w:tab w:val="left" w:pos="680"/>
        </w:tabs>
        <w:rPr>
          <w:noProof w:val="0"/>
        </w:rPr>
      </w:pPr>
      <w:r w:rsidRPr="000A3A07">
        <w:rPr>
          <w:noProof w:val="0"/>
        </w:rPr>
        <w:t>1.4</w:t>
      </w:r>
      <w:r w:rsidRPr="000A3A07">
        <w:rPr>
          <w:noProof w:val="0"/>
        </w:rPr>
        <w:tab/>
        <w:t>Planeringsprocessen bör ses över</w:t>
      </w:r>
      <w:r w:rsidRPr="000A3A07">
        <w:rPr>
          <w:noProof w:val="0"/>
        </w:rPr>
        <w:tab/>
        <w:t>213</w:t>
      </w:r>
    </w:p>
    <w:p w14:paraId="7CD2AA13" w14:textId="77777777" w:rsidR="007C11E9" w:rsidRPr="000A3A07" w:rsidRDefault="007C11E9">
      <w:pPr>
        <w:pStyle w:val="Innehll2"/>
        <w:tabs>
          <w:tab w:val="left" w:pos="680"/>
        </w:tabs>
        <w:rPr>
          <w:noProof w:val="0"/>
        </w:rPr>
      </w:pPr>
      <w:r w:rsidRPr="000A3A07">
        <w:rPr>
          <w:noProof w:val="0"/>
        </w:rPr>
        <w:t>1.5</w:t>
      </w:r>
      <w:r w:rsidRPr="000A3A07">
        <w:rPr>
          <w:noProof w:val="0"/>
        </w:rPr>
        <w:tab/>
        <w:t>Det samhällsekonomiska beslutsunderlaget för väg- och järnvägsinvesteringar måste utvecklas</w:t>
      </w:r>
      <w:r w:rsidRPr="000A3A07">
        <w:rPr>
          <w:noProof w:val="0"/>
        </w:rPr>
        <w:tab/>
        <w:t>216</w:t>
      </w:r>
    </w:p>
    <w:p w14:paraId="38D39722" w14:textId="77777777" w:rsidR="007C11E9" w:rsidRPr="000A3A07" w:rsidRDefault="007C11E9">
      <w:pPr>
        <w:pStyle w:val="Innehll2"/>
        <w:tabs>
          <w:tab w:val="left" w:pos="680"/>
        </w:tabs>
        <w:rPr>
          <w:noProof w:val="0"/>
        </w:rPr>
      </w:pPr>
      <w:r w:rsidRPr="000A3A07">
        <w:rPr>
          <w:noProof w:val="0"/>
        </w:rPr>
        <w:t>1.6</w:t>
      </w:r>
      <w:r w:rsidRPr="000A3A07">
        <w:rPr>
          <w:noProof w:val="0"/>
        </w:rPr>
        <w:tab/>
        <w:t>Kritik mot fallstudierna</w:t>
      </w:r>
      <w:r w:rsidRPr="000A3A07">
        <w:rPr>
          <w:noProof w:val="0"/>
        </w:rPr>
        <w:tab/>
        <w:t>220</w:t>
      </w:r>
    </w:p>
    <w:p w14:paraId="2859D37D" w14:textId="77777777" w:rsidR="007C11E9" w:rsidRPr="000A3A07" w:rsidRDefault="007C11E9"/>
    <w:p w14:paraId="1913179D" w14:textId="77777777" w:rsidR="007C11E9" w:rsidRPr="000A3A07" w:rsidRDefault="007C11E9">
      <w:pPr>
        <w:pStyle w:val="Tryckort"/>
        <w:framePr w:wrap="around"/>
      </w:pPr>
      <w:r w:rsidRPr="000A3A07">
        <w:t>Elanders Gotab, Stockholm  2001</w:t>
      </w:r>
    </w:p>
    <w:p w14:paraId="0C7D942A" w14:textId="77777777" w:rsidR="007C11E9" w:rsidRPr="000A3A07" w:rsidRDefault="007C11E9">
      <w:pPr>
        <w:pStyle w:val="Normaltindrag"/>
      </w:pPr>
    </w:p>
    <w:sectPr w:rsidR="007C11E9" w:rsidRPr="000A3A07">
      <w:headerReference w:type="default" r:id="rId76"/>
      <w:footerReference w:type="default" r:id="rId77"/>
      <w:footnotePr>
        <w:numRestart w:val="eachSect"/>
      </w:footnotePr>
      <w:endnotePr>
        <w:numRestart w:val="eachSect"/>
      </w:endnotePr>
      <w:pgSz w:w="11906" w:h="16838" w:code="9"/>
      <w:pgMar w:top="567" w:right="4876" w:bottom="4508" w:left="1134" w:header="227" w:footer="22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Anki Sjöström" w:initials="AKS">
    <w:p w14:paraId="1B0DA84D" w14:textId="77777777" w:rsidR="007C11E9" w:rsidRPr="000A3A07" w:rsidRDefault="007C11E9">
      <w:pPr>
        <w:pStyle w:val="Normaltindrag"/>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 xml:space="preserve">Källa om utgiftstaket: (prop. 1999/2000:1, prop. 1994/95:150 bil. 1, bet.1994/95:FiU20, rskr.1994/95:447 och SOU 1996). </w:t>
      </w:r>
    </w:p>
  </w:comment>
  <w:comment w:id="41" w:author="Anki Sjöström" w:initials="AKS">
    <w:p w14:paraId="75FE6152"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 som på kort sikt inte kan påverkas</w:t>
      </w:r>
    </w:p>
  </w:comment>
  <w:comment w:id="46" w:author="Ann-Kristin Sjöström" w:initials="AKS">
    <w:p w14:paraId="3AE86E57" w14:textId="77777777" w:rsidR="007C11E9" w:rsidRPr="000A3A07" w:rsidRDefault="007C11E9">
      <w:pPr>
        <w:pStyle w:val="Normaltindrag"/>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 xml:space="preserve"> Om lånefinansiering skulle tillämpas i större utsträckning skulle anslagen efter hand i allt högre grad behöva användas för att betala redan gjorda i</w:t>
      </w:r>
      <w:r w:rsidRPr="000A3A07">
        <w:rPr>
          <w:color w:val="FFFFFF"/>
        </w:rPr>
        <w:t>n</w:t>
      </w:r>
      <w:r w:rsidRPr="000A3A07">
        <w:rPr>
          <w:color w:val="FFFFFF"/>
        </w:rPr>
        <w:t>vesteringar. Framtida riksdagars möjligheter att besluta om nya, angelägna investeringar minskar (1997/98:FiU4y, 1997/98:TU10). I lagen (1996:1059) om statsbudgeten stadgas också att infrastrukturella investeringar ska fina</w:t>
      </w:r>
      <w:r w:rsidRPr="000A3A07">
        <w:rPr>
          <w:color w:val="FFFFFF"/>
        </w:rPr>
        <w:t>n</w:t>
      </w:r>
      <w:r w:rsidRPr="000A3A07">
        <w:rPr>
          <w:color w:val="FFFFFF"/>
        </w:rPr>
        <w:t>sieras med anslag (22 §). Trafikutskottet har dock betonat att detta inte hin</w:t>
      </w:r>
      <w:r w:rsidRPr="000A3A07">
        <w:rPr>
          <w:color w:val="FFFFFF"/>
        </w:rPr>
        <w:t>d</w:t>
      </w:r>
      <w:r w:rsidRPr="000A3A07">
        <w:rPr>
          <w:color w:val="FFFFFF"/>
        </w:rPr>
        <w:t>rar att alternativa finansiering</w:t>
      </w:r>
      <w:r w:rsidRPr="000A3A07">
        <w:rPr>
          <w:color w:val="FFFFFF"/>
        </w:rPr>
        <w:t>sformer prövas (1998/99:TU08). I de fall rik</w:t>
      </w:r>
      <w:r w:rsidRPr="000A3A07">
        <w:rPr>
          <w:color w:val="FFFFFF"/>
        </w:rPr>
        <w:t>s</w:t>
      </w:r>
      <w:r w:rsidRPr="000A3A07">
        <w:rPr>
          <w:color w:val="FFFFFF"/>
        </w:rPr>
        <w:t>dagen har godkänt lånefnansiering av infrastrukturprojekt har särskilda o</w:t>
      </w:r>
      <w:r w:rsidRPr="000A3A07">
        <w:rPr>
          <w:color w:val="FFFFFF"/>
        </w:rPr>
        <w:t>m</w:t>
      </w:r>
      <w:r w:rsidRPr="000A3A07">
        <w:rPr>
          <w:color w:val="FFFFFF"/>
        </w:rPr>
        <w:t>ständigheter fått motivera undantag från grundprincipen om anslagsfinansi</w:t>
      </w:r>
      <w:r w:rsidRPr="000A3A07">
        <w:rPr>
          <w:color w:val="FFFFFF"/>
        </w:rPr>
        <w:t>e</w:t>
      </w:r>
      <w:r w:rsidRPr="000A3A07">
        <w:rPr>
          <w:color w:val="FFFFFF"/>
        </w:rPr>
        <w:t xml:space="preserve">ring (1997/98:FiU4y, 1997/98:TU10). </w:t>
      </w:r>
    </w:p>
    <w:p w14:paraId="01DDDAA6" w14:textId="77777777" w:rsidR="007C11E9" w:rsidRPr="000A3A07" w:rsidRDefault="007C11E9">
      <w:pPr>
        <w:pStyle w:val="Kommentarer"/>
        <w:rPr>
          <w:color w:val="FFFFFF"/>
        </w:rPr>
      </w:pPr>
    </w:p>
  </w:comment>
  <w:comment w:id="49" w:author="Anki Sjöström" w:initials="AKS">
    <w:p w14:paraId="3719BA04" w14:textId="77777777" w:rsidR="007C11E9" w:rsidRPr="000A3A07" w:rsidRDefault="007C11E9">
      <w:pPr>
        <w:pStyle w:val="Fotnotstext"/>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I tabellerna ingår inte Vägverkets lån för omsättningstillgångar och anläggningstil</w:t>
      </w:r>
      <w:r w:rsidRPr="000A3A07">
        <w:rPr>
          <w:color w:val="FFFFFF"/>
        </w:rPr>
        <w:t>l</w:t>
      </w:r>
      <w:r w:rsidRPr="000A3A07">
        <w:rPr>
          <w:color w:val="FFFFFF"/>
        </w:rPr>
        <w:t>gångar eller Banverkets lån för produktionsanläggningar och projekteringslager (des</w:t>
      </w:r>
      <w:r w:rsidRPr="000A3A07">
        <w:rPr>
          <w:color w:val="FFFFFF"/>
        </w:rPr>
        <w:t>s</w:t>
      </w:r>
      <w:r w:rsidRPr="000A3A07">
        <w:rPr>
          <w:color w:val="FFFFFF"/>
        </w:rPr>
        <w:t>utom står det att finansiering med myndighetskapital och rörelsekapital avgår, och de drar bort 1 911 miljoner kr</w:t>
      </w:r>
      <w:r w:rsidRPr="000A3A07">
        <w:rPr>
          <w:color w:val="FFFFFF"/>
        </w:rPr>
        <w:t>o</w:t>
      </w:r>
      <w:r w:rsidRPr="000A3A07">
        <w:rPr>
          <w:color w:val="FFFFFF"/>
        </w:rPr>
        <w:t>nor).</w:t>
      </w:r>
    </w:p>
  </w:comment>
  <w:comment w:id="50" w:author="Ann-Kristin Sjöström" w:initials="AKS">
    <w:p w14:paraId="71020FA2"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Regeringen föreslår i budgetpropositionen för 2000 att Vägverkets anslag får belastas även vid eventuellt infriande av statliga garantier för stor</w:t>
      </w:r>
      <w:r w:rsidRPr="000A3A07">
        <w:rPr>
          <w:color w:val="FFFFFF"/>
        </w:rPr>
        <w:softHyphen/>
        <w:t>stadsöverenskommelserna. De statliga garantierna omfattar investerings</w:t>
      </w:r>
      <w:r w:rsidRPr="000A3A07">
        <w:rPr>
          <w:color w:val="FFFFFF"/>
        </w:rPr>
        <w:softHyphen/>
        <w:t>kostnader och upplupen ränta.</w:t>
      </w:r>
    </w:p>
  </w:comment>
  <w:comment w:id="58" w:author="Anki Sjöström" w:initials="AKS">
    <w:p w14:paraId="771EA512"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(prop. 1993/94:86, s.12)</w:t>
      </w:r>
    </w:p>
  </w:comment>
  <w:comment w:id="69" w:author="Anki Sjöström" w:initials="AKS">
    <w:p w14:paraId="6DAFA10B"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Men det är bara vid lånefinansiering som räntekostnader tillkommer</w:t>
      </w:r>
    </w:p>
  </w:comment>
  <w:comment w:id="72" w:author="Anki Sjöström" w:initials="AKS">
    <w:p w14:paraId="05C2066E"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Om en privat aktör tvingas ta risker som man inte kan hantera får den offentliga sektorn betala en högre ersättning till aktören.</w:t>
      </w:r>
    </w:p>
  </w:comment>
  <w:comment w:id="75" w:author="Ann-Kristin Sjöström" w:initials="AKS">
    <w:p w14:paraId="7F7D5EEF" w14:textId="77777777" w:rsidR="007C11E9" w:rsidRPr="000A3A07" w:rsidRDefault="007C11E9">
      <w:pPr>
        <w:pStyle w:val="Normaltindrag"/>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 xml:space="preserve"> </w:t>
      </w:r>
    </w:p>
  </w:comment>
  <w:comment w:id="80" w:author="Ann-Kristin Sjöström" w:initials="AKS">
    <w:p w14:paraId="07AFE0C7"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 xml:space="preserve"> Finansutskottet uppgav dock att medgivandet skulle ses som ett enstaka undantagsfall mot bakgrund av ”de behov som föreligger av spec</w:t>
      </w:r>
      <w:r w:rsidRPr="000A3A07">
        <w:rPr>
          <w:color w:val="FFFFFF"/>
        </w:rPr>
        <w:t>i</w:t>
      </w:r>
      <w:r w:rsidRPr="000A3A07">
        <w:rPr>
          <w:color w:val="FFFFFF"/>
        </w:rPr>
        <w:t>ella åtgärder för att skyndsamt kunna åstadkomma ökad sysselsättning och tillväxt”.</w:t>
      </w:r>
    </w:p>
  </w:comment>
  <w:comment w:id="81" w:author="Anki Sjöström" w:initials="AKS">
    <w:p w14:paraId="014EDFC7"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s 20</w:t>
      </w:r>
    </w:p>
  </w:comment>
  <w:comment w:id="82" w:author="Ann-Kristin Sjöström" w:initials="AKS">
    <w:p w14:paraId="49EB9296"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 xml:space="preserve"> Jag hittade sammanfattning ur 1996/97:TU01.</w:t>
      </w:r>
    </w:p>
  </w:comment>
  <w:comment w:id="83" w:author="Ann-Kristin Sjöström" w:initials="AKS">
    <w:p w14:paraId="6D634E4C"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 xml:space="preserve"> Regeringen ska pröva varje sådant objekt.</w:t>
      </w:r>
    </w:p>
  </w:comment>
  <w:comment w:id="86" w:author="Anki Sjöström" w:initials="AKS">
    <w:p w14:paraId="15BF9BB2" w14:textId="77777777" w:rsidR="007C11E9" w:rsidRPr="000A3A07" w:rsidRDefault="007C11E9">
      <w:pPr>
        <w:rPr>
          <w:rFonts w:ascii="Helv" w:hAnsi="Helv"/>
          <w:snapToGrid w:val="0"/>
          <w:color w:val="FFFFFF"/>
          <w:lang w:eastAsia="sv-SE"/>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 xml:space="preserve">enligt </w:t>
      </w:r>
      <w:r w:rsidRPr="000A3A07">
        <w:rPr>
          <w:rFonts w:ascii="Helv" w:hAnsi="Helv"/>
          <w:snapToGrid w:val="0"/>
          <w:color w:val="FFFFFF"/>
          <w:lang w:eastAsia="sv-SE"/>
        </w:rPr>
        <w:t>Allan Lek, Vägverkets projektledare för ombyggnaden av</w:t>
      </w:r>
    </w:p>
    <w:p w14:paraId="72C4A64C" w14:textId="77777777" w:rsidR="007C11E9" w:rsidRPr="000A3A07" w:rsidRDefault="007C11E9">
      <w:pPr>
        <w:pStyle w:val="Kommentarer"/>
        <w:rPr>
          <w:color w:val="FFFFFF"/>
        </w:rPr>
      </w:pPr>
      <w:r w:rsidRPr="000A3A07">
        <w:rPr>
          <w:rFonts w:ascii="Helv" w:hAnsi="Helv"/>
          <w:snapToGrid w:val="0"/>
          <w:color w:val="FFFFFF"/>
          <w:lang w:eastAsia="sv-SE"/>
        </w:rPr>
        <w:t>Tranebergsbron, som har både väg- och spårtrafik.</w:t>
      </w:r>
    </w:p>
  </w:comment>
  <w:comment w:id="93" w:author="Ann-Kristin Sjöström" w:initials="AKS">
    <w:p w14:paraId="7D2C9902" w14:textId="77777777" w:rsidR="007C11E9" w:rsidRPr="000A3A07" w:rsidRDefault="007C11E9">
      <w:pPr>
        <w:pStyle w:val="Normaltindrag"/>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A-Banans verksamhet finansieras genom arvoden från de båda ägarna, på vilkas uppdrag A-Banan utför sina uppgifter. Utöver denna ersättning erhåller A-Banan en särskild kontroll- och övervakningse</w:t>
      </w:r>
      <w:r w:rsidRPr="000A3A07">
        <w:rPr>
          <w:color w:val="FFFFFF"/>
        </w:rPr>
        <w:t>r</w:t>
      </w:r>
      <w:r w:rsidRPr="000A3A07">
        <w:rPr>
          <w:color w:val="FFFFFF"/>
        </w:rPr>
        <w:t xml:space="preserve">sättning om ca två miljoner kronor per år från A-Train AB.  </w:t>
      </w:r>
    </w:p>
  </w:comment>
  <w:comment w:id="96" w:author="Ann-Kristin Sjöström" w:initials="AKS">
    <w:p w14:paraId="32F6D50B"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 xml:space="preserve"> med avseende på kostnaden för finansiering och byggande av Botniabanan.</w:t>
      </w:r>
    </w:p>
  </w:comment>
  <w:comment w:id="101" w:author="Ann-Kristin Sjöström" w:initials="AKS">
    <w:p w14:paraId="4257CF74" w14:textId="77777777" w:rsidR="007C11E9" w:rsidRPr="000A3A07" w:rsidRDefault="007C11E9">
      <w:pPr>
        <w:pStyle w:val="Normaltindrag"/>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Öresundskonsortiet ändrade i januari 2000 sitt firmanamn till Öresundsbro Konsortiet med danskt Ö.</w:t>
      </w:r>
    </w:p>
  </w:comment>
  <w:comment w:id="102" w:author="Ann-Kristin Sjöström" w:initials="AKS">
    <w:p w14:paraId="3DBE616B"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 xml:space="preserve"> Det framgår uttryckligen av ett tilläggsprotokoll till avtalet mellan Sverige och Danmark att de båda staterna inte ska ta ut någon garantiavgift ”eller liknande” för de båda staternas garantiåtaganden för konsortiets lån och andra finansiella instrument som utnyttjas i samband med finansieringen (bet. 1997/98:TU6, s 9). Intressant med sådan särbehandling!</w:t>
      </w:r>
    </w:p>
  </w:comment>
  <w:comment w:id="103" w:author="Ann-Kristin Sjöström" w:initials="AKS">
    <w:p w14:paraId="4BAC1C43"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 xml:space="preserve"> Den senaste budgeten för kust-till-kustförbindelsen omfattar 20 230 miljoner kronor i 1997 års prisnivå. Jämfört med den budget som gjordes 1994 hade kostnaderna ökat med 15 % (prop. 1996/97:161 bil. 1).</w:t>
      </w:r>
    </w:p>
  </w:comment>
  <w:comment w:id="104" w:author="Ann-Kristin Sjöström" w:initials="AKS">
    <w:p w14:paraId="24C520BD" w14:textId="77777777" w:rsidR="007C11E9" w:rsidRPr="000A3A07" w:rsidRDefault="007C11E9">
      <w:pPr>
        <w:pStyle w:val="Normaltindrag"/>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Anläggningskostnaderna för landanslutningarna beräknades till 1 900 miljoner kronor i prisnivå juli 1990 (prop. 1990/91:158). Efter beslut av riksdagen bemyndigade regeringen Riksgäldskontoret att låna ut 1 900 mi</w:t>
      </w:r>
      <w:r w:rsidRPr="000A3A07">
        <w:rPr>
          <w:color w:val="FFFFFF"/>
        </w:rPr>
        <w:t>l</w:t>
      </w:r>
      <w:r w:rsidRPr="000A3A07">
        <w:rPr>
          <w:color w:val="FFFFFF"/>
        </w:rPr>
        <w:t>joner till SVEDAB. 1997 redovisade SVEDAB kostnadsökningar på ca 10 %. Riksdagen beslutade därför att Riksgäldskontorets rätt att låna ut pengar till SVEDAB för landanslutningarna höjs till 2 060 miljoner kronor i prisnivå juli 1990. Det motsvarar 2 600 miljoner kronor i</w:t>
      </w:r>
      <w:r w:rsidRPr="000A3A07">
        <w:rPr>
          <w:color w:val="FFFFFF"/>
        </w:rPr>
        <w:t xml:space="preserve"> prisnivå januari 1997. Hä</w:t>
      </w:r>
      <w:r w:rsidRPr="000A3A07">
        <w:rPr>
          <w:color w:val="FFFFFF"/>
        </w:rPr>
        <w:t>r</w:t>
      </w:r>
      <w:r w:rsidRPr="000A3A07">
        <w:rPr>
          <w:color w:val="FFFFFF"/>
        </w:rPr>
        <w:t>till kommer kostnader för mervärdesskatt och kapitalkostnader (prop. 1996/97:161, bet. 1997/98:TU6, rskr. 1997/98:?).</w:t>
      </w:r>
    </w:p>
  </w:comment>
  <w:comment w:id="105" w:author="Anki Sjöström" w:initials="AKS">
    <w:p w14:paraId="3985C9CD"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(prop. 1992/93:100, bet. 1994/95:TU2, rskr. 1994/95:50)</w:t>
      </w:r>
    </w:p>
  </w:comment>
  <w:comment w:id="106" w:author="Ann-Kristin Sjöström" w:initials="AKS">
    <w:p w14:paraId="5C9BA0D3" w14:textId="77777777" w:rsidR="007C11E9" w:rsidRPr="000A3A07" w:rsidRDefault="007C11E9">
      <w:pPr>
        <w:pStyle w:val="Kommentarer"/>
        <w:rPr>
          <w:color w:val="FFFFFF"/>
        </w:rPr>
      </w:pPr>
      <w:r w:rsidRPr="000A3A07">
        <w:rPr>
          <w:color w:val="FFFFFF"/>
        </w:rPr>
        <w:fldChar w:fldCharType="begin" w:fldLock="1"/>
      </w:r>
      <w:r w:rsidRPr="000A3A07">
        <w:rPr>
          <w:color w:val="FFFFFF"/>
        </w:rPr>
        <w:instrText>PAGE \# "'Sidan: '#'</w:instrText>
      </w:r>
      <w:r w:rsidRPr="000A3A07">
        <w:rPr>
          <w:color w:val="FFFFFF"/>
        </w:rPr>
        <w:br/>
        <w:instrText>'"</w:instrText>
      </w:r>
      <w:r w:rsidRPr="000A3A07">
        <w:rPr>
          <w:rStyle w:val="Kommentarsreferens"/>
          <w:color w:val="FFFFFF"/>
        </w:rPr>
        <w:instrText xml:space="preserve">  </w:instrText>
      </w:r>
      <w:r w:rsidRPr="000A3A07">
        <w:rPr>
          <w:color w:val="FFFFFF"/>
        </w:rPr>
        <w:fldChar w:fldCharType="end"/>
      </w:r>
      <w:r w:rsidRPr="000A3A07">
        <w:rPr>
          <w:rStyle w:val="Kommentarsreferens"/>
          <w:color w:val="FFFFFF"/>
        </w:rPr>
        <w:annotationRef/>
      </w:r>
      <w:r w:rsidRPr="000A3A07">
        <w:rPr>
          <w:color w:val="FFFFFF"/>
        </w:rPr>
        <w:t>, exklusive mervärdesskatt, räntekostnader under byggtiden och kapitalkostnader</w:t>
      </w:r>
    </w:p>
  </w:comment>
  <w:comment w:id="116" w:author="Ann-Kristin Sjöström" w:initials="AKS">
    <w:p w14:paraId="5975B94F" w14:textId="77777777" w:rsidR="007C11E9" w:rsidRPr="000A3A07" w:rsidRDefault="007C11E9">
      <w:pPr>
        <w:pStyle w:val="Kommentarer"/>
      </w:pPr>
      <w:r w:rsidRPr="000A3A07">
        <w:fldChar w:fldCharType="begin" w:fldLock="1"/>
      </w:r>
      <w:r w:rsidRPr="000A3A07">
        <w:instrText>PAGE \# "'Sidan: '#'</w:instrText>
      </w:r>
      <w:r w:rsidRPr="000A3A07">
        <w:br/>
        <w:instrText>'"</w:instrText>
      </w:r>
      <w:r w:rsidRPr="000A3A07">
        <w:rPr>
          <w:rStyle w:val="Kommentarsreferens"/>
        </w:rPr>
        <w:instrText xml:space="preserve">  </w:instrText>
      </w:r>
      <w:r w:rsidRPr="000A3A07">
        <w:fldChar w:fldCharType="end"/>
      </w:r>
      <w:r w:rsidRPr="000A3A07">
        <w:rPr>
          <w:rStyle w:val="Kommentarsreferens"/>
        </w:rPr>
        <w:annotationRef/>
      </w:r>
      <w:r w:rsidRPr="000A3A07">
        <w:t xml:space="preserve"> Regeringsbeslut 4 den 14 januari 1993.</w:t>
      </w:r>
    </w:p>
  </w:comment>
  <w:comment w:id="119" w:author="Ann-Kristin Sjöström" w:initials="AKS">
    <w:p w14:paraId="1452F2CE" w14:textId="77777777" w:rsidR="007C11E9" w:rsidRPr="000A3A07" w:rsidRDefault="007C11E9">
      <w:pPr>
        <w:pStyle w:val="Kommentarer"/>
      </w:pPr>
      <w:r w:rsidRPr="000A3A07">
        <w:fldChar w:fldCharType="begin" w:fldLock="1"/>
      </w:r>
      <w:r w:rsidRPr="000A3A07">
        <w:instrText>PAGE \# "'Sidan: '#'</w:instrText>
      </w:r>
      <w:r w:rsidRPr="000A3A07">
        <w:br/>
        <w:instrText>'"</w:instrText>
      </w:r>
      <w:r w:rsidRPr="000A3A07">
        <w:rPr>
          <w:rStyle w:val="Kommentarsreferens"/>
        </w:rPr>
        <w:instrText xml:space="preserve">  </w:instrText>
      </w:r>
      <w:r w:rsidRPr="000A3A07">
        <w:fldChar w:fldCharType="end"/>
      </w:r>
      <w:r w:rsidRPr="000A3A07">
        <w:rPr>
          <w:rStyle w:val="Kommentarsreferens"/>
        </w:rPr>
        <w:annotationRef/>
      </w:r>
      <w:r w:rsidRPr="000A3A07">
        <w:t>Citytunnelkonsortiet är byggherre för Citytunneln. Konsortiet avses avvec</w:t>
      </w:r>
      <w:r w:rsidRPr="000A3A07">
        <w:t>k</w:t>
      </w:r>
      <w:r w:rsidRPr="000A3A07">
        <w:t>las när Citytunneln är färdigbyggd.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0DA84D" w15:done="0"/>
  <w15:commentEx w15:paraId="75FE6152" w15:done="0"/>
  <w15:commentEx w15:paraId="01DDDAA6" w15:done="0"/>
  <w15:commentEx w15:paraId="3719BA04" w15:done="0"/>
  <w15:commentEx w15:paraId="71020FA2" w15:done="0"/>
  <w15:commentEx w15:paraId="771EA512" w15:done="0"/>
  <w15:commentEx w15:paraId="6DAFA10B" w15:done="0"/>
  <w15:commentEx w15:paraId="05C2066E" w15:done="0"/>
  <w15:commentEx w15:paraId="7F7D5EEF" w15:done="0"/>
  <w15:commentEx w15:paraId="07AFE0C7" w15:done="0"/>
  <w15:commentEx w15:paraId="014EDFC7" w15:done="0"/>
  <w15:commentEx w15:paraId="49EB9296" w15:done="0"/>
  <w15:commentEx w15:paraId="6D634E4C" w15:done="0"/>
  <w15:commentEx w15:paraId="72C4A64C" w15:done="0"/>
  <w15:commentEx w15:paraId="7D2C9902" w15:done="0"/>
  <w15:commentEx w15:paraId="32F6D50B" w15:done="0"/>
  <w15:commentEx w15:paraId="4257CF74" w15:done="0"/>
  <w15:commentEx w15:paraId="3DBE616B" w15:done="0"/>
  <w15:commentEx w15:paraId="4BAC1C43" w15:done="0"/>
  <w15:commentEx w15:paraId="24C520BD" w15:done="0"/>
  <w15:commentEx w15:paraId="3985C9CD" w15:done="0"/>
  <w15:commentEx w15:paraId="5C9BA0D3" w15:done="0"/>
  <w15:commentEx w15:paraId="5975B94F" w15:done="0"/>
  <w15:commentEx w15:paraId="1452F2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0DA84D" w16cid:durableId="3CC41119"/>
  <w16cid:commentId w16cid:paraId="75FE6152" w16cid:durableId="3CC51871"/>
  <w16cid:commentId w16cid:paraId="01DDDAA6" w16cid:durableId="740267B7"/>
  <w16cid:commentId w16cid:paraId="3719BA04" w16cid:durableId="3CBD78CB"/>
  <w16cid:commentId w16cid:paraId="71020FA2" w16cid:durableId="00157828"/>
  <w16cid:commentId w16cid:paraId="771EA512" w16cid:durableId="3CBD8996"/>
  <w16cid:commentId w16cid:paraId="6DAFA10B" w16cid:durableId="0A45C2F2"/>
  <w16cid:commentId w16cid:paraId="05C2066E" w16cid:durableId="3CC946FE"/>
  <w16cid:commentId w16cid:paraId="7F7D5EEF" w16cid:durableId="716055D2"/>
  <w16cid:commentId w16cid:paraId="07AFE0C7" w16cid:durableId="081C6E0A"/>
  <w16cid:commentId w16cid:paraId="014EDFC7" w16cid:durableId="3CBD8007"/>
  <w16cid:commentId w16cid:paraId="49EB9296" w16cid:durableId="3BE7D89A"/>
  <w16cid:commentId w16cid:paraId="6D634E4C" w16cid:durableId="3BE7D8FD"/>
  <w16cid:commentId w16cid:paraId="72C4A64C" w16cid:durableId="3CBD81DB"/>
  <w16cid:commentId w16cid:paraId="7D2C9902" w16cid:durableId="3BEE2C9B"/>
  <w16cid:commentId w16cid:paraId="32F6D50B" w16cid:durableId="3BFA047D"/>
  <w16cid:commentId w16cid:paraId="4257CF74" w16cid:durableId="4000540F"/>
  <w16cid:commentId w16cid:paraId="3DBE616B" w16cid:durableId="3BED2325"/>
  <w16cid:commentId w16cid:paraId="4BAC1C43" w16cid:durableId="3BF8E582"/>
  <w16cid:commentId w16cid:paraId="24C520BD" w16cid:durableId="3BED26EF"/>
  <w16cid:commentId w16cid:paraId="3985C9CD" w16cid:durableId="3CCCFC72"/>
  <w16cid:commentId w16cid:paraId="5C9BA0D3" w16cid:durableId="3C948692"/>
  <w16cid:commentId w16cid:paraId="5975B94F" w16cid:durableId="3C721EB7"/>
  <w16cid:commentId w16cid:paraId="1452F2CE" w16cid:durableId="3C9491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8196" w14:textId="77777777" w:rsidR="007C11E9" w:rsidRPr="000A3A07" w:rsidRDefault="007C11E9">
      <w:pPr>
        <w:spacing w:before="0" w:line="240" w:lineRule="auto"/>
      </w:pPr>
      <w:r w:rsidRPr="000A3A07">
        <w:separator/>
      </w:r>
    </w:p>
  </w:endnote>
  <w:endnote w:type="continuationSeparator" w:id="0">
    <w:p w14:paraId="7B42491D" w14:textId="77777777" w:rsidR="007C11E9" w:rsidRPr="000A3A07" w:rsidRDefault="007C11E9">
      <w:pPr>
        <w:spacing w:before="0" w:line="240" w:lineRule="auto"/>
      </w:pPr>
      <w:r w:rsidRPr="000A3A07">
        <w:continuationSeparator/>
      </w:r>
    </w:p>
  </w:endnote>
  <w:endnote w:id="1">
    <w:p w14:paraId="64E8CD33" w14:textId="77777777" w:rsidR="007C11E9" w:rsidRPr="000A3A07" w:rsidRDefault="007C11E9">
      <w:pPr>
        <w:pStyle w:val="RubrikUtanNr"/>
      </w:pPr>
      <w:r w:rsidRPr="000A3A07">
        <w:t>Noter</w:t>
      </w:r>
    </w:p>
    <w:p w14:paraId="52150EBE" w14:textId="77777777" w:rsidR="007C11E9" w:rsidRPr="000A3A07" w:rsidRDefault="007C11E9">
      <w:r w:rsidRPr="000A3A07">
        <w:rPr>
          <w:rStyle w:val="Slutnotsreferens"/>
          <w:sz w:val="22"/>
        </w:rPr>
        <w:endnoteRef/>
      </w:r>
      <w:r w:rsidRPr="000A3A07">
        <w:t xml:space="preserve"> Notera dock att tidsangivelserna är ungefärliga. För sträckan Stockholm–Malmö är restiden med X 2000 i dagsläget 4–4½ timmar beroende på tidpunkt för avgången. För sträckan Stockholm–Umeå förekommer både uppgiften 5½ timme och 5 timmar och 15 minuter.</w:t>
      </w:r>
    </w:p>
    <w:p w14:paraId="0CE37A79" w14:textId="77777777" w:rsidR="007C11E9" w:rsidRPr="000A3A07" w:rsidRDefault="007C11E9"/>
  </w:endnote>
  <w:endnote w:id="2">
    <w:p w14:paraId="0DDE3992" w14:textId="77777777" w:rsidR="007C11E9" w:rsidRPr="000A3A07" w:rsidRDefault="007C11E9">
      <w:r w:rsidRPr="000A3A07">
        <w:rPr>
          <w:rStyle w:val="Slutnotsreferens"/>
          <w:sz w:val="22"/>
        </w:rPr>
        <w:endnoteRef/>
      </w:r>
      <w:r w:rsidRPr="000A3A07">
        <w:t xml:space="preserve"> Förutsättningen är också en upprustad Ådalsbana.</w:t>
      </w:r>
    </w:p>
    <w:p w14:paraId="21533FB4" w14:textId="77777777" w:rsidR="007C11E9" w:rsidRPr="000A3A07" w:rsidRDefault="007C11E9"/>
  </w:endnote>
  <w:endnote w:id="3">
    <w:p w14:paraId="11BF8F92" w14:textId="77777777" w:rsidR="007C11E9" w:rsidRPr="000A3A07" w:rsidRDefault="007C11E9">
      <w:r w:rsidRPr="000A3A07">
        <w:rPr>
          <w:rStyle w:val="Slutnotsreferens"/>
          <w:sz w:val="22"/>
        </w:rPr>
        <w:endnoteRef/>
      </w:r>
      <w:r w:rsidRPr="000A3A07">
        <w:t xml:space="preserve"> Baserat på de volymer som gällde 1993. Se SOU 1996:95, tabell 3.4.</w:t>
      </w:r>
    </w:p>
    <w:p w14:paraId="7CF389D6" w14:textId="77777777" w:rsidR="007C11E9" w:rsidRPr="000A3A07" w:rsidRDefault="007C11E9"/>
  </w:endnote>
  <w:endnote w:id="4">
    <w:p w14:paraId="25FBC09E" w14:textId="77777777" w:rsidR="007C11E9" w:rsidRPr="000A3A07" w:rsidRDefault="007C11E9">
      <w:r w:rsidRPr="000A3A07">
        <w:rPr>
          <w:rStyle w:val="Slutnotsreferens"/>
          <w:sz w:val="22"/>
        </w:rPr>
        <w:endnoteRef/>
      </w:r>
      <w:r w:rsidRPr="000A3A07">
        <w:t xml:space="preserve"> Upprustningen beräknas kosta 3 miljarder kr, vilket motsvarar 30 procent av den investeringskostnad på 10 miljarder som utgör basen för den årliga investeringskostnaden (annuiteten) i tabell 2.</w:t>
      </w:r>
    </w:p>
    <w:p w14:paraId="46193A33" w14:textId="77777777" w:rsidR="007C11E9" w:rsidRPr="000A3A07" w:rsidRDefault="007C11E9"/>
  </w:endnote>
  <w:endnote w:id="5">
    <w:p w14:paraId="50DA9756" w14:textId="77777777" w:rsidR="007C11E9" w:rsidRPr="000A3A07" w:rsidRDefault="007C11E9">
      <w:r w:rsidRPr="000A3A07">
        <w:rPr>
          <w:rStyle w:val="Slutnotsreferens"/>
          <w:sz w:val="22"/>
        </w:rPr>
        <w:endnoteRef/>
      </w:r>
      <w:r w:rsidRPr="000A3A07">
        <w:t xml:space="preserve"> Se t ex SIKA Rapport 1996:1, bilaga 1, sidan 10. Så vitt jag förstår används fortfarande samma värden. Dessa tidsvärden är långt ifrån oomstridda. För en kritisk utvärdering hänvisas läsaren t ex till Laitila och Westin (1997).</w:t>
      </w:r>
    </w:p>
    <w:p w14:paraId="6CEC8BCA" w14:textId="77777777" w:rsidR="007C11E9" w:rsidRPr="000A3A07" w:rsidRDefault="007C11E9"/>
  </w:endnote>
  <w:endnote w:id="6">
    <w:p w14:paraId="49BBC483" w14:textId="77777777" w:rsidR="007C11E9" w:rsidRPr="000A3A07" w:rsidRDefault="007C11E9">
      <w:r w:rsidRPr="000A3A07">
        <w:rPr>
          <w:rStyle w:val="Slutnotsreferens"/>
          <w:sz w:val="22"/>
        </w:rPr>
        <w:endnoteRef/>
      </w:r>
      <w:r w:rsidRPr="000A3A07">
        <w:t xml:space="preserve"> Utredningen antar att efterfrågan växer med 1.2 procent per år under 10 år för att därefter växa med 0.5 procent årligen. Diskonteringsräntan är 4 pr</w:t>
      </w:r>
      <w:r w:rsidRPr="000A3A07">
        <w:t>o</w:t>
      </w:r>
      <w:r w:rsidRPr="000A3A07">
        <w:t xml:space="preserve">cent. Nuvärdet av biljettintäkterna </w:t>
      </w:r>
      <w:r w:rsidRPr="000A3A07">
        <w:rPr>
          <w:i/>
        </w:rPr>
        <w:t>brutto</w:t>
      </w:r>
      <w:r w:rsidRPr="000A3A07">
        <w:t xml:space="preserve"> blir då (om man bortser från det faktum att intäkterna är något lägre under de första 6 åren p.g.a. att antalet resenärer når nivån 450 000 först år efter ca 6 år): </w:t>
      </w:r>
    </w:p>
    <w:p w14:paraId="436EA071" w14:textId="77777777" w:rsidR="007C11E9" w:rsidRPr="000A3A07" w:rsidRDefault="007C11E9">
      <w:pPr>
        <w:pStyle w:val="Normaltindrag"/>
        <w:spacing w:line="240" w:lineRule="atLeast"/>
      </w:pPr>
      <w:r w:rsidRPr="000A3A07">
        <w:rPr>
          <w:position w:val="-70"/>
          <w:sz w:val="22"/>
        </w:rPr>
        <w:object w:dxaOrig="3900" w:dyaOrig="1520" w14:anchorId="2845516F">
          <v:shape id="_x0000_i1036" type="#_x0000_t75" style="width:195pt;height:75.85pt" fillcolor="window">
            <v:imagedata r:id="rId1" o:title=""/>
          </v:shape>
          <o:OLEObject Type="Embed" ProgID="Equation.3" ShapeID="_x0000_i1036" DrawAspect="Content" ObjectID="_1827352984" r:id="rId2"/>
        </w:object>
      </w:r>
    </w:p>
    <w:p w14:paraId="060DFA80" w14:textId="77777777" w:rsidR="007C11E9" w:rsidRPr="000A3A07" w:rsidRDefault="007C11E9">
      <w:r w:rsidRPr="000A3A07">
        <w:t xml:space="preserve">där </w:t>
      </w:r>
      <w:r w:rsidRPr="000A3A07">
        <w:rPr>
          <w:i/>
        </w:rPr>
        <w:t>x</w:t>
      </w:r>
      <w:r w:rsidRPr="000A3A07">
        <w:t xml:space="preserve"> är den sökta genomsnittliga biljettkostnaden. Annuiteten </w:t>
      </w:r>
      <w:r w:rsidRPr="000A3A07">
        <w:rPr>
          <w:i/>
        </w:rPr>
        <w:t>A</w:t>
      </w:r>
      <w:r w:rsidRPr="000A3A07">
        <w:t xml:space="preserve"> definieras som:</w:t>
      </w:r>
    </w:p>
    <w:p w14:paraId="614FC61B" w14:textId="77777777" w:rsidR="007C11E9" w:rsidRPr="000A3A07" w:rsidRDefault="007C11E9">
      <w:pPr>
        <w:pStyle w:val="Normaltindrag"/>
        <w:spacing w:line="240" w:lineRule="auto"/>
      </w:pPr>
      <w:r w:rsidRPr="000A3A07">
        <w:rPr>
          <w:position w:val="-32"/>
          <w:sz w:val="22"/>
        </w:rPr>
        <w:object w:dxaOrig="1860" w:dyaOrig="760" w14:anchorId="0651DA7B">
          <v:shape id="_x0000_i1037" type="#_x0000_t75" style="width:93pt;height:38.15pt" fillcolor="window">
            <v:imagedata r:id="rId3" o:title=""/>
          </v:shape>
          <o:OLEObject Type="Embed" ProgID="Equation.3" ShapeID="_x0000_i1037" DrawAspect="Content" ObjectID="_1827352985" r:id="rId4"/>
        </w:object>
      </w:r>
    </w:p>
    <w:p w14:paraId="4C6FF032" w14:textId="77777777" w:rsidR="007C11E9" w:rsidRPr="000A3A07" w:rsidRDefault="007C11E9">
      <w:r w:rsidRPr="000A3A07">
        <w:t xml:space="preserve">Således skall </w:t>
      </w:r>
      <w:r w:rsidRPr="000A3A07">
        <w:rPr>
          <w:i/>
        </w:rPr>
        <w:t>x</w:t>
      </w:r>
      <w:r w:rsidRPr="000A3A07">
        <w:t xml:space="preserve"> väljas så att </w:t>
      </w:r>
      <w:r w:rsidRPr="000A3A07">
        <w:rPr>
          <w:i/>
        </w:rPr>
        <w:t>A</w:t>
      </w:r>
      <w:r w:rsidRPr="000A3A07">
        <w:t xml:space="preserve"> blir 415 miljoner, dvs lika med bruttointäkterna för långväga resor. (Botniabanan beräknas ge ca 425 miljoner i biljettintä</w:t>
      </w:r>
      <w:r w:rsidRPr="000A3A07">
        <w:t>k</w:t>
      </w:r>
      <w:r w:rsidRPr="000A3A07">
        <w:t>ter, varav ca 10 miljoner för regionala resor. Nettointäkterna för långväga resor beräknas till ca 345 miljoner kr eftersom ca 70 miljoner av bruttoi</w:t>
      </w:r>
      <w:r w:rsidRPr="000A3A07">
        <w:t>n</w:t>
      </w:r>
      <w:r w:rsidRPr="000A3A07">
        <w:t xml:space="preserve">täkterna kommer från tidigare resande med nattåg enligt SIKA Rapport 1996:1, sidan 31.) Det innebär att </w:t>
      </w:r>
      <w:r w:rsidRPr="000A3A07">
        <w:rPr>
          <w:i/>
        </w:rPr>
        <w:t>x</w:t>
      </w:r>
      <w:r w:rsidRPr="000A3A07">
        <w:t xml:space="preserve"> = 790 kr, dvs lägre än vad som erhålls om man delar bruttointäkterna (415 miljoner kr) enligt utredningen med anta</w:t>
      </w:r>
      <w:r w:rsidRPr="000A3A07">
        <w:t xml:space="preserve">let resenärer år 2010. (Utredningen tycks diskontera intäkterna från år 2004, då banan beräknas tas i drift, till år 1997. Då ökar </w:t>
      </w:r>
      <w:r w:rsidRPr="000A3A07">
        <w:rPr>
          <w:i/>
        </w:rPr>
        <w:t>x</w:t>
      </w:r>
      <w:r w:rsidRPr="000A3A07">
        <w:t xml:space="preserve"> till ca 1000 kr om </w:t>
      </w:r>
      <w:r w:rsidRPr="000A3A07">
        <w:rPr>
          <w:i/>
        </w:rPr>
        <w:t>A</w:t>
      </w:r>
      <w:r w:rsidRPr="000A3A07">
        <w:t xml:space="preserve"> = 415 som tidigare. SIKA har inte lyckats lämna någon uppgift som gör det möjligt att avgöra hur mycket en tjänsteresenär beräknas betala. Enligt SIKA (Widlert, 2000) tycks dock privatresenären med Botniatåget på sträc</w:t>
      </w:r>
      <w:r w:rsidRPr="000A3A07">
        <w:t>k</w:t>
      </w:r>
      <w:r w:rsidRPr="000A3A07">
        <w:t xml:space="preserve">an Stockholm–Umeå betala 656 kr. Sätts </w:t>
      </w:r>
      <w:r w:rsidRPr="000A3A07">
        <w:rPr>
          <w:i/>
        </w:rPr>
        <w:t>x</w:t>
      </w:r>
      <w:r w:rsidRPr="000A3A07">
        <w:t xml:space="preserve"> = 656 i formeln ovan blir annu</w:t>
      </w:r>
      <w:r w:rsidRPr="000A3A07">
        <w:t>i</w:t>
      </w:r>
      <w:r w:rsidRPr="000A3A07">
        <w:t xml:space="preserve">teten </w:t>
      </w:r>
      <w:r w:rsidRPr="000A3A07">
        <w:rPr>
          <w:i/>
        </w:rPr>
        <w:t>A</w:t>
      </w:r>
      <w:r w:rsidRPr="000A3A07">
        <w:t xml:space="preserve"> i storleksordningen 345 miljoner kr, dvs nettointäkterna fö</w:t>
      </w:r>
      <w:r w:rsidRPr="000A3A07">
        <w:t>r perso</w:t>
      </w:r>
      <w:r w:rsidRPr="000A3A07">
        <w:t>n</w:t>
      </w:r>
      <w:r w:rsidRPr="000A3A07">
        <w:t>trafiken blir då endast 345 –70 = 275 miljoner kr.)</w:t>
      </w:r>
    </w:p>
    <w:p w14:paraId="7D5E87B3" w14:textId="77777777" w:rsidR="007C11E9" w:rsidRPr="000A3A07" w:rsidRDefault="007C11E9"/>
    <w:p w14:paraId="2E88E08E" w14:textId="77777777" w:rsidR="007C11E9" w:rsidRPr="000A3A07" w:rsidRDefault="007C11E9">
      <w:r w:rsidRPr="000A3A07">
        <w:t xml:space="preserve">Beräknas konsumentöverskotten på samma sätt som </w:t>
      </w:r>
      <w:r w:rsidRPr="000A3A07">
        <w:rPr>
          <w:i/>
        </w:rPr>
        <w:t>x</w:t>
      </w:r>
      <w:r w:rsidRPr="000A3A07">
        <w:t xml:space="preserve"> ovan blir de i geno</w:t>
      </w:r>
      <w:r w:rsidRPr="000A3A07">
        <w:t>m</w:t>
      </w:r>
      <w:r w:rsidRPr="000A3A07">
        <w:t>snitt 475 kr för nattågsresenärer och bytande från natt- till dagtåg (</w:t>
      </w:r>
      <w:r w:rsidRPr="000A3A07">
        <w:rPr>
          <w:i/>
        </w:rPr>
        <w:t>A</w:t>
      </w:r>
      <w:r w:rsidRPr="000A3A07">
        <w:t xml:space="preserve"> sätts till 154 och antalet resor är 280 000) och 335 kr för övriga resenärer (</w:t>
      </w:r>
      <w:r w:rsidRPr="000A3A07">
        <w:rPr>
          <w:i/>
        </w:rPr>
        <w:t>A</w:t>
      </w:r>
      <w:r w:rsidRPr="000A3A07">
        <w:t xml:space="preserve"> är 125 och antalet resor är 320 000). Som andel av det genomsnittliga biljettpriset (</w:t>
      </w:r>
      <w:r w:rsidRPr="000A3A07">
        <w:rPr>
          <w:i/>
        </w:rPr>
        <w:t>x</w:t>
      </w:r>
      <w:r w:rsidRPr="000A3A07">
        <w:t>) är de omkring 60 procent respektive 42 procent. Det är så långt jag har lyckats rekonstruera kalkylen, och det är för mig okänt om utredningen rä</w:t>
      </w:r>
      <w:r w:rsidRPr="000A3A07">
        <w:t>k</w:t>
      </w:r>
      <w:r w:rsidRPr="000A3A07">
        <w:t xml:space="preserve">nat på det sätt som jag gjort här. Därför väljer jag att i huvudsak basera mitt resonemang på de priser </w:t>
      </w:r>
      <w:r w:rsidRPr="000A3A07">
        <w:t>som gäller för närvarande, dvs våren 2000.</w:t>
      </w:r>
    </w:p>
    <w:p w14:paraId="541B6B3F" w14:textId="77777777" w:rsidR="007C11E9" w:rsidRPr="000A3A07" w:rsidRDefault="007C11E9"/>
    <w:p w14:paraId="3AEE2A8D" w14:textId="77777777" w:rsidR="007C11E9" w:rsidRPr="000A3A07" w:rsidRDefault="007C11E9">
      <w:r w:rsidRPr="000A3A07">
        <w:t>Utifrån SIKA Rapport 1996:1, bilaga 1, sidan 19, kan man skatta kons</w:t>
      </w:r>
      <w:r w:rsidRPr="000A3A07">
        <w:t>u</w:t>
      </w:r>
      <w:r w:rsidRPr="000A3A07">
        <w:t>mentöverskottet till 55 procent av biljettpriset för privatresenärer som tar nattåg eller byter till dagtåg. För motsvarande grupp av tjänsteresenärer är det ca 70 procent. Snittet blir ca 60 procent. För nya privatresenärer är det 43 procent och för nya tjänsteresenärer 41 procent, dvs ca 42 procent i geno</w:t>
      </w:r>
      <w:r w:rsidRPr="000A3A07">
        <w:t>m</w:t>
      </w:r>
      <w:r w:rsidRPr="000A3A07">
        <w:t>snitt. Genomsnitten blir således desamma som ovan. Jag har därvid förutsatt att bruttointäkterna är 415 miljoner och att överflyttade intäkter för nattåg</w:t>
      </w:r>
      <w:r w:rsidRPr="000A3A07">
        <w:t>s</w:t>
      </w:r>
      <w:r w:rsidRPr="000A3A07">
        <w:t>resor till 2/3 avser privatresenärer samt räknat</w:t>
      </w:r>
      <w:r w:rsidRPr="000A3A07">
        <w:t xml:space="preserve"> upp konsumentöverskotten i SIKA:s tabell med en faktor 1.1 så att summan blir 300 miljoner kr. (För t ex nya privatresenärer erhålls 1.1</w:t>
      </w:r>
      <w:r w:rsidRPr="000A3A07">
        <w:sym w:font="Symbol" w:char="F0B7"/>
      </w:r>
      <w:r w:rsidRPr="000A3A07">
        <w:t>(78/</w:t>
      </w:r>
      <w:r w:rsidRPr="000A3A07">
        <w:rPr>
          <w:i/>
        </w:rPr>
        <w:t>a</w:t>
      </w:r>
      <w:r w:rsidRPr="000A3A07">
        <w:sym w:font="Symbol" w:char="F0B7"/>
      </w:r>
      <w:r w:rsidRPr="000A3A07">
        <w:t>0.32)/((232+47)/</w:t>
      </w:r>
      <w:r w:rsidRPr="000A3A07">
        <w:rPr>
          <w:i/>
        </w:rPr>
        <w:t>a</w:t>
      </w:r>
      <w:r w:rsidRPr="000A3A07">
        <w:sym w:font="Symbol" w:char="F0B7"/>
      </w:r>
      <w:r w:rsidRPr="000A3A07">
        <w:t xml:space="preserve">0.45) = 0.43, där 78 avser konsumentöverskottet för gruppen i miljoner kr, 0.32 är antalet nya resenärer i miljoner, </w:t>
      </w:r>
      <w:r w:rsidRPr="000A3A07">
        <w:rPr>
          <w:i/>
        </w:rPr>
        <w:t>a</w:t>
      </w:r>
      <w:r w:rsidRPr="000A3A07">
        <w:t xml:space="preserve"> är andelen privatresenärer, 232 miljoner kr är bilje</w:t>
      </w:r>
      <w:r w:rsidRPr="000A3A07">
        <w:t>t</w:t>
      </w:r>
      <w:r w:rsidRPr="000A3A07">
        <w:t>tintäkter netto för alla privatresenärer, 47 avser intäkter i miljoner kr (2/3 av 70 miljoner kr) för privatresenärer som bytt från nattåg till dagtåg och 0.45 avser antalet reso</w:t>
      </w:r>
      <w:r w:rsidRPr="000A3A07">
        <w:t>r på Botniabanan i miljoner.)</w:t>
      </w:r>
    </w:p>
    <w:p w14:paraId="5DE334D1" w14:textId="77777777" w:rsidR="007C11E9" w:rsidRPr="000A3A07" w:rsidRDefault="007C11E9">
      <w:pPr>
        <w:pStyle w:val="Normaltindrag"/>
      </w:pPr>
    </w:p>
  </w:endnote>
  <w:endnote w:id="7">
    <w:p w14:paraId="706E2EB5" w14:textId="77777777" w:rsidR="007C11E9" w:rsidRPr="000A3A07" w:rsidRDefault="007C11E9">
      <w:r w:rsidRPr="000A3A07">
        <w:rPr>
          <w:rStyle w:val="Slutnotsreferens"/>
          <w:sz w:val="22"/>
        </w:rPr>
        <w:endnoteRef/>
      </w:r>
      <w:r w:rsidRPr="000A3A07">
        <w:t xml:space="preserve"> SAS hemsida (2000-04-04). Priset, som avser vuxen resenär, varierar över veckan samt förutsätter att resan varar över natt mot söndag.</w:t>
      </w:r>
    </w:p>
    <w:p w14:paraId="4E02CE76" w14:textId="77777777" w:rsidR="007C11E9" w:rsidRPr="000A3A07" w:rsidRDefault="007C11E9"/>
  </w:endnote>
  <w:endnote w:id="8">
    <w:p w14:paraId="5CB776AF" w14:textId="77777777" w:rsidR="007C11E9" w:rsidRPr="000A3A07" w:rsidRDefault="007C11E9">
      <w:r w:rsidRPr="000A3A07">
        <w:rPr>
          <w:rStyle w:val="Slutnotsreferens"/>
          <w:sz w:val="22"/>
        </w:rPr>
        <w:endnoteRef/>
      </w:r>
      <w:r w:rsidRPr="000A3A07">
        <w:t xml:space="preserve"> Tågkompaniets hemsida (2000-04-04). En liggplats kostar 900 kr.</w:t>
      </w:r>
    </w:p>
    <w:p w14:paraId="0550EE0C" w14:textId="77777777" w:rsidR="007C11E9" w:rsidRPr="000A3A07" w:rsidRDefault="007C11E9"/>
  </w:endnote>
  <w:endnote w:id="9">
    <w:p w14:paraId="0CC8E701" w14:textId="77777777" w:rsidR="007C11E9" w:rsidRPr="000A3A07" w:rsidRDefault="007C11E9">
      <w:r w:rsidRPr="000A3A07">
        <w:rPr>
          <w:rStyle w:val="Slutnotsreferens"/>
          <w:sz w:val="22"/>
        </w:rPr>
        <w:endnoteRef/>
      </w:r>
      <w:r w:rsidRPr="000A3A07">
        <w:t xml:space="preserve"> SJ:s hemsida (20-04-25).</w:t>
      </w:r>
    </w:p>
    <w:p w14:paraId="1252BE06" w14:textId="77777777" w:rsidR="007C11E9" w:rsidRPr="000A3A07" w:rsidRDefault="007C11E9"/>
  </w:endnote>
  <w:endnote w:id="10">
    <w:p w14:paraId="0B50A98D" w14:textId="77777777" w:rsidR="007C11E9" w:rsidRPr="000A3A07" w:rsidRDefault="007C11E9">
      <w:r w:rsidRPr="000A3A07">
        <w:rPr>
          <w:rStyle w:val="Slutnotsreferens"/>
          <w:sz w:val="22"/>
        </w:rPr>
        <w:endnoteRef/>
      </w:r>
      <w:r w:rsidRPr="000A3A07">
        <w:t xml:space="preserve"> SJ:s hemsida (2000-04-04).</w:t>
      </w:r>
    </w:p>
    <w:p w14:paraId="308530A2" w14:textId="77777777" w:rsidR="007C11E9" w:rsidRPr="000A3A07" w:rsidRDefault="007C11E9"/>
  </w:endnote>
  <w:endnote w:id="11">
    <w:p w14:paraId="00A7895A" w14:textId="77777777" w:rsidR="007C11E9" w:rsidRPr="000A3A07" w:rsidRDefault="007C11E9">
      <w:r w:rsidRPr="000A3A07">
        <w:rPr>
          <w:rStyle w:val="Slutnotsreferens"/>
          <w:sz w:val="22"/>
        </w:rPr>
        <w:endnoteRef/>
      </w:r>
      <w:r w:rsidRPr="000A3A07">
        <w:t xml:space="preserve"> Widlert (2000) redovisar de prisantaganden för en privatresenär på sträc</w:t>
      </w:r>
      <w:r w:rsidRPr="000A3A07">
        <w:t>k</w:t>
      </w:r>
      <w:r w:rsidRPr="000A3A07">
        <w:t>an Stockholm–Umeå som SIKA använder. Så vitt jag förstår avser priserna 1997 års nivå. De är (inom parentes anges de priser jag använder och som avser dagsläget): nattåg 726 kr (800), dagtåg, Botniabanan, 656 kr (750), flyg 1300 kr (1400), bil 552 kr (750), buss 500 kr (600 kr) och kombination buss/tåg 600 kr (855). Priserna inom parentes är, med undantag för Botni</w:t>
      </w:r>
      <w:r w:rsidRPr="000A3A07">
        <w:t>a</w:t>
      </w:r>
      <w:r w:rsidRPr="000A3A07">
        <w:t>alternativet, hämtade från olika företags prislistor. Läsaren hänvisas</w:t>
      </w:r>
      <w:r w:rsidRPr="000A3A07">
        <w:t xml:space="preserve"> till a</w:t>
      </w:r>
      <w:r w:rsidRPr="000A3A07">
        <w:t>v</w:t>
      </w:r>
      <w:r w:rsidRPr="000A3A07">
        <w:t xml:space="preserve">snitt 4 för referenser. </w:t>
      </w:r>
    </w:p>
    <w:p w14:paraId="364CF4A6" w14:textId="77777777" w:rsidR="007C11E9" w:rsidRPr="000A3A07" w:rsidRDefault="007C11E9"/>
  </w:endnote>
  <w:endnote w:id="12">
    <w:p w14:paraId="41524B90" w14:textId="77777777" w:rsidR="007C11E9" w:rsidRPr="000A3A07" w:rsidRDefault="007C11E9">
      <w:r w:rsidRPr="000A3A07">
        <w:rPr>
          <w:rStyle w:val="Slutnotsreferens"/>
          <w:sz w:val="22"/>
        </w:rPr>
        <w:endnoteRef/>
      </w:r>
      <w:r w:rsidRPr="000A3A07">
        <w:t xml:space="preserve"> För existerande tågresenärer föreligger dock en viss skillnad, som framgår av fotnot 6. </w:t>
      </w:r>
    </w:p>
  </w:endnote>
  <w:endnote w:id="13">
    <w:p w14:paraId="0D29AEA7" w14:textId="77777777" w:rsidR="007C11E9" w:rsidRPr="000A3A07" w:rsidRDefault="007C11E9"/>
    <w:p w14:paraId="131E0042" w14:textId="77777777" w:rsidR="007C11E9" w:rsidRPr="000A3A07" w:rsidRDefault="007C11E9">
      <w:r w:rsidRPr="000A3A07">
        <w:rPr>
          <w:rStyle w:val="Slutnotsreferens"/>
          <w:sz w:val="22"/>
        </w:rPr>
        <w:endnoteRef/>
      </w:r>
      <w:r w:rsidRPr="000A3A07">
        <w:t xml:space="preserve"> Banverket räknar med att restiden med nattåg Stockholm–Boden förkortas med 1½ timme. Banverket (1991, sidan 20).</w:t>
      </w:r>
    </w:p>
    <w:p w14:paraId="00FC9150" w14:textId="77777777" w:rsidR="007C11E9" w:rsidRPr="000A3A07" w:rsidRDefault="007C11E9"/>
  </w:endnote>
  <w:endnote w:id="14">
    <w:p w14:paraId="745F596A" w14:textId="77777777" w:rsidR="007C11E9" w:rsidRPr="000A3A07" w:rsidRDefault="007C11E9">
      <w:r w:rsidRPr="000A3A07">
        <w:rPr>
          <w:rStyle w:val="Slutnotsreferens"/>
          <w:sz w:val="22"/>
        </w:rPr>
        <w:endnoteRef/>
      </w:r>
      <w:r w:rsidRPr="000A3A07">
        <w:t xml:space="preserve"> Som jämförelse kan nämnas att en sovplats på nattåget Stockholm–Umeå kostar 900-1100 kr enligt Tågkompaniets hemsida (2000-04-04). Även dyr</w:t>
      </w:r>
      <w:r w:rsidRPr="000A3A07">
        <w:t>a</w:t>
      </w:r>
      <w:r w:rsidRPr="000A3A07">
        <w:t>re alternativ finns att tillgå.</w:t>
      </w:r>
    </w:p>
  </w:endnote>
  <w:endnote w:id="15">
    <w:p w14:paraId="08F62FEC" w14:textId="77777777" w:rsidR="007C11E9" w:rsidRPr="000A3A07" w:rsidRDefault="007C11E9"/>
    <w:p w14:paraId="67992BDA" w14:textId="77777777" w:rsidR="007C11E9" w:rsidRPr="000A3A07" w:rsidRDefault="007C11E9">
      <w:r w:rsidRPr="000A3A07">
        <w:rPr>
          <w:rStyle w:val="Slutnotsreferens"/>
          <w:sz w:val="22"/>
        </w:rPr>
        <w:endnoteRef/>
      </w:r>
      <w:r w:rsidRPr="000A3A07">
        <w:t xml:space="preserve"> SAS hemsida (2000-04-04). Priserna förutsätter att resan varar över natt mellan lördag och söndag. På sträckan Stockholm–Malmö, som tar 4-4½ timmar med X 2000, är lägsta pris för ungdomar 470 kr enligt SJ:s hemsida (2000-04-04). Den billigaste bokningsbara biljetten för ungdomar kostar 700 kr enligt SAS hemsida (2000-04-04), dock går det att få en stand-by biljett för 400 kr. Det indikerar att prisskillnaden flyg/tåg är mindre för studerande än för övriga vuxenresenärer.</w:t>
      </w:r>
    </w:p>
  </w:endnote>
  <w:endnote w:id="16">
    <w:p w14:paraId="7A343018" w14:textId="77777777" w:rsidR="007C11E9" w:rsidRPr="000A3A07" w:rsidRDefault="007C11E9"/>
    <w:p w14:paraId="3F260A1F" w14:textId="77777777" w:rsidR="007C11E9" w:rsidRPr="000A3A07" w:rsidRDefault="007C11E9">
      <w:r w:rsidRPr="000A3A07">
        <w:rPr>
          <w:rStyle w:val="Slutnotsreferens"/>
          <w:sz w:val="22"/>
        </w:rPr>
        <w:endnoteRef/>
      </w:r>
      <w:r w:rsidRPr="000A3A07">
        <w:t xml:space="preserve"> Det kan även finnas resenärer som, t ex p.g.a. obehag inför en flygresa eller miljööverväganden, är villiga att betala mer för tågresan än för flygr</w:t>
      </w:r>
      <w:r w:rsidRPr="000A3A07">
        <w:t>e</w:t>
      </w:r>
      <w:r w:rsidRPr="000A3A07">
        <w:t>san.</w:t>
      </w:r>
    </w:p>
    <w:p w14:paraId="315F156A" w14:textId="77777777" w:rsidR="007C11E9" w:rsidRPr="000A3A07" w:rsidRDefault="007C11E9"/>
  </w:endnote>
  <w:endnote w:id="17">
    <w:p w14:paraId="27C5484B" w14:textId="77777777" w:rsidR="007C11E9" w:rsidRPr="000A3A07" w:rsidRDefault="007C11E9">
      <w:r w:rsidRPr="000A3A07">
        <w:rPr>
          <w:rStyle w:val="Slutnotsreferens"/>
          <w:sz w:val="22"/>
        </w:rPr>
        <w:endnoteRef/>
      </w:r>
      <w:r w:rsidRPr="000A3A07">
        <w:t xml:space="preserve"> En 1 klass biljett Stockholm–Malmö kostar upp till 2970 kr medan den dyraste flygbiljetten kostar 3781 kr (avser SAS). </w:t>
      </w:r>
    </w:p>
    <w:p w14:paraId="56733558" w14:textId="77777777" w:rsidR="007C11E9" w:rsidRPr="000A3A07" w:rsidRDefault="007C11E9"/>
  </w:endnote>
  <w:endnote w:id="18">
    <w:p w14:paraId="1CD2517B" w14:textId="77777777" w:rsidR="007C11E9" w:rsidRPr="000A3A07" w:rsidRDefault="007C11E9">
      <w:r w:rsidRPr="000A3A07">
        <w:rPr>
          <w:rStyle w:val="Slutnotsreferens"/>
          <w:sz w:val="22"/>
        </w:rPr>
        <w:endnoteRef/>
      </w:r>
      <w:r w:rsidRPr="000A3A07">
        <w:t xml:space="preserve"> Läsaren hänvisas till Engström m fl (1997) för en analys av sträckan Stockholm–Göteborg under första delen av 1990-talet. Tidvis hade SJ ca 15 (för resa med X 2000) och SAS ca 10 olika biljettyper.</w:t>
      </w:r>
    </w:p>
    <w:p w14:paraId="4B8C8D5C" w14:textId="77777777" w:rsidR="007C11E9" w:rsidRPr="000A3A07" w:rsidRDefault="007C11E9"/>
  </w:endnote>
  <w:endnote w:id="19">
    <w:p w14:paraId="6A17ECAB" w14:textId="77777777" w:rsidR="007C11E9" w:rsidRPr="000A3A07" w:rsidRDefault="007C11E9">
      <w:r w:rsidRPr="000A3A07">
        <w:rPr>
          <w:rStyle w:val="Slutnotsreferens"/>
          <w:sz w:val="22"/>
        </w:rPr>
        <w:endnoteRef/>
      </w:r>
      <w:r w:rsidRPr="000A3A07">
        <w:t xml:space="preserve"> Hur de av mig antagna relativpriserna för olika typer av resor skulle p</w:t>
      </w:r>
      <w:r w:rsidRPr="000A3A07">
        <w:t>å</w:t>
      </w:r>
      <w:r w:rsidRPr="000A3A07">
        <w:t>verka resandet med dagtåg och tågoperatörens vinst relativt Botniautrednin</w:t>
      </w:r>
      <w:r w:rsidRPr="000A3A07">
        <w:t>g</w:t>
      </w:r>
      <w:r w:rsidRPr="000A3A07">
        <w:t>ens värden är inte möjligt att bedöma inom ramen för denna granskning. Dagens snabbtåg har t ex separata vagnar för1 klass. Huruvida tågoperatören gör en vinst på dessa beror ju både på priser och beläggning. (Dessutom uppstår frågan hur mycket flygbolagen förlorar när ett antal fullbetalande resenär i stället väljer tåget. Rimligen möter de den förändrade konku</w:t>
      </w:r>
      <w:r w:rsidRPr="000A3A07">
        <w:t>rren</w:t>
      </w:r>
      <w:r w:rsidRPr="000A3A07">
        <w:t>s</w:t>
      </w:r>
      <w:r w:rsidRPr="000A3A07">
        <w:t>situationen  genom att anpassa priser och antal avgångar och/eller via storl</w:t>
      </w:r>
      <w:r w:rsidRPr="000A3A07">
        <w:t>e</w:t>
      </w:r>
      <w:r w:rsidRPr="000A3A07">
        <w:t xml:space="preserve">ken på de plan som trafikerar Botniaregionen.) </w:t>
      </w:r>
    </w:p>
  </w:endnote>
  <w:endnote w:id="20">
    <w:p w14:paraId="32DF4BB1" w14:textId="77777777" w:rsidR="007C11E9" w:rsidRPr="000A3A07" w:rsidRDefault="007C11E9"/>
    <w:p w14:paraId="3B678A89" w14:textId="77777777" w:rsidR="007C11E9" w:rsidRPr="000A3A07" w:rsidRDefault="007C11E9">
      <w:r w:rsidRPr="000A3A07">
        <w:rPr>
          <w:rStyle w:val="Slutnotsreferens"/>
          <w:sz w:val="22"/>
        </w:rPr>
        <w:endnoteRef/>
      </w:r>
      <w:r w:rsidRPr="000A3A07">
        <w:t xml:space="preserve"> Ybuss hemsida (2000-04-04).</w:t>
      </w:r>
    </w:p>
    <w:p w14:paraId="0E3A7D51" w14:textId="77777777" w:rsidR="007C11E9" w:rsidRPr="000A3A07" w:rsidRDefault="007C11E9"/>
  </w:endnote>
  <w:endnote w:id="21">
    <w:p w14:paraId="74E65434" w14:textId="77777777" w:rsidR="007C11E9" w:rsidRPr="000A3A07" w:rsidRDefault="007C11E9">
      <w:r w:rsidRPr="000A3A07">
        <w:rPr>
          <w:rStyle w:val="Slutnotsreferens"/>
          <w:sz w:val="22"/>
        </w:rPr>
        <w:endnoteRef/>
      </w:r>
      <w:r w:rsidRPr="000A3A07">
        <w:t xml:space="preserve"> Däremot kan konsumentöverskottsvinsten bli betydande för resenärer som i dagsläget tar kombinationen snabbtåg/buss.</w:t>
      </w:r>
    </w:p>
    <w:p w14:paraId="43394F8B" w14:textId="77777777" w:rsidR="007C11E9" w:rsidRPr="000A3A07" w:rsidRDefault="007C11E9"/>
  </w:endnote>
  <w:endnote w:id="22">
    <w:p w14:paraId="08AD5CB1" w14:textId="77777777" w:rsidR="007C11E9" w:rsidRPr="000A3A07" w:rsidRDefault="007C11E9">
      <w:r w:rsidRPr="000A3A07">
        <w:rPr>
          <w:rStyle w:val="Slutnotsreferens"/>
          <w:sz w:val="22"/>
        </w:rPr>
        <w:endnoteRef/>
      </w:r>
      <w:r w:rsidRPr="000A3A07">
        <w:t xml:space="preserve"> Om det i huvudsak är fråga om barnfamiljer som får stora rabatter ökar visserligen konsumentöverskottet men den företagsekonomiska kalkylen försämras också påtagligt, eftersom tidigare bilister beräknas svara för 40 procent av det långväga resandet med dagtåg. </w:t>
      </w:r>
    </w:p>
  </w:endnote>
  <w:endnote w:id="23">
    <w:p w14:paraId="7DC9B9EE" w14:textId="77777777" w:rsidR="007C11E9" w:rsidRPr="000A3A07" w:rsidRDefault="007C11E9"/>
    <w:p w14:paraId="3EEED22D" w14:textId="77777777" w:rsidR="007C11E9" w:rsidRPr="000A3A07" w:rsidRDefault="007C11E9">
      <w:r w:rsidRPr="000A3A07">
        <w:rPr>
          <w:rStyle w:val="Slutnotsreferens"/>
          <w:sz w:val="22"/>
        </w:rPr>
        <w:endnoteRef/>
      </w:r>
      <w:r w:rsidRPr="000A3A07">
        <w:t xml:space="preserve"> Det är t ex inte helt givet att SJ kommer att (ensam) trafikera Botniab</w:t>
      </w:r>
      <w:r w:rsidRPr="000A3A07">
        <w:t>a</w:t>
      </w:r>
      <w:r w:rsidRPr="000A3A07">
        <w:t>nan. Därför kan också prissättningen komma att ske efter helt andra principer än vad som antagits här.</w:t>
      </w:r>
    </w:p>
  </w:endnote>
  <w:endnote w:id="24">
    <w:p w14:paraId="6B01E5C8" w14:textId="77777777" w:rsidR="007C11E9" w:rsidRPr="000A3A07" w:rsidRDefault="007C11E9"/>
    <w:p w14:paraId="42D916E7" w14:textId="77777777" w:rsidR="007C11E9" w:rsidRPr="000A3A07" w:rsidRDefault="007C11E9">
      <w:r w:rsidRPr="000A3A07">
        <w:rPr>
          <w:rStyle w:val="Slutnotsreferens"/>
          <w:sz w:val="22"/>
        </w:rPr>
        <w:endnoteRef/>
      </w:r>
      <w:r w:rsidRPr="000A3A07">
        <w:t xml:space="preserve"> Nuvärdesvinsten beräknas till 5.7 procent av investeringskostnaden (0.532/9.25). I termer av den investeringskostnad (annuitet) som Botniau</w:t>
      </w:r>
      <w:r w:rsidRPr="000A3A07">
        <w:t>t</w:t>
      </w:r>
      <w:r w:rsidRPr="000A3A07">
        <w:t>redningen antar motsvarar det ca 35 miljoner. Läsaren hänvisas till Banve</w:t>
      </w:r>
      <w:r w:rsidRPr="000A3A07">
        <w:t>r</w:t>
      </w:r>
      <w:r w:rsidRPr="000A3A07">
        <w:t>ket (1991, sidan 44).</w:t>
      </w:r>
    </w:p>
    <w:p w14:paraId="1D506F77" w14:textId="77777777" w:rsidR="007C11E9" w:rsidRPr="000A3A07" w:rsidRDefault="007C11E9"/>
  </w:endnote>
  <w:endnote w:id="25">
    <w:p w14:paraId="31D0F003" w14:textId="77777777" w:rsidR="007C11E9" w:rsidRPr="000A3A07" w:rsidRDefault="007C11E9">
      <w:r w:rsidRPr="000A3A07">
        <w:rPr>
          <w:rStyle w:val="Slutnotsreferens"/>
          <w:sz w:val="22"/>
        </w:rPr>
        <w:endnoteRef/>
      </w:r>
      <w:r w:rsidRPr="000A3A07">
        <w:t xml:space="preserve"> Det finns t ex beräkningar som indikerar att den externa marginalkostn</w:t>
      </w:r>
      <w:r w:rsidRPr="000A3A07">
        <w:t>a</w:t>
      </w:r>
      <w:r w:rsidRPr="000A3A07">
        <w:t>den (exklusive klimatpåverkan) är 1.50-2 kr lägre per liter bensin än energi</w:t>
      </w:r>
      <w:r w:rsidRPr="000A3A07">
        <w:softHyphen/>
        <w:t>-</w:t>
      </w:r>
      <w:r w:rsidRPr="000A3A07">
        <w:br/>
        <w:t>skatten på bensin. Se t ex Hesselborn och Swahn (1998). Läggs kostnaden för klimatpåverkan till blir rel</w:t>
      </w:r>
      <w:r w:rsidRPr="000A3A07">
        <w:t>a</w:t>
      </w:r>
      <w:r w:rsidRPr="000A3A07">
        <w:t>tionen mer oklar.</w:t>
      </w:r>
    </w:p>
  </w:endnote>
  <w:endnote w:id="26">
    <w:p w14:paraId="37947D61" w14:textId="77777777" w:rsidR="007C11E9" w:rsidRPr="000A3A07" w:rsidRDefault="007C11E9"/>
    <w:p w14:paraId="569AC75B" w14:textId="77777777" w:rsidR="007C11E9" w:rsidRPr="000A3A07" w:rsidRDefault="007C11E9">
      <w:r w:rsidRPr="000A3A07">
        <w:rPr>
          <w:rStyle w:val="Slutnotsreferens"/>
          <w:sz w:val="22"/>
        </w:rPr>
        <w:endnoteRef/>
      </w:r>
      <w:r w:rsidRPr="000A3A07">
        <w:t xml:space="preserve"> Följande exempel illustrerar resonemanget. Antag att bilisten betalar 15 kr för en extra mil. Låt oss vidare anta att den samhällsekonomiska marg</w:t>
      </w:r>
      <w:r w:rsidRPr="000A3A07">
        <w:t>i</w:t>
      </w:r>
      <w:r w:rsidRPr="000A3A07">
        <w:t>nalkostnaden inkl miljöpåverkan etc är 13 kr. Då innebär det en samhäll</w:t>
      </w:r>
      <w:r w:rsidRPr="000A3A07">
        <w:t>s</w:t>
      </w:r>
      <w:r w:rsidRPr="000A3A07">
        <w:t>ekonomisk förlust, i exemplet 2 kr per mil, inte en vinst, om en bilresa ersätts med t ex en tågresa. Regler för samhällsekonomisk utvärdering av miljöp</w:t>
      </w:r>
      <w:r w:rsidRPr="000A3A07">
        <w:t>å</w:t>
      </w:r>
      <w:r w:rsidRPr="000A3A07">
        <w:t>verkan återfinns i t ex Johansson (1993).</w:t>
      </w:r>
    </w:p>
  </w:endnote>
  <w:endnote w:id="27">
    <w:p w14:paraId="0ADED517" w14:textId="77777777" w:rsidR="007C11E9" w:rsidRPr="000A3A07" w:rsidRDefault="007C11E9"/>
    <w:p w14:paraId="21A17D78" w14:textId="77777777" w:rsidR="007C11E9" w:rsidRPr="000A3A07" w:rsidRDefault="007C11E9">
      <w:r w:rsidRPr="000A3A07">
        <w:rPr>
          <w:rStyle w:val="Slutnotsreferens"/>
          <w:sz w:val="22"/>
        </w:rPr>
        <w:endnoteRef/>
      </w:r>
      <w:r w:rsidRPr="000A3A07">
        <w:t xml:space="preserve">  Beloppet har beräknats som (0.75/10.1)0.6, där beloppen är uttryckta i miljarder kr.</w:t>
      </w:r>
    </w:p>
    <w:p w14:paraId="4B571B37" w14:textId="77777777" w:rsidR="007C11E9" w:rsidRPr="000A3A07" w:rsidRDefault="007C11E9"/>
  </w:endnote>
  <w:endnote w:id="28">
    <w:p w14:paraId="67BBF6C7" w14:textId="77777777" w:rsidR="007C11E9" w:rsidRPr="000A3A07" w:rsidRDefault="007C11E9">
      <w:pPr>
        <w:rPr>
          <w:sz w:val="22"/>
        </w:rPr>
      </w:pPr>
      <w:r w:rsidRPr="000A3A07">
        <w:rPr>
          <w:rStyle w:val="Slutnotsreferens"/>
          <w:sz w:val="22"/>
        </w:rPr>
        <w:endnoteRef/>
      </w:r>
      <w:r w:rsidRPr="000A3A07">
        <w:rPr>
          <w:sz w:val="22"/>
        </w:rPr>
        <w:t xml:space="preserve"> </w:t>
      </w:r>
      <w:r w:rsidRPr="000A3A07">
        <w:t>Med autonom tillväxt blir nuvärdet av intäkterna:</w:t>
      </w:r>
      <w:r w:rsidRPr="000A3A07">
        <w:rPr>
          <w:sz w:val="22"/>
        </w:rPr>
        <w:t xml:space="preserve"> </w:t>
      </w:r>
    </w:p>
    <w:p w14:paraId="30F71C6A" w14:textId="77777777" w:rsidR="007C11E9" w:rsidRPr="000A3A07" w:rsidRDefault="007C11E9">
      <w:pPr>
        <w:spacing w:line="240" w:lineRule="auto"/>
      </w:pPr>
      <w:r w:rsidRPr="000A3A07">
        <w:rPr>
          <w:position w:val="-26"/>
          <w:sz w:val="22"/>
        </w:rPr>
        <w:object w:dxaOrig="5319" w:dyaOrig="620" w14:anchorId="0D375B48">
          <v:shape id="_x0000_i1038" type="#_x0000_t75" style="width:266.15pt;height:30.85pt" fillcolor="window">
            <v:imagedata r:id="rId5" o:title=""/>
          </v:shape>
          <o:OLEObject Type="Embed" ProgID="Equation.3" ShapeID="_x0000_i1038" DrawAspect="Content" ObjectID="_1827352986" r:id="rId6"/>
        </w:object>
      </w:r>
    </w:p>
    <w:p w14:paraId="1309EC79" w14:textId="77777777" w:rsidR="007C11E9" w:rsidRPr="000A3A07" w:rsidRDefault="007C11E9">
      <w:r w:rsidRPr="000A3A07">
        <w:t>där a är den initiella intäkten. Utan tillväxt definieras nuvärdesintäkterna som:</w:t>
      </w:r>
    </w:p>
    <w:p w14:paraId="7EC188E3" w14:textId="77777777" w:rsidR="007C11E9" w:rsidRPr="000A3A07" w:rsidRDefault="007C11E9">
      <w:pPr>
        <w:pStyle w:val="Slutnotstext"/>
        <w:rPr>
          <w:sz w:val="22"/>
          <w:lang w:val="sv-SE"/>
        </w:rPr>
      </w:pPr>
      <w:r w:rsidRPr="000A3A07">
        <w:rPr>
          <w:position w:val="-32"/>
          <w:sz w:val="22"/>
          <w:lang w:val="sv-SE"/>
        </w:rPr>
        <w:object w:dxaOrig="3019" w:dyaOrig="760" w14:anchorId="1FB58E48">
          <v:shape id="_x0000_i1039" type="#_x0000_t75" style="width:150.85pt;height:38.15pt" fillcolor="window">
            <v:imagedata r:id="rId7" o:title=""/>
          </v:shape>
          <o:OLEObject Type="Embed" ProgID="Equation.3" ShapeID="_x0000_i1039" DrawAspect="Content" ObjectID="_1827352987" r:id="rId8"/>
        </w:object>
      </w:r>
      <w:r w:rsidRPr="000A3A07">
        <w:rPr>
          <w:sz w:val="22"/>
          <w:lang w:val="sv-SE"/>
        </w:rPr>
        <w:t>.</w:t>
      </w:r>
    </w:p>
    <w:p w14:paraId="61AD6FBD" w14:textId="77777777" w:rsidR="007C11E9" w:rsidRPr="000A3A07" w:rsidRDefault="007C11E9">
      <w:r w:rsidRPr="000A3A07">
        <w:t xml:space="preserve">Kvoten </w:t>
      </w:r>
      <w:r w:rsidRPr="000A3A07">
        <w:rPr>
          <w:i/>
        </w:rPr>
        <w:t>B(tillväxt)/B(0)</w:t>
      </w:r>
      <w:r w:rsidRPr="000A3A07">
        <w:t xml:space="preserve"> är ca 1.17.</w:t>
      </w:r>
    </w:p>
  </w:endnote>
  <w:endnote w:id="29">
    <w:p w14:paraId="55A4887D" w14:textId="77777777" w:rsidR="007C11E9" w:rsidRPr="000A3A07" w:rsidRDefault="007C11E9">
      <w:pPr>
        <w:pStyle w:val="Slutnotstext"/>
        <w:rPr>
          <w:sz w:val="22"/>
          <w:lang w:val="sv-SE"/>
        </w:rPr>
      </w:pPr>
    </w:p>
    <w:p w14:paraId="241513A8" w14:textId="77777777" w:rsidR="007C11E9" w:rsidRPr="000A3A07" w:rsidRDefault="007C11E9">
      <w:r w:rsidRPr="000A3A07">
        <w:rPr>
          <w:rStyle w:val="Slutnotsreferens"/>
          <w:sz w:val="22"/>
        </w:rPr>
        <w:endnoteRef/>
      </w:r>
      <w:r w:rsidRPr="000A3A07">
        <w:t xml:space="preserve"> Den genomsnittlige privatresenären på Botniabanan tycks vara villig att betala närmare dubbelt så mycket som biljettpriset (SIKA Rapport 1996:1, Bilaga 1, sidan 19), dvs ca 1500 kr i termer av mitt exempel. Lägsta kostnad för en flygresa är ca 1100-1400, inklusive uppskattad kostnad för marktran</w:t>
      </w:r>
      <w:r w:rsidRPr="000A3A07">
        <w:t>s</w:t>
      </w:r>
      <w:r w:rsidRPr="000A3A07">
        <w:t xml:space="preserve">port.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8BF4"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1</w:t>
    </w:r>
    <w:r w:rsidRPr="000A3A07">
      <w:fldChar w:fldCharType="end"/>
    </w:r>
  </w:p>
  <w:p w14:paraId="1FD6F745" w14:textId="77777777" w:rsidR="007C11E9" w:rsidRPr="000A3A07" w:rsidRDefault="007C11E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BD5C"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95</w:t>
    </w:r>
    <w:r w:rsidRPr="000A3A07">
      <w:fldChar w:fldCharType="end"/>
    </w:r>
  </w:p>
  <w:p w14:paraId="61EE393A" w14:textId="77777777" w:rsidR="007C11E9" w:rsidRPr="000A3A07" w:rsidRDefault="007C11E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208A"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96</w:t>
    </w:r>
    <w:r w:rsidRPr="000A3A07">
      <w:fldChar w:fldCharType="end"/>
    </w:r>
  </w:p>
  <w:p w14:paraId="1AD41757" w14:textId="77777777" w:rsidR="007C11E9" w:rsidRPr="000A3A07" w:rsidRDefault="007C11E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5FB7"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117</w:t>
    </w:r>
    <w:r w:rsidRPr="000A3A07">
      <w:fldChar w:fldCharType="end"/>
    </w:r>
  </w:p>
  <w:p w14:paraId="7BE9DB99" w14:textId="77777777" w:rsidR="007C11E9" w:rsidRPr="000A3A07" w:rsidRDefault="007C11E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F37E"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118</w:t>
    </w:r>
    <w:r w:rsidRPr="000A3A07">
      <w:fldChar w:fldCharType="end"/>
    </w:r>
  </w:p>
  <w:p w14:paraId="05DD25AF" w14:textId="77777777" w:rsidR="007C11E9" w:rsidRPr="000A3A07" w:rsidRDefault="007C11E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87A0"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119</w:t>
    </w:r>
    <w:r w:rsidRPr="000A3A07">
      <w:fldChar w:fldCharType="end"/>
    </w:r>
  </w:p>
  <w:p w14:paraId="23B6E795" w14:textId="77777777" w:rsidR="007C11E9" w:rsidRPr="000A3A07" w:rsidRDefault="007C11E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80A8"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120</w:t>
    </w:r>
    <w:r w:rsidRPr="000A3A07">
      <w:fldChar w:fldCharType="end"/>
    </w:r>
  </w:p>
  <w:p w14:paraId="434955F1" w14:textId="77777777" w:rsidR="007C11E9" w:rsidRPr="000A3A07" w:rsidRDefault="007C11E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5552"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149</w:t>
    </w:r>
    <w:r w:rsidRPr="000A3A07">
      <w:fldChar w:fldCharType="end"/>
    </w:r>
  </w:p>
  <w:p w14:paraId="46E017CF" w14:textId="77777777" w:rsidR="007C11E9" w:rsidRPr="000A3A07" w:rsidRDefault="007C11E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621A"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150</w:t>
    </w:r>
    <w:r w:rsidRPr="000A3A07">
      <w:fldChar w:fldCharType="end"/>
    </w:r>
  </w:p>
  <w:p w14:paraId="63DB7382" w14:textId="77777777" w:rsidR="007C11E9" w:rsidRPr="000A3A07" w:rsidRDefault="007C11E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FC6C"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151</w:t>
    </w:r>
    <w:r w:rsidRPr="000A3A07">
      <w:fldChar w:fldCharType="end"/>
    </w:r>
  </w:p>
  <w:p w14:paraId="70D7718E" w14:textId="77777777" w:rsidR="007C11E9" w:rsidRPr="000A3A07" w:rsidRDefault="007C11E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20F2" w14:textId="77777777" w:rsidR="007C11E9" w:rsidRPr="000A3A07" w:rsidRDefault="007C11E9">
    <w:pPr>
      <w:pStyle w:val="SidfotV"/>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152</w:t>
    </w:r>
    <w:r w:rsidRPr="000A3A07">
      <w:fldChar w:fldCharType="end"/>
    </w:r>
  </w:p>
  <w:p w14:paraId="0FE5B630" w14:textId="77777777" w:rsidR="007C11E9" w:rsidRPr="000A3A07" w:rsidRDefault="007C11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5381"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9</w:t>
    </w:r>
    <w:r w:rsidRPr="000A3A07">
      <w:fldChar w:fldCharType="end"/>
    </w:r>
  </w:p>
  <w:p w14:paraId="27CB3A94" w14:textId="77777777" w:rsidR="007C11E9" w:rsidRPr="000A3A07" w:rsidRDefault="007C11E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E7E6"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182</w:t>
    </w:r>
    <w:r w:rsidRPr="000A3A07">
      <w:fldChar w:fldCharType="end"/>
    </w:r>
  </w:p>
  <w:p w14:paraId="1F523461" w14:textId="77777777" w:rsidR="007C11E9" w:rsidRPr="000A3A07" w:rsidRDefault="007C11E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9234"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183</w:t>
    </w:r>
    <w:r w:rsidRPr="000A3A07">
      <w:fldChar w:fldCharType="end"/>
    </w:r>
  </w:p>
  <w:p w14:paraId="5DBD842B" w14:textId="77777777" w:rsidR="007C11E9" w:rsidRPr="000A3A07" w:rsidRDefault="007C11E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9945" w14:textId="77777777" w:rsidR="007C11E9" w:rsidRPr="000A3A07" w:rsidRDefault="007C11E9">
    <w:pPr>
      <w:pStyle w:val="SidfotV"/>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184</w:t>
    </w:r>
    <w:r w:rsidRPr="000A3A07">
      <w:fldChar w:fldCharType="end"/>
    </w:r>
  </w:p>
  <w:p w14:paraId="266DB0C7" w14:textId="77777777" w:rsidR="007C11E9" w:rsidRPr="000A3A07" w:rsidRDefault="007C11E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A2F0"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205</w:t>
    </w:r>
    <w:r w:rsidRPr="000A3A07">
      <w:fldChar w:fldCharType="end"/>
    </w:r>
  </w:p>
  <w:p w14:paraId="238794B3" w14:textId="77777777" w:rsidR="007C11E9" w:rsidRPr="000A3A07" w:rsidRDefault="007C11E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8C71"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206</w:t>
    </w:r>
    <w:r w:rsidRPr="000A3A07">
      <w:fldChar w:fldCharType="end"/>
    </w:r>
  </w:p>
  <w:p w14:paraId="07869DC6" w14:textId="77777777" w:rsidR="007C11E9" w:rsidRPr="000A3A07" w:rsidRDefault="007C11E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B75F"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220</w:t>
    </w:r>
    <w:r w:rsidRPr="000A3A07">
      <w:fldChar w:fldCharType="end"/>
    </w:r>
  </w:p>
  <w:p w14:paraId="3FD9770B" w14:textId="77777777" w:rsidR="007C11E9" w:rsidRPr="000A3A07" w:rsidRDefault="007C11E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1305"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224</w:t>
    </w:r>
    <w:r w:rsidRPr="000A3A07">
      <w:fldChar w:fldCharType="end"/>
    </w:r>
  </w:p>
  <w:p w14:paraId="738875CA" w14:textId="77777777" w:rsidR="007C11E9" w:rsidRPr="000A3A07" w:rsidRDefault="007C11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E978" w14:textId="77777777" w:rsidR="007C11E9" w:rsidRDefault="007C11E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75</w:t>
    </w:r>
    <w:r>
      <w:rPr>
        <w:rStyle w:val="Sidnumm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D584" w14:textId="77777777" w:rsidR="007C11E9" w:rsidRPr="000A3A07" w:rsidRDefault="007C11E9">
    <w:pPr>
      <w:pStyle w:val="SidfotH"/>
      <w:framePr w:w="428" w:wrap="around" w:x="8498"/>
    </w:pPr>
    <w:r w:rsidRPr="000A3A07">
      <w:fldChar w:fldCharType="begin" w:fldLock="1"/>
    </w:r>
    <w:r w:rsidRPr="000A3A07">
      <w:instrText xml:space="preserve"> PAGE </w:instrText>
    </w:r>
    <w:r w:rsidRPr="000A3A07">
      <w:fldChar w:fldCharType="separate"/>
    </w:r>
    <w:r w:rsidRPr="000A3A07">
      <w:t>19</w:t>
    </w:r>
    <w:r w:rsidRPr="000A3A07">
      <w:fldChar w:fldCharType="end"/>
    </w:r>
  </w:p>
  <w:p w14:paraId="6A86FE25" w14:textId="77777777" w:rsidR="007C11E9" w:rsidRPr="000A3A07" w:rsidRDefault="007C11E9">
    <w:pPr>
      <w:pStyle w:val="Sidfot"/>
      <w:framePr w:wrap="around" w:vAnchor="text" w:hAnchor="margin" w:xAlign="right" w:y="1"/>
      <w:rPr>
        <w:rStyle w:val="Sidnumm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2A04" w14:textId="77777777" w:rsidR="007C11E9" w:rsidRDefault="007C11E9">
    <w:pPr>
      <w:pStyle w:val="SidfotH"/>
      <w:framePr w:wrap="around"/>
    </w:pPr>
    <w:r>
      <w:fldChar w:fldCharType="begin"/>
    </w:r>
    <w:r>
      <w:instrText xml:space="preserve"> P</w:instrText>
    </w:r>
    <w:r>
      <w:instrText>A</w:instrText>
    </w:r>
    <w:r>
      <w:instrText xml:space="preserve">GE </w:instrText>
    </w:r>
    <w:r>
      <w:fldChar w:fldCharType="separate"/>
    </w:r>
    <w:r>
      <w:rPr>
        <w:noProof/>
      </w:rPr>
      <w:t>16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55FA" w14:textId="77777777" w:rsidR="007C11E9" w:rsidRPr="000A3A07" w:rsidRDefault="007C11E9">
    <w:pPr>
      <w:pStyle w:val="SidfotH"/>
      <w:framePr w:w="428" w:wrap="around" w:x="8498"/>
    </w:pPr>
    <w:r w:rsidRPr="000A3A07">
      <w:fldChar w:fldCharType="begin" w:fldLock="1"/>
    </w:r>
    <w:r w:rsidRPr="000A3A07">
      <w:instrText xml:space="preserve"> PAGE </w:instrText>
    </w:r>
    <w:r w:rsidRPr="000A3A07">
      <w:fldChar w:fldCharType="separate"/>
    </w:r>
    <w:r w:rsidRPr="000A3A07">
      <w:t>15</w:t>
    </w:r>
    <w:r w:rsidRPr="000A3A07">
      <w:fldChar w:fldCharType="end"/>
    </w:r>
  </w:p>
  <w:p w14:paraId="18722EF7" w14:textId="77777777" w:rsidR="007C11E9" w:rsidRPr="000A3A07" w:rsidRDefault="007C11E9">
    <w:pPr>
      <w:pStyle w:val="Sidfot"/>
      <w:framePr w:wrap="around" w:vAnchor="text" w:hAnchor="margin" w:xAlign="right" w:y="1"/>
      <w:rPr>
        <w:rStyle w:val="Sidnumm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5556" w14:textId="77777777" w:rsidR="007C11E9" w:rsidRPr="000A3A07" w:rsidRDefault="007C11E9">
    <w:pPr>
      <w:pStyle w:val="SidfotH"/>
      <w:framePr w:w="428" w:wrap="around" w:x="8498"/>
    </w:pPr>
    <w:r w:rsidRPr="000A3A07">
      <w:fldChar w:fldCharType="begin" w:fldLock="1"/>
    </w:r>
    <w:r w:rsidRPr="000A3A07">
      <w:instrText xml:space="preserve"> PAGE </w:instrText>
    </w:r>
    <w:r w:rsidRPr="000A3A07">
      <w:fldChar w:fldCharType="separate"/>
    </w:r>
    <w:r w:rsidRPr="000A3A07">
      <w:t>83</w:t>
    </w:r>
    <w:r w:rsidRPr="000A3A07">
      <w:fldChar w:fldCharType="end"/>
    </w:r>
  </w:p>
  <w:p w14:paraId="1D1AA607" w14:textId="77777777" w:rsidR="007C11E9" w:rsidRPr="000A3A07" w:rsidRDefault="007C11E9">
    <w:pPr>
      <w:pStyle w:val="Sidfot"/>
      <w:framePr w:wrap="around" w:vAnchor="text" w:hAnchor="margin" w:xAlign="right" w:y="1"/>
      <w:rPr>
        <w:rStyle w:val="Sidnumm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8D46"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93</w:t>
    </w:r>
    <w:r w:rsidRPr="000A3A07">
      <w:fldChar w:fldCharType="end"/>
    </w:r>
  </w:p>
  <w:p w14:paraId="4F387751" w14:textId="77777777" w:rsidR="007C11E9" w:rsidRPr="000A3A07" w:rsidRDefault="007C11E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2931" w14:textId="77777777" w:rsidR="007C11E9" w:rsidRPr="000A3A07" w:rsidRDefault="007C11E9">
    <w:pPr>
      <w:pStyle w:val="SidfotH"/>
      <w:framePr w:wrap="around"/>
    </w:pPr>
    <w:r w:rsidRPr="000A3A07">
      <w:fldChar w:fldCharType="begin" w:fldLock="1"/>
    </w:r>
    <w:r w:rsidRPr="000A3A07">
      <w:instrText xml:space="preserve"> P</w:instrText>
    </w:r>
    <w:r w:rsidRPr="000A3A07">
      <w:instrText>A</w:instrText>
    </w:r>
    <w:r w:rsidRPr="000A3A07">
      <w:instrText xml:space="preserve">GE </w:instrText>
    </w:r>
    <w:r w:rsidRPr="000A3A07">
      <w:fldChar w:fldCharType="separate"/>
    </w:r>
    <w:r w:rsidRPr="000A3A07">
      <w:t>94</w:t>
    </w:r>
    <w:r w:rsidRPr="000A3A07">
      <w:fldChar w:fldCharType="end"/>
    </w:r>
  </w:p>
  <w:p w14:paraId="3371FB4B" w14:textId="77777777" w:rsidR="007C11E9" w:rsidRPr="000A3A07" w:rsidRDefault="007C11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D7FF" w14:textId="77777777" w:rsidR="007C11E9" w:rsidRPr="000A3A07" w:rsidRDefault="007C11E9">
      <w:pPr>
        <w:pStyle w:val="Sidfot"/>
      </w:pPr>
    </w:p>
  </w:footnote>
  <w:footnote w:type="continuationSeparator" w:id="0">
    <w:p w14:paraId="371AA547" w14:textId="77777777" w:rsidR="007C11E9" w:rsidRPr="000A3A07" w:rsidRDefault="007C11E9">
      <w:pPr>
        <w:spacing w:before="0" w:line="240" w:lineRule="auto"/>
      </w:pPr>
      <w:r w:rsidRPr="000A3A07">
        <w:continuationSeparator/>
      </w:r>
    </w:p>
  </w:footnote>
  <w:footnote w:id="1">
    <w:p w14:paraId="489C715A" w14:textId="77777777" w:rsidR="007C11E9" w:rsidRPr="000A3A07" w:rsidRDefault="007C11E9">
      <w:pPr>
        <w:pStyle w:val="Fotnotstext"/>
      </w:pPr>
      <w:r w:rsidRPr="000A3A07">
        <w:rPr>
          <w:rStyle w:val="Fotnotsreferens"/>
        </w:rPr>
        <w:footnoteRef/>
      </w:r>
      <w:r w:rsidRPr="000A3A07">
        <w:t xml:space="preserve"> Liknande synpunkter framfördes redan 1992 i samband med riksdagens behandling av Riksdagens revisorers förslag om samordnad investeringsplanering för transporter (förs. 1991/92:18, bet. 1991/92:TU22, rskr. 1991/92:333 och 334).</w:t>
      </w:r>
    </w:p>
  </w:footnote>
  <w:footnote w:id="2">
    <w:p w14:paraId="34B55D3E" w14:textId="77777777" w:rsidR="007C11E9" w:rsidRPr="000A3A07" w:rsidRDefault="007C11E9">
      <w:pPr>
        <w:pStyle w:val="Fotnotstext"/>
      </w:pPr>
      <w:r w:rsidRPr="000A3A07">
        <w:rPr>
          <w:rStyle w:val="Fotnotsreferens"/>
        </w:rPr>
        <w:footnoteRef/>
      </w:r>
      <w:r w:rsidRPr="000A3A07">
        <w:t xml:space="preserve"> Bolaget hette tidigare Vägverkets Investeringsaktiebolag Väginvest AB.</w:t>
      </w:r>
      <w:r w:rsidRPr="000A3A07">
        <w:t xml:space="preserve"> Vid år</w:t>
      </w:r>
      <w:r w:rsidRPr="000A3A07">
        <w:t>s</w:t>
      </w:r>
      <w:r w:rsidRPr="000A3A07">
        <w:t>skiftet 1998/1999 överfördes aktierna i bolaget från Vägverket till Regeringskansliet (Näringsdepartementet). Regeringskansliet förvaltar nu aktierna och företräder staten som ägare (Väginvest 1999).</w:t>
      </w:r>
    </w:p>
  </w:footnote>
  <w:footnote w:id="3">
    <w:p w14:paraId="2CC6DB4E" w14:textId="77777777" w:rsidR="007C11E9" w:rsidRPr="000A3A07" w:rsidRDefault="007C11E9">
      <w:pPr>
        <w:pStyle w:val="Fotnotstext"/>
        <w:spacing w:before="0"/>
      </w:pPr>
      <w:r w:rsidRPr="000A3A07">
        <w:rPr>
          <w:rStyle w:val="Fotnotsreferens"/>
        </w:rPr>
        <w:footnoteRef/>
      </w:r>
      <w:r w:rsidRPr="000A3A07">
        <w:t xml:space="preserve"> Statlig väghållning (anslagspost </w:t>
      </w:r>
      <w:r w:rsidRPr="000A3A07">
        <w:rPr>
          <w:i/>
        </w:rPr>
        <w:t>A2 2</w:t>
      </w:r>
      <w:r w:rsidRPr="000A3A07">
        <w:t xml:space="preserve">) minus drift och underhåll (anslagspost </w:t>
      </w:r>
      <w:r w:rsidRPr="000A3A07">
        <w:rPr>
          <w:i/>
        </w:rPr>
        <w:t>A2 2.4</w:t>
      </w:r>
      <w:r w:rsidRPr="000A3A07">
        <w:t>).</w:t>
      </w:r>
    </w:p>
  </w:footnote>
  <w:footnote w:id="4">
    <w:p w14:paraId="63D8199F" w14:textId="77777777" w:rsidR="007C11E9" w:rsidRPr="000A3A07" w:rsidRDefault="007C11E9">
      <w:pPr>
        <w:pStyle w:val="Fotnotstext"/>
        <w:spacing w:before="0"/>
      </w:pPr>
      <w:r w:rsidRPr="000A3A07">
        <w:rPr>
          <w:rStyle w:val="Fotnotsreferens"/>
        </w:rPr>
        <w:footnoteRef/>
      </w:r>
      <w:r w:rsidRPr="000A3A07">
        <w:t xml:space="preserve"> Statlig banhållning (anslag</w:t>
      </w:r>
      <w:r w:rsidRPr="000A3A07">
        <w:rPr>
          <w:i/>
        </w:rPr>
        <w:t xml:space="preserve"> A4</w:t>
      </w:r>
      <w:r w:rsidRPr="000A3A07">
        <w:t xml:space="preserve">) minus drift och underhåll (anslagspost </w:t>
      </w:r>
      <w:r w:rsidRPr="000A3A07">
        <w:rPr>
          <w:i/>
        </w:rPr>
        <w:t>A4 1</w:t>
      </w:r>
      <w:r w:rsidRPr="000A3A07">
        <w:t>).</w:t>
      </w:r>
    </w:p>
  </w:footnote>
  <w:footnote w:id="5">
    <w:p w14:paraId="745BE43E" w14:textId="77777777" w:rsidR="007C11E9" w:rsidRPr="000A3A07" w:rsidRDefault="007C11E9">
      <w:pPr>
        <w:pStyle w:val="Fotnotstext"/>
      </w:pPr>
      <w:r w:rsidRPr="000A3A07">
        <w:rPr>
          <w:rStyle w:val="Fotnotsreferens"/>
        </w:rPr>
        <w:footnoteRef/>
      </w:r>
      <w:r w:rsidRPr="000A3A07">
        <w:t xml:space="preserve"> Statliga garantier kan också utgå för investeringar i jordbruk och trädgårdsnäring, för export, för investeringar i utlandet, för utvecklingsbistånd och för bostadsbyggande. Garantigivande myndigheter är förutom Riksgäldskontoret även Statens bostadskr</w:t>
      </w:r>
      <w:r w:rsidRPr="000A3A07">
        <w:t>e</w:t>
      </w:r>
      <w:r w:rsidRPr="000A3A07">
        <w:t>ditnämnd, Exportkreditnämnden och Sida. En annan typ av garantier handläggs av Insättningsgarantinämnden. Insättningsgarantinämnden fungerar som konsumen</w:t>
      </w:r>
      <w:r w:rsidRPr="000A3A07">
        <w:t>t</w:t>
      </w:r>
      <w:r w:rsidRPr="000A3A07">
        <w:t>skydd för allmänhetens bankinlåning.</w:t>
      </w:r>
    </w:p>
  </w:footnote>
  <w:footnote w:id="6">
    <w:p w14:paraId="0450058E" w14:textId="77777777" w:rsidR="007C11E9" w:rsidRPr="000A3A07" w:rsidRDefault="007C11E9">
      <w:pPr>
        <w:pStyle w:val="Fotnotstext"/>
        <w:spacing w:before="0"/>
      </w:pPr>
      <w:r w:rsidRPr="000A3A07">
        <w:rPr>
          <w:rStyle w:val="Fotnotsreferens"/>
        </w:rPr>
        <w:footnoteRef/>
      </w:r>
      <w:r w:rsidRPr="000A3A07">
        <w:t xml:space="preserve"> Kreditgarantier som har utfärdats för SVEDAB har inte inkluderats i garantiåtaga</w:t>
      </w:r>
      <w:r w:rsidRPr="000A3A07">
        <w:t>n</w:t>
      </w:r>
      <w:r w:rsidRPr="000A3A07">
        <w:t>det. Dessa garantier redovisas enligt uppgift från Riksgäldskontoret enbart som lån med kreditrisk.</w:t>
      </w:r>
    </w:p>
  </w:footnote>
  <w:footnote w:id="7">
    <w:p w14:paraId="0CF1C2C6" w14:textId="77777777" w:rsidR="007C11E9" w:rsidRPr="000A3A07" w:rsidRDefault="007C11E9">
      <w:pPr>
        <w:pStyle w:val="Fotnotstext"/>
      </w:pPr>
      <w:r w:rsidRPr="000A3A07">
        <w:rPr>
          <w:rStyle w:val="Fotnotsreferens"/>
        </w:rPr>
        <w:footnoteRef/>
      </w:r>
      <w:r w:rsidRPr="000A3A07">
        <w:t xml:space="preserve"> Svenska Naturskyddsföreningen påpekar att det finns risk för att ersättning efter trafikmängd skapar incitament för de privata aktörerna att öka trafikmängden. Mer trafik betyder ökad miljöbelastning, vilket kan stå i strid med miljöarbetet och milj</w:t>
      </w:r>
      <w:r w:rsidRPr="000A3A07">
        <w:t>ö</w:t>
      </w:r>
      <w:r w:rsidRPr="000A3A07">
        <w:t>målen inom tran</w:t>
      </w:r>
      <w:r w:rsidRPr="000A3A07">
        <w:t>s</w:t>
      </w:r>
      <w:r w:rsidRPr="000A3A07">
        <w:t>portsektorn (Svenska Naturskyddsföreningen 1999).</w:t>
      </w:r>
    </w:p>
  </w:footnote>
  <w:footnote w:id="8">
    <w:p w14:paraId="31C9E386" w14:textId="77777777" w:rsidR="007C11E9" w:rsidRPr="000A3A07" w:rsidRDefault="007C11E9">
      <w:pPr>
        <w:pStyle w:val="Fotnotstext"/>
        <w:spacing w:before="0"/>
      </w:pPr>
      <w:r w:rsidRPr="000A3A07">
        <w:rPr>
          <w:rStyle w:val="Fotnotsreferens"/>
        </w:rPr>
        <w:footnoteRef/>
      </w:r>
      <w:r w:rsidRPr="000A3A07">
        <w:t xml:space="preserve"> Staten har avsatt sammanlagt 1 900 miljoner kronor för detta projekt.</w:t>
      </w:r>
    </w:p>
  </w:footnote>
  <w:footnote w:id="9">
    <w:p w14:paraId="292A4AFF" w14:textId="77777777" w:rsidR="007C11E9" w:rsidRPr="000A3A07" w:rsidRDefault="007C11E9">
      <w:pPr>
        <w:pStyle w:val="Fotnotstext"/>
      </w:pPr>
      <w:r w:rsidRPr="000A3A07">
        <w:rPr>
          <w:rStyle w:val="Fotnotsreferens"/>
        </w:rPr>
        <w:footnoteRef/>
      </w:r>
      <w:r w:rsidRPr="000A3A07">
        <w:t xml:space="preserve"> Det rörde sig bl.a. om tillträde till mark och flygplatsområde, trafikrättigheter samt skyldigheter vad gäller projektets tidsramar, kvalitet och framtida passagerarservice.</w:t>
      </w:r>
    </w:p>
  </w:footnote>
  <w:footnote w:id="10">
    <w:p w14:paraId="568BDEC5" w14:textId="77777777" w:rsidR="007C11E9" w:rsidRPr="000A3A07" w:rsidRDefault="007C11E9">
      <w:pPr>
        <w:pStyle w:val="Fotnotstext"/>
        <w:spacing w:before="0"/>
      </w:pPr>
      <w:r w:rsidRPr="000A3A07">
        <w:rPr>
          <w:rStyle w:val="Fotnotsreferens"/>
        </w:rPr>
        <w:footnoteRef/>
      </w:r>
      <w:r w:rsidRPr="000A3A07">
        <w:t xml:space="preserve"> Konsortiet bildades av NCC, Vattenfall och de två brittiska företagen GEC Alstom och John Mowlem &amp; Company PLC (</w:t>
      </w:r>
      <w:hyperlink r:id="rId1" w:history="1">
        <w:r w:rsidRPr="000A3A07">
          <w:rPr>
            <w:rStyle w:val="Hyperlnk"/>
          </w:rPr>
          <w:t>www.ncc.se</w:t>
        </w:r>
      </w:hyperlink>
      <w:r w:rsidRPr="000A3A07">
        <w:t>, 2000-08-18).</w:t>
      </w:r>
    </w:p>
  </w:footnote>
  <w:footnote w:id="11">
    <w:p w14:paraId="4EEE0601" w14:textId="77777777" w:rsidR="007C11E9" w:rsidRPr="000A3A07" w:rsidRDefault="007C11E9">
      <w:pPr>
        <w:pStyle w:val="Fotnotstext"/>
        <w:spacing w:before="0"/>
      </w:pPr>
      <w:r w:rsidRPr="000A3A07">
        <w:rPr>
          <w:rStyle w:val="Fotnotsreferens"/>
        </w:rPr>
        <w:footnoteRef/>
      </w:r>
      <w:r w:rsidRPr="000A3A07">
        <w:t xml:space="preserve"> Statens andel av aktierna förvaltas av Statens väg- och baninvest AB.</w:t>
      </w:r>
    </w:p>
  </w:footnote>
  <w:footnote w:id="12">
    <w:p w14:paraId="1C69376C" w14:textId="77777777" w:rsidR="007C11E9" w:rsidRPr="000A3A07" w:rsidRDefault="007C11E9">
      <w:pPr>
        <w:pStyle w:val="Fotnotstext"/>
        <w:spacing w:before="0"/>
      </w:pPr>
      <w:r w:rsidRPr="000A3A07">
        <w:rPr>
          <w:rStyle w:val="Fotnotsreferens"/>
        </w:rPr>
        <w:footnoteRef/>
      </w:r>
      <w:r w:rsidRPr="000A3A07">
        <w:t xml:space="preserve"> </w:t>
      </w:r>
      <w:r w:rsidRPr="000A3A07">
        <w:rPr>
          <w:snapToGrid w:val="0"/>
          <w:lang w:eastAsia="sv-SE"/>
        </w:rPr>
        <w:t>Om Sverige betalar hela skulden har Sverige en fordran på Danmark på halva skulden. Sverige kan alltså kräva att Danmark betalar halva skulden till Sverige.</w:t>
      </w:r>
    </w:p>
  </w:footnote>
  <w:footnote w:id="13">
    <w:p w14:paraId="0B7FE2A9" w14:textId="77777777" w:rsidR="007C11E9" w:rsidRPr="000A3A07" w:rsidRDefault="007C11E9">
      <w:pPr>
        <w:pStyle w:val="Fotnotstext"/>
      </w:pPr>
      <w:r w:rsidRPr="000A3A07">
        <w:rPr>
          <w:rStyle w:val="Fotnotsreferens"/>
        </w:rPr>
        <w:footnoteRef/>
      </w:r>
      <w:r w:rsidRPr="000A3A07">
        <w:t xml:space="preserve"> Staten garanterar att bolagets eget kapital aldrig understiger hälften av det registr</w:t>
      </w:r>
      <w:r w:rsidRPr="000A3A07">
        <w:t>e</w:t>
      </w:r>
      <w:r w:rsidRPr="000A3A07">
        <w:t>rade aktiek</w:t>
      </w:r>
      <w:r w:rsidRPr="000A3A07">
        <w:t>a</w:t>
      </w:r>
      <w:r w:rsidRPr="000A3A07">
        <w:t>pitalet. SVEDAB:s aktiekapital uppgår till åtta miljoner kronor.</w:t>
      </w:r>
    </w:p>
  </w:footnote>
  <w:footnote w:id="14">
    <w:p w14:paraId="44271841" w14:textId="77777777" w:rsidR="007C11E9" w:rsidRPr="000A3A07" w:rsidRDefault="007C11E9">
      <w:pPr>
        <w:pStyle w:val="Fotnotstext"/>
        <w:spacing w:before="0"/>
      </w:pPr>
      <w:r w:rsidRPr="000A3A07">
        <w:rPr>
          <w:rStyle w:val="Fotnotsreferens"/>
        </w:rPr>
        <w:footnoteRef/>
      </w:r>
      <w:r w:rsidRPr="000A3A07">
        <w:t xml:space="preserve"> Malmö kommun kallar sig numera för Malmö stad.</w:t>
      </w:r>
    </w:p>
  </w:footnote>
  <w:footnote w:id="15">
    <w:p w14:paraId="2ADA4B8F" w14:textId="77777777" w:rsidR="007C11E9" w:rsidRPr="000A3A07" w:rsidRDefault="007C11E9">
      <w:pPr>
        <w:pStyle w:val="Fotnotstext"/>
        <w:spacing w:before="0"/>
      </w:pPr>
      <w:r w:rsidRPr="000A3A07">
        <w:rPr>
          <w:rStyle w:val="Fotnotsreferens"/>
        </w:rPr>
        <w:footnoteRef/>
      </w:r>
      <w:r w:rsidRPr="000A3A07">
        <w:t xml:space="preserve"> Den 1 januari 1999 ersatte Region Skåne Kommunalförbundet för Malmöhus läns kolle</w:t>
      </w:r>
      <w:r w:rsidRPr="000A3A07">
        <w:t>k</w:t>
      </w:r>
      <w:r w:rsidRPr="000A3A07">
        <w:t>tivtrafik. Region Skåne ansvarar för kollektivtrafiken i Skåne.</w:t>
      </w:r>
    </w:p>
  </w:footnote>
  <w:footnote w:id="16">
    <w:p w14:paraId="13916D8A" w14:textId="77777777" w:rsidR="007C11E9" w:rsidRPr="000A3A07" w:rsidRDefault="007C11E9">
      <w:pPr>
        <w:pStyle w:val="Fotnotstext"/>
      </w:pPr>
      <w:r w:rsidRPr="000A3A07">
        <w:rPr>
          <w:rStyle w:val="Fotnotsreferens"/>
        </w:rPr>
        <w:footnoteRef/>
      </w:r>
      <w:r w:rsidRPr="000A3A07">
        <w:t xml:space="preserve"> Kostnaderna är uttryckta i prisnivå december 1997 för Stockholmsprojekten och i prisnivå januari 1998 för Göt</w:t>
      </w:r>
      <w:r w:rsidRPr="000A3A07">
        <w:t>e</w:t>
      </w:r>
      <w:r w:rsidRPr="000A3A07">
        <w:t>borgsprojekten.</w:t>
      </w:r>
    </w:p>
  </w:footnote>
  <w:footnote w:id="17">
    <w:p w14:paraId="4D2410A3" w14:textId="77777777" w:rsidR="007C11E9" w:rsidRPr="000A3A07" w:rsidRDefault="007C11E9">
      <w:pPr>
        <w:pStyle w:val="Fotnotstext"/>
      </w:pPr>
      <w:r w:rsidRPr="000A3A07">
        <w:rPr>
          <w:rStyle w:val="Fotnotsreferens"/>
        </w:rPr>
        <w:footnoteRef/>
      </w:r>
      <w:r w:rsidRPr="000A3A07">
        <w:t xml:space="preserve"> De rättigheter som projektbolaget behövde förfoga över i förhandling med privata intressenter av varierande slag (t.ex. tillträde till mark och flygplatsområde samt trafikrättigheter) och härrörde enligt regeringen från olika statliga myndigheter, som t.ex. Luftfartsverket, Banverket och SJ. Förutom ekonomiska skyldigheter måste de privata intressenterna gentemot den svenska staten ikläda sig skyldigheter om t.ex. projektets tidsramar, kvalitet och framtida passagerarservice (bet. 1994/95:KU30).</w:t>
      </w:r>
    </w:p>
  </w:footnote>
  <w:footnote w:id="18">
    <w:p w14:paraId="7B9F1E52" w14:textId="77777777" w:rsidR="007C11E9" w:rsidRPr="000A3A07" w:rsidRDefault="007C11E9">
      <w:pPr>
        <w:pStyle w:val="Fotnotstext"/>
        <w:spacing w:before="0"/>
      </w:pPr>
      <w:r w:rsidRPr="000A3A07">
        <w:rPr>
          <w:rStyle w:val="Fotnotsreferens"/>
        </w:rPr>
        <w:footnoteRef/>
      </w:r>
      <w:r w:rsidRPr="000A3A07">
        <w:t xml:space="preserve"> Arlanda Link Consortium består av GEC Alstom Ltd, NCC AB, Siab AB, Svenska Kraftbyggarna Entreprenad AB och John Mowlem &amp; Company PLC (skriv. 1995/96:20).</w:t>
      </w:r>
    </w:p>
  </w:footnote>
  <w:footnote w:id="19">
    <w:p w14:paraId="225B1937" w14:textId="77777777" w:rsidR="007C11E9" w:rsidRPr="000A3A07" w:rsidRDefault="007C11E9">
      <w:pPr>
        <w:pStyle w:val="Fotnotstext"/>
      </w:pPr>
      <w:r w:rsidRPr="000A3A07">
        <w:rPr>
          <w:rStyle w:val="Fotnotsreferens"/>
        </w:rPr>
        <w:footnoteRef/>
      </w:r>
      <w:r w:rsidRPr="000A3A07">
        <w:t xml:space="preserve"> Banan måste upprustas för att persontåg och tunga godståg ska kunna trafikera sträckan Sundsvall–Nyland. I utredningen utgick man från att det inte skulle finnas finansiellt utrymme för att bygga ut Ådalsbanan till snabbtågsstandard, en investering som skulle kosta ytterligare ca 3 000 miljoner kronor. Därför har man inte analyserat hur Botniabanans samhällsekonomiska lönsamhet skulle påverkas av en sådan u</w:t>
      </w:r>
      <w:r w:rsidRPr="000A3A07">
        <w:t>t</w:t>
      </w:r>
      <w:r w:rsidRPr="000A3A07">
        <w:t>byggnad.</w:t>
      </w:r>
    </w:p>
  </w:footnote>
  <w:footnote w:id="20">
    <w:p w14:paraId="1BE31C56" w14:textId="77777777" w:rsidR="007C11E9" w:rsidRPr="000A3A07" w:rsidRDefault="007C11E9">
      <w:pPr>
        <w:pStyle w:val="Fotnotstext"/>
        <w:spacing w:before="0"/>
      </w:pPr>
      <w:r w:rsidRPr="000A3A07">
        <w:rPr>
          <w:rStyle w:val="Fotnotsreferens"/>
        </w:rPr>
        <w:footnoteRef/>
      </w:r>
      <w:r w:rsidRPr="000A3A07">
        <w:t xml:space="preserve"> Enligt uppgift från Näringsdepartementet och Banverket är det dock den statliga offentliga utredningen (SOU 1996:95) som har legat till grund för regeringens stäl</w:t>
      </w:r>
      <w:r w:rsidRPr="000A3A07">
        <w:t>l</w:t>
      </w:r>
      <w:r w:rsidRPr="000A3A07">
        <w:t>ningstagande till Botniab</w:t>
      </w:r>
      <w:r w:rsidRPr="000A3A07">
        <w:t>a</w:t>
      </w:r>
      <w:r w:rsidRPr="000A3A07">
        <w:t xml:space="preserve">nan. </w:t>
      </w:r>
    </w:p>
  </w:footnote>
  <w:footnote w:id="21">
    <w:p w14:paraId="72C2E269" w14:textId="77777777" w:rsidR="007C11E9" w:rsidRPr="000A3A07" w:rsidRDefault="007C11E9">
      <w:pPr>
        <w:pStyle w:val="Fotnotstext"/>
      </w:pPr>
      <w:r w:rsidRPr="000A3A07">
        <w:rPr>
          <w:rStyle w:val="Fotnotsreferens"/>
        </w:rPr>
        <w:footnoteRef/>
      </w:r>
      <w:r w:rsidRPr="000A3A07">
        <w:t xml:space="preserve"> Styrelsen i Citytunnelkonsortiet fastställde i januari 2000 en ny projektbudget på     7 120 miljoner kronor i den prisnivå som rådde i januari 1996.</w:t>
      </w:r>
    </w:p>
  </w:footnote>
  <w:footnote w:id="22">
    <w:p w14:paraId="3974C7D0" w14:textId="77777777" w:rsidR="007C11E9" w:rsidRPr="000A3A07" w:rsidRDefault="007C11E9">
      <w:pPr>
        <w:pStyle w:val="Fotnotstext"/>
        <w:spacing w:before="0"/>
      </w:pPr>
      <w:r w:rsidRPr="000A3A07">
        <w:rPr>
          <w:rStyle w:val="Fotnotsreferens"/>
        </w:rPr>
        <w:footnoteRef/>
      </w:r>
      <w:r w:rsidRPr="000A3A07">
        <w:t xml:space="preserve"> I utredningen från 1992 (SOU 1992:114) beräknades kostnaden till 2 900–3 500 miljoner kronor räknat i den prisnivå som rådde i januari 1993. I utredningen från 1994 (SOU 1994:78) beräknades kostnaden till ca 4 000 miljoner kronor, räknat i den prisnivå som rådde i januari 1994.</w:t>
      </w:r>
    </w:p>
  </w:footnote>
  <w:footnote w:id="23">
    <w:p w14:paraId="50223F2B" w14:textId="77777777" w:rsidR="007C11E9" w:rsidRPr="000A3A07" w:rsidRDefault="007C11E9">
      <w:pPr>
        <w:pStyle w:val="Fotnotstext"/>
      </w:pPr>
      <w:r w:rsidRPr="000A3A07">
        <w:rPr>
          <w:rStyle w:val="Fotnotsreferens"/>
        </w:rPr>
        <w:footnoteRef/>
      </w:r>
      <w:r w:rsidRPr="000A3A07">
        <w:t xml:space="preserve"> Detta har väckt stark politisk kritik, se Göransson (2000). </w:t>
      </w:r>
    </w:p>
  </w:footnote>
  <w:footnote w:id="24">
    <w:p w14:paraId="4CDE2ED6" w14:textId="77777777" w:rsidR="007C11E9" w:rsidRPr="000A3A07" w:rsidRDefault="007C11E9">
      <w:pPr>
        <w:pStyle w:val="Fotnotstext"/>
      </w:pPr>
      <w:r w:rsidRPr="000A3A07">
        <w:rPr>
          <w:rStyle w:val="Fotnotsreferens"/>
        </w:rPr>
        <w:footnoteRef/>
      </w:r>
      <w:r w:rsidRPr="000A3A07">
        <w:t xml:space="preserve"> Alternativen kan vara betingade av olika exogena förutsättningar (scenarios) vilket innebär att det kan behövas fler än ett jämförelsealternativ. Om det står klart att vissa åtgärder måste göras i alla händelser är det relevanta jämförelsealternativet inte å</w:t>
      </w:r>
      <w:r w:rsidRPr="000A3A07">
        <w:t>t</w:t>
      </w:r>
      <w:r w:rsidRPr="000A3A07">
        <w:t>gärdsfritt utan innehåller det minimum av åtgärder som måste utföras.</w:t>
      </w:r>
    </w:p>
  </w:footnote>
  <w:footnote w:id="25">
    <w:p w14:paraId="02B795E5" w14:textId="77777777" w:rsidR="007C11E9" w:rsidRPr="000A3A07" w:rsidRDefault="007C11E9">
      <w:pPr>
        <w:pStyle w:val="Fotnotstext"/>
      </w:pPr>
      <w:r w:rsidRPr="000A3A07">
        <w:rPr>
          <w:rStyle w:val="Fotnotsreferens"/>
        </w:rPr>
        <w:footnoteRef/>
      </w:r>
      <w:r w:rsidRPr="000A3A07">
        <w:t xml:space="preserve"> Denna okunskap tycks tyvärr vara utbredd. I samband med att ett underlag togs fram för att bedöma lämpligheten av statliga kreditåtaganden vid Stockholms OS-kandidatur demonstrerade ytterligare tre välrenommerade internationella revisionsf</w:t>
      </w:r>
      <w:r w:rsidRPr="000A3A07">
        <w:t>ö</w:t>
      </w:r>
      <w:r w:rsidRPr="000A3A07">
        <w:t>retag  sin bristande förtrogenhet med de mest enkla principer för samhällsekonomisk kalkylering (som t ex alternativkostnadsbegreppet).</w:t>
      </w:r>
    </w:p>
  </w:footnote>
  <w:footnote w:id="26">
    <w:p w14:paraId="57FE36F9" w14:textId="77777777" w:rsidR="007C11E9" w:rsidRPr="000A3A07" w:rsidRDefault="007C11E9">
      <w:pPr>
        <w:pStyle w:val="Fotnotstext"/>
      </w:pPr>
      <w:r w:rsidRPr="000A3A07">
        <w:rPr>
          <w:rStyle w:val="Fotnotsreferens"/>
        </w:rPr>
        <w:footnoteRef/>
      </w:r>
      <w:r w:rsidRPr="000A3A07">
        <w:t xml:space="preserve"> Framställningen bygger på avsnitt 2 i prop. 1996/97:161.</w:t>
      </w:r>
    </w:p>
  </w:footnote>
  <w:footnote w:id="27">
    <w:p w14:paraId="4E8FE4EC" w14:textId="77777777" w:rsidR="007C11E9" w:rsidRPr="000A3A07" w:rsidRDefault="007C11E9">
      <w:pPr>
        <w:pStyle w:val="Fotnotstext"/>
      </w:pPr>
      <w:r w:rsidRPr="000A3A07">
        <w:rPr>
          <w:rStyle w:val="Fotnotsreferens"/>
        </w:rPr>
        <w:footnoteRef/>
      </w:r>
      <w:r w:rsidRPr="000A3A07">
        <w:t xml:space="preserve"> Enligt uppgift är lutningarna i tunneln sådana att godståg inte utan vidare kan köra denna väg.</w:t>
      </w:r>
    </w:p>
  </w:footnote>
  <w:footnote w:id="28">
    <w:p w14:paraId="014E02E3" w14:textId="77777777" w:rsidR="007C11E9" w:rsidRPr="000A3A07" w:rsidRDefault="007C11E9">
      <w:pPr>
        <w:pStyle w:val="Fotnotstext"/>
      </w:pPr>
      <w:r w:rsidRPr="000A3A07">
        <w:rPr>
          <w:rStyle w:val="Fotnotsreferens"/>
        </w:rPr>
        <w:footnoteRef/>
      </w:r>
      <w:r w:rsidRPr="000A3A07">
        <w:t xml:space="preserve"> Texten är i huvudsak en direkt återgivning av rapportens slutsatser. En språklig omformulering av den ursprungliga texten har skett i så måtto att de antaganden som görs och de slutsatser som dras har lyfts fram; jfr Inregia (1996) s 2-3.</w:t>
      </w:r>
    </w:p>
  </w:footnote>
  <w:footnote w:id="29">
    <w:p w14:paraId="28D16714" w14:textId="77777777" w:rsidR="007C11E9" w:rsidRPr="000A3A07" w:rsidRDefault="007C11E9">
      <w:pPr>
        <w:pStyle w:val="Fotnotstext"/>
      </w:pPr>
      <w:r w:rsidRPr="000A3A07">
        <w:rPr>
          <w:rStyle w:val="Fotnotsreferens"/>
        </w:rPr>
        <w:footnoteRef/>
      </w:r>
      <w:r w:rsidRPr="000A3A07">
        <w:t xml:space="preserve"> Det är oklart om denna beräkning är en del av det material som sedermera present</w:t>
      </w:r>
      <w:r w:rsidRPr="000A3A07">
        <w:t>e</w:t>
      </w:r>
      <w:r w:rsidRPr="000A3A07">
        <w:t>ras i rapporten.</w:t>
      </w:r>
    </w:p>
  </w:footnote>
  <w:footnote w:id="30">
    <w:p w14:paraId="046C2EFB" w14:textId="77777777" w:rsidR="007C11E9" w:rsidRPr="000A3A07" w:rsidRDefault="007C11E9">
      <w:pPr>
        <w:pStyle w:val="Fotnotstext"/>
      </w:pPr>
      <w:r w:rsidRPr="000A3A07">
        <w:rPr>
          <w:rStyle w:val="Fotnotsreferens"/>
        </w:rPr>
        <w:footnoteRef/>
      </w:r>
      <w:r w:rsidRPr="000A3A07">
        <w:t xml:space="preserve"> Vi utgår här från att det inte är skillnader i skatter eller det offentliga regelverket som utgör grunden för flytten eftersom det i så fall inte är säkert att den reala förän</w:t>
      </w:r>
      <w:r w:rsidRPr="000A3A07">
        <w:t>d</w:t>
      </w:r>
      <w:r w:rsidRPr="000A3A07">
        <w:t>ringen är av godo. Inte heller görs någon distinktion mellan om nyttan tillfaller sven</w:t>
      </w:r>
      <w:r w:rsidRPr="000A3A07">
        <w:t>s</w:t>
      </w:r>
      <w:r w:rsidRPr="000A3A07">
        <w:t>ka eller danska medborgare.</w:t>
      </w:r>
    </w:p>
  </w:footnote>
  <w:footnote w:id="31">
    <w:p w14:paraId="45530174" w14:textId="77777777" w:rsidR="007C11E9" w:rsidRPr="000A3A07" w:rsidRDefault="007C11E9">
      <w:pPr>
        <w:pStyle w:val="Fotnotstext"/>
      </w:pPr>
      <w:r w:rsidRPr="000A3A07">
        <w:rPr>
          <w:rStyle w:val="Fotnotsreferens"/>
        </w:rPr>
        <w:footnoteRef/>
      </w:r>
      <w:r w:rsidRPr="000A3A07">
        <w:rPr>
          <w:rStyle w:val="Fotnotsreferens"/>
        </w:rPr>
        <w:t>*</w:t>
      </w:r>
      <w:r w:rsidRPr="000A3A07">
        <w:t xml:space="preserve"> Dennisöverenskommelsen var ännu intakt år 1996. Anledningen till att ett uppdrag att beräkna lönsamheten separat för ett vägprojekt i Dennispaketet, mot Dennispart</w:t>
      </w:r>
      <w:r w:rsidRPr="000A3A07">
        <w:t>i</w:t>
      </w:r>
      <w:r w:rsidRPr="000A3A07">
        <w:t>ernas policy att endast se på helheten, var att Finansborgarrådet Mats Hult ville gå stödpartierna i Stockholm (mp och sp) till mötes. Materialet skulle ingå som underlag vid en miljöprövning av  Södra Länken (på samma sätt som för Norra Länken) samt vid behandlingen av detaljplaner för olika vägavsnitt av Södra Länken som skulle föreläggas kom</w:t>
      </w:r>
      <w:r w:rsidRPr="000A3A07">
        <w:t>munalfullmäktige för beslut.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F886" w14:textId="77777777" w:rsidR="007C11E9" w:rsidRPr="000A3A07" w:rsidRDefault="007C11E9">
    <w:pPr>
      <w:pStyle w:val="SidhuvudKant"/>
      <w:framePr w:w="1758" w:h="2744" w:hRule="exact" w:wrap="around" w:vAnchor="page" w:hAnchor="page" w:x="7372" w:y="568" w:anchorLock="0"/>
    </w:pPr>
    <w:r w:rsidRPr="000A3A07">
      <w:t>2000/01:RR11</w:t>
    </w:r>
  </w:p>
  <w:p w14:paraId="334C2E75" w14:textId="77777777" w:rsidR="007C11E9" w:rsidRPr="000A3A07" w:rsidRDefault="007C11E9">
    <w:pPr>
      <w:pStyle w:val="SidhuvudKantBilaga"/>
      <w:framePr w:w="1758" w:h="2744" w:hRule="exact" w:wrap="around" w:vAnchor="page" w:hAnchor="page" w:x="7372" w:y="568" w:anchorLock="0"/>
    </w:pPr>
  </w:p>
  <w:p w14:paraId="0C9F0910" w14:textId="77777777" w:rsidR="007C11E9" w:rsidRPr="000A3A07" w:rsidRDefault="007C11E9">
    <w:pPr>
      <w:pStyle w:val="SidhuvudKant"/>
      <w:framePr w:w="1758" w:h="2744" w:hRule="exact" w:wrap="around" w:vAnchor="page" w:hAnchor="page" w:x="7372" w:y="568" w:anchorLock="0"/>
    </w:pPr>
  </w:p>
  <w:p w14:paraId="4C2B5406" w14:textId="77777777" w:rsidR="007C11E9" w:rsidRPr="000A3A07" w:rsidRDefault="007C11E9">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E4A4" w14:textId="77777777" w:rsidR="007C11E9" w:rsidRPr="000A3A07" w:rsidRDefault="007C11E9">
    <w:pPr>
      <w:pStyle w:val="SidhuvudKant"/>
      <w:framePr w:w="1757" w:h="2744" w:hRule="exact" w:wrap="around" w:vAnchor="page" w:hAnchor="page" w:x="7371" w:y="567"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93</w:instrText>
    </w:r>
    <w:r w:rsidRPr="000A3A07">
      <w:fldChar w:fldCharType="end"/>
    </w:r>
    <w:r w:rsidRPr="000A3A07">
      <w:instrText xml:space="preserve"> &gt; 1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46615965" w14:textId="77777777" w:rsidR="007C11E9" w:rsidRPr="000A3A07" w:rsidRDefault="007C11E9">
    <w:pPr>
      <w:pStyle w:val="SidhuvudKantBilaga"/>
      <w:framePr w:w="1757" w:h="2744" w:hRule="exact" w:wrap="around" w:vAnchor="page" w:hAnchor="page" w:x="7371" w:y="567" w:anchorLock="0"/>
    </w:pPr>
    <w:r w:rsidRPr="000A3A07">
      <w:instrText>Bilaga 1</w:instrText>
    </w:r>
  </w:p>
  <w:p w14:paraId="1FAF4E29" w14:textId="77777777" w:rsidR="007C11E9" w:rsidRPr="000A3A07" w:rsidRDefault="007C11E9">
    <w:pPr>
      <w:pStyle w:val="SidhuvudKant"/>
      <w:framePr w:w="1757" w:h="2744" w:hRule="exact" w:wrap="around" w:vAnchor="page" w:hAnchor="page" w:x="7371" w:y="567"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235645E6" w14:textId="77777777" w:rsidR="007C11E9" w:rsidRPr="000A3A07" w:rsidRDefault="007C11E9">
    <w:pPr>
      <w:pStyle w:val="SidhuvudKantBilaga"/>
      <w:framePr w:w="1757" w:h="2744" w:hRule="exact" w:wrap="around" w:vAnchor="page" w:hAnchor="page" w:x="7371" w:y="567" w:anchorLock="0"/>
    </w:pPr>
    <w:r w:rsidRPr="000A3A07">
      <w:t>Bilaga 1</w:t>
    </w:r>
  </w:p>
  <w:p w14:paraId="3FC45B93" w14:textId="77777777" w:rsidR="007C11E9" w:rsidRPr="000A3A07" w:rsidRDefault="007C11E9">
    <w:pPr>
      <w:pStyle w:val="SidhuvudKant"/>
      <w:framePr w:w="1757" w:h="2744" w:hRule="exact" w:wrap="around" w:vAnchor="page" w:hAnchor="page" w:x="7371" w:y="567" w:anchorLock="0"/>
    </w:pPr>
    <w:r w:rsidRPr="000A3A07">
      <w:fldChar w:fldCharType="end"/>
    </w:r>
  </w:p>
  <w:p w14:paraId="6AF9FA21" w14:textId="77777777" w:rsidR="007C11E9" w:rsidRPr="000A3A07" w:rsidRDefault="007C11E9">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0675" w14:textId="77777777" w:rsidR="007C11E9" w:rsidRPr="000A3A07" w:rsidRDefault="007C11E9">
    <w:pPr>
      <w:pStyle w:val="SidhuvudKant"/>
      <w:framePr w:w="1757" w:h="2744" w:hRule="exact" w:wrap="around" w:vAnchor="page" w:hAnchor="page" w:x="7371" w:y="567" w:anchorLock="0"/>
    </w:pPr>
  </w:p>
  <w:p w14:paraId="6D98A16D" w14:textId="77777777" w:rsidR="007C11E9" w:rsidRPr="000A3A07" w:rsidRDefault="007C11E9">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D8C" w14:textId="77777777" w:rsidR="007C11E9" w:rsidRPr="000A3A07" w:rsidRDefault="007C11E9">
    <w:pPr>
      <w:pStyle w:val="SidhuvudKant"/>
      <w:framePr w:w="1758" w:h="2744" w:hRule="exact" w:wrap="around" w:vAnchor="page" w:hAnchor="page" w:x="7372" w:y="568"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95</w:instrText>
    </w:r>
    <w:r w:rsidRPr="000A3A07">
      <w:fldChar w:fldCharType="end"/>
    </w:r>
    <w:r w:rsidRPr="000A3A07">
      <w:instrText xml:space="preserve"> &gt; 1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1E7572CC" w14:textId="77777777" w:rsidR="007C11E9" w:rsidRPr="000A3A07" w:rsidRDefault="007C11E9">
    <w:pPr>
      <w:pStyle w:val="SidhuvudKantBilaga"/>
      <w:framePr w:w="1758" w:h="2744" w:hRule="exact" w:wrap="around" w:vAnchor="page" w:hAnchor="page" w:x="7372" w:y="568" w:anchorLock="0"/>
    </w:pPr>
    <w:r w:rsidRPr="000A3A07">
      <w:instrText>Underbilaga 1</w:instrText>
    </w:r>
  </w:p>
  <w:p w14:paraId="1AC1B4E8" w14:textId="77777777" w:rsidR="007C11E9" w:rsidRPr="000A3A07" w:rsidRDefault="007C11E9">
    <w:pPr>
      <w:pStyle w:val="SidhuvudKant"/>
      <w:framePr w:w="1758" w:h="2744" w:hRule="exact" w:wrap="around" w:vAnchor="page" w:hAnchor="page" w:x="7372" w:y="568"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1445F5FC" w14:textId="77777777" w:rsidR="007C11E9" w:rsidRPr="000A3A07" w:rsidRDefault="007C11E9">
    <w:pPr>
      <w:pStyle w:val="SidhuvudKantBilaga"/>
      <w:framePr w:w="1758" w:h="2744" w:hRule="exact" w:wrap="around" w:vAnchor="page" w:hAnchor="page" w:x="7372" w:y="568" w:anchorLock="0"/>
    </w:pPr>
    <w:r w:rsidRPr="000A3A07">
      <w:t>Underbilaga 1</w:t>
    </w:r>
  </w:p>
  <w:p w14:paraId="5AFA85E2" w14:textId="77777777" w:rsidR="007C11E9" w:rsidRPr="000A3A07" w:rsidRDefault="007C11E9">
    <w:pPr>
      <w:pStyle w:val="SidhuvudKant"/>
      <w:framePr w:w="1758" w:h="2744" w:hRule="exact" w:wrap="around" w:vAnchor="page" w:hAnchor="page" w:x="7372" w:y="568" w:anchorLock="0"/>
    </w:pPr>
    <w:r w:rsidRPr="000A3A07">
      <w:fldChar w:fldCharType="end"/>
    </w:r>
    <w:r w:rsidRPr="000A3A07">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D440" w14:textId="77777777" w:rsidR="007C11E9" w:rsidRPr="000A3A07" w:rsidRDefault="007C11E9">
    <w:pPr>
      <w:pStyle w:val="SidhuvudKant"/>
      <w:framePr w:w="1757" w:h="2744" w:hRule="exact" w:wrap="around" w:vAnchor="page" w:hAnchor="page" w:x="7371" w:y="567" w:anchorLock="0"/>
    </w:pPr>
  </w:p>
  <w:p w14:paraId="24EA7D68" w14:textId="77777777" w:rsidR="007C11E9" w:rsidRPr="000A3A07" w:rsidRDefault="007C11E9">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F0A7" w14:textId="77777777" w:rsidR="007C11E9" w:rsidRPr="000A3A07" w:rsidRDefault="007C11E9">
    <w:pPr>
      <w:pStyle w:val="SidhuvudKant"/>
      <w:framePr w:w="1757" w:h="2744" w:hRule="exact" w:wrap="around" w:vAnchor="page" w:hAnchor="page" w:x="7371" w:y="567"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117</w:instrText>
    </w:r>
    <w:r w:rsidRPr="000A3A07">
      <w:fldChar w:fldCharType="end"/>
    </w:r>
    <w:r w:rsidRPr="000A3A07">
      <w:instrText xml:space="preserve"> &gt; 1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5D99FE73" w14:textId="77777777" w:rsidR="007C11E9" w:rsidRPr="000A3A07" w:rsidRDefault="007C11E9">
    <w:pPr>
      <w:pStyle w:val="SidhuvudKantBilaga"/>
      <w:framePr w:w="1757" w:h="2744" w:hRule="exact" w:wrap="around" w:vAnchor="page" w:hAnchor="page" w:x="7371" w:y="567" w:anchorLock="0"/>
    </w:pPr>
    <w:r w:rsidRPr="000A3A07">
      <w:instrText>Underbilaga 1</w:instrText>
    </w:r>
  </w:p>
  <w:p w14:paraId="77C35C10" w14:textId="77777777" w:rsidR="007C11E9" w:rsidRPr="000A3A07" w:rsidRDefault="007C11E9">
    <w:pPr>
      <w:pStyle w:val="SidhuvudKant"/>
      <w:framePr w:w="1757" w:h="2744" w:hRule="exact" w:wrap="around" w:vAnchor="page" w:hAnchor="page" w:x="7371" w:y="567"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1CAFCD4C" w14:textId="77777777" w:rsidR="007C11E9" w:rsidRPr="000A3A07" w:rsidRDefault="007C11E9">
    <w:pPr>
      <w:pStyle w:val="SidhuvudKantBilaga"/>
      <w:framePr w:w="1757" w:h="2744" w:hRule="exact" w:wrap="around" w:vAnchor="page" w:hAnchor="page" w:x="7371" w:y="567" w:anchorLock="0"/>
    </w:pPr>
    <w:r w:rsidRPr="000A3A07">
      <w:t>Underbilaga 1</w:t>
    </w:r>
  </w:p>
  <w:p w14:paraId="1F639D46" w14:textId="77777777" w:rsidR="007C11E9" w:rsidRPr="000A3A07" w:rsidRDefault="007C11E9">
    <w:pPr>
      <w:pStyle w:val="SidhuvudKant"/>
      <w:framePr w:w="1757" w:h="2744" w:hRule="exact" w:wrap="around" w:vAnchor="page" w:hAnchor="page" w:x="7371" w:y="567" w:anchorLock="0"/>
    </w:pPr>
    <w:r w:rsidRPr="000A3A07">
      <w:fldChar w:fldCharType="end"/>
    </w:r>
  </w:p>
  <w:p w14:paraId="4B9556E7" w14:textId="77777777" w:rsidR="007C11E9" w:rsidRPr="000A3A07" w:rsidRDefault="007C11E9">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15BB" w14:textId="77777777" w:rsidR="007C11E9" w:rsidRPr="000A3A07" w:rsidRDefault="007C11E9">
    <w:pPr>
      <w:pStyle w:val="SidhuvudKant"/>
      <w:framePr w:w="1757" w:h="2744" w:hRule="exact" w:wrap="around" w:vAnchor="page" w:hAnchor="page" w:x="7371" w:y="567" w:anchorLock="0"/>
    </w:pPr>
  </w:p>
  <w:p w14:paraId="525E6B6B" w14:textId="77777777" w:rsidR="007C11E9" w:rsidRPr="000A3A07" w:rsidRDefault="007C11E9">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17" w:name="sidEttNr"/>
  <w:p w14:paraId="3828F7D8" w14:textId="77777777" w:rsidR="007C11E9" w:rsidRPr="000A3A07" w:rsidRDefault="007C11E9">
    <w:pPr>
      <w:pStyle w:val="SidhuvudKant"/>
      <w:framePr w:w="1758" w:h="2744" w:hRule="exact" w:wrap="around" w:vAnchor="page" w:hAnchor="page" w:x="7372" w:y="568"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119</w:instrText>
    </w:r>
    <w:r w:rsidRPr="000A3A07">
      <w:fldChar w:fldCharType="end"/>
    </w:r>
    <w:r w:rsidRPr="000A3A07">
      <w:instrText xml:space="preserve"> &gt; 1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16B8F974" w14:textId="77777777" w:rsidR="007C11E9" w:rsidRPr="000A3A07" w:rsidRDefault="007C11E9">
    <w:pPr>
      <w:pStyle w:val="SidhuvudKantBilaga"/>
      <w:framePr w:w="1758" w:h="2744" w:hRule="exact" w:wrap="around" w:vAnchor="page" w:hAnchor="page" w:x="7372" w:y="568" w:anchorLock="0"/>
    </w:pPr>
    <w:r w:rsidRPr="000A3A07">
      <w:instrText>Underbilaga 2</w:instrText>
    </w:r>
  </w:p>
  <w:p w14:paraId="5146A4C4" w14:textId="77777777" w:rsidR="007C11E9" w:rsidRPr="000A3A07" w:rsidRDefault="007C11E9">
    <w:pPr>
      <w:pStyle w:val="SidhuvudKant"/>
      <w:framePr w:w="1758" w:h="2744" w:hRule="exact" w:wrap="around" w:vAnchor="page" w:hAnchor="page" w:x="7372" w:y="568"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1E2BD3F0" w14:textId="77777777" w:rsidR="007C11E9" w:rsidRPr="000A3A07" w:rsidRDefault="007C11E9">
    <w:pPr>
      <w:pStyle w:val="SidhuvudKantBilaga"/>
      <w:framePr w:w="1758" w:h="2744" w:hRule="exact" w:wrap="around" w:vAnchor="page" w:hAnchor="page" w:x="7372" w:y="568" w:anchorLock="0"/>
    </w:pPr>
    <w:r w:rsidRPr="000A3A07">
      <w:t>Underbilaga 2</w:t>
    </w:r>
  </w:p>
  <w:p w14:paraId="126E64C6" w14:textId="77777777" w:rsidR="007C11E9" w:rsidRPr="000A3A07" w:rsidRDefault="007C11E9">
    <w:pPr>
      <w:pStyle w:val="SidhuvudKant"/>
      <w:framePr w:w="1758" w:h="2744" w:hRule="exact" w:wrap="around" w:vAnchor="page" w:hAnchor="page" w:x="7372" w:y="568" w:anchorLock="0"/>
    </w:pPr>
    <w:r w:rsidRPr="000A3A07">
      <w:fldChar w:fldCharType="end"/>
    </w:r>
  </w:p>
  <w:bookmarkEnd w:id="217"/>
  <w:p w14:paraId="301CB774" w14:textId="77777777" w:rsidR="007C11E9" w:rsidRPr="000A3A07" w:rsidRDefault="007C11E9">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48FA" w14:textId="77777777" w:rsidR="007C11E9" w:rsidRPr="000A3A07" w:rsidRDefault="007C11E9">
    <w:pPr>
      <w:pStyle w:val="SidhuvudKant"/>
      <w:framePr w:w="1757" w:h="2744" w:hRule="exact" w:wrap="around" w:vAnchor="page" w:hAnchor="page" w:x="7371" w:y="567" w:anchorLock="0"/>
    </w:pPr>
  </w:p>
  <w:p w14:paraId="185A6987" w14:textId="77777777" w:rsidR="007C11E9" w:rsidRPr="000A3A07" w:rsidRDefault="007C11E9">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FA5D" w14:textId="77777777" w:rsidR="007C11E9" w:rsidRPr="000A3A07" w:rsidRDefault="007C11E9">
    <w:pPr>
      <w:pStyle w:val="SidhuvudKant"/>
      <w:framePr w:w="1757" w:h="2744" w:hRule="exact" w:wrap="around" w:vAnchor="page" w:hAnchor="page" w:x="7371" w:y="567"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149</w:instrText>
    </w:r>
    <w:r w:rsidRPr="000A3A07">
      <w:fldChar w:fldCharType="end"/>
    </w:r>
    <w:r w:rsidRPr="000A3A07">
      <w:instrText xml:space="preserve"> &gt; 1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4C1F818C" w14:textId="77777777" w:rsidR="007C11E9" w:rsidRPr="000A3A07" w:rsidRDefault="007C11E9">
    <w:pPr>
      <w:pStyle w:val="SidhuvudKantBilaga"/>
      <w:framePr w:w="1757" w:h="2744" w:hRule="exact" w:wrap="around" w:vAnchor="page" w:hAnchor="page" w:x="7371" w:y="567" w:anchorLock="0"/>
    </w:pPr>
    <w:r w:rsidRPr="000A3A07">
      <w:instrText>Underbilaga 2</w:instrText>
    </w:r>
  </w:p>
  <w:p w14:paraId="6FB9C7CD" w14:textId="77777777" w:rsidR="007C11E9" w:rsidRPr="000A3A07" w:rsidRDefault="007C11E9">
    <w:pPr>
      <w:pStyle w:val="SidhuvudKant"/>
      <w:framePr w:w="1757" w:h="2744" w:hRule="exact" w:wrap="around" w:vAnchor="page" w:hAnchor="page" w:x="7371" w:y="567"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4532EB8C" w14:textId="77777777" w:rsidR="007C11E9" w:rsidRPr="000A3A07" w:rsidRDefault="007C11E9">
    <w:pPr>
      <w:pStyle w:val="SidhuvudKantBilaga"/>
      <w:framePr w:w="1757" w:h="2744" w:hRule="exact" w:wrap="around" w:vAnchor="page" w:hAnchor="page" w:x="7371" w:y="567" w:anchorLock="0"/>
    </w:pPr>
    <w:r w:rsidRPr="000A3A07">
      <w:t>Underbilaga 2</w:t>
    </w:r>
  </w:p>
  <w:p w14:paraId="4D833F3D" w14:textId="77777777" w:rsidR="007C11E9" w:rsidRPr="000A3A07" w:rsidRDefault="007C11E9">
    <w:pPr>
      <w:pStyle w:val="SidhuvudKant"/>
      <w:framePr w:w="1757" w:h="2744" w:hRule="exact" w:wrap="around" w:vAnchor="page" w:hAnchor="page" w:x="7371" w:y="567" w:anchorLock="0"/>
    </w:pPr>
    <w:r w:rsidRPr="000A3A07">
      <w:fldChar w:fldCharType="end"/>
    </w:r>
  </w:p>
  <w:p w14:paraId="3F1DD7C9" w14:textId="77777777" w:rsidR="007C11E9" w:rsidRPr="000A3A07" w:rsidRDefault="007C11E9">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F04B" w14:textId="77777777" w:rsidR="007C11E9" w:rsidRPr="000A3A07" w:rsidRDefault="007C11E9">
    <w:pPr>
      <w:pStyle w:val="SidhuvudKant"/>
      <w:framePr w:w="1757" w:h="2744" w:hRule="exact" w:wrap="around" w:vAnchor="page" w:hAnchor="page" w:x="7371" w:y="567" w:anchorLock="0"/>
    </w:pPr>
  </w:p>
  <w:p w14:paraId="652E4EA7" w14:textId="77777777" w:rsidR="007C11E9" w:rsidRPr="000A3A07" w:rsidRDefault="007C11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A933" w14:textId="77777777" w:rsidR="007C11E9" w:rsidRPr="000A3A07" w:rsidRDefault="007C11E9">
    <w:pPr>
      <w:pStyle w:val="SidhuvudKant"/>
      <w:framePr w:w="1757" w:h="2744" w:hRule="exact" w:wrap="around" w:vAnchor="page" w:hAnchor="page" w:x="7371" w:y="567" w:anchorLock="0"/>
    </w:pPr>
    <w:r w:rsidRPr="000A3A07">
      <w:t>2000/01:RR11</w:t>
    </w:r>
  </w:p>
  <w:p w14:paraId="5D48F233" w14:textId="77777777" w:rsidR="007C11E9" w:rsidRPr="000A3A07" w:rsidRDefault="007C11E9">
    <w:pPr>
      <w:pStyle w:val="SidhuvudKantBilaga"/>
      <w:framePr w:w="1757" w:h="2744" w:hRule="exact" w:wrap="around" w:vAnchor="page" w:hAnchor="page" w:x="7371" w:y="567" w:anchorLock="0"/>
    </w:pPr>
    <w:r w:rsidRPr="000A3A07">
      <w:t>Bilaga 1</w:t>
    </w:r>
  </w:p>
  <w:p w14:paraId="52808537" w14:textId="77777777" w:rsidR="007C11E9" w:rsidRPr="000A3A07" w:rsidRDefault="007C11E9">
    <w:pPr>
      <w:pStyle w:val="SidhuvudKant"/>
      <w:framePr w:w="1757" w:h="2744" w:hRule="exact" w:wrap="around" w:vAnchor="page" w:hAnchor="page" w:x="7371" w:y="567" w:anchorLock="0"/>
    </w:pPr>
  </w:p>
  <w:p w14:paraId="27835E08" w14:textId="77777777" w:rsidR="007C11E9" w:rsidRPr="000A3A07" w:rsidRDefault="007C11E9">
    <w:pPr>
      <w:pStyle w:val="Sidhuvu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31CA" w14:textId="77777777" w:rsidR="007C11E9" w:rsidRPr="000A3A07" w:rsidRDefault="007C11E9">
    <w:pPr>
      <w:pStyle w:val="SidhuvudKant"/>
      <w:framePr w:w="1757" w:h="2744" w:hRule="exact" w:wrap="around" w:vAnchor="page" w:hAnchor="page" w:x="7371" w:y="567"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151</w:instrText>
    </w:r>
    <w:r w:rsidRPr="000A3A07">
      <w:fldChar w:fldCharType="end"/>
    </w:r>
    <w:r w:rsidRPr="000A3A07">
      <w:instrText xml:space="preserve"> &gt; 1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1AFE12E3" w14:textId="77777777" w:rsidR="007C11E9" w:rsidRPr="000A3A07" w:rsidRDefault="007C11E9">
    <w:pPr>
      <w:pStyle w:val="SidhuvudKantBilaga"/>
      <w:framePr w:w="1757" w:h="2744" w:hRule="exact" w:wrap="around" w:vAnchor="page" w:hAnchor="page" w:x="7371" w:y="567" w:anchorLock="0"/>
    </w:pPr>
    <w:r w:rsidRPr="000A3A07">
      <w:instrText>Underbilaga 3</w:instrText>
    </w:r>
  </w:p>
  <w:p w14:paraId="202755B9" w14:textId="77777777" w:rsidR="007C11E9" w:rsidRPr="000A3A07" w:rsidRDefault="007C11E9">
    <w:pPr>
      <w:pStyle w:val="SidhuvudKant"/>
      <w:framePr w:w="1757" w:h="2744" w:hRule="exact" w:wrap="around" w:vAnchor="page" w:hAnchor="page" w:x="7371" w:y="567"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20106A15" w14:textId="77777777" w:rsidR="007C11E9" w:rsidRPr="000A3A07" w:rsidRDefault="007C11E9">
    <w:pPr>
      <w:pStyle w:val="SidhuvudKantBilaga"/>
      <w:framePr w:w="1757" w:h="2744" w:hRule="exact" w:wrap="around" w:vAnchor="page" w:hAnchor="page" w:x="7371" w:y="567" w:anchorLock="0"/>
    </w:pPr>
    <w:r w:rsidRPr="000A3A07">
      <w:t>Underbilaga 3</w:t>
    </w:r>
  </w:p>
  <w:p w14:paraId="30C2733C" w14:textId="77777777" w:rsidR="007C11E9" w:rsidRPr="000A3A07" w:rsidRDefault="007C11E9">
    <w:pPr>
      <w:pStyle w:val="SidhuvudKant"/>
      <w:framePr w:w="1757" w:h="2744" w:hRule="exact" w:wrap="around" w:vAnchor="page" w:hAnchor="page" w:x="7371" w:y="567" w:anchorLock="0"/>
    </w:pPr>
    <w:r w:rsidRPr="000A3A07">
      <w:fldChar w:fldCharType="end"/>
    </w:r>
  </w:p>
  <w:p w14:paraId="2ECB82D7" w14:textId="77777777" w:rsidR="007C11E9" w:rsidRPr="000A3A07" w:rsidRDefault="007C11E9">
    <w:pPr>
      <w:pStyle w:val="Sidhuvu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8F9F" w14:textId="77777777" w:rsidR="007C11E9" w:rsidRPr="000A3A07" w:rsidRDefault="007C11E9">
    <w:pPr>
      <w:pStyle w:val="SidhuvudKant"/>
      <w:framePr w:w="1758" w:h="2744" w:hRule="exact" w:wrap="around" w:vAnchor="page" w:hAnchor="page" w:x="7372" w:y="568" w:anchorLock="0"/>
    </w:pPr>
  </w:p>
  <w:p w14:paraId="1E367CDD" w14:textId="77777777" w:rsidR="007C11E9" w:rsidRPr="000A3A07" w:rsidRDefault="007C11E9">
    <w:pPr>
      <w:pStyle w:val="Sidhuvu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3F74" w14:textId="77777777" w:rsidR="007C11E9" w:rsidRPr="000A3A07" w:rsidRDefault="007C11E9">
    <w:pPr>
      <w:pStyle w:val="SidhuvudKant"/>
      <w:framePr w:w="1757" w:h="2744" w:hRule="exact" w:wrap="around" w:vAnchor="page" w:hAnchor="page" w:x="7371" w:y="567"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182</w:instrText>
    </w:r>
    <w:r w:rsidRPr="000A3A07">
      <w:fldChar w:fldCharType="end"/>
    </w:r>
    <w:r w:rsidRPr="000A3A07">
      <w:instrText xml:space="preserve"> &gt; 1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46E013E4" w14:textId="77777777" w:rsidR="007C11E9" w:rsidRPr="000A3A07" w:rsidRDefault="007C11E9">
    <w:pPr>
      <w:pStyle w:val="SidhuvudKantBilaga"/>
      <w:framePr w:w="1757" w:h="2744" w:hRule="exact" w:wrap="around" w:vAnchor="page" w:hAnchor="page" w:x="7371" w:y="567" w:anchorLock="0"/>
    </w:pPr>
    <w:r w:rsidRPr="000A3A07">
      <w:instrText>Underbilaga 3</w:instrText>
    </w:r>
  </w:p>
  <w:p w14:paraId="1D67E800" w14:textId="77777777" w:rsidR="007C11E9" w:rsidRPr="000A3A07" w:rsidRDefault="007C11E9">
    <w:pPr>
      <w:pStyle w:val="SidhuvudKant"/>
      <w:framePr w:w="1757" w:h="2744" w:hRule="exact" w:wrap="around" w:vAnchor="page" w:hAnchor="page" w:x="7371" w:y="567"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363BF721" w14:textId="77777777" w:rsidR="007C11E9" w:rsidRPr="000A3A07" w:rsidRDefault="007C11E9">
    <w:pPr>
      <w:pStyle w:val="SidhuvudKantBilaga"/>
      <w:framePr w:w="1757" w:h="2744" w:hRule="exact" w:wrap="around" w:vAnchor="page" w:hAnchor="page" w:x="7371" w:y="567" w:anchorLock="0"/>
    </w:pPr>
    <w:r w:rsidRPr="000A3A07">
      <w:t>Underbilaga 3</w:t>
    </w:r>
  </w:p>
  <w:p w14:paraId="3584907E" w14:textId="77777777" w:rsidR="007C11E9" w:rsidRPr="000A3A07" w:rsidRDefault="007C11E9">
    <w:pPr>
      <w:pStyle w:val="SidhuvudKant"/>
      <w:framePr w:w="1757" w:h="2744" w:hRule="exact" w:wrap="around" w:vAnchor="page" w:hAnchor="page" w:x="7371" w:y="567" w:anchorLock="0"/>
    </w:pPr>
    <w:r w:rsidRPr="000A3A07">
      <w:fldChar w:fldCharType="end"/>
    </w:r>
  </w:p>
  <w:p w14:paraId="39A81401" w14:textId="77777777" w:rsidR="007C11E9" w:rsidRPr="000A3A07" w:rsidRDefault="007C11E9">
    <w:pPr>
      <w:pStyle w:val="Sidhuvud"/>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6F57" w14:textId="77777777" w:rsidR="007C11E9" w:rsidRPr="000A3A07" w:rsidRDefault="007C11E9">
    <w:pPr>
      <w:pStyle w:val="SidhuvudKant"/>
      <w:framePr w:w="1757" w:h="2744" w:hRule="exact" w:wrap="around" w:vAnchor="page" w:hAnchor="page" w:x="7371" w:y="567"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183</w:instrText>
    </w:r>
    <w:r w:rsidRPr="000A3A07">
      <w:fldChar w:fldCharType="end"/>
    </w:r>
    <w:r w:rsidRPr="000A3A07">
      <w:instrText xml:space="preserve"> &gt; 1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3A6013FA" w14:textId="77777777" w:rsidR="007C11E9" w:rsidRPr="000A3A07" w:rsidRDefault="007C11E9">
    <w:pPr>
      <w:pStyle w:val="SidhuvudKantBilaga"/>
      <w:framePr w:w="1757" w:h="2744" w:hRule="exact" w:wrap="around" w:vAnchor="page" w:hAnchor="page" w:x="7371" w:y="567" w:anchorLock="0"/>
    </w:pPr>
    <w:r w:rsidRPr="000A3A07">
      <w:instrText>Underbilaga 4</w:instrText>
    </w:r>
  </w:p>
  <w:p w14:paraId="12EB4094" w14:textId="77777777" w:rsidR="007C11E9" w:rsidRPr="000A3A07" w:rsidRDefault="007C11E9">
    <w:pPr>
      <w:pStyle w:val="SidhuvudKant"/>
      <w:framePr w:w="1757" w:h="2744" w:hRule="exact" w:wrap="around" w:vAnchor="page" w:hAnchor="page" w:x="7371" w:y="567"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661930AD" w14:textId="77777777" w:rsidR="007C11E9" w:rsidRPr="000A3A07" w:rsidRDefault="007C11E9">
    <w:pPr>
      <w:pStyle w:val="SidhuvudKantBilaga"/>
      <w:framePr w:w="1757" w:h="2744" w:hRule="exact" w:wrap="around" w:vAnchor="page" w:hAnchor="page" w:x="7371" w:y="567" w:anchorLock="0"/>
    </w:pPr>
    <w:r w:rsidRPr="000A3A07">
      <w:t>Underbilaga 4</w:t>
    </w:r>
  </w:p>
  <w:p w14:paraId="6F6D3E8D" w14:textId="77777777" w:rsidR="007C11E9" w:rsidRPr="000A3A07" w:rsidRDefault="007C11E9">
    <w:pPr>
      <w:pStyle w:val="SidhuvudKant"/>
      <w:framePr w:w="1757" w:h="2744" w:hRule="exact" w:wrap="around" w:vAnchor="page" w:hAnchor="page" w:x="7371" w:y="567" w:anchorLock="0"/>
    </w:pPr>
    <w:r w:rsidRPr="000A3A07">
      <w:fldChar w:fldCharType="end"/>
    </w:r>
  </w:p>
  <w:p w14:paraId="4D05A208" w14:textId="77777777" w:rsidR="007C11E9" w:rsidRPr="000A3A07" w:rsidRDefault="007C11E9">
    <w:pPr>
      <w:pStyle w:val="Sidhuvud"/>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DACD" w14:textId="77777777" w:rsidR="007C11E9" w:rsidRPr="000A3A07" w:rsidRDefault="007C11E9">
    <w:pPr>
      <w:pStyle w:val="SidhuvudKant"/>
      <w:framePr w:w="1757" w:h="2744" w:hRule="exact" w:wrap="around" w:vAnchor="page" w:hAnchor="page" w:x="7371" w:y="567" w:anchorLock="0"/>
    </w:pPr>
  </w:p>
  <w:p w14:paraId="5232CA15" w14:textId="77777777" w:rsidR="007C11E9" w:rsidRPr="000A3A07" w:rsidRDefault="007C11E9">
    <w:pPr>
      <w:pStyle w:val="Sidhuvud"/>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CF03" w14:textId="77777777" w:rsidR="007C11E9" w:rsidRPr="000A3A07" w:rsidRDefault="007C11E9">
    <w:pPr>
      <w:pStyle w:val="SidhuvudKant"/>
      <w:framePr w:w="1757" w:h="2744" w:hRule="exact" w:wrap="around" w:vAnchor="page" w:hAnchor="page" w:x="7371" w:y="567"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205</w:instrText>
    </w:r>
    <w:r w:rsidRPr="000A3A07">
      <w:fldChar w:fldCharType="end"/>
    </w:r>
    <w:r w:rsidRPr="000A3A07">
      <w:instrText xml:space="preserve"> &gt; 1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544F7E34" w14:textId="77777777" w:rsidR="007C11E9" w:rsidRPr="000A3A07" w:rsidRDefault="007C11E9">
    <w:pPr>
      <w:pStyle w:val="SidhuvudKantBilaga"/>
      <w:framePr w:w="1757" w:h="2744" w:hRule="exact" w:wrap="around" w:vAnchor="page" w:hAnchor="page" w:x="7371" w:y="567" w:anchorLock="0"/>
    </w:pPr>
    <w:r w:rsidRPr="000A3A07">
      <w:instrText>Underbilaga 4</w:instrText>
    </w:r>
  </w:p>
  <w:p w14:paraId="08A9821C" w14:textId="77777777" w:rsidR="007C11E9" w:rsidRPr="000A3A07" w:rsidRDefault="007C11E9">
    <w:pPr>
      <w:pStyle w:val="SidhuvudKant"/>
      <w:framePr w:w="1757" w:h="2744" w:hRule="exact" w:wrap="around" w:vAnchor="page" w:hAnchor="page" w:x="7371" w:y="567"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69F13141" w14:textId="77777777" w:rsidR="007C11E9" w:rsidRPr="000A3A07" w:rsidRDefault="007C11E9">
    <w:pPr>
      <w:pStyle w:val="SidhuvudKantBilaga"/>
      <w:framePr w:w="1757" w:h="2744" w:hRule="exact" w:wrap="around" w:vAnchor="page" w:hAnchor="page" w:x="7371" w:y="567" w:anchorLock="0"/>
    </w:pPr>
    <w:r w:rsidRPr="000A3A07">
      <w:t>Underbilaga 4</w:t>
    </w:r>
  </w:p>
  <w:p w14:paraId="64FB7695" w14:textId="77777777" w:rsidR="007C11E9" w:rsidRPr="000A3A07" w:rsidRDefault="007C11E9">
    <w:pPr>
      <w:pStyle w:val="SidhuvudKant"/>
      <w:framePr w:w="1757" w:h="2744" w:hRule="exact" w:wrap="around" w:vAnchor="page" w:hAnchor="page" w:x="7371" w:y="567" w:anchorLock="0"/>
    </w:pPr>
    <w:r w:rsidRPr="000A3A07">
      <w:fldChar w:fldCharType="end"/>
    </w:r>
  </w:p>
  <w:p w14:paraId="1E012885" w14:textId="77777777" w:rsidR="007C11E9" w:rsidRPr="000A3A07" w:rsidRDefault="007C11E9">
    <w:pPr>
      <w:pStyle w:val="Sidhuvud"/>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BCF4" w14:textId="77777777" w:rsidR="007C11E9" w:rsidRPr="000A3A07" w:rsidRDefault="007C11E9">
    <w:pPr>
      <w:pStyle w:val="SidhuvudKant"/>
      <w:framePr w:w="1757" w:h="2744" w:hRule="exact" w:wrap="around" w:vAnchor="page" w:hAnchor="page" w:x="7371" w:y="567" w:anchorLock="0"/>
    </w:pPr>
  </w:p>
  <w:p w14:paraId="7960AE4F" w14:textId="77777777" w:rsidR="007C11E9" w:rsidRPr="000A3A07" w:rsidRDefault="007C11E9">
    <w:pPr>
      <w:pStyle w:val="Sidhuvud"/>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0C47" w14:textId="77777777" w:rsidR="007C11E9" w:rsidRDefault="007C11E9"/>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BCC8" w14:textId="77777777" w:rsidR="007C11E9" w:rsidRPr="000A3A07" w:rsidRDefault="007C11E9">
    <w:pPr>
      <w:pStyle w:val="SidhuvudKant"/>
      <w:framePr w:w="1758" w:h="2744" w:hRule="exact" w:wrap="around" w:vAnchor="page" w:hAnchor="page" w:x="7372" w:y="568"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220</w:instrText>
    </w:r>
    <w:r w:rsidRPr="000A3A07">
      <w:fldChar w:fldCharType="end"/>
    </w:r>
    <w:r w:rsidRPr="000A3A07">
      <w:instrText xml:space="preserve"> &gt; 2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4F1F37F8" w14:textId="77777777" w:rsidR="007C11E9" w:rsidRPr="000A3A07" w:rsidRDefault="007C11E9">
    <w:pPr>
      <w:pStyle w:val="SidhuvudKantBilaga"/>
      <w:framePr w:w="1758" w:h="2744" w:hRule="exact" w:wrap="around" w:vAnchor="page" w:hAnchor="page" w:x="7372" w:y="568" w:anchorLock="0"/>
    </w:pPr>
    <w:r w:rsidRPr="000A3A07">
      <w:instrText>Bilaga 2</w:instrText>
    </w:r>
  </w:p>
  <w:p w14:paraId="7BB313D6" w14:textId="77777777" w:rsidR="007C11E9" w:rsidRPr="000A3A07" w:rsidRDefault="007C11E9">
    <w:pPr>
      <w:pStyle w:val="SidhuvudKant"/>
      <w:framePr w:w="1758" w:h="2744" w:hRule="exact" w:wrap="around" w:vAnchor="page" w:hAnchor="page" w:x="7372" w:y="568"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200CE46B" w14:textId="77777777" w:rsidR="007C11E9" w:rsidRPr="000A3A07" w:rsidRDefault="007C11E9">
    <w:pPr>
      <w:pStyle w:val="SidhuvudKantBilaga"/>
      <w:framePr w:w="1758" w:h="2744" w:hRule="exact" w:wrap="around" w:vAnchor="page" w:hAnchor="page" w:x="7372" w:y="568" w:anchorLock="0"/>
    </w:pPr>
    <w:r w:rsidRPr="000A3A07">
      <w:t>Bilaga 2</w:t>
    </w:r>
  </w:p>
  <w:p w14:paraId="29A39119" w14:textId="77777777" w:rsidR="007C11E9" w:rsidRPr="000A3A07" w:rsidRDefault="007C11E9">
    <w:pPr>
      <w:pStyle w:val="SidhuvudKant"/>
      <w:framePr w:w="1758" w:h="2744" w:hRule="exact" w:wrap="around" w:vAnchor="page" w:hAnchor="page" w:x="7372" w:y="568" w:anchorLock="0"/>
    </w:pPr>
    <w:r w:rsidRPr="000A3A07">
      <w:fldChar w:fldCharType="end"/>
    </w:r>
  </w:p>
  <w:p w14:paraId="030236B7" w14:textId="77777777" w:rsidR="007C11E9" w:rsidRPr="000A3A07" w:rsidRDefault="007C11E9">
    <w:pPr>
      <w:pStyle w:val="Sidhuvud"/>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0DBB" w14:textId="77777777" w:rsidR="007C11E9" w:rsidRPr="000A3A07" w:rsidRDefault="007C11E9">
    <w:pPr>
      <w:pStyle w:val="SidhuvudKant"/>
      <w:framePr w:w="1758" w:h="2744" w:hRule="exact" w:wrap="around" w:vAnchor="page" w:hAnchor="page" w:x="7372" w:y="568"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224</w:instrText>
    </w:r>
    <w:r w:rsidRPr="000A3A07">
      <w:fldChar w:fldCharType="end"/>
    </w:r>
    <w:r w:rsidRPr="000A3A07">
      <w:instrText xml:space="preserve"> &gt; 2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14C37975" w14:textId="77777777" w:rsidR="007C11E9" w:rsidRPr="000A3A07" w:rsidRDefault="007C11E9">
    <w:pPr>
      <w:pStyle w:val="SidhuvudKantBilaga"/>
      <w:framePr w:w="1758" w:h="2744" w:hRule="exact" w:wrap="around" w:vAnchor="page" w:hAnchor="page" w:x="7372" w:y="568" w:anchorLock="0"/>
    </w:pPr>
  </w:p>
  <w:p w14:paraId="2A172BA9" w14:textId="77777777" w:rsidR="007C11E9" w:rsidRPr="000A3A07" w:rsidRDefault="007C11E9">
    <w:pPr>
      <w:pStyle w:val="SidhuvudKant"/>
      <w:framePr w:w="1758" w:h="2744" w:hRule="exact" w:wrap="around" w:vAnchor="page" w:hAnchor="page" w:x="7372" w:y="568"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55F2C809" w14:textId="77777777" w:rsidR="007C11E9" w:rsidRPr="000A3A07" w:rsidRDefault="007C11E9">
    <w:pPr>
      <w:pStyle w:val="SidhuvudKantBilaga"/>
      <w:framePr w:w="1758" w:h="2744" w:hRule="exact" w:wrap="around" w:vAnchor="page" w:hAnchor="page" w:x="7372" w:y="568" w:anchorLock="0"/>
    </w:pPr>
  </w:p>
  <w:p w14:paraId="5DF0F2B6" w14:textId="77777777" w:rsidR="007C11E9" w:rsidRPr="000A3A07" w:rsidRDefault="007C11E9">
    <w:pPr>
      <w:pStyle w:val="SidhuvudKant"/>
      <w:framePr w:w="1758" w:h="2744" w:hRule="exact" w:wrap="around" w:vAnchor="page" w:hAnchor="page" w:x="7372" w:y="568" w:anchorLock="0"/>
    </w:pPr>
    <w:r w:rsidRPr="000A3A07">
      <w:fldChar w:fldCharType="end"/>
    </w:r>
  </w:p>
  <w:p w14:paraId="7F9C0A1A" w14:textId="77777777" w:rsidR="007C11E9" w:rsidRPr="000A3A07" w:rsidRDefault="007C11E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FEC8" w14:textId="77777777" w:rsidR="007C11E9" w:rsidRPr="000A3A07" w:rsidRDefault="007C11E9">
    <w:pPr>
      <w:pStyle w:val="SidhuvudKant"/>
      <w:framePr w:w="1758" w:h="2744" w:hRule="exact" w:wrap="around" w:vAnchor="page" w:hAnchor="page" w:x="7372" w:y="568" w:anchorLock="0"/>
    </w:pPr>
  </w:p>
  <w:p w14:paraId="618D1EB6" w14:textId="77777777" w:rsidR="007C11E9" w:rsidRPr="000A3A07" w:rsidRDefault="007C11E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E084" w14:textId="77777777" w:rsidR="007C11E9" w:rsidRDefault="007C11E9">
    <w:pPr>
      <w:pStyle w:val="SidhuvudFText"/>
      <w:framePr w:w="2302" w:h="1928" w:hRule="exact" w:wrap="notBeside" w:vAnchor="margin" w:hAnchor="page" w:xAlign="right" w:yAlign="top"/>
      <w:spacing w:line="245" w:lineRule="exact"/>
      <w:ind w:right="629"/>
    </w:pPr>
    <w:r>
      <w:fldChar w:fldCharType="begin"/>
    </w:r>
    <w:r>
      <w:instrText xml:space="preserve"> GLOSSARY Helana</w:instrText>
    </w:r>
    <w:r>
      <w:instrText>m</w:instrText>
    </w:r>
    <w:r>
      <w:instrText xml:space="preserve">net \* LOWER </w:instrText>
    </w:r>
    <w:r>
      <w:fldChar w:fldCharType="separate"/>
    </w:r>
    <w:r>
      <w:t>1995/96:adb77</w:t>
    </w:r>
    <w:r>
      <w:fldChar w:fldCharType="end"/>
    </w:r>
  </w:p>
  <w:p w14:paraId="2F7CEEE9" w14:textId="77777777" w:rsidR="007C11E9" w:rsidRDefault="007C11E9">
    <w:pPr>
      <w:pStyle w:val="SidhuvudV"/>
      <w:framePr w:w="2302" w:h="1928" w:hRule="exact" w:wrap="notBeside"/>
    </w:pPr>
    <w:r>
      <w:fldChar w:fldCharType="begin"/>
    </w:r>
    <w:r>
      <w:instrText xml:space="preserve"> REF Utkast \* LOWER </w:instrText>
    </w:r>
    <w:r>
      <w:fldChar w:fldCharType="separate"/>
    </w:r>
    <w:r>
      <w:rPr>
        <w:b/>
      </w:rPr>
      <w:t>Fel! Hittar inte referenskälla.</w:t>
    </w:r>
    <w:r>
      <w:fldChar w:fldCharType="end"/>
    </w:r>
  </w:p>
  <w:p w14:paraId="66E63B02" w14:textId="77777777" w:rsidR="007C11E9" w:rsidRDefault="007C11E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F809" w14:textId="77777777" w:rsidR="007C11E9" w:rsidRDefault="007C11E9">
    <w:pPr>
      <w:pStyle w:val="SidhuvudKant"/>
      <w:framePr w:w="1757" w:h="2744" w:hRule="exact" w:wrap="around" w:vAnchor="page" w:hAnchor="page" w:x="7371" w:y="567" w:anchorLock="0"/>
    </w:pPr>
    <w:r>
      <w:fldChar w:fldCharType="begin"/>
    </w:r>
    <w:r>
      <w:instrText xml:space="preserve"> if </w:instrText>
    </w:r>
    <w:r>
      <w:fldChar w:fldCharType="begin"/>
    </w:r>
    <w:r>
      <w:instrText xml:space="preserve"> page</w:instrText>
    </w:r>
    <w:r>
      <w:fldChar w:fldCharType="separate"/>
    </w:r>
    <w:r>
      <w:rPr>
        <w:noProof/>
      </w:rPr>
      <w:instrText>11</w:instrText>
    </w:r>
    <w:r>
      <w:fldChar w:fldCharType="end"/>
    </w:r>
    <w:r>
      <w:instrText xml:space="preserve"> &gt; 1 "</w:instrText>
    </w:r>
    <w:r>
      <w:fldChar w:fldCharType="begin"/>
    </w:r>
    <w:r>
      <w:instrText xml:space="preserve"> DOCPROPERTY BetänkandeÅr</w:instrText>
    </w:r>
    <w:r>
      <w:fldChar w:fldCharType="separate"/>
    </w:r>
    <w:r>
      <w:instrText>2000/01</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RR11</w:instrText>
    </w:r>
    <w:r>
      <w:fldChar w:fldCharType="end"/>
    </w:r>
  </w:p>
  <w:p w14:paraId="69D474FE" w14:textId="77777777" w:rsidR="007C11E9" w:rsidRDefault="007C11E9">
    <w:pPr>
      <w:pStyle w:val="SidhuvudKantBilaga"/>
      <w:framePr w:w="1757" w:h="2744" w:hRule="exact" w:wrap="around" w:vAnchor="page" w:hAnchor="page" w:x="7371" w:y="567" w:anchorLock="0"/>
    </w:pPr>
    <w:r>
      <w:instrText>Bilaga 1</w:instrText>
    </w:r>
  </w:p>
  <w:p w14:paraId="16991AB4" w14:textId="77777777" w:rsidR="007C11E9" w:rsidRDefault="007C11E9">
    <w:pPr>
      <w:pStyle w:val="SidhuvudKant"/>
      <w:framePr w:w="1757" w:h="2744" w:hRule="exact" w:wrap="around" w:vAnchor="page" w:hAnchor="page" w:x="7371" w:y="567"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2000/01</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RR11</w:t>
    </w:r>
    <w:r>
      <w:rPr>
        <w:noProof/>
      </w:rPr>
      <w:fldChar w:fldCharType="end"/>
    </w:r>
  </w:p>
  <w:p w14:paraId="0AA22A7C" w14:textId="77777777" w:rsidR="007C11E9" w:rsidRDefault="007C11E9">
    <w:pPr>
      <w:pStyle w:val="SidhuvudKantBilaga"/>
      <w:framePr w:w="1757" w:h="2744" w:hRule="exact" w:wrap="around" w:vAnchor="page" w:hAnchor="page" w:x="7371" w:y="567" w:anchorLock="0"/>
      <w:rPr>
        <w:noProof/>
      </w:rPr>
    </w:pPr>
    <w:r>
      <w:rPr>
        <w:noProof/>
      </w:rPr>
      <w:t>Bilaga 1</w:t>
    </w:r>
  </w:p>
  <w:p w14:paraId="0A448847" w14:textId="77777777" w:rsidR="007C11E9" w:rsidRDefault="007C11E9">
    <w:pPr>
      <w:pStyle w:val="SidhuvudKant"/>
      <w:framePr w:w="1757" w:h="2744" w:hRule="exact" w:wrap="around" w:vAnchor="page" w:hAnchor="page" w:x="7371" w:y="567" w:anchorLock="0"/>
    </w:pPr>
    <w:r>
      <w:fldChar w:fldCharType="end"/>
    </w:r>
  </w:p>
  <w:p w14:paraId="022CCC3C" w14:textId="77777777" w:rsidR="007C11E9" w:rsidRDefault="007C11E9">
    <w:pPr>
      <w:pStyle w:val="Sidhuvud"/>
    </w:pPr>
  </w:p>
  <w:p w14:paraId="0BA3D55E" w14:textId="77777777" w:rsidR="007C11E9" w:rsidRDefault="007C11E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75EA" w14:textId="77777777" w:rsidR="007C11E9" w:rsidRDefault="007C11E9">
    <w:pPr>
      <w:pStyle w:val="SidhuvudKant"/>
      <w:framePr w:w="1757" w:h="2744" w:hRule="exact" w:wrap="around" w:vAnchor="page" w:hAnchor="page" w:x="7371" w:y="567" w:anchorLock="0"/>
    </w:pPr>
  </w:p>
  <w:p w14:paraId="775D8219" w14:textId="77777777" w:rsidR="007C11E9" w:rsidRDefault="007C11E9">
    <w:pPr>
      <w:pStyle w:val="Sidhuvud"/>
    </w:pPr>
  </w:p>
  <w:p w14:paraId="5954EF18" w14:textId="77777777" w:rsidR="007C11E9" w:rsidRDefault="007C11E9">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CAEF" w14:textId="77777777" w:rsidR="007C11E9" w:rsidRPr="000A3A07" w:rsidRDefault="007C11E9">
    <w:pPr>
      <w:pStyle w:val="SidhuvudKant"/>
      <w:framePr w:w="1758" w:h="2744" w:hRule="exact" w:wrap="around" w:vAnchor="page" w:hAnchor="page" w:x="7372" w:y="568" w:anchorLock="0"/>
    </w:pPr>
  </w:p>
  <w:p w14:paraId="087DF058" w14:textId="77777777" w:rsidR="007C11E9" w:rsidRPr="000A3A07" w:rsidRDefault="007C11E9">
    <w:pPr>
      <w:pStyle w:val="SidhuvudKant"/>
      <w:framePr w:w="1757" w:h="2744" w:hRule="exact" w:wrap="around" w:vAnchor="page" w:hAnchor="page" w:x="7371" w:y="567"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15</w:instrText>
    </w:r>
    <w:r w:rsidRPr="000A3A07">
      <w:fldChar w:fldCharType="end"/>
    </w:r>
    <w:r w:rsidRPr="000A3A07">
      <w:instrText xml:space="preserve"> &gt; 1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627A1850" w14:textId="77777777" w:rsidR="007C11E9" w:rsidRPr="000A3A07" w:rsidRDefault="007C11E9">
    <w:pPr>
      <w:pStyle w:val="SidhuvudKantBilaga"/>
      <w:framePr w:w="1757" w:h="2744" w:hRule="exact" w:wrap="around" w:vAnchor="page" w:hAnchor="page" w:x="7371" w:y="567" w:anchorLock="0"/>
    </w:pPr>
    <w:r w:rsidRPr="000A3A07">
      <w:instrText>Bilaga 1</w:instrText>
    </w:r>
  </w:p>
  <w:p w14:paraId="0103A5AF" w14:textId="77777777" w:rsidR="007C11E9" w:rsidRPr="000A3A07" w:rsidRDefault="007C11E9">
    <w:pPr>
      <w:pStyle w:val="SidhuvudKant"/>
      <w:framePr w:w="1757" w:h="2744" w:hRule="exact" w:wrap="around" w:vAnchor="page" w:hAnchor="page" w:x="7371" w:y="567"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03F7DE47" w14:textId="77777777" w:rsidR="007C11E9" w:rsidRPr="000A3A07" w:rsidRDefault="007C11E9">
    <w:pPr>
      <w:pStyle w:val="SidhuvudKantBilaga"/>
      <w:framePr w:w="1757" w:h="2744" w:hRule="exact" w:wrap="around" w:vAnchor="page" w:hAnchor="page" w:x="7371" w:y="567" w:anchorLock="0"/>
    </w:pPr>
    <w:r w:rsidRPr="000A3A07">
      <w:t>Bilaga 1</w:t>
    </w:r>
  </w:p>
  <w:p w14:paraId="57170A02" w14:textId="77777777" w:rsidR="007C11E9" w:rsidRPr="000A3A07" w:rsidRDefault="007C11E9">
    <w:pPr>
      <w:pStyle w:val="SidhuvudKant"/>
      <w:framePr w:w="1757" w:h="2744" w:hRule="exact" w:wrap="around" w:vAnchor="page" w:hAnchor="page" w:x="7371" w:y="567" w:anchorLock="0"/>
    </w:pPr>
    <w:r w:rsidRPr="000A3A07">
      <w:fldChar w:fldCharType="end"/>
    </w:r>
  </w:p>
  <w:p w14:paraId="29E7C740" w14:textId="77777777" w:rsidR="007C11E9" w:rsidRPr="000A3A07" w:rsidRDefault="007C11E9">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6B81" w14:textId="77777777" w:rsidR="007C11E9" w:rsidRDefault="007C11E9">
    <w:pPr>
      <w:pStyle w:val="SidhuvudKant"/>
      <w:framePr w:w="1757" w:h="2744" w:hRule="exact" w:wrap="around" w:vAnchor="page" w:hAnchor="page" w:x="7371" w:y="567" w:anchorLock="0"/>
    </w:pPr>
    <w:r>
      <w:fldChar w:fldCharType="begin"/>
    </w:r>
    <w:r>
      <w:instrText xml:space="preserve"> if </w:instrText>
    </w:r>
    <w:r>
      <w:fldChar w:fldCharType="begin"/>
    </w:r>
    <w:r>
      <w:instrText xml:space="preserve"> page</w:instrText>
    </w:r>
    <w:r>
      <w:fldChar w:fldCharType="separate"/>
    </w:r>
    <w:r>
      <w:rPr>
        <w:noProof/>
      </w:rPr>
      <w:instrText>16</w:instrText>
    </w:r>
    <w:r>
      <w:fldChar w:fldCharType="end"/>
    </w:r>
    <w:r>
      <w:instrText xml:space="preserve"> &gt; 1 "</w:instrText>
    </w:r>
    <w:r>
      <w:fldChar w:fldCharType="begin"/>
    </w:r>
    <w:r>
      <w:instrText xml:space="preserve"> DOCPROPERTY BetänkandeÅr</w:instrText>
    </w:r>
    <w:r>
      <w:fldChar w:fldCharType="separate"/>
    </w:r>
    <w:r>
      <w:instrText>2000/01</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RR11</w:instrText>
    </w:r>
    <w:r>
      <w:fldChar w:fldCharType="end"/>
    </w:r>
  </w:p>
  <w:p w14:paraId="6AC3F4AD" w14:textId="77777777" w:rsidR="007C11E9" w:rsidRDefault="007C11E9">
    <w:pPr>
      <w:pStyle w:val="SidhuvudKantBilaga"/>
      <w:framePr w:w="1757" w:h="2744" w:hRule="exact" w:wrap="around" w:vAnchor="page" w:hAnchor="page" w:x="7371" w:y="567" w:anchorLock="0"/>
    </w:pPr>
    <w:r>
      <w:instrText>Bilaga 1</w:instrText>
    </w:r>
  </w:p>
  <w:p w14:paraId="7A8E6F41" w14:textId="77777777" w:rsidR="007C11E9" w:rsidRDefault="007C11E9">
    <w:pPr>
      <w:pStyle w:val="SidhuvudKant"/>
      <w:framePr w:w="1757" w:h="2744" w:hRule="exact" w:wrap="around" w:vAnchor="page" w:hAnchor="page" w:x="7371" w:y="567"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2000/01</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RR11</w:t>
    </w:r>
    <w:r>
      <w:rPr>
        <w:noProof/>
      </w:rPr>
      <w:fldChar w:fldCharType="end"/>
    </w:r>
  </w:p>
  <w:p w14:paraId="454F0BB8" w14:textId="77777777" w:rsidR="007C11E9" w:rsidRDefault="007C11E9">
    <w:pPr>
      <w:pStyle w:val="SidhuvudKantBilaga"/>
      <w:framePr w:w="1757" w:h="2744" w:hRule="exact" w:wrap="around" w:vAnchor="page" w:hAnchor="page" w:x="7371" w:y="567" w:anchorLock="0"/>
      <w:rPr>
        <w:noProof/>
      </w:rPr>
    </w:pPr>
    <w:r>
      <w:rPr>
        <w:noProof/>
      </w:rPr>
      <w:t>Bilaga 1</w:t>
    </w:r>
  </w:p>
  <w:p w14:paraId="04817C78" w14:textId="77777777" w:rsidR="007C11E9" w:rsidRDefault="007C11E9">
    <w:pPr>
      <w:pStyle w:val="SidhuvudKant"/>
      <w:framePr w:w="1757" w:h="2744" w:hRule="exact" w:wrap="around" w:vAnchor="page" w:hAnchor="page" w:x="7371" w:y="567" w:anchorLock="0"/>
    </w:pPr>
    <w:r>
      <w:fldChar w:fldCharType="end"/>
    </w:r>
  </w:p>
  <w:p w14:paraId="7690CD46" w14:textId="77777777" w:rsidR="007C11E9" w:rsidRDefault="007C11E9">
    <w:pPr>
      <w:pStyle w:val="Sidhuvud"/>
    </w:pPr>
  </w:p>
  <w:p w14:paraId="2C1FF3C9" w14:textId="77777777" w:rsidR="007C11E9" w:rsidRDefault="007C11E9">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F418" w14:textId="77777777" w:rsidR="007C11E9" w:rsidRPr="000A3A07" w:rsidRDefault="007C11E9">
    <w:pPr>
      <w:pStyle w:val="SidhuvudKant"/>
      <w:framePr w:w="1758" w:h="2744" w:hRule="exact" w:wrap="around" w:vAnchor="page" w:hAnchor="page" w:x="7372" w:y="568" w:anchorLock="0"/>
    </w:pPr>
  </w:p>
  <w:p w14:paraId="7BF41EF2" w14:textId="77777777" w:rsidR="007C11E9" w:rsidRPr="000A3A07" w:rsidRDefault="007C11E9">
    <w:pPr>
      <w:pStyle w:val="SidhuvudKant"/>
      <w:framePr w:w="1757" w:h="2744" w:hRule="exact" w:wrap="around" w:vAnchor="page" w:hAnchor="page" w:x="7371" w:y="567" w:anchorLock="0"/>
    </w:pPr>
    <w:r w:rsidRPr="000A3A07">
      <w:fldChar w:fldCharType="begin" w:fldLock="1"/>
    </w:r>
    <w:r w:rsidRPr="000A3A07">
      <w:instrText xml:space="preserve"> if </w:instrText>
    </w:r>
    <w:r w:rsidRPr="000A3A07">
      <w:fldChar w:fldCharType="begin" w:fldLock="1"/>
    </w:r>
    <w:r w:rsidRPr="000A3A07">
      <w:instrText xml:space="preserve"> page</w:instrText>
    </w:r>
    <w:r w:rsidRPr="000A3A07">
      <w:fldChar w:fldCharType="separate"/>
    </w:r>
    <w:r w:rsidRPr="000A3A07">
      <w:instrText>83</w:instrText>
    </w:r>
    <w:r w:rsidRPr="000A3A07">
      <w:fldChar w:fldCharType="end"/>
    </w:r>
    <w:r w:rsidRPr="000A3A07">
      <w:instrText xml:space="preserve"> &gt; 1 "</w:instrText>
    </w:r>
    <w:r w:rsidRPr="000A3A07">
      <w:fldChar w:fldCharType="begin" w:fldLock="1"/>
    </w:r>
    <w:r w:rsidRPr="000A3A07">
      <w:instrText xml:space="preserve"> DOCPROPERTY BetänkandeÅr</w:instrText>
    </w:r>
    <w:r w:rsidRPr="000A3A07">
      <w:fldChar w:fldCharType="separate"/>
    </w:r>
    <w:r w:rsidRPr="000A3A07">
      <w:instrText>2000/01</w:instrText>
    </w:r>
    <w:r w:rsidRPr="000A3A07">
      <w:fldChar w:fldCharType="end"/>
    </w:r>
    <w:r w:rsidRPr="000A3A07">
      <w:instrText>:</w:instrTex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instrText>RR11</w:instrText>
    </w:r>
    <w:r w:rsidRPr="000A3A07">
      <w:fldChar w:fldCharType="end"/>
    </w:r>
  </w:p>
  <w:p w14:paraId="5F542F23" w14:textId="77777777" w:rsidR="007C11E9" w:rsidRPr="000A3A07" w:rsidRDefault="007C11E9">
    <w:pPr>
      <w:pStyle w:val="SidhuvudKantBilaga"/>
      <w:framePr w:w="1757" w:h="2744" w:hRule="exact" w:wrap="around" w:vAnchor="page" w:hAnchor="page" w:x="7371" w:y="567" w:anchorLock="0"/>
    </w:pPr>
    <w:r w:rsidRPr="000A3A07">
      <w:instrText>Bilaga 1</w:instrText>
    </w:r>
  </w:p>
  <w:p w14:paraId="3BA12A0E" w14:textId="77777777" w:rsidR="007C11E9" w:rsidRPr="000A3A07" w:rsidRDefault="007C11E9">
    <w:pPr>
      <w:pStyle w:val="SidhuvudKant"/>
      <w:framePr w:w="1757" w:h="2744" w:hRule="exact" w:wrap="around" w:vAnchor="page" w:hAnchor="page" w:x="7371" w:y="567" w:anchorLock="0"/>
    </w:pPr>
    <w:r w:rsidRPr="000A3A07">
      <w:instrText>"</w:instrText>
    </w:r>
    <w:r w:rsidRPr="000A3A07">
      <w:fldChar w:fldCharType="separate"/>
    </w:r>
    <w:r w:rsidRPr="000A3A07">
      <w:fldChar w:fldCharType="begin" w:fldLock="1"/>
    </w:r>
    <w:r w:rsidRPr="000A3A07">
      <w:instrText xml:space="preserve"> DOCPROPERTY BetänkandeÅr</w:instrText>
    </w:r>
    <w:r w:rsidRPr="000A3A07">
      <w:fldChar w:fldCharType="separate"/>
    </w:r>
    <w:r w:rsidRPr="000A3A07">
      <w:t>2000/01</w:t>
    </w:r>
    <w:r w:rsidRPr="000A3A07">
      <w:fldChar w:fldCharType="end"/>
    </w:r>
    <w:r w:rsidRPr="000A3A07">
      <w:t>:</w:t>
    </w:r>
    <w:r w:rsidRPr="000A3A07">
      <w:fldChar w:fldCharType="begin" w:fldLock="1"/>
    </w:r>
    <w:r w:rsidRPr="000A3A07">
      <w:instrText xml:space="preserve"> DOCPROPERTY Betä</w:instrText>
    </w:r>
    <w:r w:rsidRPr="000A3A07">
      <w:instrText>n</w:instrText>
    </w:r>
    <w:r w:rsidRPr="000A3A07">
      <w:instrText>kandeNr</w:instrText>
    </w:r>
    <w:r w:rsidRPr="000A3A07">
      <w:fldChar w:fldCharType="separate"/>
    </w:r>
    <w:r w:rsidRPr="000A3A07">
      <w:t>RR11</w:t>
    </w:r>
    <w:r w:rsidRPr="000A3A07">
      <w:fldChar w:fldCharType="end"/>
    </w:r>
  </w:p>
  <w:p w14:paraId="30D73AD8" w14:textId="77777777" w:rsidR="007C11E9" w:rsidRPr="000A3A07" w:rsidRDefault="007C11E9">
    <w:pPr>
      <w:pStyle w:val="SidhuvudKantBilaga"/>
      <w:framePr w:w="1757" w:h="2744" w:hRule="exact" w:wrap="around" w:vAnchor="page" w:hAnchor="page" w:x="7371" w:y="567" w:anchorLock="0"/>
    </w:pPr>
    <w:r w:rsidRPr="000A3A07">
      <w:t>Bilaga 1</w:t>
    </w:r>
  </w:p>
  <w:p w14:paraId="4BF94F8D" w14:textId="77777777" w:rsidR="007C11E9" w:rsidRPr="000A3A07" w:rsidRDefault="007C11E9">
    <w:pPr>
      <w:pStyle w:val="SidhuvudKant"/>
      <w:framePr w:w="1757" w:h="2744" w:hRule="exact" w:wrap="around" w:vAnchor="page" w:hAnchor="page" w:x="7371" w:y="567" w:anchorLock="0"/>
    </w:pPr>
    <w:r w:rsidRPr="000A3A07">
      <w:fldChar w:fldCharType="end"/>
    </w:r>
  </w:p>
  <w:p w14:paraId="366DC152" w14:textId="77777777" w:rsidR="007C11E9" w:rsidRPr="000A3A07" w:rsidRDefault="007C11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D41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FA54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0B1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1E1D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C806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9853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84E9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6C18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6E30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4C7B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E54EB"/>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3A32C6"/>
    <w:multiLevelType w:val="singleLevel"/>
    <w:tmpl w:val="2496E4F6"/>
    <w:lvl w:ilvl="0">
      <w:start w:val="2"/>
      <w:numFmt w:val="decimal"/>
      <w:lvlText w:val="(%1)"/>
      <w:lvlJc w:val="left"/>
      <w:pPr>
        <w:tabs>
          <w:tab w:val="num" w:pos="450"/>
        </w:tabs>
        <w:ind w:left="450" w:hanging="405"/>
      </w:pPr>
      <w:rPr>
        <w:rFonts w:hint="default"/>
      </w:rPr>
    </w:lvl>
  </w:abstractNum>
  <w:abstractNum w:abstractNumId="13" w15:restartNumberingAfterBreak="0">
    <w:nsid w:val="066B706F"/>
    <w:multiLevelType w:val="multilevel"/>
    <w:tmpl w:val="20E8E034"/>
    <w:lvl w:ilvl="0">
      <w:start w:val="1"/>
      <w:numFmt w:val="bullet"/>
      <w:lvlText w:val=""/>
      <w:lvlJc w:val="left"/>
      <w:pPr>
        <w:tabs>
          <w:tab w:val="num" w:pos="782"/>
        </w:tabs>
        <w:ind w:left="782" w:hanging="360"/>
      </w:pPr>
      <w:rPr>
        <w:rFonts w:ascii="Wingdings" w:hAnsi="Wingdings" w:hint="default"/>
      </w:rPr>
    </w:lvl>
    <w:lvl w:ilvl="1" w:tentative="1">
      <w:start w:val="1"/>
      <w:numFmt w:val="bullet"/>
      <w:lvlText w:val="o"/>
      <w:lvlJc w:val="left"/>
      <w:pPr>
        <w:tabs>
          <w:tab w:val="num" w:pos="1502"/>
        </w:tabs>
        <w:ind w:left="1502" w:hanging="360"/>
      </w:pPr>
      <w:rPr>
        <w:rFonts w:ascii="Courier New" w:hAnsi="Courier New" w:hint="default"/>
      </w:rPr>
    </w:lvl>
    <w:lvl w:ilvl="2" w:tentative="1">
      <w:start w:val="1"/>
      <w:numFmt w:val="bullet"/>
      <w:lvlText w:val=""/>
      <w:lvlJc w:val="left"/>
      <w:pPr>
        <w:tabs>
          <w:tab w:val="num" w:pos="2222"/>
        </w:tabs>
        <w:ind w:left="2222" w:hanging="360"/>
      </w:pPr>
      <w:rPr>
        <w:rFonts w:ascii="Wingdings" w:hAnsi="Wingdings" w:hint="default"/>
      </w:rPr>
    </w:lvl>
    <w:lvl w:ilvl="3" w:tentative="1">
      <w:start w:val="1"/>
      <w:numFmt w:val="bullet"/>
      <w:lvlText w:val=""/>
      <w:lvlJc w:val="left"/>
      <w:pPr>
        <w:tabs>
          <w:tab w:val="num" w:pos="2942"/>
        </w:tabs>
        <w:ind w:left="2942" w:hanging="360"/>
      </w:pPr>
      <w:rPr>
        <w:rFonts w:ascii="Symbol" w:hAnsi="Symbol" w:hint="default"/>
      </w:rPr>
    </w:lvl>
    <w:lvl w:ilvl="4" w:tentative="1">
      <w:start w:val="1"/>
      <w:numFmt w:val="bullet"/>
      <w:lvlText w:val="o"/>
      <w:lvlJc w:val="left"/>
      <w:pPr>
        <w:tabs>
          <w:tab w:val="num" w:pos="3662"/>
        </w:tabs>
        <w:ind w:left="3662" w:hanging="360"/>
      </w:pPr>
      <w:rPr>
        <w:rFonts w:ascii="Courier New" w:hAnsi="Courier New" w:hint="default"/>
      </w:rPr>
    </w:lvl>
    <w:lvl w:ilvl="5" w:tentative="1">
      <w:start w:val="1"/>
      <w:numFmt w:val="bullet"/>
      <w:lvlText w:val=""/>
      <w:lvlJc w:val="left"/>
      <w:pPr>
        <w:tabs>
          <w:tab w:val="num" w:pos="4382"/>
        </w:tabs>
        <w:ind w:left="4382" w:hanging="360"/>
      </w:pPr>
      <w:rPr>
        <w:rFonts w:ascii="Wingdings" w:hAnsi="Wingdings" w:hint="default"/>
      </w:rPr>
    </w:lvl>
    <w:lvl w:ilvl="6" w:tentative="1">
      <w:start w:val="1"/>
      <w:numFmt w:val="bullet"/>
      <w:lvlText w:val=""/>
      <w:lvlJc w:val="left"/>
      <w:pPr>
        <w:tabs>
          <w:tab w:val="num" w:pos="5102"/>
        </w:tabs>
        <w:ind w:left="5102" w:hanging="360"/>
      </w:pPr>
      <w:rPr>
        <w:rFonts w:ascii="Symbol" w:hAnsi="Symbol" w:hint="default"/>
      </w:rPr>
    </w:lvl>
    <w:lvl w:ilvl="7" w:tentative="1">
      <w:start w:val="1"/>
      <w:numFmt w:val="bullet"/>
      <w:lvlText w:val="o"/>
      <w:lvlJc w:val="left"/>
      <w:pPr>
        <w:tabs>
          <w:tab w:val="num" w:pos="5822"/>
        </w:tabs>
        <w:ind w:left="5822" w:hanging="360"/>
      </w:pPr>
      <w:rPr>
        <w:rFonts w:ascii="Courier New" w:hAnsi="Courier New" w:hint="default"/>
      </w:rPr>
    </w:lvl>
    <w:lvl w:ilvl="8" w:tentative="1">
      <w:start w:val="1"/>
      <w:numFmt w:val="bullet"/>
      <w:lvlText w:val=""/>
      <w:lvlJc w:val="left"/>
      <w:pPr>
        <w:tabs>
          <w:tab w:val="num" w:pos="6542"/>
        </w:tabs>
        <w:ind w:left="6542" w:hanging="360"/>
      </w:pPr>
      <w:rPr>
        <w:rFonts w:ascii="Wingdings" w:hAnsi="Wingdings" w:hint="default"/>
      </w:rPr>
    </w:lvl>
  </w:abstractNum>
  <w:abstractNum w:abstractNumId="14" w15:restartNumberingAfterBreak="0">
    <w:nsid w:val="094F5E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0A0C2645"/>
    <w:multiLevelType w:val="singleLevel"/>
    <w:tmpl w:val="A6744430"/>
    <w:lvl w:ilvl="0">
      <w:start w:val="4"/>
      <w:numFmt w:val="decimal"/>
      <w:lvlText w:val="%1"/>
      <w:lvlJc w:val="left"/>
      <w:pPr>
        <w:tabs>
          <w:tab w:val="num" w:pos="720"/>
        </w:tabs>
        <w:ind w:left="720" w:hanging="720"/>
      </w:pPr>
      <w:rPr>
        <w:rFonts w:hint="default"/>
      </w:rPr>
    </w:lvl>
  </w:abstractNum>
  <w:abstractNum w:abstractNumId="16" w15:restartNumberingAfterBreak="0">
    <w:nsid w:val="0C1B1F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CF076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D1221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0DA937C5"/>
    <w:multiLevelType w:val="singleLevel"/>
    <w:tmpl w:val="F836F884"/>
    <w:lvl w:ilvl="0">
      <w:start w:val="3"/>
      <w:numFmt w:val="bullet"/>
      <w:lvlText w:val="-"/>
      <w:lvlJc w:val="left"/>
      <w:pPr>
        <w:tabs>
          <w:tab w:val="num" w:pos="530"/>
        </w:tabs>
        <w:ind w:left="530" w:hanging="360"/>
      </w:pPr>
      <w:rPr>
        <w:rFonts w:hint="default"/>
      </w:rPr>
    </w:lvl>
  </w:abstractNum>
  <w:abstractNum w:abstractNumId="20" w15:restartNumberingAfterBreak="0">
    <w:nsid w:val="0DE134A6"/>
    <w:multiLevelType w:val="singleLevel"/>
    <w:tmpl w:val="0E4A77E0"/>
    <w:lvl w:ilvl="0">
      <w:numFmt w:val="bullet"/>
      <w:lvlText w:val="-"/>
      <w:lvlJc w:val="left"/>
      <w:pPr>
        <w:tabs>
          <w:tab w:val="num" w:pos="360"/>
        </w:tabs>
        <w:ind w:left="360" w:hanging="360"/>
      </w:pPr>
      <w:rPr>
        <w:rFonts w:hint="default"/>
      </w:rPr>
    </w:lvl>
  </w:abstractNum>
  <w:abstractNum w:abstractNumId="21" w15:restartNumberingAfterBreak="0">
    <w:nsid w:val="0E4113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0EE35450"/>
    <w:multiLevelType w:val="multilevel"/>
    <w:tmpl w:val="8DCC6D1A"/>
    <w:lvl w:ilvl="0">
      <w:start w:val="1"/>
      <w:numFmt w:val="upperRoman"/>
      <w:lvlText w:val="%1."/>
      <w:lvlJc w:val="left"/>
      <w:pPr>
        <w:tabs>
          <w:tab w:val="num" w:pos="720"/>
        </w:tabs>
        <w:ind w:left="170" w:hanging="1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15:restartNumberingAfterBreak="0">
    <w:nsid w:val="0F0E31BC"/>
    <w:multiLevelType w:val="singleLevel"/>
    <w:tmpl w:val="041D000F"/>
    <w:lvl w:ilvl="0">
      <w:start w:val="1"/>
      <w:numFmt w:val="decimal"/>
      <w:lvlText w:val="%1."/>
      <w:lvlJc w:val="left"/>
      <w:pPr>
        <w:tabs>
          <w:tab w:val="num" w:pos="360"/>
        </w:tabs>
        <w:ind w:left="360" w:hanging="360"/>
      </w:pPr>
    </w:lvl>
  </w:abstractNum>
  <w:abstractNum w:abstractNumId="24" w15:restartNumberingAfterBreak="0">
    <w:nsid w:val="0FFF5C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0757B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4D1563C"/>
    <w:multiLevelType w:val="singleLevel"/>
    <w:tmpl w:val="0CD49E6A"/>
    <w:lvl w:ilvl="0">
      <w:start w:val="1"/>
      <w:numFmt w:val="decimal"/>
      <w:lvlText w:val="%1. "/>
      <w:legacy w:legacy="1" w:legacySpace="0" w:legacyIndent="283"/>
      <w:lvlJc w:val="left"/>
      <w:pPr>
        <w:ind w:left="853" w:hanging="283"/>
      </w:pPr>
      <w:rPr>
        <w:rFonts w:ascii="Times New Roman" w:hAnsi="Times New Roman" w:hint="default"/>
        <w:b w:val="0"/>
        <w:i w:val="0"/>
        <w:sz w:val="24"/>
        <w:u w:val="none"/>
      </w:rPr>
    </w:lvl>
  </w:abstractNum>
  <w:abstractNum w:abstractNumId="27" w15:restartNumberingAfterBreak="0">
    <w:nsid w:val="15045DD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151872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5307D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56337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32" w15:restartNumberingAfterBreak="0">
    <w:nsid w:val="166441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69760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8C14F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CD01A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DA15A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E9903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EBF38A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0" w15:restartNumberingAfterBreak="0">
    <w:nsid w:val="215210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3AE703D"/>
    <w:multiLevelType w:val="multilevel"/>
    <w:tmpl w:val="4E6AB098"/>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CE2D0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252120DF"/>
    <w:multiLevelType w:val="singleLevel"/>
    <w:tmpl w:val="9C2E2130"/>
    <w:lvl w:ilvl="0">
      <w:start w:val="1"/>
      <w:numFmt w:val="bullet"/>
      <w:lvlText w:val=""/>
      <w:lvlJc w:val="left"/>
      <w:pPr>
        <w:tabs>
          <w:tab w:val="num" w:pos="360"/>
        </w:tabs>
        <w:ind w:left="360" w:hanging="360"/>
      </w:pPr>
      <w:rPr>
        <w:rFonts w:ascii="Times New Roman" w:hAnsi="Times New Roman" w:hint="default"/>
        <w:sz w:val="24"/>
      </w:rPr>
    </w:lvl>
  </w:abstractNum>
  <w:abstractNum w:abstractNumId="44" w15:restartNumberingAfterBreak="0">
    <w:nsid w:val="255A23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64304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64A25CD"/>
    <w:multiLevelType w:val="multilevel"/>
    <w:tmpl w:val="D9D2E66C"/>
    <w:lvl w:ilvl="0">
      <w:start w:val="1"/>
      <w:numFmt w:val="decimal"/>
      <w:lvlText w:val="%1"/>
      <w:lvlJc w:val="left"/>
      <w:pPr>
        <w:tabs>
          <w:tab w:val="num" w:pos="855"/>
        </w:tabs>
        <w:ind w:left="855" w:hanging="855"/>
      </w:pPr>
      <w:rPr>
        <w:rFonts w:hint="default"/>
        <w:b w:val="0"/>
      </w:rPr>
    </w:lvl>
    <w:lvl w:ilvl="1">
      <w:start w:val="1"/>
      <w:numFmt w:val="decimal"/>
      <w:isLgl/>
      <w:lvlText w:val="%1.%2"/>
      <w:lvlJc w:val="left"/>
      <w:pPr>
        <w:tabs>
          <w:tab w:val="num" w:pos="855"/>
        </w:tabs>
        <w:ind w:left="855" w:hanging="855"/>
      </w:pPr>
      <w:rPr>
        <w:rFonts w:hint="default"/>
        <w:b w:val="0"/>
      </w:rPr>
    </w:lvl>
    <w:lvl w:ilvl="2">
      <w:start w:val="1"/>
      <w:numFmt w:val="decimal"/>
      <w:isLgl/>
      <w:lvlText w:val="%1.%2.%3"/>
      <w:lvlJc w:val="left"/>
      <w:pPr>
        <w:tabs>
          <w:tab w:val="num" w:pos="855"/>
        </w:tabs>
        <w:ind w:left="855" w:hanging="855"/>
      </w:pPr>
      <w:rPr>
        <w:rFonts w:hint="default"/>
        <w:b w:val="0"/>
      </w:rPr>
    </w:lvl>
    <w:lvl w:ilvl="3">
      <w:start w:val="1"/>
      <w:numFmt w:val="decimal"/>
      <w:isLgl/>
      <w:lvlText w:val="%1.%2.%3.%4"/>
      <w:lvlJc w:val="left"/>
      <w:pPr>
        <w:tabs>
          <w:tab w:val="num" w:pos="855"/>
        </w:tabs>
        <w:ind w:left="855" w:hanging="855"/>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47" w15:restartNumberingAfterBreak="0">
    <w:nsid w:val="264B518B"/>
    <w:multiLevelType w:val="singleLevel"/>
    <w:tmpl w:val="F836F884"/>
    <w:lvl w:ilvl="0">
      <w:start w:val="3"/>
      <w:numFmt w:val="bullet"/>
      <w:lvlText w:val="-"/>
      <w:lvlJc w:val="left"/>
      <w:pPr>
        <w:tabs>
          <w:tab w:val="num" w:pos="530"/>
        </w:tabs>
        <w:ind w:left="530" w:hanging="360"/>
      </w:pPr>
      <w:rPr>
        <w:rFonts w:hint="default"/>
      </w:rPr>
    </w:lvl>
  </w:abstractNum>
  <w:abstractNum w:abstractNumId="48" w15:restartNumberingAfterBreak="0">
    <w:nsid w:val="2A5F3ACE"/>
    <w:multiLevelType w:val="singleLevel"/>
    <w:tmpl w:val="041D0001"/>
    <w:lvl w:ilvl="0">
      <w:start w:val="3"/>
      <w:numFmt w:val="bullet"/>
      <w:lvlText w:val=""/>
      <w:lvlJc w:val="left"/>
      <w:pPr>
        <w:tabs>
          <w:tab w:val="num" w:pos="360"/>
        </w:tabs>
        <w:ind w:left="360" w:hanging="360"/>
      </w:pPr>
      <w:rPr>
        <w:rFonts w:ascii="Symbol" w:hAnsi="Symbol" w:hint="default"/>
      </w:rPr>
    </w:lvl>
  </w:abstractNum>
  <w:abstractNum w:abstractNumId="49" w15:restartNumberingAfterBreak="0">
    <w:nsid w:val="2A7B70A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 w15:restartNumberingAfterBreak="0">
    <w:nsid w:val="2A8865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A9125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AF10CD6"/>
    <w:multiLevelType w:val="multilevel"/>
    <w:tmpl w:val="EC46D3BE"/>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022961"/>
    <w:multiLevelType w:val="singleLevel"/>
    <w:tmpl w:val="6DEC6B78"/>
    <w:lvl w:ilvl="0">
      <w:start w:val="1"/>
      <w:numFmt w:val="decimal"/>
      <w:lvlText w:val="%1."/>
      <w:lvlJc w:val="left"/>
      <w:pPr>
        <w:tabs>
          <w:tab w:val="num" w:pos="360"/>
        </w:tabs>
        <w:ind w:left="360" w:hanging="360"/>
      </w:pPr>
      <w:rPr>
        <w:rFonts w:hint="default"/>
        <w:b/>
      </w:rPr>
    </w:lvl>
  </w:abstractNum>
  <w:abstractNum w:abstractNumId="54" w15:restartNumberingAfterBreak="0">
    <w:nsid w:val="2B756442"/>
    <w:multiLevelType w:val="multilevel"/>
    <w:tmpl w:val="1A9EAA1E"/>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5" w15:restartNumberingAfterBreak="0">
    <w:nsid w:val="2CF035AF"/>
    <w:multiLevelType w:val="singleLevel"/>
    <w:tmpl w:val="0809000F"/>
    <w:lvl w:ilvl="0">
      <w:start w:val="1"/>
      <w:numFmt w:val="decimal"/>
      <w:lvlText w:val="%1."/>
      <w:lvlJc w:val="left"/>
      <w:pPr>
        <w:tabs>
          <w:tab w:val="num" w:pos="360"/>
        </w:tabs>
        <w:ind w:left="360" w:hanging="360"/>
      </w:pPr>
    </w:lvl>
  </w:abstractNum>
  <w:abstractNum w:abstractNumId="56" w15:restartNumberingAfterBreak="0">
    <w:nsid w:val="2D4278CA"/>
    <w:multiLevelType w:val="multilevel"/>
    <w:tmpl w:val="79A2D0F6"/>
    <w:lvl w:ilvl="0">
      <w:start w:val="6"/>
      <w:numFmt w:val="decimal"/>
      <w:lvlText w:val="%1"/>
      <w:lvlJc w:val="left"/>
      <w:pPr>
        <w:tabs>
          <w:tab w:val="num" w:pos="855"/>
        </w:tabs>
        <w:ind w:left="855" w:hanging="855"/>
      </w:pPr>
      <w:rPr>
        <w:rFonts w:hint="default"/>
        <w:b w:val="0"/>
      </w:rPr>
    </w:lvl>
    <w:lvl w:ilvl="1">
      <w:start w:val="1"/>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7" w15:restartNumberingAfterBreak="0">
    <w:nsid w:val="2F4941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08472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31775592"/>
    <w:multiLevelType w:val="multilevel"/>
    <w:tmpl w:val="2ABE3B4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1943C6A"/>
    <w:multiLevelType w:val="multilevel"/>
    <w:tmpl w:val="D9D2E66C"/>
    <w:lvl w:ilvl="0">
      <w:start w:val="1"/>
      <w:numFmt w:val="decimal"/>
      <w:lvlText w:val="%1"/>
      <w:lvlJc w:val="left"/>
      <w:pPr>
        <w:tabs>
          <w:tab w:val="num" w:pos="855"/>
        </w:tabs>
        <w:ind w:left="855" w:hanging="855"/>
      </w:pPr>
      <w:rPr>
        <w:rFonts w:hint="default"/>
        <w:b w:val="0"/>
      </w:rPr>
    </w:lvl>
    <w:lvl w:ilvl="1">
      <w:start w:val="1"/>
      <w:numFmt w:val="decimal"/>
      <w:isLgl/>
      <w:lvlText w:val="%1.%2"/>
      <w:lvlJc w:val="left"/>
      <w:pPr>
        <w:tabs>
          <w:tab w:val="num" w:pos="855"/>
        </w:tabs>
        <w:ind w:left="855" w:hanging="855"/>
      </w:pPr>
      <w:rPr>
        <w:rFonts w:hint="default"/>
        <w:b w:val="0"/>
      </w:rPr>
    </w:lvl>
    <w:lvl w:ilvl="2">
      <w:start w:val="1"/>
      <w:numFmt w:val="decimal"/>
      <w:isLgl/>
      <w:lvlText w:val="%1.%2.%3"/>
      <w:lvlJc w:val="left"/>
      <w:pPr>
        <w:tabs>
          <w:tab w:val="num" w:pos="855"/>
        </w:tabs>
        <w:ind w:left="855" w:hanging="855"/>
      </w:pPr>
      <w:rPr>
        <w:rFonts w:hint="default"/>
        <w:b w:val="0"/>
      </w:rPr>
    </w:lvl>
    <w:lvl w:ilvl="3">
      <w:start w:val="1"/>
      <w:numFmt w:val="decimal"/>
      <w:isLgl/>
      <w:lvlText w:val="%1.%2.%3.%4"/>
      <w:lvlJc w:val="left"/>
      <w:pPr>
        <w:tabs>
          <w:tab w:val="num" w:pos="855"/>
        </w:tabs>
        <w:ind w:left="855" w:hanging="855"/>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62" w15:restartNumberingAfterBreak="0">
    <w:nsid w:val="31A4306D"/>
    <w:multiLevelType w:val="multilevel"/>
    <w:tmpl w:val="71EC0C08"/>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32342E63"/>
    <w:multiLevelType w:val="singleLevel"/>
    <w:tmpl w:val="23A8575C"/>
    <w:lvl w:ilvl="0">
      <w:start w:val="4"/>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32842FC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332D1098"/>
    <w:multiLevelType w:val="singleLevel"/>
    <w:tmpl w:val="6DEC6B78"/>
    <w:lvl w:ilvl="0">
      <w:start w:val="1"/>
      <w:numFmt w:val="decimal"/>
      <w:lvlText w:val="%1."/>
      <w:lvlJc w:val="left"/>
      <w:pPr>
        <w:tabs>
          <w:tab w:val="num" w:pos="360"/>
        </w:tabs>
        <w:ind w:left="360" w:hanging="360"/>
      </w:pPr>
      <w:rPr>
        <w:rFonts w:hint="default"/>
        <w:b/>
      </w:rPr>
    </w:lvl>
  </w:abstractNum>
  <w:abstractNum w:abstractNumId="66" w15:restartNumberingAfterBreak="0">
    <w:nsid w:val="350965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378F30B7"/>
    <w:multiLevelType w:val="singleLevel"/>
    <w:tmpl w:val="2D6E4D88"/>
    <w:lvl w:ilvl="0">
      <w:start w:val="4"/>
      <w:numFmt w:val="bullet"/>
      <w:lvlText w:val=""/>
      <w:lvlJc w:val="left"/>
      <w:pPr>
        <w:tabs>
          <w:tab w:val="num" w:pos="360"/>
        </w:tabs>
        <w:ind w:left="360" w:hanging="360"/>
      </w:pPr>
      <w:rPr>
        <w:rFonts w:ascii="Symbol" w:hAnsi="Symbol" w:hint="default"/>
      </w:rPr>
    </w:lvl>
  </w:abstractNum>
  <w:abstractNum w:abstractNumId="68" w15:restartNumberingAfterBreak="0">
    <w:nsid w:val="37DF222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9" w15:restartNumberingAfterBreak="0">
    <w:nsid w:val="37E472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A4D6A2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1" w15:restartNumberingAfterBreak="0">
    <w:nsid w:val="3AFE63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2" w15:restartNumberingAfterBreak="0">
    <w:nsid w:val="3B185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B7C33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BC77F2B"/>
    <w:multiLevelType w:val="singleLevel"/>
    <w:tmpl w:val="CF405E1C"/>
    <w:lvl w:ilvl="0">
      <w:start w:val="5"/>
      <w:numFmt w:val="decimal"/>
      <w:lvlText w:val="%1."/>
      <w:lvlJc w:val="left"/>
      <w:pPr>
        <w:tabs>
          <w:tab w:val="num" w:pos="720"/>
        </w:tabs>
        <w:ind w:left="720" w:hanging="720"/>
      </w:pPr>
      <w:rPr>
        <w:rFonts w:hint="default"/>
      </w:rPr>
    </w:lvl>
  </w:abstractNum>
  <w:abstractNum w:abstractNumId="75" w15:restartNumberingAfterBreak="0">
    <w:nsid w:val="3CF075F5"/>
    <w:multiLevelType w:val="multilevel"/>
    <w:tmpl w:val="FCB40BC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6" w15:restartNumberingAfterBreak="0">
    <w:nsid w:val="3F573EF8"/>
    <w:multiLevelType w:val="singleLevel"/>
    <w:tmpl w:val="DF205FC6"/>
    <w:lvl w:ilvl="0">
      <w:numFmt w:val="bullet"/>
      <w:lvlText w:val=""/>
      <w:lvlJc w:val="left"/>
      <w:pPr>
        <w:tabs>
          <w:tab w:val="num" w:pos="570"/>
        </w:tabs>
        <w:ind w:left="570" w:hanging="570"/>
      </w:pPr>
      <w:rPr>
        <w:rFonts w:ascii="Monotype Sorts" w:hAnsi="Monotype Sorts" w:hint="default"/>
      </w:rPr>
    </w:lvl>
  </w:abstractNum>
  <w:abstractNum w:abstractNumId="77" w15:restartNumberingAfterBreak="0">
    <w:nsid w:val="41505EE7"/>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43FC5C9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9" w15:restartNumberingAfterBreak="0">
    <w:nsid w:val="441464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44EE2B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46463B6E"/>
    <w:multiLevelType w:val="multilevel"/>
    <w:tmpl w:val="7AE2C6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2" w15:restartNumberingAfterBreak="0">
    <w:nsid w:val="47221E73"/>
    <w:multiLevelType w:val="singleLevel"/>
    <w:tmpl w:val="D0061DC6"/>
    <w:lvl w:ilvl="0">
      <w:start w:val="3"/>
      <w:numFmt w:val="decimal"/>
      <w:lvlText w:val="(%1)"/>
      <w:lvlJc w:val="left"/>
      <w:pPr>
        <w:tabs>
          <w:tab w:val="num" w:pos="360"/>
        </w:tabs>
        <w:ind w:left="360" w:hanging="360"/>
      </w:pPr>
      <w:rPr>
        <w:rFonts w:hint="default"/>
      </w:rPr>
    </w:lvl>
  </w:abstractNum>
  <w:abstractNum w:abstractNumId="83" w15:restartNumberingAfterBreak="0">
    <w:nsid w:val="47443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474F6289"/>
    <w:multiLevelType w:val="singleLevel"/>
    <w:tmpl w:val="0E4A77E0"/>
    <w:lvl w:ilvl="0">
      <w:start w:val="1"/>
      <w:numFmt w:val="bullet"/>
      <w:lvlText w:val="-"/>
      <w:lvlJc w:val="left"/>
      <w:pPr>
        <w:tabs>
          <w:tab w:val="num" w:pos="360"/>
        </w:tabs>
        <w:ind w:left="360" w:hanging="360"/>
      </w:pPr>
      <w:rPr>
        <w:rFonts w:ascii="Times New Roman" w:hAnsi="Times New Roman" w:hint="default"/>
      </w:rPr>
    </w:lvl>
  </w:abstractNum>
  <w:abstractNum w:abstractNumId="85" w15:restartNumberingAfterBreak="0">
    <w:nsid w:val="47BE002F"/>
    <w:multiLevelType w:val="singleLevel"/>
    <w:tmpl w:val="EBA0D644"/>
    <w:lvl w:ilvl="0">
      <w:start w:val="1"/>
      <w:numFmt w:val="bullet"/>
      <w:lvlText w:val=""/>
      <w:lvlJc w:val="left"/>
      <w:pPr>
        <w:tabs>
          <w:tab w:val="num" w:pos="360"/>
        </w:tabs>
        <w:ind w:left="360" w:hanging="360"/>
      </w:pPr>
      <w:rPr>
        <w:rFonts w:ascii="Times New Roman" w:hAnsi="Times New Roman" w:hint="default"/>
        <w:sz w:val="24"/>
      </w:rPr>
    </w:lvl>
  </w:abstractNum>
  <w:abstractNum w:abstractNumId="86" w15:restartNumberingAfterBreak="0">
    <w:nsid w:val="490467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9AE59C4"/>
    <w:multiLevelType w:val="singleLevel"/>
    <w:tmpl w:val="F5DC8EFA"/>
    <w:lvl w:ilvl="0">
      <w:start w:val="1"/>
      <w:numFmt w:val="bullet"/>
      <w:lvlText w:val=""/>
      <w:lvlJc w:val="left"/>
      <w:pPr>
        <w:tabs>
          <w:tab w:val="num" w:pos="360"/>
        </w:tabs>
        <w:ind w:left="360" w:hanging="360"/>
      </w:pPr>
      <w:rPr>
        <w:rFonts w:ascii="Times New Roman" w:hAnsi="Times New Roman" w:hint="default"/>
        <w:sz w:val="24"/>
      </w:rPr>
    </w:lvl>
  </w:abstractNum>
  <w:abstractNum w:abstractNumId="88" w15:restartNumberingAfterBreak="0">
    <w:nsid w:val="49C66A5A"/>
    <w:multiLevelType w:val="singleLevel"/>
    <w:tmpl w:val="0809000F"/>
    <w:lvl w:ilvl="0">
      <w:start w:val="1"/>
      <w:numFmt w:val="decimal"/>
      <w:lvlText w:val="%1."/>
      <w:lvlJc w:val="left"/>
      <w:pPr>
        <w:tabs>
          <w:tab w:val="num" w:pos="360"/>
        </w:tabs>
        <w:ind w:left="360" w:hanging="360"/>
      </w:pPr>
    </w:lvl>
  </w:abstractNum>
  <w:abstractNum w:abstractNumId="89" w15:restartNumberingAfterBreak="0">
    <w:nsid w:val="4A585B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B6230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C703129"/>
    <w:multiLevelType w:val="multilevel"/>
    <w:tmpl w:val="EAC05FDC"/>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2" w15:restartNumberingAfterBreak="0">
    <w:nsid w:val="4C7E55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C935928"/>
    <w:multiLevelType w:val="singleLevel"/>
    <w:tmpl w:val="0809000F"/>
    <w:lvl w:ilvl="0">
      <w:start w:val="1"/>
      <w:numFmt w:val="decimal"/>
      <w:lvlText w:val="%1."/>
      <w:lvlJc w:val="left"/>
      <w:pPr>
        <w:tabs>
          <w:tab w:val="num" w:pos="360"/>
        </w:tabs>
        <w:ind w:left="360" w:hanging="360"/>
      </w:pPr>
      <w:rPr>
        <w:rFonts w:hint="default"/>
      </w:rPr>
    </w:lvl>
  </w:abstractNum>
  <w:abstractNum w:abstractNumId="94" w15:restartNumberingAfterBreak="0">
    <w:nsid w:val="4D185FAF"/>
    <w:multiLevelType w:val="singleLevel"/>
    <w:tmpl w:val="F836F884"/>
    <w:lvl w:ilvl="0">
      <w:start w:val="3"/>
      <w:numFmt w:val="bullet"/>
      <w:lvlText w:val="-"/>
      <w:lvlJc w:val="left"/>
      <w:pPr>
        <w:tabs>
          <w:tab w:val="num" w:pos="530"/>
        </w:tabs>
        <w:ind w:left="530" w:hanging="360"/>
      </w:pPr>
      <w:rPr>
        <w:rFonts w:hint="default"/>
      </w:rPr>
    </w:lvl>
  </w:abstractNum>
  <w:abstractNum w:abstractNumId="95" w15:restartNumberingAfterBreak="0">
    <w:nsid w:val="4D42213D"/>
    <w:multiLevelType w:val="singleLevel"/>
    <w:tmpl w:val="BF1C1018"/>
    <w:lvl w:ilvl="0">
      <w:start w:val="3"/>
      <w:numFmt w:val="decimal"/>
      <w:lvlText w:val="(%1)"/>
      <w:lvlJc w:val="left"/>
      <w:pPr>
        <w:tabs>
          <w:tab w:val="num" w:pos="390"/>
        </w:tabs>
        <w:ind w:left="390" w:hanging="390"/>
      </w:pPr>
      <w:rPr>
        <w:rFonts w:hint="default"/>
      </w:rPr>
    </w:lvl>
  </w:abstractNum>
  <w:abstractNum w:abstractNumId="96" w15:restartNumberingAfterBreak="0">
    <w:nsid w:val="4EA566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7" w15:restartNumberingAfterBreak="0">
    <w:nsid w:val="4F7D3947"/>
    <w:multiLevelType w:val="multilevel"/>
    <w:tmpl w:val="48600FEC"/>
    <w:lvl w:ilvl="0">
      <w:start w:val="4"/>
      <w:numFmt w:val="decimal"/>
      <w:lvlText w:val="%1"/>
      <w:lvlJc w:val="left"/>
      <w:pPr>
        <w:tabs>
          <w:tab w:val="num" w:pos="360"/>
        </w:tabs>
        <w:ind w:left="360" w:hanging="360"/>
      </w:pPr>
      <w:rPr>
        <w:rFonts w:hint="default"/>
        <w:b w:val="0"/>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8" w15:restartNumberingAfterBreak="0">
    <w:nsid w:val="5056483C"/>
    <w:multiLevelType w:val="singleLevel"/>
    <w:tmpl w:val="9C2E2130"/>
    <w:lvl w:ilvl="0">
      <w:start w:val="1"/>
      <w:numFmt w:val="bullet"/>
      <w:lvlText w:val=""/>
      <w:lvlJc w:val="left"/>
      <w:pPr>
        <w:tabs>
          <w:tab w:val="num" w:pos="360"/>
        </w:tabs>
        <w:ind w:left="360" w:hanging="360"/>
      </w:pPr>
      <w:rPr>
        <w:rFonts w:ascii="Times New Roman" w:hAnsi="Times New Roman" w:hint="default"/>
        <w:sz w:val="24"/>
      </w:rPr>
    </w:lvl>
  </w:abstractNum>
  <w:abstractNum w:abstractNumId="99" w15:restartNumberingAfterBreak="0">
    <w:nsid w:val="52362426"/>
    <w:multiLevelType w:val="multilevel"/>
    <w:tmpl w:val="DD2456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0" w15:restartNumberingAfterBreak="0">
    <w:nsid w:val="524017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5386719A"/>
    <w:multiLevelType w:val="singleLevel"/>
    <w:tmpl w:val="F836F884"/>
    <w:lvl w:ilvl="0">
      <w:start w:val="3"/>
      <w:numFmt w:val="bullet"/>
      <w:lvlText w:val="-"/>
      <w:lvlJc w:val="left"/>
      <w:pPr>
        <w:tabs>
          <w:tab w:val="num" w:pos="530"/>
        </w:tabs>
        <w:ind w:left="530" w:hanging="360"/>
      </w:pPr>
      <w:rPr>
        <w:rFonts w:hint="default"/>
      </w:rPr>
    </w:lvl>
  </w:abstractNum>
  <w:abstractNum w:abstractNumId="102" w15:restartNumberingAfterBreak="0">
    <w:nsid w:val="542E3D6A"/>
    <w:multiLevelType w:val="multilevel"/>
    <w:tmpl w:val="97D20040"/>
    <w:lvl w:ilvl="0">
      <w:start w:val="1"/>
      <w:numFmt w:val="decimal"/>
      <w:pStyle w:val="Rubrik1"/>
      <w:lvlText w:val="%1"/>
      <w:lvlJc w:val="left"/>
      <w:pPr>
        <w:tabs>
          <w:tab w:val="num" w:pos="360"/>
        </w:tabs>
        <w:ind w:left="0" w:firstLine="0"/>
      </w:pPr>
    </w:lvl>
    <w:lvl w:ilvl="1">
      <w:start w:val="1"/>
      <w:numFmt w:val="decimal"/>
      <w:pStyle w:val="Rubrik2"/>
      <w:lvlText w:val="%1.%2"/>
      <w:lvlJc w:val="left"/>
      <w:pPr>
        <w:tabs>
          <w:tab w:val="num" w:pos="360"/>
        </w:tabs>
        <w:ind w:left="0" w:firstLine="0"/>
      </w:pPr>
    </w:lvl>
    <w:lvl w:ilvl="2">
      <w:start w:val="1"/>
      <w:numFmt w:val="decimal"/>
      <w:pStyle w:val="Rubrik3"/>
      <w:lvlText w:val="%1.%2.%3"/>
      <w:lvlJc w:val="left"/>
      <w:pPr>
        <w:tabs>
          <w:tab w:val="num" w:pos="72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3" w15:restartNumberingAfterBreak="0">
    <w:nsid w:val="548D7234"/>
    <w:multiLevelType w:val="multilevel"/>
    <w:tmpl w:val="D6A654B2"/>
    <w:lvl w:ilvl="0">
      <w:start w:val="1"/>
      <w:numFmt w:val="bullet"/>
      <w:lvlText w:val=""/>
      <w:lvlJc w:val="left"/>
      <w:pPr>
        <w:tabs>
          <w:tab w:val="num" w:pos="782"/>
        </w:tabs>
        <w:ind w:left="782"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4" w15:restartNumberingAfterBreak="0">
    <w:nsid w:val="549A4FEE"/>
    <w:multiLevelType w:val="singleLevel"/>
    <w:tmpl w:val="9C2E2130"/>
    <w:lvl w:ilvl="0">
      <w:start w:val="1"/>
      <w:numFmt w:val="bullet"/>
      <w:lvlText w:val=""/>
      <w:lvlJc w:val="left"/>
      <w:pPr>
        <w:tabs>
          <w:tab w:val="num" w:pos="360"/>
        </w:tabs>
        <w:ind w:left="360" w:hanging="360"/>
      </w:pPr>
      <w:rPr>
        <w:rFonts w:ascii="Times New Roman" w:hAnsi="Times New Roman" w:hint="default"/>
        <w:sz w:val="24"/>
      </w:rPr>
    </w:lvl>
  </w:abstractNum>
  <w:abstractNum w:abstractNumId="105" w15:restartNumberingAfterBreak="0">
    <w:nsid w:val="551C57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6" w15:restartNumberingAfterBreak="0">
    <w:nsid w:val="56140D50"/>
    <w:multiLevelType w:val="singleLevel"/>
    <w:tmpl w:val="041D000F"/>
    <w:lvl w:ilvl="0">
      <w:start w:val="1"/>
      <w:numFmt w:val="decimal"/>
      <w:lvlText w:val="%1."/>
      <w:lvlJc w:val="left"/>
      <w:pPr>
        <w:tabs>
          <w:tab w:val="num" w:pos="360"/>
        </w:tabs>
        <w:ind w:left="360" w:hanging="360"/>
      </w:pPr>
    </w:lvl>
  </w:abstractNum>
  <w:abstractNum w:abstractNumId="107" w15:restartNumberingAfterBreak="0">
    <w:nsid w:val="56DF62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5C8B14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5D497D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5E30282A"/>
    <w:multiLevelType w:val="singleLevel"/>
    <w:tmpl w:val="F836F884"/>
    <w:lvl w:ilvl="0">
      <w:start w:val="3"/>
      <w:numFmt w:val="bullet"/>
      <w:lvlText w:val="-"/>
      <w:lvlJc w:val="left"/>
      <w:pPr>
        <w:tabs>
          <w:tab w:val="num" w:pos="530"/>
        </w:tabs>
        <w:ind w:left="530" w:hanging="360"/>
      </w:pPr>
      <w:rPr>
        <w:rFonts w:hint="default"/>
      </w:rPr>
    </w:lvl>
  </w:abstractNum>
  <w:abstractNum w:abstractNumId="111" w15:restartNumberingAfterBreak="0">
    <w:nsid w:val="5F4E7BF5"/>
    <w:multiLevelType w:val="singleLevel"/>
    <w:tmpl w:val="98CAF784"/>
    <w:lvl w:ilvl="0">
      <w:start w:val="3"/>
      <w:numFmt w:val="decimal"/>
      <w:lvlText w:val="(%1)"/>
      <w:lvlJc w:val="left"/>
      <w:pPr>
        <w:tabs>
          <w:tab w:val="num" w:pos="360"/>
        </w:tabs>
        <w:ind w:left="360" w:hanging="360"/>
      </w:pPr>
      <w:rPr>
        <w:rFonts w:hint="default"/>
      </w:rPr>
    </w:lvl>
  </w:abstractNum>
  <w:abstractNum w:abstractNumId="112" w15:restartNumberingAfterBreak="0">
    <w:nsid w:val="5F5220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5FD529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1245CBC"/>
    <w:multiLevelType w:val="singleLevel"/>
    <w:tmpl w:val="041D000F"/>
    <w:lvl w:ilvl="0">
      <w:start w:val="1"/>
      <w:numFmt w:val="decimal"/>
      <w:lvlText w:val="%1."/>
      <w:lvlJc w:val="left"/>
      <w:pPr>
        <w:tabs>
          <w:tab w:val="num" w:pos="360"/>
        </w:tabs>
        <w:ind w:left="360" w:hanging="360"/>
      </w:pPr>
    </w:lvl>
  </w:abstractNum>
  <w:abstractNum w:abstractNumId="115" w15:restartNumberingAfterBreak="0">
    <w:nsid w:val="62EF3861"/>
    <w:multiLevelType w:val="singleLevel"/>
    <w:tmpl w:val="372E3744"/>
    <w:lvl w:ilvl="0">
      <w:start w:val="3"/>
      <w:numFmt w:val="decimal"/>
      <w:lvlText w:val="(%1)"/>
      <w:lvlJc w:val="left"/>
      <w:pPr>
        <w:tabs>
          <w:tab w:val="num" w:pos="360"/>
        </w:tabs>
        <w:ind w:left="360" w:hanging="360"/>
      </w:pPr>
      <w:rPr>
        <w:rFonts w:hint="default"/>
      </w:rPr>
    </w:lvl>
  </w:abstractNum>
  <w:abstractNum w:abstractNumId="116" w15:restartNumberingAfterBreak="0">
    <w:nsid w:val="630D3FA6"/>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17"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8" w15:restartNumberingAfterBreak="0">
    <w:nsid w:val="64735CE4"/>
    <w:multiLevelType w:val="multilevel"/>
    <w:tmpl w:val="D6A654B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9" w15:restartNumberingAfterBreak="0">
    <w:nsid w:val="64E743D9"/>
    <w:multiLevelType w:val="multilevel"/>
    <w:tmpl w:val="23302ECC"/>
    <w:lvl w:ilvl="0">
      <w:start w:val="1"/>
      <w:numFmt w:val="upperRoman"/>
      <w:lvlText w:val="%1."/>
      <w:lvlJc w:val="left"/>
      <w:pPr>
        <w:tabs>
          <w:tab w:val="num" w:pos="720"/>
        </w:tabs>
        <w:ind w:left="284" w:hanging="284"/>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0" w15:restartNumberingAfterBreak="0">
    <w:nsid w:val="651F24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661C0642"/>
    <w:multiLevelType w:val="singleLevel"/>
    <w:tmpl w:val="041D0011"/>
    <w:lvl w:ilvl="0">
      <w:start w:val="1"/>
      <w:numFmt w:val="decimal"/>
      <w:lvlText w:val="%1)"/>
      <w:lvlJc w:val="left"/>
      <w:pPr>
        <w:tabs>
          <w:tab w:val="num" w:pos="360"/>
        </w:tabs>
        <w:ind w:left="360" w:hanging="360"/>
      </w:pPr>
      <w:rPr>
        <w:rFonts w:hint="default"/>
      </w:rPr>
    </w:lvl>
  </w:abstractNum>
  <w:abstractNum w:abstractNumId="122" w15:restartNumberingAfterBreak="0">
    <w:nsid w:val="67200A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687408A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4" w15:restartNumberingAfterBreak="0">
    <w:nsid w:val="68832D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88915D7"/>
    <w:multiLevelType w:val="multilevel"/>
    <w:tmpl w:val="57327AB0"/>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6" w15:restartNumberingAfterBreak="0">
    <w:nsid w:val="689023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696A5D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9C85D3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9" w15:restartNumberingAfterBreak="0">
    <w:nsid w:val="6ADE21AA"/>
    <w:multiLevelType w:val="multilevel"/>
    <w:tmpl w:val="5CA0E05E"/>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0" w15:restartNumberingAfterBreak="0">
    <w:nsid w:val="6C3C7D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6CE9635C"/>
    <w:multiLevelType w:val="singleLevel"/>
    <w:tmpl w:val="28524FA0"/>
    <w:lvl w:ilvl="0">
      <w:start w:val="1"/>
      <w:numFmt w:val="decimal"/>
      <w:lvlText w:val="(%1)"/>
      <w:lvlJc w:val="left"/>
      <w:pPr>
        <w:tabs>
          <w:tab w:val="num" w:pos="360"/>
        </w:tabs>
        <w:ind w:left="360" w:hanging="360"/>
      </w:pPr>
      <w:rPr>
        <w:rFonts w:hint="default"/>
      </w:rPr>
    </w:lvl>
  </w:abstractNum>
  <w:abstractNum w:abstractNumId="132" w15:restartNumberingAfterBreak="0">
    <w:nsid w:val="6D3E3D2D"/>
    <w:multiLevelType w:val="singleLevel"/>
    <w:tmpl w:val="67021C14"/>
    <w:lvl w:ilvl="0">
      <w:start w:val="1"/>
      <w:numFmt w:val="decimal"/>
      <w:lvlText w:val="(%1)"/>
      <w:lvlJc w:val="left"/>
      <w:pPr>
        <w:tabs>
          <w:tab w:val="num" w:pos="360"/>
        </w:tabs>
        <w:ind w:left="360" w:hanging="360"/>
      </w:pPr>
      <w:rPr>
        <w:rFonts w:hint="default"/>
      </w:rPr>
    </w:lvl>
  </w:abstractNum>
  <w:abstractNum w:abstractNumId="133" w15:restartNumberingAfterBreak="0">
    <w:nsid w:val="6D8F5B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6DE65596"/>
    <w:multiLevelType w:val="multilevel"/>
    <w:tmpl w:val="8924BD74"/>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6F1549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6F252AF5"/>
    <w:multiLevelType w:val="multilevel"/>
    <w:tmpl w:val="B992A948"/>
    <w:lvl w:ilvl="0">
      <w:start w:val="4"/>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7" w15:restartNumberingAfterBreak="0">
    <w:nsid w:val="6F322F8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8" w15:restartNumberingAfterBreak="0">
    <w:nsid w:val="714D75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746D4FF6"/>
    <w:multiLevelType w:val="multilevel"/>
    <w:tmpl w:val="C16E2B4C"/>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0" w15:restartNumberingAfterBreak="0">
    <w:nsid w:val="76EA3A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76EA4C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77A95C41"/>
    <w:multiLevelType w:val="singleLevel"/>
    <w:tmpl w:val="F63CE982"/>
    <w:lvl w:ilvl="0">
      <w:start w:val="1"/>
      <w:numFmt w:val="decimal"/>
      <w:lvlText w:val="%1."/>
      <w:legacy w:legacy="1" w:legacySpace="0" w:legacyIndent="360"/>
      <w:lvlJc w:val="left"/>
      <w:pPr>
        <w:ind w:left="360" w:hanging="360"/>
      </w:pPr>
    </w:lvl>
  </w:abstractNum>
  <w:abstractNum w:abstractNumId="143" w15:restartNumberingAfterBreak="0">
    <w:nsid w:val="77CD33D4"/>
    <w:multiLevelType w:val="multilevel"/>
    <w:tmpl w:val="EC7CF1DE"/>
    <w:lvl w:ilvl="0">
      <w:start w:val="4"/>
      <w:numFmt w:val="decimal"/>
      <w:lvlText w:val="%1"/>
      <w:lvlJc w:val="left"/>
      <w:pPr>
        <w:tabs>
          <w:tab w:val="num" w:pos="855"/>
        </w:tabs>
        <w:ind w:left="855" w:hanging="855"/>
      </w:pPr>
      <w:rPr>
        <w:rFonts w:hint="default"/>
        <w:i w:val="0"/>
      </w:rPr>
    </w:lvl>
    <w:lvl w:ilvl="1">
      <w:start w:val="2"/>
      <w:numFmt w:val="decimal"/>
      <w:lvlText w:val="%1.%2"/>
      <w:lvlJc w:val="left"/>
      <w:pPr>
        <w:tabs>
          <w:tab w:val="num" w:pos="855"/>
        </w:tabs>
        <w:ind w:left="855" w:hanging="855"/>
      </w:pPr>
      <w:rPr>
        <w:rFonts w:hint="default"/>
        <w:i w:val="0"/>
      </w:rPr>
    </w:lvl>
    <w:lvl w:ilvl="2">
      <w:start w:val="1"/>
      <w:numFmt w:val="decimal"/>
      <w:lvlText w:val="%1.%2.%3"/>
      <w:lvlJc w:val="left"/>
      <w:pPr>
        <w:tabs>
          <w:tab w:val="num" w:pos="855"/>
        </w:tabs>
        <w:ind w:left="855" w:hanging="855"/>
      </w:pPr>
      <w:rPr>
        <w:rFonts w:hint="default"/>
        <w:i w:val="0"/>
      </w:rPr>
    </w:lvl>
    <w:lvl w:ilvl="3">
      <w:start w:val="1"/>
      <w:numFmt w:val="decimal"/>
      <w:lvlText w:val="%1.%2.%3.%4"/>
      <w:lvlJc w:val="left"/>
      <w:pPr>
        <w:tabs>
          <w:tab w:val="num" w:pos="855"/>
        </w:tabs>
        <w:ind w:left="855" w:hanging="855"/>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4" w15:restartNumberingAfterBreak="0">
    <w:nsid w:val="7AF25E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7D811664"/>
    <w:multiLevelType w:val="multilevel"/>
    <w:tmpl w:val="B98250B4"/>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6" w15:restartNumberingAfterBreak="0">
    <w:nsid w:val="7D97687C"/>
    <w:multiLevelType w:val="multilevel"/>
    <w:tmpl w:val="6A48B3F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7" w15:restartNumberingAfterBreak="0">
    <w:nsid w:val="7E0C675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8" w15:restartNumberingAfterBreak="0">
    <w:nsid w:val="7F3B506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36111357">
    <w:abstractNumId w:val="125"/>
  </w:num>
  <w:num w:numId="2" w16cid:durableId="1916281515">
    <w:abstractNumId w:val="125"/>
  </w:num>
  <w:num w:numId="3" w16cid:durableId="903831046">
    <w:abstractNumId w:val="125"/>
  </w:num>
  <w:num w:numId="4" w16cid:durableId="1155607879">
    <w:abstractNumId w:val="125"/>
  </w:num>
  <w:num w:numId="5" w16cid:durableId="932085105">
    <w:abstractNumId w:val="125"/>
  </w:num>
  <w:num w:numId="6" w16cid:durableId="782304497">
    <w:abstractNumId w:val="125"/>
  </w:num>
  <w:num w:numId="7" w16cid:durableId="778912736">
    <w:abstractNumId w:val="125"/>
  </w:num>
  <w:num w:numId="8" w16cid:durableId="786657967">
    <w:abstractNumId w:val="125"/>
  </w:num>
  <w:num w:numId="9" w16cid:durableId="2016959252">
    <w:abstractNumId w:val="17"/>
  </w:num>
  <w:num w:numId="10" w16cid:durableId="1251548237">
    <w:abstractNumId w:val="45"/>
  </w:num>
  <w:num w:numId="11" w16cid:durableId="1937251642">
    <w:abstractNumId w:val="135"/>
  </w:num>
  <w:num w:numId="12" w16cid:durableId="1862745984">
    <w:abstractNumId w:val="29"/>
  </w:num>
  <w:num w:numId="13" w16cid:durableId="1527210087">
    <w:abstractNumId w:val="72"/>
  </w:num>
  <w:num w:numId="14" w16cid:durableId="179049785">
    <w:abstractNumId w:val="25"/>
  </w:num>
  <w:num w:numId="15" w16cid:durableId="1484196404">
    <w:abstractNumId w:val="133"/>
  </w:num>
  <w:num w:numId="16" w16cid:durableId="551430364">
    <w:abstractNumId w:val="37"/>
  </w:num>
  <w:num w:numId="17" w16cid:durableId="732390448">
    <w:abstractNumId w:val="117"/>
  </w:num>
  <w:num w:numId="18" w16cid:durableId="1199515040">
    <w:abstractNumId w:val="39"/>
  </w:num>
  <w:num w:numId="19" w16cid:durableId="798259835">
    <w:abstractNumId w:val="31"/>
  </w:num>
  <w:num w:numId="20" w16cid:durableId="619990600">
    <w:abstractNumId w:val="144"/>
  </w:num>
  <w:num w:numId="21" w16cid:durableId="1733625703">
    <w:abstractNumId w:val="51"/>
  </w:num>
  <w:num w:numId="22" w16cid:durableId="401416620">
    <w:abstractNumId w:val="35"/>
  </w:num>
  <w:num w:numId="23" w16cid:durableId="1784575176">
    <w:abstractNumId w:val="24"/>
  </w:num>
  <w:num w:numId="24" w16cid:durableId="1898200766">
    <w:abstractNumId w:val="126"/>
  </w:num>
  <w:num w:numId="25" w16cid:durableId="886067876">
    <w:abstractNumId w:val="59"/>
  </w:num>
  <w:num w:numId="26" w16cid:durableId="760563625">
    <w:abstractNumId w:val="57"/>
  </w:num>
  <w:num w:numId="27" w16cid:durableId="1743289695">
    <w:abstractNumId w:val="34"/>
  </w:num>
  <w:num w:numId="28" w16cid:durableId="112215274">
    <w:abstractNumId w:val="16"/>
  </w:num>
  <w:num w:numId="29" w16cid:durableId="1958291926">
    <w:abstractNumId w:val="83"/>
  </w:num>
  <w:num w:numId="30" w16cid:durableId="1097822928">
    <w:abstractNumId w:val="70"/>
  </w:num>
  <w:num w:numId="31" w16cid:durableId="1635716780">
    <w:abstractNumId w:val="123"/>
  </w:num>
  <w:num w:numId="32" w16cid:durableId="2112504908">
    <w:abstractNumId w:val="42"/>
  </w:num>
  <w:num w:numId="33" w16cid:durableId="1372606563">
    <w:abstractNumId w:val="27"/>
  </w:num>
  <w:num w:numId="34" w16cid:durableId="664236854">
    <w:abstractNumId w:val="14"/>
  </w:num>
  <w:num w:numId="35" w16cid:durableId="605191229">
    <w:abstractNumId w:val="18"/>
  </w:num>
  <w:num w:numId="36" w16cid:durableId="230890346">
    <w:abstractNumId w:val="137"/>
  </w:num>
  <w:num w:numId="37" w16cid:durableId="1479297854">
    <w:abstractNumId w:val="49"/>
  </w:num>
  <w:num w:numId="38" w16cid:durableId="1517574570">
    <w:abstractNumId w:val="38"/>
  </w:num>
  <w:num w:numId="39" w16cid:durableId="543758866">
    <w:abstractNumId w:val="68"/>
  </w:num>
  <w:num w:numId="40" w16cid:durableId="1199584264">
    <w:abstractNumId w:val="147"/>
  </w:num>
  <w:num w:numId="41" w16cid:durableId="1437213753">
    <w:abstractNumId w:val="78"/>
  </w:num>
  <w:num w:numId="42" w16cid:durableId="1500778978">
    <w:abstractNumId w:val="105"/>
  </w:num>
  <w:num w:numId="43" w16cid:durableId="895091199">
    <w:abstractNumId w:val="71"/>
  </w:num>
  <w:num w:numId="44" w16cid:durableId="805246540">
    <w:abstractNumId w:val="96"/>
  </w:num>
  <w:num w:numId="45" w16cid:durableId="618028476">
    <w:abstractNumId w:val="47"/>
  </w:num>
  <w:num w:numId="46" w16cid:durableId="1367556820">
    <w:abstractNumId w:val="110"/>
  </w:num>
  <w:num w:numId="47" w16cid:durableId="281111712">
    <w:abstractNumId w:val="19"/>
  </w:num>
  <w:num w:numId="48" w16cid:durableId="155807996">
    <w:abstractNumId w:val="94"/>
  </w:num>
  <w:num w:numId="49" w16cid:durableId="1183202288">
    <w:abstractNumId w:val="101"/>
  </w:num>
  <w:num w:numId="50" w16cid:durableId="538471140">
    <w:abstractNumId w:val="107"/>
  </w:num>
  <w:num w:numId="51" w16cid:durableId="1888377402">
    <w:abstractNumId w:val="124"/>
  </w:num>
  <w:num w:numId="52" w16cid:durableId="919408172">
    <w:abstractNumId w:val="90"/>
  </w:num>
  <w:num w:numId="53" w16cid:durableId="1631935759">
    <w:abstractNumId w:val="52"/>
  </w:num>
  <w:num w:numId="54" w16cid:durableId="1703047417">
    <w:abstractNumId w:val="134"/>
  </w:num>
  <w:num w:numId="55" w16cid:durableId="1663587157">
    <w:abstractNumId w:val="20"/>
  </w:num>
  <w:num w:numId="56" w16cid:durableId="724571209">
    <w:abstractNumId w:val="129"/>
  </w:num>
  <w:num w:numId="57" w16cid:durableId="2059161118">
    <w:abstractNumId w:val="22"/>
  </w:num>
  <w:num w:numId="58" w16cid:durableId="126750077">
    <w:abstractNumId w:val="145"/>
  </w:num>
  <w:num w:numId="59" w16cid:durableId="413934933">
    <w:abstractNumId w:val="84"/>
  </w:num>
  <w:num w:numId="60" w16cid:durableId="1986160987">
    <w:abstractNumId w:val="67"/>
  </w:num>
  <w:num w:numId="61" w16cid:durableId="654528025">
    <w:abstractNumId w:val="119"/>
  </w:num>
  <w:num w:numId="62" w16cid:durableId="1575437235">
    <w:abstractNumId w:val="8"/>
  </w:num>
  <w:num w:numId="63" w16cid:durableId="2071689879">
    <w:abstractNumId w:val="3"/>
  </w:num>
  <w:num w:numId="64" w16cid:durableId="1335760725">
    <w:abstractNumId w:val="2"/>
  </w:num>
  <w:num w:numId="65" w16cid:durableId="1604417036">
    <w:abstractNumId w:val="1"/>
  </w:num>
  <w:num w:numId="66" w16cid:durableId="1921324907">
    <w:abstractNumId w:val="0"/>
  </w:num>
  <w:num w:numId="67" w16cid:durableId="349993492">
    <w:abstractNumId w:val="9"/>
  </w:num>
  <w:num w:numId="68" w16cid:durableId="856231907">
    <w:abstractNumId w:val="7"/>
  </w:num>
  <w:num w:numId="69" w16cid:durableId="966158058">
    <w:abstractNumId w:val="6"/>
  </w:num>
  <w:num w:numId="70" w16cid:durableId="1492869830">
    <w:abstractNumId w:val="5"/>
  </w:num>
  <w:num w:numId="71" w16cid:durableId="113525878">
    <w:abstractNumId w:val="4"/>
  </w:num>
  <w:num w:numId="72" w16cid:durableId="715469157">
    <w:abstractNumId w:val="41"/>
  </w:num>
  <w:num w:numId="73" w16cid:durableId="761687812">
    <w:abstractNumId w:val="44"/>
  </w:num>
  <w:num w:numId="74" w16cid:durableId="905795672">
    <w:abstractNumId w:val="30"/>
  </w:num>
  <w:num w:numId="75" w16cid:durableId="1811021981">
    <w:abstractNumId w:val="21"/>
  </w:num>
  <w:num w:numId="76" w16cid:durableId="884833174">
    <w:abstractNumId w:val="58"/>
  </w:num>
  <w:num w:numId="77" w16cid:durableId="193806778">
    <w:abstractNumId w:val="125"/>
  </w:num>
  <w:num w:numId="78" w16cid:durableId="1035039448">
    <w:abstractNumId w:val="86"/>
  </w:num>
  <w:num w:numId="79" w16cid:durableId="401028131">
    <w:abstractNumId w:val="100"/>
  </w:num>
  <w:num w:numId="80" w16cid:durableId="1321543571">
    <w:abstractNumId w:val="122"/>
  </w:num>
  <w:num w:numId="81" w16cid:durableId="1799833822">
    <w:abstractNumId w:val="88"/>
  </w:num>
  <w:num w:numId="82" w16cid:durableId="822819276">
    <w:abstractNumId w:val="92"/>
  </w:num>
  <w:num w:numId="83" w16cid:durableId="2103724011">
    <w:abstractNumId w:val="112"/>
  </w:num>
  <w:num w:numId="84" w16cid:durableId="1285694388">
    <w:abstractNumId w:val="93"/>
  </w:num>
  <w:num w:numId="85" w16cid:durableId="1930235462">
    <w:abstractNumId w:val="55"/>
  </w:num>
  <w:num w:numId="86" w16cid:durableId="1219584658">
    <w:abstractNumId w:val="75"/>
  </w:num>
  <w:num w:numId="87" w16cid:durableId="1046031645">
    <w:abstractNumId w:val="74"/>
  </w:num>
  <w:num w:numId="88" w16cid:durableId="1823964204">
    <w:abstractNumId w:val="53"/>
  </w:num>
  <w:num w:numId="89" w16cid:durableId="1863861717">
    <w:abstractNumId w:val="65"/>
  </w:num>
  <w:num w:numId="90" w16cid:durableId="943614564">
    <w:abstractNumId w:val="140"/>
  </w:num>
  <w:num w:numId="91" w16cid:durableId="1221089508">
    <w:abstractNumId w:val="127"/>
  </w:num>
  <w:num w:numId="92" w16cid:durableId="1743868167">
    <w:abstractNumId w:val="15"/>
  </w:num>
  <w:num w:numId="93" w16cid:durableId="1343899784">
    <w:abstractNumId w:val="66"/>
  </w:num>
  <w:num w:numId="94" w16cid:durableId="1595629910">
    <w:abstractNumId w:val="142"/>
  </w:num>
  <w:num w:numId="95" w16cid:durableId="1653212465">
    <w:abstractNumId w:val="10"/>
    <w:lvlOverride w:ilvl="0">
      <w:lvl w:ilvl="0">
        <w:start w:val="1"/>
        <w:numFmt w:val="bullet"/>
        <w:lvlText w:val=""/>
        <w:legacy w:legacy="1" w:legacySpace="0" w:legacyIndent="360"/>
        <w:lvlJc w:val="left"/>
        <w:pPr>
          <w:ind w:left="420" w:hanging="360"/>
        </w:pPr>
        <w:rPr>
          <w:rFonts w:ascii="Symbol" w:hAnsi="Symbol" w:hint="default"/>
        </w:rPr>
      </w:lvl>
    </w:lvlOverride>
  </w:num>
  <w:num w:numId="96" w16cid:durableId="1626038042">
    <w:abstractNumId w:val="48"/>
  </w:num>
  <w:num w:numId="97" w16cid:durableId="683827392">
    <w:abstractNumId w:val="63"/>
  </w:num>
  <w:num w:numId="98" w16cid:durableId="817855">
    <w:abstractNumId w:val="60"/>
  </w:num>
  <w:num w:numId="99" w16cid:durableId="950472614">
    <w:abstractNumId w:val="13"/>
  </w:num>
  <w:num w:numId="100" w16cid:durableId="275914941">
    <w:abstractNumId w:val="118"/>
  </w:num>
  <w:num w:numId="101" w16cid:durableId="567691230">
    <w:abstractNumId w:val="103"/>
  </w:num>
  <w:num w:numId="102" w16cid:durableId="1235623518">
    <w:abstractNumId w:val="146"/>
  </w:num>
  <w:num w:numId="103" w16cid:durableId="921184274">
    <w:abstractNumId w:val="64"/>
  </w:num>
  <w:num w:numId="104" w16cid:durableId="35594358">
    <w:abstractNumId w:val="128"/>
  </w:num>
  <w:num w:numId="105" w16cid:durableId="63842553">
    <w:abstractNumId w:val="125"/>
  </w:num>
  <w:num w:numId="106" w16cid:durableId="214580515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153773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84546189">
    <w:abstractNumId w:val="138"/>
  </w:num>
  <w:num w:numId="109" w16cid:durableId="991103486">
    <w:abstractNumId w:val="79"/>
  </w:num>
  <w:num w:numId="110" w16cid:durableId="2131128358">
    <w:abstractNumId w:val="89"/>
  </w:num>
  <w:num w:numId="111" w16cid:durableId="608046241">
    <w:abstractNumId w:val="109"/>
  </w:num>
  <w:num w:numId="112" w16cid:durableId="1067386798">
    <w:abstractNumId w:val="33"/>
  </w:num>
  <w:num w:numId="113" w16cid:durableId="1202864691">
    <w:abstractNumId w:val="106"/>
  </w:num>
  <w:num w:numId="114" w16cid:durableId="1801729673">
    <w:abstractNumId w:val="130"/>
  </w:num>
  <w:num w:numId="115" w16cid:durableId="170467287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68651896">
    <w:abstractNumId w:val="23"/>
  </w:num>
  <w:num w:numId="117" w16cid:durableId="1708984581">
    <w:abstractNumId w:val="77"/>
  </w:num>
  <w:num w:numId="118" w16cid:durableId="828446696">
    <w:abstractNumId w:val="11"/>
  </w:num>
  <w:num w:numId="119" w16cid:durableId="1132090059">
    <w:abstractNumId w:val="26"/>
  </w:num>
  <w:num w:numId="120" w16cid:durableId="1811753626">
    <w:abstractNumId w:val="132"/>
  </w:num>
  <w:num w:numId="121" w16cid:durableId="572813879">
    <w:abstractNumId w:val="82"/>
  </w:num>
  <w:num w:numId="122" w16cid:durableId="123934187">
    <w:abstractNumId w:val="131"/>
  </w:num>
  <w:num w:numId="123" w16cid:durableId="436145934">
    <w:abstractNumId w:val="148"/>
  </w:num>
  <w:num w:numId="124" w16cid:durableId="957688377">
    <w:abstractNumId w:val="116"/>
  </w:num>
  <w:num w:numId="125" w16cid:durableId="12465578">
    <w:abstractNumId w:val="87"/>
  </w:num>
  <w:num w:numId="126" w16cid:durableId="2089884830">
    <w:abstractNumId w:val="121"/>
  </w:num>
  <w:num w:numId="127" w16cid:durableId="325935316">
    <w:abstractNumId w:val="46"/>
  </w:num>
  <w:num w:numId="128" w16cid:durableId="1755009070">
    <w:abstractNumId w:val="61"/>
  </w:num>
  <w:num w:numId="129" w16cid:durableId="712997801">
    <w:abstractNumId w:val="143"/>
  </w:num>
  <w:num w:numId="130" w16cid:durableId="1388407697">
    <w:abstractNumId w:val="56"/>
  </w:num>
  <w:num w:numId="131" w16cid:durableId="1539127881">
    <w:abstractNumId w:val="104"/>
  </w:num>
  <w:num w:numId="132" w16cid:durableId="948049419">
    <w:abstractNumId w:val="43"/>
  </w:num>
  <w:num w:numId="133" w16cid:durableId="1369841103">
    <w:abstractNumId w:val="98"/>
  </w:num>
  <w:num w:numId="134" w16cid:durableId="1266815179">
    <w:abstractNumId w:val="141"/>
  </w:num>
  <w:num w:numId="135" w16cid:durableId="1830244458">
    <w:abstractNumId w:val="40"/>
  </w:num>
  <w:num w:numId="136" w16cid:durableId="769668992">
    <w:abstractNumId w:val="73"/>
  </w:num>
  <w:num w:numId="137" w16cid:durableId="1922717592">
    <w:abstractNumId w:val="69"/>
  </w:num>
  <w:num w:numId="138" w16cid:durableId="461116500">
    <w:abstractNumId w:val="32"/>
  </w:num>
  <w:num w:numId="139" w16cid:durableId="200678321">
    <w:abstractNumId w:val="28"/>
  </w:num>
  <w:num w:numId="140" w16cid:durableId="445125817">
    <w:abstractNumId w:val="97"/>
  </w:num>
  <w:num w:numId="141" w16cid:durableId="789058878">
    <w:abstractNumId w:val="54"/>
  </w:num>
  <w:num w:numId="142" w16cid:durableId="404883505">
    <w:abstractNumId w:val="139"/>
  </w:num>
  <w:num w:numId="143" w16cid:durableId="1825777982">
    <w:abstractNumId w:val="80"/>
  </w:num>
  <w:num w:numId="144" w16cid:durableId="2048796682">
    <w:abstractNumId w:val="113"/>
  </w:num>
  <w:num w:numId="145" w16cid:durableId="1109812979">
    <w:abstractNumId w:val="85"/>
  </w:num>
  <w:num w:numId="146" w16cid:durableId="1467578960">
    <w:abstractNumId w:val="76"/>
  </w:num>
  <w:num w:numId="147" w16cid:durableId="489443124">
    <w:abstractNumId w:val="36"/>
  </w:num>
  <w:num w:numId="148" w16cid:durableId="1233084555">
    <w:abstractNumId w:val="50"/>
  </w:num>
  <w:num w:numId="149" w16cid:durableId="2029939743">
    <w:abstractNumId w:val="114"/>
  </w:num>
  <w:num w:numId="150" w16cid:durableId="1123501179">
    <w:abstractNumId w:val="120"/>
  </w:num>
  <w:num w:numId="151" w16cid:durableId="1724133582">
    <w:abstractNumId w:val="108"/>
  </w:num>
  <w:num w:numId="152" w16cid:durableId="213590717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34292744">
    <w:abstractNumId w:val="95"/>
  </w:num>
  <w:num w:numId="154" w16cid:durableId="1458718296">
    <w:abstractNumId w:val="115"/>
  </w:num>
  <w:num w:numId="155" w16cid:durableId="1374041423">
    <w:abstractNumId w:val="111"/>
  </w:num>
  <w:num w:numId="156" w16cid:durableId="1387145933">
    <w:abstractNumId w:val="12"/>
  </w:num>
  <w:num w:numId="157" w16cid:durableId="119978238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8276366">
    <w:abstractNumId w:val="125"/>
  </w:num>
  <w:num w:numId="159" w16cid:durableId="1779909839">
    <w:abstractNumId w:val="136"/>
  </w:num>
  <w:num w:numId="160" w16cid:durableId="213289714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8272629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866334555">
    <w:abstractNumId w:val="91"/>
  </w:num>
  <w:num w:numId="163" w16cid:durableId="1420249971">
    <w:abstractNumId w:val="102"/>
  </w:num>
  <w:num w:numId="164" w16cid:durableId="1040202399">
    <w:abstractNumId w:val="99"/>
  </w:num>
  <w:num w:numId="165" w16cid:durableId="786855330">
    <w:abstractNumId w:val="81"/>
  </w:num>
  <w:num w:numId="166" w16cid:durableId="746920102">
    <w:abstractNumId w:val="62"/>
  </w:num>
  <w:num w:numId="167" w16cid:durableId="151325386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3297773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333336286">
    <w:abstractNumId w:val="102"/>
  </w:num>
  <w:num w:numId="170" w16cid:durableId="18366082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56448828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03661082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44125407">
    <w:abstractNumId w:val="102"/>
  </w:num>
  <w:num w:numId="174" w16cid:durableId="72464611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0627222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06896573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05199821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16990270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62542882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numRestart w:val="eachSect"/>
    <w:footnote w:id="-1"/>
    <w:footnote w:id="0"/>
  </w:footnotePr>
  <w:endnotePr>
    <w:pos w:val="sectEnd"/>
    <w:numRestart w:val="eachSect"/>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001"/>
  </w:docVars>
  <w:rsids>
    <w:rsidRoot w:val="00AA209B"/>
    <w:rsid w:val="000A3A07"/>
    <w:rsid w:val="007C11E9"/>
    <w:rsid w:val="00AA20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1CEA7FC1"/>
  <w15:chartTrackingRefBased/>
  <w15:docId w15:val="{0ED24FBF-CD31-4906-A0A9-1CF07517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173"/>
      </w:numPr>
      <w:suppressAutoHyphens/>
      <w:spacing w:before="313" w:line="300" w:lineRule="exact"/>
      <w:jc w:val="left"/>
      <w:outlineLvl w:val="0"/>
    </w:pPr>
    <w:rPr>
      <w:sz w:val="28"/>
    </w:rPr>
  </w:style>
  <w:style w:type="paragraph" w:styleId="Rubrik2">
    <w:name w:val="heading 2"/>
    <w:basedOn w:val="Rubrik1"/>
    <w:next w:val="Normal"/>
    <w:autoRedefine/>
    <w:qFormat/>
    <w:pPr>
      <w:numPr>
        <w:ilvl w:val="1"/>
      </w:numPr>
      <w:spacing w:before="360" w:line="256" w:lineRule="exact"/>
      <w:ind w:left="357" w:hanging="357"/>
      <w:outlineLvl w:val="1"/>
    </w:pPr>
    <w:rPr>
      <w:sz w:val="23"/>
    </w:rPr>
  </w:style>
  <w:style w:type="paragraph" w:styleId="Rubrik3">
    <w:name w:val="heading 3"/>
    <w:basedOn w:val="Rubrik1"/>
    <w:next w:val="Normal"/>
    <w:autoRedefine/>
    <w:qFormat/>
    <w:pPr>
      <w:numPr>
        <w:ilvl w:val="2"/>
      </w:numPr>
      <w:spacing w:before="360" w:line="214" w:lineRule="exact"/>
      <w:ind w:left="720" w:hanging="720"/>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ubrik1"/>
    <w:next w:val="Normal"/>
    <w:pPr>
      <w:spacing w:before="0" w:after="245"/>
      <w:outlineLvl w:val="9"/>
    </w:pPr>
  </w:style>
  <w:style w:type="paragraph" w:customStyle="1" w:styleId="R1">
    <w:name w:val="R1"/>
    <w:basedOn w:val="Rubrik1"/>
    <w:next w:val="Normal"/>
    <w:pPr>
      <w:outlineLvl w:val="9"/>
    </w:p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numPr>
        <w:numId w:val="0"/>
      </w:num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autoRedefine/>
    <w:semiHidden/>
    <w:pPr>
      <w:tabs>
        <w:tab w:val="left" w:pos="454"/>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BetRubrik">
    <w:name w:val="BetRubrik"/>
    <w:basedOn w:val="Rubrik1"/>
    <w:pPr>
      <w:spacing w:line="480" w:lineRule="exact"/>
      <w:outlineLvl w:val="9"/>
    </w:pPr>
    <w:rPr>
      <w:sz w:val="36"/>
    </w:rPr>
  </w:style>
  <w:style w:type="paragraph" w:customStyle="1" w:styleId="Tabellrubrik1">
    <w:name w:val="Tabellrubrik1"/>
    <w:basedOn w:val="Normal"/>
    <w:pPr>
      <w:spacing w:before="0" w:line="240" w:lineRule="auto"/>
    </w:pPr>
    <w:rPr>
      <w:b/>
      <w:sz w:val="22"/>
    </w:rPr>
  </w:style>
  <w:style w:type="character" w:styleId="Fotnotsreferens">
    <w:name w:val="footnote reference"/>
    <w:basedOn w:val="Standardstycketeckensnitt"/>
    <w:semiHidden/>
    <w:rPr>
      <w:vertAlign w:val="superscript"/>
    </w:rPr>
  </w:style>
  <w:style w:type="character" w:styleId="Kommentarsreferens">
    <w:name w:val="annotation reference"/>
    <w:basedOn w:val="Standardstycketeckensnitt"/>
    <w:semiHidden/>
    <w:rPr>
      <w:sz w:val="16"/>
    </w:rPr>
  </w:style>
  <w:style w:type="character" w:styleId="Hyperlnk">
    <w:name w:val="Hyperlink"/>
    <w:basedOn w:val="Standardstycketeckensnitt"/>
    <w:semiHidden/>
    <w:rPr>
      <w:color w:val="0000FF"/>
      <w:u w:val="single"/>
    </w:rPr>
  </w:style>
  <w:style w:type="paragraph" w:styleId="Kommentarer">
    <w:name w:val="annotation text"/>
    <w:basedOn w:val="Normal"/>
    <w:semiHidden/>
    <w:rPr>
      <w:sz w:val="20"/>
    </w:rPr>
  </w:style>
  <w:style w:type="character" w:styleId="Slutnotsreferens">
    <w:name w:val="endnote reference"/>
    <w:basedOn w:val="Standardstycketeckensnitt"/>
    <w:semiHidden/>
    <w:rPr>
      <w:vertAlign w:val="superscript"/>
    </w:rPr>
  </w:style>
  <w:style w:type="paragraph" w:styleId="Slutnotstext">
    <w:name w:val="endnote text"/>
    <w:basedOn w:val="Normal"/>
    <w:semiHidden/>
    <w:pPr>
      <w:spacing w:before="0" w:line="240" w:lineRule="auto"/>
      <w:jc w:val="left"/>
    </w:pPr>
    <w:rPr>
      <w:sz w:val="20"/>
      <w:lang w:val="en-GB"/>
    </w:rPr>
  </w:style>
  <w:style w:type="paragraph" w:customStyle="1" w:styleId="CTSRapportmall1">
    <w:name w:val="CTSRapportmall1"/>
    <w:basedOn w:val="Normal"/>
    <w:pPr>
      <w:tabs>
        <w:tab w:val="left" w:pos="397"/>
      </w:tabs>
      <w:spacing w:before="0" w:line="240" w:lineRule="auto"/>
    </w:pPr>
    <w:rPr>
      <w:rFonts w:ascii="Times" w:hAnsi="Times"/>
      <w:sz w:val="24"/>
    </w:rPr>
  </w:style>
  <w:style w:type="paragraph" w:customStyle="1" w:styleId="BetnkandeRubrik">
    <w:name w:val="BetänkandeRubrik"/>
    <w:basedOn w:val="Normal"/>
    <w:pPr>
      <w:spacing w:before="40" w:after="720" w:line="280" w:lineRule="exact"/>
      <w:jc w:val="left"/>
    </w:pPr>
    <w:rPr>
      <w:sz w:val="28"/>
    </w:rPr>
  </w:style>
  <w:style w:type="paragraph" w:customStyle="1" w:styleId="Deltagare">
    <w:name w:val="Deltagare"/>
    <w:basedOn w:val="Citat"/>
    <w:next w:val="Normal"/>
    <w:pPr>
      <w:spacing w:before="612"/>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tockholm">
    <w:name w:val="Stockholm"/>
    <w:basedOn w:val="Normal"/>
    <w:pPr>
      <w:spacing w:before="245"/>
    </w:p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AnvndHyperlnk">
    <w:name w:val="FollowedHyperlink"/>
    <w:basedOn w:val="Standardstycketeckensnit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footer" Target="footer6.xml"/><Relationship Id="rId42" Type="http://schemas.openxmlformats.org/officeDocument/2006/relationships/footer" Target="footer11.xml"/><Relationship Id="rId47" Type="http://schemas.openxmlformats.org/officeDocument/2006/relationships/header" Target="header16.xml"/><Relationship Id="rId63" Type="http://schemas.openxmlformats.org/officeDocument/2006/relationships/footer" Target="footer21.xml"/><Relationship Id="rId68" Type="http://schemas.openxmlformats.org/officeDocument/2006/relationships/image" Target="media/image16.wmf"/><Relationship Id="rId16" Type="http://schemas.openxmlformats.org/officeDocument/2006/relationships/footer" Target="footer4.xml"/><Relationship Id="rId11" Type="http://schemas.openxmlformats.org/officeDocument/2006/relationships/header" Target="header2.xml"/><Relationship Id="rId24" Type="http://schemas.microsoft.com/office/2011/relationships/commentsExtended" Target="commentsExtended.xml"/><Relationship Id="rId32" Type="http://schemas.openxmlformats.org/officeDocument/2006/relationships/oleObject" Target="embeddings/oleObject1.bin"/><Relationship Id="rId37" Type="http://schemas.openxmlformats.org/officeDocument/2006/relationships/header" Target="header11.xml"/><Relationship Id="rId40" Type="http://schemas.openxmlformats.org/officeDocument/2006/relationships/footer" Target="footer10.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footer" Target="footer19.xml"/><Relationship Id="rId66" Type="http://schemas.openxmlformats.org/officeDocument/2006/relationships/image" Target="media/image14.wmf"/><Relationship Id="rId74" Type="http://schemas.openxmlformats.org/officeDocument/2006/relationships/header" Target="header28.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0.xml"/><Relationship Id="rId19" Type="http://schemas.openxmlformats.org/officeDocument/2006/relationships/header" Target="head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4.xml"/><Relationship Id="rId56" Type="http://schemas.openxmlformats.org/officeDocument/2006/relationships/footer" Target="footer18.xml"/><Relationship Id="rId64" Type="http://schemas.openxmlformats.org/officeDocument/2006/relationships/header" Target="header24.xml"/><Relationship Id="rId69" Type="http://schemas.openxmlformats.org/officeDocument/2006/relationships/header" Target="header25.xml"/><Relationship Id="rId77" Type="http://schemas.openxmlformats.org/officeDocument/2006/relationships/footer" Target="footer26.xml"/><Relationship Id="rId8" Type="http://schemas.openxmlformats.org/officeDocument/2006/relationships/header" Target="header1.xml"/><Relationship Id="rId51" Type="http://schemas.openxmlformats.org/officeDocument/2006/relationships/header" Target="header18.xml"/><Relationship Id="rId72" Type="http://schemas.openxmlformats.org/officeDocument/2006/relationships/footer" Target="footer24.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microsoft.com/office/2016/09/relationships/commentsIds" Target="commentsIds.xml"/><Relationship Id="rId33" Type="http://schemas.openxmlformats.org/officeDocument/2006/relationships/header" Target="header9.xml"/><Relationship Id="rId38" Type="http://schemas.openxmlformats.org/officeDocument/2006/relationships/footer" Target="footer9.xml"/><Relationship Id="rId46" Type="http://schemas.openxmlformats.org/officeDocument/2006/relationships/footer" Target="footer13.xml"/><Relationship Id="rId59" Type="http://schemas.openxmlformats.org/officeDocument/2006/relationships/image" Target="media/image13.jpeg"/><Relationship Id="rId67" Type="http://schemas.openxmlformats.org/officeDocument/2006/relationships/image" Target="media/image15.wmf"/><Relationship Id="rId20" Type="http://schemas.openxmlformats.org/officeDocument/2006/relationships/header" Target="header7.xml"/><Relationship Id="rId41" Type="http://schemas.openxmlformats.org/officeDocument/2006/relationships/header" Target="header13.xml"/><Relationship Id="rId54" Type="http://schemas.openxmlformats.org/officeDocument/2006/relationships/footer" Target="footer17.xml"/><Relationship Id="rId62" Type="http://schemas.openxmlformats.org/officeDocument/2006/relationships/header" Target="header23.xml"/><Relationship Id="rId70" Type="http://schemas.openxmlformats.org/officeDocument/2006/relationships/footer" Target="footer23.xml"/><Relationship Id="rId75" Type="http://schemas.openxmlformats.org/officeDocument/2006/relationships/footer" Target="footer2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comments" Target="comments.xml"/><Relationship Id="rId28" Type="http://schemas.openxmlformats.org/officeDocument/2006/relationships/image" Target="media/image5.wmf"/><Relationship Id="rId36" Type="http://schemas.openxmlformats.org/officeDocument/2006/relationships/footer" Target="footer8.xml"/><Relationship Id="rId49" Type="http://schemas.openxmlformats.org/officeDocument/2006/relationships/header" Target="header17.xml"/><Relationship Id="rId57" Type="http://schemas.openxmlformats.org/officeDocument/2006/relationships/header" Target="header21.xml"/><Relationship Id="rId10"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footer" Target="footer12.xml"/><Relationship Id="rId52" Type="http://schemas.openxmlformats.org/officeDocument/2006/relationships/footer" Target="footer16.xml"/><Relationship Id="rId60" Type="http://schemas.openxmlformats.org/officeDocument/2006/relationships/header" Target="header22.xml"/><Relationship Id="rId65" Type="http://schemas.openxmlformats.org/officeDocument/2006/relationships/footer" Target="footer22.xml"/><Relationship Id="rId73" Type="http://schemas.openxmlformats.org/officeDocument/2006/relationships/header" Target="header27.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2.xml"/><Relationship Id="rId34" Type="http://schemas.openxmlformats.org/officeDocument/2006/relationships/footer" Target="footer7.xml"/><Relationship Id="rId50" Type="http://schemas.openxmlformats.org/officeDocument/2006/relationships/footer" Target="footer15.xml"/><Relationship Id="rId55" Type="http://schemas.openxmlformats.org/officeDocument/2006/relationships/header" Target="header20.xml"/><Relationship Id="rId76" Type="http://schemas.openxmlformats.org/officeDocument/2006/relationships/header" Target="header29.xml"/><Relationship Id="rId7" Type="http://schemas.openxmlformats.org/officeDocument/2006/relationships/image" Target="media/image1.wmf"/><Relationship Id="rId71" Type="http://schemas.openxmlformats.org/officeDocument/2006/relationships/header" Target="header26.xml"/><Relationship Id="rId2" Type="http://schemas.openxmlformats.org/officeDocument/2006/relationships/styles" Target="styles.xml"/><Relationship Id="rId29" Type="http://schemas.openxmlformats.org/officeDocument/2006/relationships/image" Target="media/image6.wmf"/></Relationships>
</file>

<file path=word/_rels/endnotes.xml.rels><?xml version="1.0" encoding="UTF-8" standalone="yes"?>
<Relationships xmlns="http://schemas.openxmlformats.org/package/2006/relationships"><Relationship Id="rId8" Type="http://schemas.openxmlformats.org/officeDocument/2006/relationships/oleObject" Target="embeddings/oleObject5.bin"/><Relationship Id="rId3" Type="http://schemas.openxmlformats.org/officeDocument/2006/relationships/image" Target="media/image10.wmf"/><Relationship Id="rId7" Type="http://schemas.openxmlformats.org/officeDocument/2006/relationships/image" Target="media/image12.wmf"/><Relationship Id="rId2" Type="http://schemas.openxmlformats.org/officeDocument/2006/relationships/oleObject" Target="embeddings/oleObject2.bin"/><Relationship Id="rId1" Type="http://schemas.openxmlformats.org/officeDocument/2006/relationships/image" Target="media/image9.wmf"/><Relationship Id="rId6" Type="http://schemas.openxmlformats.org/officeDocument/2006/relationships/oleObject" Target="embeddings/oleObject4.bin"/><Relationship Id="rId5" Type="http://schemas.openxmlformats.org/officeDocument/2006/relationships/image" Target="media/image11.wmf"/><Relationship Id="rId4" Type="http://schemas.openxmlformats.org/officeDocument/2006/relationships/oleObject" Target="embeddings/oleObject3.bin"/></Relationships>
</file>

<file path=word/_rels/footnotes.xml.rels><?xml version="1.0" encoding="UTF-8" standalone="yes"?>
<Relationships xmlns="http://schemas.openxmlformats.org/package/2006/relationships"><Relationship Id="rId1" Type="http://schemas.openxmlformats.org/officeDocument/2006/relationships/hyperlink" Target="http://www.ncc.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69581</Words>
  <Characters>439755</Characters>
  <Application>Microsoft Office Word</Application>
  <DocSecurity>4</DocSecurity>
  <Lines>8974</Lines>
  <Paragraphs>2814</Paragraphs>
  <ScaleCrop>false</ScaleCrop>
  <HeadingPairs>
    <vt:vector size="4" baseType="variant">
      <vt:variant>
        <vt:lpstr>Title</vt:lpstr>
      </vt:variant>
      <vt:variant>
        <vt:i4>1</vt:i4>
      </vt:variant>
      <vt:variant>
        <vt:lpstr>Rubriker</vt:lpstr>
      </vt:variant>
      <vt:variant>
        <vt:i4>47</vt:i4>
      </vt:variant>
    </vt:vector>
  </HeadingPairs>
  <TitlesOfParts>
    <vt:vector size="48" baseType="lpstr">
      <vt:lpstr>Förslag till riksdagen</vt:lpstr>
      <vt:lpstr>Revisorernas granskning</vt:lpstr>
      <vt:lpstr>    Sammanfattning av rapporten</vt:lpstr>
      <vt:lpstr>Revisorernas överväganden och förslag</vt:lpstr>
      <vt:lpstr>    Regeringens redovisning av investeringarnas finansiering måste förbättras</vt:lpstr>
      <vt:lpstr>        Rapporten</vt:lpstr>
      <vt:lpstr>        Remissinstanserna</vt:lpstr>
      <vt:lpstr>        Revisorernas överväganden</vt:lpstr>
      <vt:lpstr>    Planeringsprocessen bör ses över</vt:lpstr>
      <vt:lpstr>        Rapporten</vt:lpstr>
      <vt:lpstr>        Remissinstanserna</vt:lpstr>
      <vt:lpstr>        Revisorernas överväganden</vt:lpstr>
      <vt:lpstr>    Det samhällsekonomiska beslutsunderlaget bör utvecklas</vt:lpstr>
      <vt:lpstr>        Rapporten</vt:lpstr>
      <vt:lpstr>        Remissinstanserna</vt:lpstr>
      <vt:lpstr>        Revisorernas överväganden</vt:lpstr>
      <vt:lpstr>Revisorernas förslag</vt:lpstr>
      <vt:lpstr>Förord</vt:lpstr>
      <vt:lpstr/>
      <vt:lpstr>Sammanfattning</vt:lpstr>
      <vt:lpstr/>
      <vt:lpstr>Granskningens bakgrund och inriktning</vt:lpstr>
      <vt:lpstr>Vägverket och Banverket</vt:lpstr>
      <vt:lpstr>Planering av investeringar i vägar och järnvägar</vt:lpstr>
      <vt:lpstr>Anslagsfinansiering</vt:lpstr>
      <vt:lpstr>Alternativa finansieringsformer</vt:lpstr>
      <vt:lpstr>    Riksdagens ställningstaganden</vt:lpstr>
      <vt:lpstr>    Lånefinansiering</vt:lpstr>
      <vt:lpstr>    Statliga garantier</vt:lpstr>
      <vt:lpstr>    Förskottering</vt:lpstr>
      <vt:lpstr>    Avgiftsfinansiering </vt:lpstr>
      <vt:lpstr>    Privatfinansiering genom partnerskap</vt:lpstr>
      <vt:lpstr>    Bidrag från EU</vt:lpstr>
      <vt:lpstr>    Samfinansiering</vt:lpstr>
      <vt:lpstr>Motiv till alternativa finansieringsformer</vt:lpstr>
      <vt:lpstr>    Tidigareläggning av de samhällsekonomiska vinsterna</vt:lpstr>
      <vt:lpstr>    Ökad effektivitet</vt:lpstr>
      <vt:lpstr>    Utjämning av kostnader</vt:lpstr>
      <vt:lpstr>Exempel på infrastrukturprojekt med alternativ finansiering</vt:lpstr>
      <vt:lpstr>    Lånefinansierade vägprojekt</vt:lpstr>
      <vt:lpstr>    Tranebergsbron </vt:lpstr>
      <vt:lpstr>    Rödöbron </vt:lpstr>
      <vt:lpstr>    Grödingebanan och SL-investeringar</vt:lpstr>
      <vt:lpstr>    Alandabanan </vt:lpstr>
      <vt:lpstr>    Botniabanan</vt:lpstr>
      <vt:lpstr>    Öresundsförbindelsen med anslutningar och Citytunneln</vt:lpstr>
      <vt:lpstr>    Stockholms- och Göteborgsprojekten</vt:lpstr>
      <vt:lpstr>Samhällsekonomiska kalkyler – en viktig del av beslutsunderlaget</vt:lpstr>
    </vt:vector>
  </TitlesOfParts>
  <Company>Riksdagen</Company>
  <LinksUpToDate>false</LinksUpToDate>
  <CharactersWithSpaces>506522</CharactersWithSpaces>
  <SharedDoc>false</SharedDoc>
  <HLinks>
    <vt:vector size="12" baseType="variant">
      <vt:variant>
        <vt:i4>7995512</vt:i4>
      </vt:variant>
      <vt:variant>
        <vt:i4>0</vt:i4>
      </vt:variant>
      <vt:variant>
        <vt:i4>0</vt:i4>
      </vt:variant>
      <vt:variant>
        <vt:i4>5</vt:i4>
      </vt:variant>
      <vt:variant>
        <vt:lpwstr>http://www.ncc.se/</vt:lpwstr>
      </vt:variant>
      <vt:variant>
        <vt:lpwstr/>
      </vt:variant>
      <vt:variant>
        <vt:i4>4194351</vt:i4>
      </vt:variant>
      <vt:variant>
        <vt:i4>346947</vt:i4>
      </vt:variant>
      <vt:variant>
        <vt:i4>1026</vt:i4>
      </vt:variant>
      <vt:variant>
        <vt:i4>1</vt:i4>
      </vt:variant>
      <vt:variant>
        <vt:lpwstr>city_bild.jpg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2001-02-13T08:51:00Z</cp:lastPrinted>
  <dcterms:created xsi:type="dcterms:W3CDTF">2025-12-15T23:51:00Z</dcterms:created>
  <dcterms:modified xsi:type="dcterms:W3CDTF">2025-12-15T23:51:00Z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RR11</vt:lpwstr>
  </property>
  <property fmtid="{D5CDD505-2E9C-101B-9397-08002B2CF9AE}" pid="3" name="BetänkandeÅr">
    <vt:lpwstr>2000/01</vt:lpwstr>
  </property>
  <property fmtid="{D5CDD505-2E9C-101B-9397-08002B2CF9AE}" pid="4" name="Numrering">
    <vt:lpwstr>NotUpdated</vt:lpwstr>
  </property>
  <property fmtid="{D5CDD505-2E9C-101B-9397-08002B2CF9AE}" pid="5" name="Utskott">
    <vt:lpwstr>RR</vt:lpwstr>
  </property>
</Properties>
</file>