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3316F7">
              <w:rPr>
                <w:b/>
              </w:rPr>
              <w:t>72</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E5492F">
              <w:t>2</w:t>
            </w:r>
            <w:r w:rsidR="005E70F9">
              <w:t>-</w:t>
            </w:r>
            <w:r w:rsidR="003316F7">
              <w:t>06-14</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kl.</w:t>
            </w:r>
            <w:r w:rsidR="003316F7">
              <w:t xml:space="preserve"> 11.00</w:t>
            </w:r>
            <w:r w:rsidR="00294EA3">
              <w:t>-</w:t>
            </w:r>
            <w:r w:rsidR="00F81FFC">
              <w:t>12.29</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3316F7" w:rsidTr="008035C8">
        <w:tc>
          <w:tcPr>
            <w:tcW w:w="567" w:type="dxa"/>
          </w:tcPr>
          <w:p w:rsidR="003316F7" w:rsidRDefault="003316F7" w:rsidP="00EF57E7">
            <w:pPr>
              <w:tabs>
                <w:tab w:val="left" w:pos="1701"/>
              </w:tabs>
              <w:rPr>
                <w:b/>
                <w:snapToGrid w:val="0"/>
              </w:rPr>
            </w:pPr>
            <w:r>
              <w:rPr>
                <w:b/>
                <w:snapToGrid w:val="0"/>
              </w:rPr>
              <w:t>§ 1</w:t>
            </w:r>
          </w:p>
        </w:tc>
        <w:tc>
          <w:tcPr>
            <w:tcW w:w="7655" w:type="dxa"/>
          </w:tcPr>
          <w:p w:rsidR="003316F7" w:rsidRDefault="003316F7" w:rsidP="00BC2DCD">
            <w:pPr>
              <w:outlineLvl w:val="0"/>
              <w:rPr>
                <w:b/>
              </w:rPr>
            </w:pPr>
            <w:r>
              <w:rPr>
                <w:b/>
              </w:rPr>
              <w:t>Inför Sveriges ordförandeskap</w:t>
            </w:r>
            <w:r w:rsidR="00DF4025">
              <w:rPr>
                <w:b/>
              </w:rPr>
              <w:t xml:space="preserve"> i EU </w:t>
            </w:r>
            <w:r w:rsidR="005B29C8">
              <w:rPr>
                <w:b/>
              </w:rPr>
              <w:t xml:space="preserve">våren </w:t>
            </w:r>
            <w:r w:rsidR="00DF4025">
              <w:rPr>
                <w:b/>
              </w:rPr>
              <w:t>2023</w:t>
            </w:r>
          </w:p>
          <w:p w:rsidR="003316F7" w:rsidRPr="003316F7" w:rsidRDefault="003316F7" w:rsidP="00BC2DCD">
            <w:pPr>
              <w:outlineLvl w:val="0"/>
            </w:pPr>
            <w:r w:rsidRPr="003316F7">
              <w:t xml:space="preserve">Statssekreterarna Elin Eliasson och Therese </w:t>
            </w:r>
            <w:proofErr w:type="spellStart"/>
            <w:r w:rsidRPr="003316F7">
              <w:t>Pelow</w:t>
            </w:r>
            <w:proofErr w:type="spellEnd"/>
            <w:r w:rsidRPr="003316F7">
              <w:t xml:space="preserve"> informerade utskottet</w:t>
            </w:r>
            <w:r>
              <w:t xml:space="preserve"> och svarade på ledamöternas frågor.</w:t>
            </w:r>
          </w:p>
          <w:p w:rsidR="003316F7" w:rsidRPr="001D4484" w:rsidRDefault="003316F7" w:rsidP="00BC2DCD">
            <w:pPr>
              <w:outlineLvl w:val="0"/>
              <w:rPr>
                <w:b/>
              </w:rPr>
            </w:pPr>
          </w:p>
        </w:tc>
      </w:tr>
      <w:tr w:rsidR="003316F7" w:rsidTr="008035C8">
        <w:tc>
          <w:tcPr>
            <w:tcW w:w="567" w:type="dxa"/>
          </w:tcPr>
          <w:p w:rsidR="003316F7" w:rsidRDefault="003316F7" w:rsidP="00EF57E7">
            <w:pPr>
              <w:tabs>
                <w:tab w:val="left" w:pos="1701"/>
              </w:tabs>
              <w:rPr>
                <w:b/>
                <w:snapToGrid w:val="0"/>
              </w:rPr>
            </w:pPr>
            <w:r>
              <w:rPr>
                <w:b/>
                <w:snapToGrid w:val="0"/>
              </w:rPr>
              <w:t>§ 2</w:t>
            </w:r>
          </w:p>
        </w:tc>
        <w:tc>
          <w:tcPr>
            <w:tcW w:w="7655" w:type="dxa"/>
          </w:tcPr>
          <w:p w:rsidR="003316F7" w:rsidRDefault="003316F7" w:rsidP="00BC2DCD">
            <w:pPr>
              <w:outlineLvl w:val="0"/>
              <w:rPr>
                <w:b/>
              </w:rPr>
            </w:pPr>
            <w:r>
              <w:rPr>
                <w:b/>
              </w:rPr>
              <w:t>EU:s årsbudget 2023</w:t>
            </w:r>
          </w:p>
          <w:p w:rsidR="003316F7" w:rsidRPr="003316F7" w:rsidRDefault="003316F7" w:rsidP="00BC2DCD">
            <w:pPr>
              <w:outlineLvl w:val="0"/>
            </w:pPr>
            <w:r w:rsidRPr="003316F7">
              <w:t>Utsko</w:t>
            </w:r>
            <w:r>
              <w:t>t</w:t>
            </w:r>
            <w:r w:rsidRPr="003316F7">
              <w:t>tet överlade med statssekreterare Elin Eliasson om</w:t>
            </w:r>
            <w:r w:rsidR="004B4F78">
              <w:t xml:space="preserve"> förslaget till</w:t>
            </w:r>
            <w:r w:rsidRPr="003316F7">
              <w:t xml:space="preserve"> årsbudgeten.</w:t>
            </w:r>
          </w:p>
          <w:p w:rsidR="003316F7" w:rsidRPr="003316F7" w:rsidRDefault="003316F7" w:rsidP="00BC2DCD">
            <w:pPr>
              <w:outlineLvl w:val="0"/>
            </w:pPr>
          </w:p>
          <w:p w:rsidR="003316F7" w:rsidRDefault="003316F7" w:rsidP="00BC2DCD">
            <w:pPr>
              <w:outlineLvl w:val="0"/>
            </w:pPr>
            <w:r w:rsidRPr="003316F7">
              <w:t>Underlag</w:t>
            </w:r>
            <w:r w:rsidR="004B4F78">
              <w:t>et utgjordes</w:t>
            </w:r>
            <w:r w:rsidRPr="003316F7">
              <w:t xml:space="preserve"> av </w:t>
            </w:r>
            <w:r>
              <w:t>e</w:t>
            </w:r>
            <w:r w:rsidR="004B4F78">
              <w:t>n</w:t>
            </w:r>
            <w:r>
              <w:t xml:space="preserve"> </w:t>
            </w:r>
            <w:r w:rsidRPr="003316F7">
              <w:t>överläggnings</w:t>
            </w:r>
            <w:r w:rsidR="004B4F78">
              <w:t>promemoria</w:t>
            </w:r>
            <w:r w:rsidRPr="003316F7">
              <w:t xml:space="preserve"> och en presentation</w:t>
            </w:r>
            <w:r w:rsidR="005B5B47">
              <w:t xml:space="preserve"> (dnr 2252-2021/22).</w:t>
            </w:r>
          </w:p>
          <w:p w:rsidR="004B5D4F" w:rsidRDefault="004B5D4F" w:rsidP="00BC2DCD">
            <w:pPr>
              <w:outlineLvl w:val="0"/>
            </w:pPr>
          </w:p>
          <w:p w:rsidR="003316F7" w:rsidRDefault="004B4F78" w:rsidP="004B4F78">
            <w:pPr>
              <w:outlineLvl w:val="0"/>
            </w:pPr>
            <w:r>
              <w:t>Statssekreteraren redogjorde för regeringens förslag till ståndpunkt i enlighet med överläggningspromemorian.</w:t>
            </w:r>
          </w:p>
          <w:p w:rsidR="004B4F78" w:rsidRDefault="004B4F78" w:rsidP="004B4F78">
            <w:pPr>
              <w:pStyle w:val="Liststycke"/>
              <w:numPr>
                <w:ilvl w:val="0"/>
                <w:numId w:val="11"/>
              </w:numPr>
              <w:jc w:val="both"/>
              <w:outlineLvl w:val="0"/>
            </w:pPr>
            <w:r w:rsidRPr="004B4F78">
              <w:t>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d.v.s. att verka för en begränsning av EU:s utgifter inom budgetramen och därmed den svenska avgiften till EU.</w:t>
            </w:r>
          </w:p>
          <w:p w:rsidR="004B4F78" w:rsidRDefault="004B4F78" w:rsidP="001455F2">
            <w:pPr>
              <w:pStyle w:val="Liststycke"/>
              <w:jc w:val="both"/>
              <w:outlineLvl w:val="0"/>
            </w:pPr>
            <w:r w:rsidRPr="004B4F78">
              <w:t xml:space="preserve"> </w:t>
            </w:r>
          </w:p>
          <w:p w:rsidR="004B4F78" w:rsidRDefault="004B4F78" w:rsidP="004B4F78">
            <w:pPr>
              <w:pStyle w:val="Liststycke"/>
              <w:numPr>
                <w:ilvl w:val="0"/>
                <w:numId w:val="11"/>
              </w:numPr>
              <w:jc w:val="both"/>
              <w:outlineLvl w:val="0"/>
            </w:pPr>
            <w:r w:rsidRPr="004B4F78">
              <w:t xml:space="preserve">Det övergripande målet i arbetet med 2023 års EU-budget är därmed, liksom tidigare år, att nå en så restriktiv budget som möjligt som med god marginal ryms inom de beslutade taken i den fleråriga budgetramen för åren 2021–2027. </w:t>
            </w:r>
          </w:p>
          <w:p w:rsidR="004B4F78" w:rsidRPr="004B4F78" w:rsidRDefault="004B4F78" w:rsidP="001455F2">
            <w:pPr>
              <w:pStyle w:val="Liststycke"/>
              <w:jc w:val="both"/>
              <w:outlineLvl w:val="0"/>
            </w:pPr>
          </w:p>
          <w:p w:rsidR="004B4F78" w:rsidRDefault="004B4F78" w:rsidP="004B4F78">
            <w:pPr>
              <w:pStyle w:val="Liststycke"/>
              <w:numPr>
                <w:ilvl w:val="0"/>
                <w:numId w:val="11"/>
              </w:numPr>
              <w:jc w:val="both"/>
              <w:outlineLvl w:val="0"/>
            </w:pPr>
            <w:r w:rsidRPr="004B4F78">
              <w:t xml:space="preserve">Regeringen kommer vid behandlingen av årsbudgetförslaget verka för budgetdisciplin och respekt för taken i den fleråriga budgetramen, att årsbudgeten beslutas med tillräckliga marginaler upp till taken för såväl åtaganden som betalningar.  Otillräckliga marginaler riskerar att leda till krav på utnyttjande av särskilda instrument som leder till utgifter utöver budgetramen. Det lämnar heller inga möjligheter att omhänderta och finansiera oförutsedda händelser inom ram, vilket kan riskera att öka den svenska EU-avgiften. </w:t>
            </w:r>
          </w:p>
          <w:p w:rsidR="00F81FFC" w:rsidRPr="004B4F78" w:rsidRDefault="00F81FFC" w:rsidP="005B29C8">
            <w:pPr>
              <w:pStyle w:val="Liststycke"/>
              <w:jc w:val="both"/>
              <w:outlineLvl w:val="0"/>
            </w:pPr>
          </w:p>
          <w:p w:rsidR="004B4F78" w:rsidRPr="004B5D4F" w:rsidRDefault="00F81FFC" w:rsidP="00BC2DCD">
            <w:pPr>
              <w:outlineLvl w:val="0"/>
            </w:pPr>
            <w:r>
              <w:t>Ordförande konstaterade att det fanns stöd för regeringens ståndpunkt.</w:t>
            </w:r>
          </w:p>
          <w:p w:rsidR="003316F7" w:rsidRPr="001D4484" w:rsidRDefault="003316F7" w:rsidP="00BC2DCD">
            <w:pPr>
              <w:outlineLvl w:val="0"/>
              <w:rPr>
                <w:b/>
              </w:rPr>
            </w:pPr>
          </w:p>
        </w:tc>
      </w:tr>
      <w:tr w:rsidR="003316F7" w:rsidTr="008035C8">
        <w:tc>
          <w:tcPr>
            <w:tcW w:w="567" w:type="dxa"/>
          </w:tcPr>
          <w:p w:rsidR="003316F7" w:rsidRDefault="003316F7" w:rsidP="00EF57E7">
            <w:pPr>
              <w:tabs>
                <w:tab w:val="left" w:pos="1701"/>
              </w:tabs>
              <w:rPr>
                <w:b/>
                <w:snapToGrid w:val="0"/>
              </w:rPr>
            </w:pPr>
            <w:r>
              <w:rPr>
                <w:b/>
                <w:snapToGrid w:val="0"/>
              </w:rPr>
              <w:t>§ 3</w:t>
            </w:r>
          </w:p>
        </w:tc>
        <w:tc>
          <w:tcPr>
            <w:tcW w:w="7655" w:type="dxa"/>
          </w:tcPr>
          <w:p w:rsidR="003316F7" w:rsidRDefault="003316F7" w:rsidP="00BC2DCD">
            <w:pPr>
              <w:outlineLvl w:val="0"/>
              <w:rPr>
                <w:b/>
              </w:rPr>
            </w:pPr>
            <w:r>
              <w:rPr>
                <w:b/>
              </w:rPr>
              <w:t>Kommissionens meddelande om kort- och långsiktigt stöd till Ukraina</w:t>
            </w:r>
          </w:p>
          <w:p w:rsidR="003316F7" w:rsidRPr="003316F7" w:rsidRDefault="003316F7" w:rsidP="003316F7">
            <w:pPr>
              <w:outlineLvl w:val="0"/>
            </w:pPr>
            <w:r w:rsidRPr="003316F7">
              <w:t>Utsko</w:t>
            </w:r>
            <w:r>
              <w:t>t</w:t>
            </w:r>
            <w:r w:rsidRPr="003316F7">
              <w:t xml:space="preserve">tet överlade med statssekreterare Elin Eliasson om </w:t>
            </w:r>
            <w:r>
              <w:t>kommissionens meddelande</w:t>
            </w:r>
            <w:r w:rsidRPr="003316F7">
              <w:t>.</w:t>
            </w:r>
          </w:p>
          <w:p w:rsidR="003316F7" w:rsidRPr="003316F7" w:rsidRDefault="003316F7" w:rsidP="003316F7">
            <w:pPr>
              <w:outlineLvl w:val="0"/>
            </w:pPr>
          </w:p>
          <w:p w:rsidR="00F81FFC" w:rsidRDefault="00F81FFC" w:rsidP="00F81FFC">
            <w:pPr>
              <w:outlineLvl w:val="0"/>
            </w:pPr>
            <w:r w:rsidRPr="003316F7">
              <w:t>Underlag</w:t>
            </w:r>
            <w:r>
              <w:t>et utgjordes</w:t>
            </w:r>
            <w:r w:rsidRPr="003316F7">
              <w:t xml:space="preserve"> av </w:t>
            </w:r>
            <w:r>
              <w:t xml:space="preserve">en </w:t>
            </w:r>
            <w:r w:rsidRPr="003316F7">
              <w:t>överläggnings</w:t>
            </w:r>
            <w:r>
              <w:t>promemoria</w:t>
            </w:r>
            <w:r w:rsidRPr="003316F7">
              <w:t xml:space="preserve"> och en presentation</w:t>
            </w:r>
            <w:r>
              <w:t xml:space="preserve"> (dnr 2252-2021/22).</w:t>
            </w:r>
          </w:p>
          <w:p w:rsidR="00F81FFC" w:rsidRDefault="00F81FFC" w:rsidP="00F81FFC">
            <w:pPr>
              <w:outlineLvl w:val="0"/>
            </w:pPr>
            <w:r>
              <w:lastRenderedPageBreak/>
              <w:t>Statssekreteraren redogjorde för regeringens förslag till ståndpunkt i enlighet med överläggningspromemorian.</w:t>
            </w:r>
          </w:p>
          <w:p w:rsidR="00F81FFC" w:rsidRDefault="00F81FFC" w:rsidP="00F81FFC">
            <w:pPr>
              <w:pStyle w:val="Liststycke"/>
              <w:numPr>
                <w:ilvl w:val="0"/>
                <w:numId w:val="11"/>
              </w:numPr>
              <w:jc w:val="both"/>
              <w:outlineLvl w:val="0"/>
            </w:pPr>
            <w:r w:rsidRPr="00F81FFC">
              <w:t>Regeringen välkomnar kommissionens meddelande om stöd till Ukraina. Koordinerade ansträngningar inom EU och tillsammans med EU:s samarbetspartners är nödvändiga för att avhjälpa Ukrainas ekonomiska behov både i den akuta fasen och på längre sikt. Ukrainskt ägarskap är avgörande. Ukraina står inför massiva ekonomiska utmaningar, både på kort och lång sikt. Givet att Ukraina ligger i EU:s direkta närområde anser regeringen att EU bör inta en ledande roll i att stödja landet ekonomiskt och att föra landet närmare EU. Vidare är regeringen positiv till den övergripande tematiska inriktningen på kommissionens förslag. Det är viktigt att stöd och reformer främjar rättsstatsprincipen, god</w:t>
            </w:r>
            <w:r w:rsidR="005B29C8">
              <w:t xml:space="preserve"> </w:t>
            </w:r>
            <w:r w:rsidRPr="00F81FFC">
              <w:t>styrning, starka</w:t>
            </w:r>
            <w:r w:rsidR="006E0B75">
              <w:t xml:space="preserve"> </w:t>
            </w:r>
            <w:r w:rsidRPr="00F81FFC">
              <w:t>institutioner, korruptions</w:t>
            </w:r>
            <w:r w:rsidR="006E0B75">
              <w:t>-</w:t>
            </w:r>
            <w:r w:rsidRPr="00F81FFC">
              <w:t>bekämpning och bidrar till att återuppbyggnaden blir inkluderande och grön.</w:t>
            </w:r>
          </w:p>
          <w:p w:rsidR="00F81FFC" w:rsidRPr="00F81FFC" w:rsidRDefault="00F81FFC" w:rsidP="001455F2">
            <w:pPr>
              <w:pStyle w:val="Liststycke"/>
              <w:jc w:val="both"/>
              <w:outlineLvl w:val="0"/>
            </w:pPr>
          </w:p>
          <w:p w:rsidR="005B29C8" w:rsidRDefault="00F81FFC" w:rsidP="005B29C8">
            <w:pPr>
              <w:pStyle w:val="Liststycke"/>
              <w:numPr>
                <w:ilvl w:val="0"/>
                <w:numId w:val="11"/>
              </w:numPr>
              <w:jc w:val="both"/>
              <w:outlineLvl w:val="0"/>
            </w:pPr>
            <w:r w:rsidRPr="00F81FFC">
              <w:t>Regeringen menar att omprioriteringar inom den fleråriga budgetramen i första hand ska används för att finansiera ytterligare stöd till Ukraina, men givet det exceptionella läget och de utmaningar som Ukraina står inför är regeringen samtidigt öppen för att diskutera andra finansieringsalternativ.</w:t>
            </w:r>
          </w:p>
          <w:p w:rsidR="005B29C8" w:rsidRDefault="005B29C8" w:rsidP="005B29C8">
            <w:pPr>
              <w:pStyle w:val="Liststycke"/>
            </w:pPr>
          </w:p>
          <w:p w:rsidR="00F81FFC" w:rsidRDefault="00F81FFC" w:rsidP="005B29C8">
            <w:pPr>
              <w:pStyle w:val="Liststycke"/>
              <w:numPr>
                <w:ilvl w:val="0"/>
                <w:numId w:val="11"/>
              </w:numPr>
              <w:jc w:val="both"/>
              <w:outlineLvl w:val="0"/>
            </w:pPr>
            <w:r w:rsidRPr="00F81FFC">
              <w:t xml:space="preserve">Mot denna bakgrund ställer sig regeringen positiva till kommissionens förslag om kortsiktigt makrofinansiellt stöd och är öppen för att diskutera lämpliga lösningar i linje med förslaget. Det är dock viktigt för regeringen att det eventuella stödet beaktar vissa principer. Lånet bör vara långfristigt och ha en betydande amorteringsfri period. Vidare bör det kopplas till lämpliga reformvillkor och klassas som internationellt bistånd. </w:t>
            </w:r>
            <w:proofErr w:type="spellStart"/>
            <w:r w:rsidRPr="00F81FFC">
              <w:t>Bördefördelningen</w:t>
            </w:r>
            <w:proofErr w:type="spellEnd"/>
            <w:r w:rsidRPr="00F81FFC">
              <w:t xml:space="preserve"> för ett eventuellt stöd bör också vara rättvis.</w:t>
            </w:r>
          </w:p>
          <w:p w:rsidR="00F81FFC" w:rsidRPr="00F81FFC" w:rsidRDefault="00F81FFC" w:rsidP="001455F2">
            <w:pPr>
              <w:pStyle w:val="Liststycke"/>
              <w:jc w:val="both"/>
              <w:outlineLvl w:val="0"/>
            </w:pPr>
          </w:p>
          <w:p w:rsidR="00F81FFC" w:rsidRDefault="00F81FFC" w:rsidP="00F81FFC">
            <w:pPr>
              <w:pStyle w:val="Liststycke"/>
              <w:numPr>
                <w:ilvl w:val="0"/>
                <w:numId w:val="11"/>
              </w:numPr>
              <w:jc w:val="both"/>
              <w:outlineLvl w:val="0"/>
            </w:pPr>
            <w:r w:rsidRPr="00F81FFC">
              <w:t>Vad gäller det långsiktiga stödet anser regeringen att det, samtidigt som det är angeläget att planerings- och inte minst koordineringsarbetet påbörjas, är för tidigt att binda sig vid belopp och finansiering eftersom kriget fortfarande pågår och behoven är osäkra. Noggranna överväganden krävs för konstruktionen och att stödet blir ändamålsenligt, transparent och byggs på ordentliga kontrollsystem. Slutligen anser regeringen att detaljer för både det kort- och långsiktiga stödet kommer att behöva förhandlas framöver.</w:t>
            </w:r>
          </w:p>
          <w:p w:rsidR="00F81FFC" w:rsidRPr="00F81FFC" w:rsidRDefault="00F81FFC" w:rsidP="001455F2">
            <w:pPr>
              <w:pStyle w:val="Liststycke"/>
              <w:jc w:val="both"/>
              <w:outlineLvl w:val="0"/>
            </w:pPr>
          </w:p>
          <w:p w:rsidR="00F81FFC" w:rsidRDefault="00F81FFC" w:rsidP="00F81FFC">
            <w:pPr>
              <w:pStyle w:val="Liststycke"/>
              <w:numPr>
                <w:ilvl w:val="0"/>
                <w:numId w:val="11"/>
              </w:numPr>
              <w:jc w:val="both"/>
              <w:outlineLvl w:val="0"/>
            </w:pPr>
            <w:r w:rsidRPr="00F81FFC">
              <w:t>Vidare anser regeringen att Ryssland måste utkrävas på ansvar för sin aggression mot Ukraina och uppmuntrar åtgärder som syftar till att hitta finansiering för att stödja återuppbyggnaden av landet. Regeringen välkomnar en fortsatt diskussion om möjliga finansieringslösningar som måste vila på en stabil rättslig grund och vara förenliga med såväl internationell rätt som grundläggande normer i nationell rätt. Det saknas enligt gällande svensk rätt möjlighet att ta ryska tillgångar och använda för Ukrainas återuppbyggnad.</w:t>
            </w:r>
          </w:p>
          <w:p w:rsidR="00F81FFC" w:rsidRPr="00F81FFC" w:rsidRDefault="00F81FFC" w:rsidP="001455F2">
            <w:pPr>
              <w:pStyle w:val="Liststycke"/>
              <w:jc w:val="both"/>
              <w:outlineLvl w:val="0"/>
            </w:pPr>
          </w:p>
          <w:p w:rsidR="004B5D4F" w:rsidRDefault="00F81FFC" w:rsidP="00F81FFC">
            <w:pPr>
              <w:pStyle w:val="Liststycke"/>
              <w:numPr>
                <w:ilvl w:val="0"/>
                <w:numId w:val="11"/>
              </w:numPr>
              <w:jc w:val="both"/>
              <w:outlineLvl w:val="0"/>
            </w:pPr>
            <w:r w:rsidRPr="00F81FFC">
              <w:t>Regeringen kommer att hålla riksdagen uppdaterad om processen framåt och avser återkomma till riksdagen med en eventuell proposition vad gäller förslaget om nytt makrofinansiellt stöd till Ukraina.</w:t>
            </w:r>
          </w:p>
          <w:p w:rsidR="00F81FFC" w:rsidRDefault="00F81FFC" w:rsidP="001455F2">
            <w:pPr>
              <w:pStyle w:val="Liststycke"/>
              <w:jc w:val="both"/>
              <w:outlineLvl w:val="0"/>
            </w:pPr>
          </w:p>
          <w:p w:rsidR="00F81FFC" w:rsidRPr="004B5D4F" w:rsidRDefault="00F81FFC" w:rsidP="00F81FFC">
            <w:pPr>
              <w:jc w:val="both"/>
              <w:outlineLvl w:val="0"/>
            </w:pPr>
            <w:r>
              <w:t>Ordförande konstaterade att det fanns stöd för regeringens ståndpunkt.</w:t>
            </w:r>
          </w:p>
          <w:p w:rsidR="003316F7" w:rsidRDefault="003316F7" w:rsidP="00BC2DCD">
            <w:pPr>
              <w:outlineLvl w:val="0"/>
              <w:rPr>
                <w:b/>
              </w:rPr>
            </w:pPr>
          </w:p>
          <w:p w:rsidR="00F81FFC" w:rsidRPr="00F81FFC" w:rsidRDefault="00F81FFC" w:rsidP="00BC2DCD">
            <w:pPr>
              <w:outlineLvl w:val="0"/>
            </w:pPr>
            <w:r w:rsidRPr="00F81FFC">
              <w:t>V- och MP</w:t>
            </w:r>
            <w:r w:rsidR="00294EA3">
              <w:t>-</w:t>
            </w:r>
            <w:r w:rsidRPr="00F81FFC">
              <w:t>ledamöterna anmälde en avvikande ståndpunkt</w:t>
            </w:r>
            <w:r>
              <w:t>.</w:t>
            </w:r>
          </w:p>
          <w:p w:rsidR="00F81FFC" w:rsidRPr="005B29C8" w:rsidRDefault="00F81FFC" w:rsidP="005B29C8">
            <w:pPr>
              <w:pStyle w:val="Liststycke"/>
              <w:numPr>
                <w:ilvl w:val="0"/>
                <w:numId w:val="11"/>
              </w:numPr>
              <w:outlineLvl w:val="0"/>
              <w:rPr>
                <w:b/>
              </w:rPr>
            </w:pPr>
            <w:r>
              <w:t>Vi anser inte att kommissionens förslag om makrofinansiellt stöd till Ukraina ska klassas som internationellt bistånd.</w:t>
            </w:r>
          </w:p>
          <w:p w:rsidR="00F81FFC" w:rsidRDefault="00F81FFC" w:rsidP="00BC2DCD">
            <w:pPr>
              <w:outlineLvl w:val="0"/>
              <w:rPr>
                <w:b/>
              </w:rPr>
            </w:pPr>
          </w:p>
          <w:p w:rsidR="00F81FFC" w:rsidRDefault="00F81FFC" w:rsidP="00BC2DCD">
            <w:pPr>
              <w:outlineLvl w:val="0"/>
            </w:pPr>
            <w:r w:rsidRPr="00F81FFC">
              <w:t>C-ledamoten</w:t>
            </w:r>
            <w:r>
              <w:rPr>
                <w:b/>
              </w:rPr>
              <w:t xml:space="preserve"> </w:t>
            </w:r>
            <w:r w:rsidRPr="00F81FFC">
              <w:t>anmälde en avvikande ståndpunkt</w:t>
            </w:r>
            <w:r>
              <w:t>.</w:t>
            </w:r>
          </w:p>
          <w:p w:rsidR="00F81FFC" w:rsidRDefault="00F81FFC" w:rsidP="005B29C8">
            <w:pPr>
              <w:pStyle w:val="Liststycke"/>
              <w:numPr>
                <w:ilvl w:val="0"/>
                <w:numId w:val="11"/>
              </w:numPr>
              <w:outlineLvl w:val="0"/>
            </w:pPr>
            <w:r>
              <w:t xml:space="preserve">Jag anser att regeringen ska ha en högre ambitionsnivå än vad som framgår </w:t>
            </w:r>
            <w:r w:rsidR="005B29C8">
              <w:t>av</w:t>
            </w:r>
            <w:r>
              <w:t xml:space="preserve"> regeringens ståndpunkt. Jag anser också att utformningen och beloppet för det långsiktiga stödet till Ukraina ska fastställas. </w:t>
            </w:r>
          </w:p>
          <w:p w:rsidR="00F81FFC" w:rsidRPr="001D4484" w:rsidRDefault="00F81FFC" w:rsidP="00BC2DCD">
            <w:pPr>
              <w:outlineLvl w:val="0"/>
              <w:rPr>
                <w:b/>
              </w:rPr>
            </w:pPr>
          </w:p>
        </w:tc>
      </w:tr>
      <w:tr w:rsidR="003316F7" w:rsidTr="008035C8">
        <w:tc>
          <w:tcPr>
            <w:tcW w:w="567" w:type="dxa"/>
          </w:tcPr>
          <w:p w:rsidR="003316F7" w:rsidRDefault="003316F7" w:rsidP="00EF57E7">
            <w:pPr>
              <w:tabs>
                <w:tab w:val="left" w:pos="1701"/>
              </w:tabs>
              <w:rPr>
                <w:b/>
                <w:snapToGrid w:val="0"/>
              </w:rPr>
            </w:pPr>
            <w:r>
              <w:rPr>
                <w:b/>
                <w:snapToGrid w:val="0"/>
              </w:rPr>
              <w:lastRenderedPageBreak/>
              <w:t>§ 4</w:t>
            </w:r>
          </w:p>
        </w:tc>
        <w:tc>
          <w:tcPr>
            <w:tcW w:w="7655" w:type="dxa"/>
          </w:tcPr>
          <w:p w:rsidR="003316F7" w:rsidRDefault="003316F7" w:rsidP="00BC2DCD">
            <w:pPr>
              <w:outlineLvl w:val="0"/>
              <w:rPr>
                <w:b/>
              </w:rPr>
            </w:pPr>
            <w:r>
              <w:rPr>
                <w:b/>
              </w:rPr>
              <w:t xml:space="preserve">Kommissionens förslag om att genomföra </w:t>
            </w:r>
            <w:proofErr w:type="spellStart"/>
            <w:r>
              <w:rPr>
                <w:b/>
              </w:rPr>
              <w:t>Repower</w:t>
            </w:r>
            <w:proofErr w:type="spellEnd"/>
            <w:r>
              <w:rPr>
                <w:b/>
              </w:rPr>
              <w:t xml:space="preserve"> EU inom faciliteten för återhämtning och </w:t>
            </w:r>
            <w:proofErr w:type="spellStart"/>
            <w:r>
              <w:rPr>
                <w:b/>
              </w:rPr>
              <w:t>resiliens</w:t>
            </w:r>
            <w:proofErr w:type="spellEnd"/>
            <w:r>
              <w:rPr>
                <w:b/>
              </w:rPr>
              <w:t xml:space="preserve"> (RRF)</w:t>
            </w:r>
          </w:p>
          <w:p w:rsidR="003316F7" w:rsidRPr="003316F7" w:rsidRDefault="003316F7" w:rsidP="003316F7">
            <w:pPr>
              <w:outlineLvl w:val="0"/>
            </w:pPr>
            <w:r w:rsidRPr="003316F7">
              <w:t>Utsko</w:t>
            </w:r>
            <w:r>
              <w:t>t</w:t>
            </w:r>
            <w:r w:rsidRPr="003316F7">
              <w:t xml:space="preserve">tet överlade med statssekreterare Elin Eliasson om </w:t>
            </w:r>
            <w:r>
              <w:t>kommissionens förslag</w:t>
            </w:r>
            <w:r w:rsidRPr="003316F7">
              <w:t>.</w:t>
            </w:r>
          </w:p>
          <w:p w:rsidR="003316F7" w:rsidRPr="003316F7" w:rsidRDefault="003316F7" w:rsidP="003316F7">
            <w:pPr>
              <w:outlineLvl w:val="0"/>
            </w:pPr>
          </w:p>
          <w:p w:rsidR="00F81FFC" w:rsidRDefault="00F81FFC" w:rsidP="00F81FFC">
            <w:pPr>
              <w:outlineLvl w:val="0"/>
            </w:pPr>
            <w:r w:rsidRPr="003316F7">
              <w:t>Underlag</w:t>
            </w:r>
            <w:r>
              <w:t>et utgjordes</w:t>
            </w:r>
            <w:r w:rsidRPr="003316F7">
              <w:t xml:space="preserve"> av </w:t>
            </w:r>
            <w:r>
              <w:t xml:space="preserve">en </w:t>
            </w:r>
            <w:r w:rsidRPr="003316F7">
              <w:t>överläggnings</w:t>
            </w:r>
            <w:r>
              <w:t>promemoria</w:t>
            </w:r>
            <w:r w:rsidRPr="003316F7">
              <w:t xml:space="preserve"> och en presentation</w:t>
            </w:r>
            <w:r>
              <w:t xml:space="preserve"> (dnr 2252-2021/22).</w:t>
            </w:r>
          </w:p>
          <w:p w:rsidR="003316F7" w:rsidRDefault="003316F7" w:rsidP="00BC2DCD">
            <w:pPr>
              <w:outlineLvl w:val="0"/>
              <w:rPr>
                <w:b/>
              </w:rPr>
            </w:pPr>
          </w:p>
          <w:p w:rsidR="00F81FFC" w:rsidRDefault="00F81FFC" w:rsidP="00F81FFC">
            <w:pPr>
              <w:outlineLvl w:val="0"/>
            </w:pPr>
            <w:r>
              <w:t>Statssekreteraren redogjorde för regeringens förslag till ståndpunkt i enlighet med överläggningspromemorian.</w:t>
            </w:r>
          </w:p>
          <w:p w:rsidR="005B29C8" w:rsidRDefault="005B29C8" w:rsidP="00F81FFC">
            <w:pPr>
              <w:outlineLvl w:val="0"/>
            </w:pPr>
          </w:p>
          <w:p w:rsidR="00F81FFC" w:rsidRDefault="00F81FFC" w:rsidP="00F81FFC">
            <w:pPr>
              <w:pStyle w:val="Liststycke"/>
              <w:numPr>
                <w:ilvl w:val="0"/>
                <w:numId w:val="11"/>
              </w:numPr>
              <w:jc w:val="both"/>
              <w:outlineLvl w:val="0"/>
            </w:pPr>
            <w:r w:rsidRPr="00F81FFC">
              <w:t xml:space="preserve">Rysslands invasion av Ukraina innebär att EU:s medlemsstater skyndsamt behöver fasa ut sitt beroende av ryska fossila bränslen. I ljuset av detta välkomnar regeringen EU-kommissionens förslag om </w:t>
            </w:r>
            <w:proofErr w:type="spellStart"/>
            <w:r w:rsidRPr="00F81FFC">
              <w:t>REPowerEU</w:t>
            </w:r>
            <w:proofErr w:type="spellEnd"/>
            <w:r w:rsidRPr="00F81FFC">
              <w:t>-planen.</w:t>
            </w:r>
          </w:p>
          <w:p w:rsidR="00F81FFC" w:rsidRPr="00F81FFC" w:rsidRDefault="00F81FFC" w:rsidP="001455F2">
            <w:pPr>
              <w:pStyle w:val="Liststycke"/>
              <w:jc w:val="both"/>
              <w:outlineLvl w:val="0"/>
            </w:pPr>
          </w:p>
          <w:p w:rsidR="00F81FFC" w:rsidRDefault="00F81FFC" w:rsidP="00F81FFC">
            <w:pPr>
              <w:pStyle w:val="Liststycke"/>
              <w:numPr>
                <w:ilvl w:val="0"/>
                <w:numId w:val="11"/>
              </w:numPr>
              <w:jc w:val="both"/>
              <w:outlineLvl w:val="0"/>
            </w:pPr>
            <w:r w:rsidRPr="00F81FFC">
              <w:t xml:space="preserve">Regeringen välkomnar vidare förslaget att använda återhämtningsfaciliteten för det huvudsakliga genomförandet av </w:t>
            </w:r>
            <w:proofErr w:type="spellStart"/>
            <w:r w:rsidRPr="00F81FFC">
              <w:t>REPowerEU</w:t>
            </w:r>
            <w:proofErr w:type="spellEnd"/>
            <w:r w:rsidRPr="00F81FFC">
              <w:t xml:space="preserve">-planen, bl.a. eftersom faciliteten är resultatbaserad, vilket innebär att utbetalningar enbart sker efter genomförda åtgärder, transparent och har omfattande kontrollmekanismer. Dessutom har faciliteten redan idag ett stort fokus på att stödja klimatomställningen, vilket innebär att dess syften i hög grad överensstämmer med </w:t>
            </w:r>
            <w:proofErr w:type="spellStart"/>
            <w:proofErr w:type="gramStart"/>
            <w:r w:rsidRPr="00F81FFC">
              <w:t>REPowerEU:s</w:t>
            </w:r>
            <w:proofErr w:type="spellEnd"/>
            <w:r w:rsidRPr="00F81FFC">
              <w:t>.</w:t>
            </w:r>
            <w:proofErr w:type="gramEnd"/>
          </w:p>
          <w:p w:rsidR="00F81FFC" w:rsidRPr="00F81FFC" w:rsidRDefault="00F81FFC" w:rsidP="001455F2">
            <w:pPr>
              <w:pStyle w:val="Liststycke"/>
              <w:jc w:val="both"/>
              <w:outlineLvl w:val="0"/>
            </w:pPr>
          </w:p>
          <w:p w:rsidR="00F81FFC" w:rsidRDefault="00F81FFC" w:rsidP="00F81FFC">
            <w:pPr>
              <w:pStyle w:val="Liststycke"/>
              <w:numPr>
                <w:ilvl w:val="0"/>
                <w:numId w:val="11"/>
              </w:numPr>
              <w:jc w:val="both"/>
              <w:outlineLvl w:val="0"/>
            </w:pPr>
            <w:r w:rsidRPr="00F81FFC">
              <w:t>Vad gäller finansieringen som kanaliseras genom faciliteten anser regeringen att det är positivt att den till hög grad föreslås bestå av omprioritering av redan befintliga EU-budgetmedel. Regeringen kan därför stödja användningen av befintliga medel inom faciliteten för detta ändamål och är öppen att diskutera att tillåta frivilliga överföringar från medlemsstaters anslag inom sammanhållningspolitiken och den gemensamma jordbrukspolitiken. Regeringen är dock skeptisk till de medel som föreslås komma från auktioneringen av utsläppsrätter från marknadsstabilitetsreserven inom EU:s utsläppshandelssystem. Detta förslag riskerar bl.a. att undergräva utsläppshandelssystemets förutsägbarhet och skulle kunna öka EU:s utsläpp.</w:t>
            </w:r>
          </w:p>
          <w:p w:rsidR="00F81FFC" w:rsidRPr="00F81FFC" w:rsidRDefault="00F81FFC" w:rsidP="001455F2">
            <w:pPr>
              <w:pStyle w:val="Liststycke"/>
              <w:jc w:val="both"/>
              <w:outlineLvl w:val="0"/>
            </w:pPr>
          </w:p>
          <w:p w:rsidR="004B5D4F" w:rsidRDefault="00F81FFC" w:rsidP="00F81FFC">
            <w:pPr>
              <w:pStyle w:val="Liststycke"/>
              <w:numPr>
                <w:ilvl w:val="0"/>
                <w:numId w:val="11"/>
              </w:numPr>
              <w:jc w:val="both"/>
              <w:outlineLvl w:val="0"/>
            </w:pPr>
            <w:r w:rsidRPr="00F81FFC">
              <w:t xml:space="preserve">Regeringen anser att det är viktigt att de reformer och investeringar som </w:t>
            </w:r>
            <w:proofErr w:type="spellStart"/>
            <w:r w:rsidRPr="00F81FFC">
              <w:t>R</w:t>
            </w:r>
            <w:r>
              <w:t>EP</w:t>
            </w:r>
            <w:r w:rsidRPr="00F81FFC">
              <w:t>owerEU</w:t>
            </w:r>
            <w:proofErr w:type="spellEnd"/>
            <w:r w:rsidRPr="00F81FFC">
              <w:t xml:space="preserve"> finansierar så långt det är möjligt bidrar till klimatomställningen och minimerar de negativa konsekvenserna för miljön och klimatet. Samtidigt kan det på kort sikt finnas behov av vissa</w:t>
            </w:r>
            <w:r>
              <w:t xml:space="preserve"> </w:t>
            </w:r>
            <w:r w:rsidRPr="00F81FFC">
              <w:t xml:space="preserve">omedelbara reformer och investeringar för att säkerställa medlemsstaternas energiförsörjning. Sammantaget är regeringen skeptisk till förslaget att tillåta undantag från principen att inte orsaka </w:t>
            </w:r>
            <w:r w:rsidRPr="00F81FFC">
              <w:lastRenderedPageBreak/>
              <w:t>betydande skada när det handlar om att tillgodose omedelbara energibehov eftersom det skulle möjliggöra reformer och investeringar gällande olja och fossil gas. Regeringen är kritisk till investeringar som resulterar i inlåsningseffekter.</w:t>
            </w:r>
          </w:p>
          <w:p w:rsidR="00F81FFC" w:rsidRDefault="00F81FFC" w:rsidP="00F81FFC"/>
          <w:p w:rsidR="00F81FFC" w:rsidRDefault="005B29C8" w:rsidP="00F81FFC">
            <w:pPr>
              <w:rPr>
                <w:sz w:val="22"/>
              </w:rPr>
            </w:pPr>
            <w:r w:rsidRPr="005B29C8">
              <w:t>Överläggningen motiverade statssekreteraren att göra följande ändring av ståndpunkten:</w:t>
            </w:r>
            <w:r w:rsidR="00F81FFC">
              <w:t xml:space="preserve"> ordet ”skeptisk” i stycke 3, näst sista meningen ändrades till ”kritisk”. På samma sätt ändrades ”skeptisk” till ”kritisk” </w:t>
            </w:r>
            <w:r w:rsidR="00A22371">
              <w:t>i</w:t>
            </w:r>
            <w:r w:rsidR="00F81FFC">
              <w:t xml:space="preserve"> näst sista meningen</w:t>
            </w:r>
            <w:r>
              <w:t xml:space="preserve"> i det sista stycket</w:t>
            </w:r>
            <w:r w:rsidR="00F81FFC">
              <w:t xml:space="preserve">. </w:t>
            </w:r>
          </w:p>
          <w:p w:rsidR="00F81FFC" w:rsidRDefault="00F81FFC" w:rsidP="004B5D4F">
            <w:pPr>
              <w:outlineLvl w:val="0"/>
            </w:pPr>
          </w:p>
          <w:p w:rsidR="00F81FFC" w:rsidRPr="004B5D4F" w:rsidRDefault="00F81FFC" w:rsidP="00F81FFC">
            <w:pPr>
              <w:jc w:val="both"/>
              <w:outlineLvl w:val="0"/>
            </w:pPr>
            <w:r>
              <w:t>Ordförande konstaterade att det fanns stöd för regeringens ståndpunkt.</w:t>
            </w:r>
          </w:p>
          <w:p w:rsidR="003316F7" w:rsidRPr="001D4484" w:rsidRDefault="003316F7" w:rsidP="00BC2DCD">
            <w:pPr>
              <w:outlineLvl w:val="0"/>
              <w:rPr>
                <w:b/>
              </w:rPr>
            </w:pPr>
          </w:p>
        </w:tc>
      </w:tr>
      <w:tr w:rsidR="00EB3944" w:rsidTr="008035C8">
        <w:tc>
          <w:tcPr>
            <w:tcW w:w="567" w:type="dxa"/>
          </w:tcPr>
          <w:p w:rsidR="00EB3944" w:rsidRDefault="00EB3944" w:rsidP="00EF57E7">
            <w:pPr>
              <w:tabs>
                <w:tab w:val="left" w:pos="1701"/>
              </w:tabs>
              <w:rPr>
                <w:b/>
                <w:snapToGrid w:val="0"/>
              </w:rPr>
            </w:pPr>
            <w:r>
              <w:rPr>
                <w:b/>
                <w:snapToGrid w:val="0"/>
              </w:rPr>
              <w:lastRenderedPageBreak/>
              <w:t xml:space="preserve">§ </w:t>
            </w:r>
            <w:r w:rsidR="003316F7">
              <w:rPr>
                <w:b/>
                <w:snapToGrid w:val="0"/>
              </w:rPr>
              <w:t>5</w:t>
            </w:r>
          </w:p>
        </w:tc>
        <w:tc>
          <w:tcPr>
            <w:tcW w:w="7655" w:type="dxa"/>
          </w:tcPr>
          <w:p w:rsidR="001455F2" w:rsidRDefault="001D4484" w:rsidP="001455F2">
            <w:pPr>
              <w:rPr>
                <w:sz w:val="22"/>
              </w:rPr>
            </w:pPr>
            <w:r w:rsidRPr="001D4484">
              <w:rPr>
                <w:b/>
              </w:rPr>
              <w:t>Anmälningar</w:t>
            </w:r>
            <w:r w:rsidR="00CA3B1E">
              <w:rPr>
                <w:b/>
              </w:rPr>
              <w:br/>
            </w:r>
            <w:r w:rsidR="005B5B47" w:rsidRPr="005B5B47">
              <w:t>Inkommen skrivelse</w:t>
            </w:r>
            <w:r w:rsidR="005B5B47" w:rsidRPr="004B5D4F">
              <w:t xml:space="preserve"> </w:t>
            </w:r>
            <w:r w:rsidR="004B5D4F" w:rsidRPr="004B5D4F">
              <w:t>från Svensk</w:t>
            </w:r>
            <w:r w:rsidR="001455F2">
              <w:t>a</w:t>
            </w:r>
            <w:r w:rsidR="004B5D4F" w:rsidRPr="004B5D4F">
              <w:t xml:space="preserve"> </w:t>
            </w:r>
            <w:r w:rsidR="001455F2">
              <w:t>B</w:t>
            </w:r>
            <w:r w:rsidR="004B5D4F" w:rsidRPr="004B5D4F">
              <w:t>ankförening</w:t>
            </w:r>
            <w:r w:rsidR="001455F2">
              <w:t>en (dnr 2089-2021/22).</w:t>
            </w:r>
          </w:p>
          <w:p w:rsidR="003316F7" w:rsidRDefault="003316F7" w:rsidP="00BC2DCD">
            <w:pPr>
              <w:outlineLvl w:val="0"/>
              <w:rPr>
                <w:b/>
              </w:rPr>
            </w:pPr>
          </w:p>
        </w:tc>
      </w:tr>
      <w:tr w:rsidR="001D4484" w:rsidTr="008035C8">
        <w:tc>
          <w:tcPr>
            <w:tcW w:w="567" w:type="dxa"/>
          </w:tcPr>
          <w:p w:rsidR="001D4484" w:rsidRDefault="001D4484" w:rsidP="00EF57E7">
            <w:pPr>
              <w:tabs>
                <w:tab w:val="left" w:pos="1701"/>
              </w:tabs>
              <w:rPr>
                <w:b/>
                <w:snapToGrid w:val="0"/>
              </w:rPr>
            </w:pPr>
            <w:r>
              <w:rPr>
                <w:b/>
                <w:snapToGrid w:val="0"/>
              </w:rPr>
              <w:t xml:space="preserve">§ </w:t>
            </w:r>
            <w:r w:rsidR="003316F7">
              <w:rPr>
                <w:b/>
                <w:snapToGrid w:val="0"/>
              </w:rPr>
              <w:t>6</w:t>
            </w:r>
          </w:p>
        </w:tc>
        <w:tc>
          <w:tcPr>
            <w:tcW w:w="7655" w:type="dxa"/>
          </w:tcPr>
          <w:p w:rsidR="003316F7" w:rsidRPr="003316F7" w:rsidRDefault="003316F7" w:rsidP="003316F7">
            <w:pPr>
              <w:outlineLvl w:val="0"/>
              <w:rPr>
                <w:b/>
                <w:bCs/>
              </w:rPr>
            </w:pPr>
            <w:r w:rsidRPr="003316F7">
              <w:rPr>
                <w:b/>
                <w:bCs/>
              </w:rPr>
              <w:t xml:space="preserve">Extra ändringsbudgetar för 2022 – Sänkt skatt på diesel, stöd till jordbruket, kompensation för höga energipriser samt </w:t>
            </w:r>
            <w:proofErr w:type="spellStart"/>
            <w:r w:rsidRPr="003316F7">
              <w:rPr>
                <w:b/>
                <w:bCs/>
              </w:rPr>
              <w:t>rekapitalisering</w:t>
            </w:r>
            <w:proofErr w:type="spellEnd"/>
            <w:r w:rsidRPr="003316F7">
              <w:rPr>
                <w:b/>
                <w:bCs/>
              </w:rPr>
              <w:t xml:space="preserve"> av SAS AB m.m. (FiU48)</w:t>
            </w:r>
          </w:p>
          <w:p w:rsidR="003316F7" w:rsidRPr="003316F7" w:rsidRDefault="003316F7" w:rsidP="003316F7">
            <w:pPr>
              <w:outlineLvl w:val="0"/>
            </w:pPr>
            <w:r w:rsidRPr="003316F7">
              <w:t xml:space="preserve">Utskottet </w:t>
            </w:r>
            <w:r w:rsidR="001455F2">
              <w:t>inledde</w:t>
            </w:r>
            <w:r w:rsidRPr="003316F7">
              <w:t xml:space="preserve"> beredningen av</w:t>
            </w:r>
            <w:r>
              <w:t xml:space="preserve"> p</w:t>
            </w:r>
            <w:r w:rsidRPr="003316F7">
              <w:t>rop. 2021/22:252, prop. 2021/22:253, prop. 2021/22:258</w:t>
            </w:r>
            <w:r w:rsidR="001455F2">
              <w:t xml:space="preserve"> och motion</w:t>
            </w:r>
            <w:r>
              <w:t>.</w:t>
            </w:r>
          </w:p>
          <w:p w:rsidR="001D4484" w:rsidRDefault="001D4484" w:rsidP="00BC2DCD">
            <w:pPr>
              <w:outlineLvl w:val="0"/>
            </w:pPr>
          </w:p>
          <w:p w:rsidR="001455F2" w:rsidRDefault="00E85E03" w:rsidP="00BC2DCD">
            <w:pPr>
              <w:outlineLvl w:val="0"/>
            </w:pPr>
            <w:r>
              <w:t>Ärendet bordlades</w:t>
            </w:r>
            <w:r w:rsidR="001455F2">
              <w:t>.</w:t>
            </w:r>
          </w:p>
          <w:p w:rsidR="003316F7" w:rsidRPr="001D4484" w:rsidRDefault="003316F7" w:rsidP="00BC2DCD">
            <w:pPr>
              <w:outlineLvl w:val="0"/>
              <w:rPr>
                <w:b/>
              </w:rPr>
            </w:pPr>
          </w:p>
        </w:tc>
      </w:tr>
      <w:tr w:rsidR="005B29C8" w:rsidTr="008035C8">
        <w:tc>
          <w:tcPr>
            <w:tcW w:w="567" w:type="dxa"/>
          </w:tcPr>
          <w:p w:rsidR="005B29C8" w:rsidRDefault="005B29C8" w:rsidP="00EF57E7">
            <w:pPr>
              <w:tabs>
                <w:tab w:val="left" w:pos="1701"/>
              </w:tabs>
              <w:rPr>
                <w:b/>
                <w:snapToGrid w:val="0"/>
              </w:rPr>
            </w:pPr>
            <w:r>
              <w:rPr>
                <w:b/>
                <w:snapToGrid w:val="0"/>
              </w:rPr>
              <w:t>§ 7</w:t>
            </w:r>
          </w:p>
        </w:tc>
        <w:tc>
          <w:tcPr>
            <w:tcW w:w="7655" w:type="dxa"/>
          </w:tcPr>
          <w:p w:rsidR="005B29C8" w:rsidRDefault="005B29C8" w:rsidP="003316F7">
            <w:pPr>
              <w:outlineLvl w:val="0"/>
              <w:rPr>
                <w:b/>
                <w:bCs/>
              </w:rPr>
            </w:pPr>
            <w:r>
              <w:rPr>
                <w:b/>
                <w:bCs/>
              </w:rPr>
              <w:t>Övrigt</w:t>
            </w:r>
          </w:p>
          <w:p w:rsidR="005B29C8" w:rsidRDefault="005B29C8" w:rsidP="005B29C8">
            <w:pPr>
              <w:outlineLvl w:val="0"/>
            </w:pPr>
            <w:r w:rsidRPr="00804732">
              <w:t>M-, SD-, KD- och L-led</w:t>
            </w:r>
            <w:r>
              <w:t>a</w:t>
            </w:r>
            <w:r w:rsidRPr="00804732">
              <w:t>möterna</w:t>
            </w:r>
            <w:r>
              <w:t xml:space="preserve"> anmälde ett förslag till utskottsinitiativ om </w:t>
            </w:r>
          </w:p>
          <w:p w:rsidR="005B29C8" w:rsidRDefault="005B29C8" w:rsidP="005B29C8">
            <w:pPr>
              <w:outlineLvl w:val="0"/>
            </w:pPr>
            <w:r>
              <w:t xml:space="preserve">justering av ändringsbudget på </w:t>
            </w:r>
            <w:r w:rsidRPr="009950E5">
              <w:t>utgiftsområde</w:t>
            </w:r>
            <w:r>
              <w:t xml:space="preserve"> 18.</w:t>
            </w:r>
          </w:p>
          <w:p w:rsidR="005B29C8" w:rsidRDefault="005B29C8" w:rsidP="005B29C8">
            <w:pPr>
              <w:outlineLvl w:val="0"/>
            </w:pPr>
          </w:p>
          <w:p w:rsidR="005B29C8" w:rsidRDefault="005B29C8" w:rsidP="005B29C8">
            <w:pPr>
              <w:outlineLvl w:val="0"/>
            </w:pPr>
            <w:r>
              <w:t>Förslaget till initiativ bordlades.</w:t>
            </w:r>
          </w:p>
          <w:p w:rsidR="005B29C8" w:rsidRPr="003316F7" w:rsidRDefault="005B29C8" w:rsidP="003316F7">
            <w:pPr>
              <w:outlineLvl w:val="0"/>
              <w:rPr>
                <w:b/>
                <w:bCs/>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5B29C8">
              <w:rPr>
                <w:b/>
                <w:snapToGrid w:val="0"/>
              </w:rPr>
              <w:t>8</w:t>
            </w:r>
          </w:p>
        </w:tc>
        <w:tc>
          <w:tcPr>
            <w:tcW w:w="7655" w:type="dxa"/>
          </w:tcPr>
          <w:p w:rsidR="00CD7E8B" w:rsidRPr="00AD47F5" w:rsidRDefault="00AD47F5" w:rsidP="00D021DB">
            <w:pPr>
              <w:outlineLvl w:val="0"/>
              <w:rPr>
                <w:b/>
                <w:bCs/>
              </w:rPr>
            </w:pPr>
            <w:r w:rsidRPr="00AD47F5">
              <w:rPr>
                <w:b/>
                <w:bCs/>
              </w:rPr>
              <w:t>Nästa sammanträde</w:t>
            </w:r>
            <w:r w:rsidR="00CA3B1E">
              <w:rPr>
                <w:b/>
                <w:bCs/>
              </w:rPr>
              <w:br/>
            </w:r>
            <w:r w:rsidR="003316F7">
              <w:rPr>
                <w:bCs/>
              </w:rPr>
              <w:t>Torsdag 16 juni kl. 10.30</w:t>
            </w:r>
            <w:r w:rsidR="0002748E" w:rsidRPr="00CA3B1E">
              <w:rPr>
                <w:bCs/>
              </w:rPr>
              <w:br/>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02748E" w:rsidRDefault="0002748E"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Default="00CD7E8B" w:rsidP="00C15B79">
            <w:pPr>
              <w:outlineLvl w:val="0"/>
              <w:rPr>
                <w:bCs/>
              </w:rPr>
            </w:pPr>
          </w:p>
          <w:p w:rsidR="001C6989" w:rsidRPr="00CD7E8B" w:rsidRDefault="001C6989" w:rsidP="00C15B79">
            <w:pPr>
              <w:outlineLvl w:val="0"/>
              <w:rPr>
                <w:bCs/>
              </w:rPr>
            </w:pPr>
            <w:bookmarkStart w:id="0" w:name="_GoBack"/>
            <w:bookmarkEnd w:id="0"/>
          </w:p>
          <w:p w:rsidR="00CD7E8B" w:rsidRPr="00CD7E8B" w:rsidRDefault="003316F7" w:rsidP="00C15B79">
            <w:pPr>
              <w:outlineLvl w:val="0"/>
              <w:rPr>
                <w:bCs/>
              </w:rPr>
            </w:pPr>
            <w:r>
              <w:rPr>
                <w:bCs/>
              </w:rPr>
              <w:t>Åsa Westlund</w:t>
            </w:r>
          </w:p>
          <w:p w:rsidR="00D12ED4" w:rsidRPr="00D12ED4" w:rsidRDefault="00D12ED4" w:rsidP="00BC2DCD">
            <w:pPr>
              <w:outlineLvl w:val="0"/>
              <w:rPr>
                <w:bCs/>
              </w:rPr>
            </w:pPr>
          </w:p>
        </w:tc>
      </w:tr>
      <w:tr w:rsidR="002C538C" w:rsidTr="008035C8">
        <w:tc>
          <w:tcPr>
            <w:tcW w:w="8222"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3316F7">
        <w:rPr>
          <w:sz w:val="22"/>
          <w:szCs w:val="22"/>
        </w:rPr>
        <w:t>72</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3316F7" w:rsidP="006B55D9">
            <w:pPr>
              <w:spacing w:line="360" w:lineRule="auto"/>
              <w:rPr>
                <w:sz w:val="22"/>
                <w:szCs w:val="22"/>
              </w:rPr>
            </w:pPr>
            <w:r>
              <w:rPr>
                <w:sz w:val="22"/>
                <w:szCs w:val="22"/>
              </w:rPr>
              <w:t>§ 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 2</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 5-</w:t>
            </w:r>
            <w:r w:rsidR="006D78FF">
              <w:rPr>
                <w:sz w:val="22"/>
                <w:szCs w:val="22"/>
              </w:rPr>
              <w:t>8</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795259" w:rsidP="0002748E">
            <w:pPr>
              <w:tabs>
                <w:tab w:val="left" w:pos="497"/>
              </w:tabs>
              <w:ind w:left="72"/>
              <w:rPr>
                <w:snapToGrid w:val="0"/>
                <w:sz w:val="22"/>
                <w:szCs w:val="22"/>
              </w:rPr>
            </w:pPr>
            <w:r>
              <w:rPr>
                <w:snapToGrid w:val="0"/>
                <w:sz w:val="22"/>
                <w:szCs w:val="22"/>
              </w:rPr>
              <w:t>Ali Esbati</w:t>
            </w:r>
            <w:r w:rsidR="0002748E" w:rsidRPr="000E151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Default="0002748E" w:rsidP="0002748E">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1418E1" w:rsidP="0002748E">
            <w:pPr>
              <w:tabs>
                <w:tab w:val="left" w:pos="497"/>
              </w:tabs>
              <w:ind w:left="72"/>
              <w:rPr>
                <w:snapToGrid w:val="0"/>
                <w:sz w:val="22"/>
                <w:szCs w:val="22"/>
              </w:rPr>
            </w:pPr>
            <w:r>
              <w:rPr>
                <w:snapToGrid w:val="0"/>
                <w:sz w:val="22"/>
                <w:szCs w:val="22"/>
              </w:rPr>
              <w:t>Janine Alm Ericson</w:t>
            </w:r>
            <w:r w:rsidR="0002748E">
              <w:rPr>
                <w:snapToGrid w:val="0"/>
                <w:sz w:val="22"/>
                <w:szCs w:val="22"/>
              </w:rPr>
              <w:t xml:space="preserve"> </w:t>
            </w:r>
            <w:r w:rsidR="0002748E" w:rsidRPr="000E151F">
              <w:rPr>
                <w:snapToGrid w:val="0"/>
                <w:sz w:val="22"/>
                <w:szCs w:val="22"/>
              </w:rPr>
              <w:t>(MP</w:t>
            </w:r>
            <w:r w:rsidR="0002748E">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A56380" w:rsidP="0002748E">
            <w:pPr>
              <w:tabs>
                <w:tab w:val="left" w:pos="497"/>
              </w:tabs>
              <w:ind w:left="72"/>
              <w:rPr>
                <w:snapToGrid w:val="0"/>
                <w:sz w:val="22"/>
                <w:szCs w:val="22"/>
              </w:rPr>
            </w:pPr>
            <w:r>
              <w:rPr>
                <w:snapToGrid w:val="0"/>
                <w:sz w:val="22"/>
                <w:szCs w:val="22"/>
              </w:rPr>
              <w:t>Boriana Åberg</w:t>
            </w:r>
            <w:r w:rsidR="0002748E">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1946FE"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8F4DE0"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946FE"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946FE"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946FE"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sidR="00795259">
              <w:rPr>
                <w:snapToGrid w:val="0"/>
                <w:sz w:val="22"/>
                <w:szCs w:val="22"/>
                <w:lang w:val="en-US"/>
              </w:rPr>
              <w:t>Ulla Andersson</w:t>
            </w:r>
            <w:r>
              <w:rPr>
                <w:snapToGrid w:val="0"/>
                <w:sz w:val="22"/>
                <w:szCs w:val="22"/>
                <w:lang w:val="en-US"/>
              </w:rPr>
              <w:t xml:space="preserve">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w:t>
            </w:r>
            <w:r w:rsidR="001946FE">
              <w:rPr>
                <w:snapToGrid w:val="0"/>
                <w:sz w:val="22"/>
                <w:szCs w:val="22"/>
              </w:rPr>
              <w:t xml:space="preserve">Jasenko </w:t>
            </w:r>
            <w:proofErr w:type="spellStart"/>
            <w:r w:rsidR="001946FE">
              <w:rPr>
                <w:snapToGrid w:val="0"/>
                <w:sz w:val="22"/>
                <w:szCs w:val="22"/>
              </w:rPr>
              <w:t>Omnovic</w:t>
            </w:r>
            <w:proofErr w:type="spellEnd"/>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946FE"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w:t>
            </w:r>
            <w:r w:rsidR="00617AB2">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946FE"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F4DE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sidR="00617AB2">
              <w:rPr>
                <w:snapToGrid w:val="0"/>
                <w:sz w:val="22"/>
                <w:szCs w:val="22"/>
              </w:rPr>
              <w:t>Staffan Eklöf</w:t>
            </w:r>
            <w:r w:rsidR="00540593">
              <w:rPr>
                <w:snapToGrid w:val="0"/>
                <w:sz w:val="22"/>
                <w:szCs w:val="22"/>
              </w:rPr>
              <w:t xml:space="preserve">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7826B0">
              <w:rPr>
                <w:snapToGrid w:val="0"/>
                <w:sz w:val="22"/>
                <w:szCs w:val="22"/>
              </w:rPr>
              <w:t>Ida Gabrielsson</w:t>
            </w:r>
            <w:r>
              <w:rPr>
                <w:snapToGrid w:val="0"/>
                <w:sz w:val="22"/>
                <w:szCs w:val="22"/>
              </w:rPr>
              <w:t xml:space="preserve"> (</w:t>
            </w:r>
            <w:r w:rsidR="007826B0">
              <w:rPr>
                <w:snapToGrid w:val="0"/>
                <w:sz w:val="22"/>
                <w:szCs w:val="22"/>
              </w:rPr>
              <w:t>V</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617AB2">
              <w:rPr>
                <w:snapToGrid w:val="0"/>
                <w:sz w:val="22"/>
                <w:szCs w:val="22"/>
              </w:rPr>
              <w:t>Hampus Hagman</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617AB2" w:rsidP="006B55D9">
            <w:pPr>
              <w:tabs>
                <w:tab w:val="left" w:pos="497"/>
              </w:tabs>
              <w:rPr>
                <w:snapToGrid w:val="0"/>
                <w:sz w:val="22"/>
                <w:szCs w:val="22"/>
              </w:rPr>
            </w:pPr>
            <w:r>
              <w:rPr>
                <w:snapToGrid w:val="0"/>
                <w:sz w:val="22"/>
                <w:szCs w:val="22"/>
              </w:rPr>
              <w:t xml:space="preserve"> Andreas Carlsson </w:t>
            </w:r>
            <w:r w:rsidR="004C6601">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293DD6">
              <w:rPr>
                <w:snapToGrid w:val="0"/>
                <w:sz w:val="22"/>
                <w:szCs w:val="22"/>
              </w:rPr>
              <w:t>Elisabeth Falkhaven</w:t>
            </w:r>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873755" w:rsidP="006B55D9">
            <w:pPr>
              <w:tabs>
                <w:tab w:val="left" w:pos="497"/>
              </w:tabs>
              <w:rPr>
                <w:snapToGrid w:val="0"/>
                <w:sz w:val="22"/>
                <w:szCs w:val="22"/>
              </w:rPr>
            </w:pPr>
            <w:r>
              <w:rPr>
                <w:snapToGrid w:val="0"/>
                <w:sz w:val="22"/>
                <w:szCs w:val="22"/>
              </w:rPr>
              <w:t xml:space="preserve"> </w:t>
            </w:r>
            <w:r w:rsidR="00540593">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946FE" w:rsidP="006B55D9">
            <w:pPr>
              <w:rPr>
                <w:sz w:val="22"/>
                <w:szCs w:val="22"/>
              </w:rPr>
            </w:pPr>
            <w:r>
              <w:rPr>
                <w:sz w:val="22"/>
                <w:szCs w:val="22"/>
              </w:rPr>
              <w:t>O</w:t>
            </w: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8F4DE0"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8F4DE0"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17AB2" w:rsidRPr="000E151F" w:rsidTr="001F64CD">
        <w:tc>
          <w:tcPr>
            <w:tcW w:w="4395" w:type="dxa"/>
            <w:tcBorders>
              <w:top w:val="single" w:sz="4" w:space="0" w:color="auto"/>
              <w:left w:val="single" w:sz="4" w:space="0" w:color="auto"/>
              <w:bottom w:val="single" w:sz="4" w:space="0" w:color="auto"/>
              <w:right w:val="single" w:sz="4" w:space="0" w:color="auto"/>
            </w:tcBorders>
          </w:tcPr>
          <w:p w:rsidR="00617AB2" w:rsidRDefault="00617AB2" w:rsidP="006B55D9">
            <w:pPr>
              <w:tabs>
                <w:tab w:val="left" w:pos="497"/>
              </w:tabs>
              <w:rPr>
                <w:snapToGrid w:val="0"/>
                <w:sz w:val="22"/>
                <w:szCs w:val="22"/>
              </w:rPr>
            </w:pPr>
            <w:r>
              <w:rPr>
                <w:snapToGrid w:val="0"/>
                <w:sz w:val="22"/>
                <w:szCs w:val="22"/>
              </w:rPr>
              <w:t xml:space="preserve"> Jessica Rosencrantz (M)</w:t>
            </w:r>
          </w:p>
        </w:tc>
        <w:tc>
          <w:tcPr>
            <w:tcW w:w="488"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r>
      <w:tr w:rsidR="00444CAA" w:rsidRPr="000E151F" w:rsidTr="001F64CD">
        <w:tc>
          <w:tcPr>
            <w:tcW w:w="4395" w:type="dxa"/>
            <w:tcBorders>
              <w:top w:val="single" w:sz="4" w:space="0" w:color="auto"/>
              <w:left w:val="single" w:sz="4" w:space="0" w:color="auto"/>
              <w:bottom w:val="single" w:sz="4" w:space="0" w:color="auto"/>
              <w:right w:val="single" w:sz="4" w:space="0" w:color="auto"/>
            </w:tcBorders>
          </w:tcPr>
          <w:p w:rsidR="00444CAA" w:rsidRDefault="00444CAA" w:rsidP="006B55D9">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rsidR="00444CAA" w:rsidRPr="000E151F" w:rsidRDefault="001946FE"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8F4DE0"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8F4DE0"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E1569B"/>
    <w:multiLevelType w:val="hybridMultilevel"/>
    <w:tmpl w:val="1CAECA5A"/>
    <w:lvl w:ilvl="0" w:tplc="A684C53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F67460"/>
    <w:multiLevelType w:val="hybridMultilevel"/>
    <w:tmpl w:val="B0DEDB02"/>
    <w:lvl w:ilvl="0" w:tplc="2526A78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10"/>
  </w:num>
  <w:num w:numId="6">
    <w:abstractNumId w:val="2"/>
  </w:num>
  <w:num w:numId="7">
    <w:abstractNumId w:val="9"/>
  </w:num>
  <w:num w:numId="8">
    <w:abstractNumId w:val="6"/>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65965"/>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55F2"/>
    <w:rsid w:val="00146CDA"/>
    <w:rsid w:val="00161AA6"/>
    <w:rsid w:val="001655F6"/>
    <w:rsid w:val="001756F2"/>
    <w:rsid w:val="001765D3"/>
    <w:rsid w:val="00183CBA"/>
    <w:rsid w:val="001852E2"/>
    <w:rsid w:val="00192BEE"/>
    <w:rsid w:val="001946FE"/>
    <w:rsid w:val="00194EBF"/>
    <w:rsid w:val="001B0A1C"/>
    <w:rsid w:val="001B0DA9"/>
    <w:rsid w:val="001B212B"/>
    <w:rsid w:val="001C6989"/>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4EA3"/>
    <w:rsid w:val="00296D10"/>
    <w:rsid w:val="002B480E"/>
    <w:rsid w:val="002B5D70"/>
    <w:rsid w:val="002C0221"/>
    <w:rsid w:val="002C1771"/>
    <w:rsid w:val="002C538C"/>
    <w:rsid w:val="002D2AB5"/>
    <w:rsid w:val="002D7BA8"/>
    <w:rsid w:val="002F284C"/>
    <w:rsid w:val="002F654D"/>
    <w:rsid w:val="00305C38"/>
    <w:rsid w:val="0030711A"/>
    <w:rsid w:val="0032581E"/>
    <w:rsid w:val="003316F7"/>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B4F78"/>
    <w:rsid w:val="004B5D4F"/>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29C8"/>
    <w:rsid w:val="005B498F"/>
    <w:rsid w:val="005B5B47"/>
    <w:rsid w:val="005C1541"/>
    <w:rsid w:val="005C61EB"/>
    <w:rsid w:val="005E28B9"/>
    <w:rsid w:val="005E2FA7"/>
    <w:rsid w:val="005E439C"/>
    <w:rsid w:val="005E70F9"/>
    <w:rsid w:val="00617AB2"/>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6D78FF"/>
    <w:rsid w:val="006E0B75"/>
    <w:rsid w:val="007055E3"/>
    <w:rsid w:val="00723D66"/>
    <w:rsid w:val="007243F5"/>
    <w:rsid w:val="00743A44"/>
    <w:rsid w:val="00750FF0"/>
    <w:rsid w:val="00751AFD"/>
    <w:rsid w:val="00755F03"/>
    <w:rsid w:val="00761D68"/>
    <w:rsid w:val="00767BDA"/>
    <w:rsid w:val="00774482"/>
    <w:rsid w:val="007773C2"/>
    <w:rsid w:val="007826B0"/>
    <w:rsid w:val="007826C0"/>
    <w:rsid w:val="00782709"/>
    <w:rsid w:val="00784960"/>
    <w:rsid w:val="00792356"/>
    <w:rsid w:val="00795259"/>
    <w:rsid w:val="007A59C4"/>
    <w:rsid w:val="007B11CA"/>
    <w:rsid w:val="007B1842"/>
    <w:rsid w:val="007B7C03"/>
    <w:rsid w:val="007C3B46"/>
    <w:rsid w:val="007E0AB4"/>
    <w:rsid w:val="007F080A"/>
    <w:rsid w:val="008035C8"/>
    <w:rsid w:val="00804511"/>
    <w:rsid w:val="00804732"/>
    <w:rsid w:val="00813862"/>
    <w:rsid w:val="00822922"/>
    <w:rsid w:val="008231F4"/>
    <w:rsid w:val="00825025"/>
    <w:rsid w:val="00830BA7"/>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E3A32"/>
    <w:rsid w:val="008F4D68"/>
    <w:rsid w:val="008F4DE0"/>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2371"/>
    <w:rsid w:val="00A25498"/>
    <w:rsid w:val="00A257B8"/>
    <w:rsid w:val="00A401A5"/>
    <w:rsid w:val="00A40A44"/>
    <w:rsid w:val="00A46556"/>
    <w:rsid w:val="00A56380"/>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3D50"/>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D11DB"/>
    <w:rsid w:val="00DE54FF"/>
    <w:rsid w:val="00DF06AE"/>
    <w:rsid w:val="00DF4025"/>
    <w:rsid w:val="00E0219D"/>
    <w:rsid w:val="00E15BE8"/>
    <w:rsid w:val="00E2015B"/>
    <w:rsid w:val="00E264E7"/>
    <w:rsid w:val="00E27E50"/>
    <w:rsid w:val="00E43F8A"/>
    <w:rsid w:val="00E443F3"/>
    <w:rsid w:val="00E5492F"/>
    <w:rsid w:val="00E653E8"/>
    <w:rsid w:val="00E67EBA"/>
    <w:rsid w:val="00E833F2"/>
    <w:rsid w:val="00E85E03"/>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B10"/>
    <w:rsid w:val="00F37DC2"/>
    <w:rsid w:val="00F5222B"/>
    <w:rsid w:val="00F53772"/>
    <w:rsid w:val="00F5670E"/>
    <w:rsid w:val="00F71C16"/>
    <w:rsid w:val="00F774B5"/>
    <w:rsid w:val="00F81FFC"/>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7359156E"/>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FFC"/>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989795670">
      <w:bodyDiv w:val="1"/>
      <w:marLeft w:val="0"/>
      <w:marRight w:val="0"/>
      <w:marTop w:val="0"/>
      <w:marBottom w:val="0"/>
      <w:divBdr>
        <w:top w:val="none" w:sz="0" w:space="0" w:color="auto"/>
        <w:left w:val="none" w:sz="0" w:space="0" w:color="auto"/>
        <w:bottom w:val="none" w:sz="0" w:space="0" w:color="auto"/>
        <w:right w:val="none" w:sz="0" w:space="0" w:color="auto"/>
      </w:divBdr>
    </w:div>
    <w:div w:id="173265028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B5B6-8BF7-4CB5-8525-BF0D7E76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1466</Words>
  <Characters>9633</Characters>
  <Application>Microsoft Office Word</Application>
  <DocSecurity>0</DocSecurity>
  <Lines>1070</Lines>
  <Paragraphs>241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21</cp:revision>
  <cp:lastPrinted>2018-10-02T11:13:00Z</cp:lastPrinted>
  <dcterms:created xsi:type="dcterms:W3CDTF">2022-06-14T08:01:00Z</dcterms:created>
  <dcterms:modified xsi:type="dcterms:W3CDTF">2022-06-17T09:02:00Z</dcterms:modified>
</cp:coreProperties>
</file>