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34C" w:rsidRPr="00F83957" w:rsidRDefault="00B7734C">
      <w:pPr>
        <w:pStyle w:val="Hemstlrubrik"/>
        <w:shd w:val="clear" w:color="000000" w:fill="auto"/>
      </w:pPr>
      <w:r w:rsidRPr="00F83957">
        <w:t>Förslag till riksdagsbeslut</w:t>
      </w:r>
    </w:p>
    <w:p w:rsidR="00B7734C" w:rsidRPr="00F83957" w:rsidRDefault="00B7734C">
      <w:pPr>
        <w:pStyle w:val="Hemstlatt"/>
        <w:numPr>
          <w:ilvl w:val="0"/>
          <w:numId w:val="0"/>
        </w:numPr>
        <w:shd w:val="clear" w:color="000000" w:fill="auto"/>
      </w:pPr>
      <w:r w:rsidRPr="00F83957">
        <w:t>Riksdagen beslutar om ändrade ramar för utgiftsomr</w:t>
      </w:r>
      <w:r w:rsidRPr="00F83957">
        <w:t>å</w:t>
      </w:r>
      <w:r w:rsidRPr="00F83957">
        <w:t>den samt anvisar ändrade och nya anslag enligt uppställning:</w:t>
      </w:r>
    </w:p>
    <w:tbl>
      <w:tblPr>
        <w:tblW w:w="6124" w:type="dxa"/>
        <w:tblInd w:w="70" w:type="dxa"/>
        <w:tblLayout w:type="fixed"/>
        <w:tblCellMar>
          <w:left w:w="70" w:type="dxa"/>
          <w:right w:w="70" w:type="dxa"/>
        </w:tblCellMar>
        <w:tblLook w:val="0000" w:firstRow="0" w:lastRow="0" w:firstColumn="0" w:lastColumn="0" w:noHBand="0" w:noVBand="0"/>
      </w:tblPr>
      <w:tblGrid>
        <w:gridCol w:w="670"/>
        <w:gridCol w:w="729"/>
        <w:gridCol w:w="1121"/>
        <w:gridCol w:w="1080"/>
        <w:gridCol w:w="963"/>
        <w:gridCol w:w="669"/>
        <w:gridCol w:w="892"/>
      </w:tblGrid>
      <w:tr w:rsidR="00000000" w:rsidRPr="00F83957">
        <w:tc>
          <w:tcPr>
            <w:tcW w:w="2520" w:type="dxa"/>
            <w:gridSpan w:val="3"/>
            <w:tcBorders>
              <w:top w:val="single" w:sz="4" w:space="0" w:color="auto"/>
              <w:left w:val="nil"/>
              <w:bottom w:val="single" w:sz="4" w:space="0" w:color="auto"/>
              <w:right w:val="nil"/>
            </w:tcBorders>
            <w:vAlign w:val="bottom"/>
          </w:tcPr>
          <w:p w:rsidR="00B7734C" w:rsidRPr="00F83957" w:rsidRDefault="00B7734C">
            <w:pPr>
              <w:shd w:val="clear" w:color="000000" w:fill="auto"/>
              <w:spacing w:before="60" w:line="200" w:lineRule="exact"/>
              <w:rPr>
                <w:b/>
                <w:sz w:val="16"/>
                <w:szCs w:val="16"/>
              </w:rPr>
            </w:pPr>
            <w:r w:rsidRPr="00F83957">
              <w:rPr>
                <w:color w:val="000000"/>
                <w:sz w:val="16"/>
                <w:szCs w:val="16"/>
              </w:rPr>
              <w:t>Enhet tusental kronor</w:t>
            </w:r>
          </w:p>
        </w:tc>
        <w:tc>
          <w:tcPr>
            <w:tcW w:w="1080" w:type="dxa"/>
            <w:tcBorders>
              <w:top w:val="single" w:sz="4" w:space="0" w:color="auto"/>
              <w:left w:val="nil"/>
              <w:bottom w:val="single" w:sz="4" w:space="0" w:color="auto"/>
              <w:right w:val="nil"/>
            </w:tcBorders>
            <w:vAlign w:val="bottom"/>
          </w:tcPr>
          <w:p w:rsidR="00B7734C" w:rsidRPr="00F83957" w:rsidRDefault="00B7734C">
            <w:pPr>
              <w:shd w:val="clear" w:color="000000" w:fill="auto"/>
              <w:spacing w:before="60" w:line="200" w:lineRule="exact"/>
              <w:ind w:left="-113" w:right="-57"/>
              <w:jc w:val="right"/>
              <w:rPr>
                <w:b/>
                <w:color w:val="000000"/>
                <w:spacing w:val="-6"/>
                <w:sz w:val="16"/>
                <w:szCs w:val="16"/>
              </w:rPr>
            </w:pPr>
          </w:p>
        </w:tc>
        <w:tc>
          <w:tcPr>
            <w:tcW w:w="963" w:type="dxa"/>
            <w:tcBorders>
              <w:top w:val="single" w:sz="4" w:space="0" w:color="auto"/>
              <w:left w:val="nil"/>
              <w:bottom w:val="single" w:sz="4" w:space="0" w:color="auto"/>
              <w:right w:val="nil"/>
            </w:tcBorders>
            <w:vAlign w:val="bottom"/>
          </w:tcPr>
          <w:p w:rsidR="00B7734C" w:rsidRPr="00F83957" w:rsidRDefault="00B7734C">
            <w:pPr>
              <w:shd w:val="clear" w:color="000000" w:fill="auto"/>
              <w:spacing w:before="60" w:line="200" w:lineRule="exact"/>
              <w:ind w:left="-113"/>
              <w:jc w:val="right"/>
              <w:rPr>
                <w:b/>
                <w:color w:val="000000"/>
                <w:sz w:val="16"/>
                <w:szCs w:val="16"/>
              </w:rPr>
            </w:pPr>
          </w:p>
        </w:tc>
        <w:tc>
          <w:tcPr>
            <w:tcW w:w="669" w:type="dxa"/>
            <w:tcBorders>
              <w:top w:val="single" w:sz="4" w:space="0" w:color="auto"/>
              <w:left w:val="nil"/>
              <w:bottom w:val="single" w:sz="4" w:space="0" w:color="auto"/>
              <w:right w:val="nil"/>
            </w:tcBorders>
            <w:vAlign w:val="bottom"/>
          </w:tcPr>
          <w:p w:rsidR="00B7734C" w:rsidRPr="00F83957" w:rsidRDefault="00B7734C">
            <w:pPr>
              <w:shd w:val="clear" w:color="000000" w:fill="auto"/>
              <w:spacing w:before="60" w:line="200" w:lineRule="exact"/>
              <w:ind w:left="-57"/>
              <w:jc w:val="right"/>
              <w:rPr>
                <w:b/>
                <w:color w:val="000000"/>
                <w:spacing w:val="-6"/>
                <w:sz w:val="16"/>
                <w:szCs w:val="16"/>
              </w:rPr>
            </w:pPr>
          </w:p>
        </w:tc>
        <w:tc>
          <w:tcPr>
            <w:tcW w:w="892" w:type="dxa"/>
            <w:tcBorders>
              <w:top w:val="single" w:sz="4" w:space="0" w:color="auto"/>
              <w:left w:val="nil"/>
              <w:bottom w:val="single" w:sz="4" w:space="0" w:color="auto"/>
              <w:right w:val="nil"/>
            </w:tcBorders>
            <w:vAlign w:val="bottom"/>
          </w:tcPr>
          <w:p w:rsidR="00B7734C" w:rsidRPr="00F83957" w:rsidRDefault="00B7734C">
            <w:pPr>
              <w:shd w:val="clear" w:color="000000" w:fill="auto"/>
              <w:spacing w:before="60" w:line="200" w:lineRule="exact"/>
              <w:ind w:left="-113" w:right="-57"/>
              <w:jc w:val="right"/>
              <w:rPr>
                <w:b/>
                <w:color w:val="000000"/>
                <w:spacing w:val="-6"/>
                <w:sz w:val="16"/>
                <w:szCs w:val="16"/>
              </w:rPr>
            </w:pPr>
          </w:p>
        </w:tc>
      </w:tr>
      <w:tr w:rsidR="00000000" w:rsidRPr="00F83957">
        <w:tc>
          <w:tcPr>
            <w:tcW w:w="670" w:type="dxa"/>
            <w:tcBorders>
              <w:top w:val="single" w:sz="4" w:space="0" w:color="auto"/>
              <w:left w:val="nil"/>
              <w:bottom w:val="single" w:sz="4" w:space="0" w:color="auto"/>
              <w:right w:val="nil"/>
            </w:tcBorders>
          </w:tcPr>
          <w:p w:rsidR="00B7734C" w:rsidRPr="00F83957" w:rsidRDefault="00B7734C">
            <w:pPr>
              <w:shd w:val="clear" w:color="000000" w:fill="auto"/>
              <w:spacing w:before="60" w:line="200" w:lineRule="exact"/>
              <w:ind w:left="-57"/>
              <w:rPr>
                <w:b/>
                <w:spacing w:val="-6"/>
                <w:sz w:val="16"/>
                <w:szCs w:val="16"/>
              </w:rPr>
            </w:pPr>
            <w:r w:rsidRPr="00F83957">
              <w:rPr>
                <w:b/>
                <w:spacing w:val="-6"/>
                <w:sz w:val="16"/>
                <w:szCs w:val="16"/>
              </w:rPr>
              <w:t>Ut</w:t>
            </w:r>
            <w:r w:rsidRPr="00F83957">
              <w:rPr>
                <w:b/>
                <w:spacing w:val="-6"/>
                <w:sz w:val="16"/>
                <w:szCs w:val="16"/>
              </w:rPr>
              <w:softHyphen/>
              <w:t>gifts</w:t>
            </w:r>
            <w:r w:rsidRPr="00F83957">
              <w:rPr>
                <w:b/>
                <w:spacing w:val="-6"/>
                <w:sz w:val="16"/>
                <w:szCs w:val="16"/>
              </w:rPr>
              <w:softHyphen/>
              <w:t>om</w:t>
            </w:r>
            <w:r w:rsidRPr="00F83957">
              <w:rPr>
                <w:b/>
                <w:spacing w:val="-6"/>
                <w:sz w:val="16"/>
                <w:szCs w:val="16"/>
              </w:rPr>
              <w:softHyphen/>
              <w:t>råde</w:t>
            </w:r>
          </w:p>
        </w:tc>
        <w:tc>
          <w:tcPr>
            <w:tcW w:w="729" w:type="dxa"/>
            <w:tcBorders>
              <w:top w:val="single" w:sz="4" w:space="0" w:color="auto"/>
              <w:left w:val="nil"/>
              <w:bottom w:val="single" w:sz="4" w:space="0" w:color="auto"/>
              <w:right w:val="nil"/>
            </w:tcBorders>
          </w:tcPr>
          <w:p w:rsidR="00B7734C" w:rsidRPr="00F83957" w:rsidRDefault="00B7734C">
            <w:pPr>
              <w:shd w:val="clear" w:color="000000" w:fill="auto"/>
              <w:spacing w:before="60" w:line="200" w:lineRule="exact"/>
              <w:ind w:left="-57"/>
              <w:rPr>
                <w:b/>
                <w:spacing w:val="-6"/>
                <w:sz w:val="16"/>
                <w:szCs w:val="16"/>
              </w:rPr>
            </w:pPr>
            <w:r w:rsidRPr="00F83957">
              <w:rPr>
                <w:b/>
                <w:spacing w:val="-6"/>
                <w:sz w:val="16"/>
                <w:szCs w:val="16"/>
              </w:rPr>
              <w:t>Anslagsnr</w:t>
            </w:r>
          </w:p>
        </w:tc>
        <w:tc>
          <w:tcPr>
            <w:tcW w:w="1121" w:type="dxa"/>
            <w:tcBorders>
              <w:top w:val="single" w:sz="4" w:space="0" w:color="auto"/>
              <w:left w:val="nil"/>
              <w:bottom w:val="single" w:sz="4" w:space="0" w:color="auto"/>
              <w:right w:val="nil"/>
            </w:tcBorders>
          </w:tcPr>
          <w:p w:rsidR="00B7734C" w:rsidRPr="00F83957" w:rsidRDefault="00B7734C">
            <w:pPr>
              <w:shd w:val="clear" w:color="000000" w:fill="auto"/>
              <w:spacing w:before="60" w:line="200" w:lineRule="exact"/>
              <w:rPr>
                <w:b/>
                <w:sz w:val="16"/>
                <w:szCs w:val="16"/>
              </w:rPr>
            </w:pPr>
            <w:r w:rsidRPr="00F83957">
              <w:rPr>
                <w:b/>
                <w:sz w:val="16"/>
                <w:szCs w:val="16"/>
              </w:rPr>
              <w:t>Anslag</w:t>
            </w:r>
          </w:p>
        </w:tc>
        <w:tc>
          <w:tcPr>
            <w:tcW w:w="1080" w:type="dxa"/>
            <w:tcBorders>
              <w:top w:val="single" w:sz="4" w:space="0" w:color="auto"/>
              <w:left w:val="nil"/>
              <w:bottom w:val="single" w:sz="4" w:space="0" w:color="auto"/>
              <w:right w:val="nil"/>
            </w:tcBorders>
          </w:tcPr>
          <w:p w:rsidR="00B7734C" w:rsidRPr="00F83957" w:rsidRDefault="00B7734C">
            <w:pPr>
              <w:shd w:val="clear" w:color="000000" w:fill="auto"/>
              <w:spacing w:before="60" w:line="200" w:lineRule="exact"/>
              <w:ind w:left="-113"/>
              <w:jc w:val="right"/>
              <w:rPr>
                <w:b/>
                <w:color w:val="000000"/>
                <w:spacing w:val="-6"/>
                <w:sz w:val="16"/>
                <w:szCs w:val="16"/>
              </w:rPr>
            </w:pPr>
            <w:r w:rsidRPr="00F83957">
              <w:rPr>
                <w:b/>
                <w:color w:val="000000"/>
                <w:spacing w:val="-6"/>
                <w:sz w:val="16"/>
                <w:szCs w:val="16"/>
              </w:rPr>
              <w:t>Belopp enligt statsbudget  2009</w:t>
            </w:r>
          </w:p>
        </w:tc>
        <w:tc>
          <w:tcPr>
            <w:tcW w:w="963" w:type="dxa"/>
            <w:tcBorders>
              <w:top w:val="single" w:sz="4" w:space="0" w:color="auto"/>
              <w:left w:val="nil"/>
              <w:bottom w:val="single" w:sz="4" w:space="0" w:color="auto"/>
              <w:right w:val="nil"/>
            </w:tcBorders>
          </w:tcPr>
          <w:p w:rsidR="00B7734C" w:rsidRPr="00F83957" w:rsidRDefault="00B7734C">
            <w:pPr>
              <w:shd w:val="clear" w:color="000000" w:fill="auto"/>
              <w:spacing w:before="60" w:line="200" w:lineRule="exact"/>
              <w:ind w:left="-113"/>
              <w:jc w:val="right"/>
              <w:rPr>
                <w:b/>
                <w:color w:val="000000"/>
                <w:sz w:val="16"/>
                <w:szCs w:val="16"/>
              </w:rPr>
            </w:pPr>
            <w:r w:rsidRPr="00F83957">
              <w:rPr>
                <w:b/>
                <w:color w:val="000000"/>
                <w:sz w:val="16"/>
                <w:szCs w:val="16"/>
              </w:rPr>
              <w:t xml:space="preserve"> Regeringens förändring av ram/ anslag</w:t>
            </w:r>
          </w:p>
        </w:tc>
        <w:tc>
          <w:tcPr>
            <w:tcW w:w="669" w:type="dxa"/>
            <w:tcBorders>
              <w:top w:val="single" w:sz="4" w:space="0" w:color="auto"/>
              <w:left w:val="nil"/>
              <w:bottom w:val="single" w:sz="4" w:space="0" w:color="auto"/>
              <w:right w:val="nil"/>
            </w:tcBorders>
          </w:tcPr>
          <w:p w:rsidR="00B7734C" w:rsidRPr="00F83957" w:rsidRDefault="00B7734C">
            <w:pPr>
              <w:shd w:val="clear" w:color="000000" w:fill="auto"/>
              <w:spacing w:before="60" w:line="200" w:lineRule="exact"/>
              <w:ind w:left="-57"/>
              <w:jc w:val="right"/>
              <w:rPr>
                <w:b/>
                <w:color w:val="000000"/>
                <w:spacing w:val="-6"/>
                <w:sz w:val="16"/>
                <w:szCs w:val="16"/>
              </w:rPr>
            </w:pPr>
            <w:r w:rsidRPr="00F83957">
              <w:rPr>
                <w:b/>
                <w:color w:val="000000"/>
                <w:spacing w:val="-6"/>
                <w:sz w:val="16"/>
                <w:szCs w:val="16"/>
              </w:rPr>
              <w:t>Ny ram/ny anslags</w:t>
            </w:r>
            <w:r w:rsidRPr="00F83957">
              <w:rPr>
                <w:b/>
                <w:color w:val="000000"/>
                <w:spacing w:val="-6"/>
                <w:sz w:val="16"/>
                <w:szCs w:val="16"/>
              </w:rPr>
              <w:softHyphen/>
              <w:t>nivå</w:t>
            </w:r>
          </w:p>
        </w:tc>
        <w:tc>
          <w:tcPr>
            <w:tcW w:w="892" w:type="dxa"/>
            <w:tcBorders>
              <w:top w:val="single" w:sz="4" w:space="0" w:color="auto"/>
              <w:left w:val="nil"/>
              <w:bottom w:val="single" w:sz="4" w:space="0" w:color="auto"/>
              <w:right w:val="nil"/>
            </w:tcBorders>
          </w:tcPr>
          <w:p w:rsidR="00B7734C" w:rsidRPr="00F83957" w:rsidRDefault="00B7734C">
            <w:pPr>
              <w:shd w:val="clear" w:color="000000" w:fill="auto"/>
              <w:spacing w:before="60" w:line="200" w:lineRule="exact"/>
              <w:ind w:left="-113" w:right="-57"/>
              <w:jc w:val="right"/>
              <w:rPr>
                <w:b/>
                <w:color w:val="000000"/>
                <w:spacing w:val="-6"/>
                <w:sz w:val="16"/>
                <w:szCs w:val="16"/>
              </w:rPr>
            </w:pPr>
            <w:r w:rsidRPr="00F83957">
              <w:rPr>
                <w:b/>
                <w:color w:val="000000"/>
                <w:spacing w:val="-6"/>
                <w:sz w:val="16"/>
                <w:szCs w:val="16"/>
              </w:rPr>
              <w:t>Mp:s för</w:t>
            </w:r>
            <w:r w:rsidRPr="00F83957">
              <w:rPr>
                <w:b/>
                <w:color w:val="000000"/>
                <w:spacing w:val="-6"/>
                <w:sz w:val="16"/>
                <w:szCs w:val="16"/>
              </w:rPr>
              <w:softHyphen/>
              <w:t>ändring av ram/an</w:t>
            </w:r>
            <w:r w:rsidRPr="00F83957">
              <w:rPr>
                <w:b/>
                <w:color w:val="000000"/>
                <w:spacing w:val="-6"/>
                <w:sz w:val="16"/>
                <w:szCs w:val="16"/>
              </w:rPr>
              <w:softHyphen/>
              <w:t>slag,</w:t>
            </w:r>
            <w:r w:rsidRPr="00F83957">
              <w:rPr>
                <w:b/>
                <w:color w:val="000000"/>
                <w:spacing w:val="-6"/>
                <w:sz w:val="16"/>
                <w:szCs w:val="16"/>
              </w:rPr>
              <w:softHyphen/>
              <w:t xml:space="preserve"> avvik</w:t>
            </w:r>
            <w:r w:rsidRPr="00F83957">
              <w:rPr>
                <w:b/>
                <w:color w:val="000000"/>
                <w:spacing w:val="-6"/>
                <w:sz w:val="16"/>
                <w:szCs w:val="16"/>
              </w:rPr>
              <w:softHyphen/>
              <w:t>el</w:t>
            </w:r>
            <w:r w:rsidRPr="00F83957">
              <w:rPr>
                <w:b/>
                <w:color w:val="000000"/>
                <w:spacing w:val="-6"/>
                <w:sz w:val="16"/>
                <w:szCs w:val="16"/>
              </w:rPr>
              <w:softHyphen/>
              <w:t>se mot regeringen</w:t>
            </w:r>
          </w:p>
        </w:tc>
      </w:tr>
      <w:tr w:rsidR="00000000" w:rsidRPr="00F83957">
        <w:trPr>
          <w:trHeight w:val="242"/>
        </w:trPr>
        <w:tc>
          <w:tcPr>
            <w:tcW w:w="670" w:type="dxa"/>
            <w:tcBorders>
              <w:top w:val="single" w:sz="4" w:space="0" w:color="auto"/>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1</w:t>
            </w:r>
          </w:p>
        </w:tc>
        <w:tc>
          <w:tcPr>
            <w:tcW w:w="729" w:type="dxa"/>
            <w:tcBorders>
              <w:top w:val="single" w:sz="4" w:space="0" w:color="auto"/>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3:01</w:t>
            </w:r>
          </w:p>
        </w:tc>
        <w:tc>
          <w:tcPr>
            <w:tcW w:w="1121" w:type="dxa"/>
            <w:tcBorders>
              <w:top w:val="single" w:sz="4" w:space="0" w:color="auto"/>
              <w:left w:val="nil"/>
              <w:bottom w:val="nil"/>
              <w:right w:val="nil"/>
            </w:tcBorders>
            <w:noWrap/>
            <w:vAlign w:val="bottom"/>
          </w:tcPr>
          <w:p w:rsidR="00B7734C" w:rsidRPr="00F83957" w:rsidRDefault="00B7734C">
            <w:pPr>
              <w:shd w:val="clear" w:color="000000" w:fill="auto"/>
              <w:spacing w:before="60" w:line="200" w:lineRule="exact"/>
              <w:rPr>
                <w:sz w:val="16"/>
                <w:szCs w:val="16"/>
              </w:rPr>
            </w:pPr>
            <w:r w:rsidRPr="00F83957">
              <w:rPr>
                <w:sz w:val="16"/>
                <w:szCs w:val="16"/>
              </w:rPr>
              <w:t xml:space="preserve">Sametinget </w:t>
            </w:r>
          </w:p>
        </w:tc>
        <w:tc>
          <w:tcPr>
            <w:tcW w:w="1080" w:type="dxa"/>
            <w:tcBorders>
              <w:top w:val="single" w:sz="4" w:space="0" w:color="auto"/>
              <w:left w:val="nil"/>
              <w:bottom w:val="nil"/>
              <w:right w:val="nil"/>
            </w:tcBorders>
            <w:noWrap/>
            <w:vAlign w:val="bottom"/>
          </w:tcPr>
          <w:p w:rsidR="00B7734C" w:rsidRPr="00F83957" w:rsidRDefault="00B7734C">
            <w:pPr>
              <w:shd w:val="clear" w:color="000000" w:fill="auto"/>
              <w:spacing w:before="60" w:line="200" w:lineRule="exact"/>
              <w:ind w:left="-113" w:right="-57"/>
              <w:jc w:val="right"/>
              <w:rPr>
                <w:sz w:val="16"/>
                <w:szCs w:val="16"/>
              </w:rPr>
            </w:pPr>
            <w:r w:rsidRPr="00F83957">
              <w:rPr>
                <w:sz w:val="16"/>
                <w:szCs w:val="16"/>
              </w:rPr>
              <w:t>43 214</w:t>
            </w:r>
          </w:p>
        </w:tc>
        <w:tc>
          <w:tcPr>
            <w:tcW w:w="963" w:type="dxa"/>
            <w:tcBorders>
              <w:top w:val="single" w:sz="4" w:space="0" w:color="auto"/>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–5 000</w:t>
            </w:r>
          </w:p>
        </w:tc>
        <w:tc>
          <w:tcPr>
            <w:tcW w:w="669" w:type="dxa"/>
            <w:tcBorders>
              <w:top w:val="single" w:sz="4" w:space="0" w:color="auto"/>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38 214</w:t>
            </w:r>
          </w:p>
        </w:tc>
        <w:tc>
          <w:tcPr>
            <w:tcW w:w="892" w:type="dxa"/>
            <w:tcBorders>
              <w:top w:val="single" w:sz="4" w:space="0" w:color="auto"/>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5000</w:t>
            </w:r>
          </w:p>
        </w:tc>
      </w:tr>
      <w:tr w:rsidR="00000000" w:rsidRPr="00F83957">
        <w:trPr>
          <w:trHeight w:val="242"/>
        </w:trPr>
        <w:tc>
          <w:tcPr>
            <w:tcW w:w="670"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1</w:t>
            </w:r>
          </w:p>
        </w:tc>
        <w:tc>
          <w:tcPr>
            <w:tcW w:w="729"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4:01</w:t>
            </w:r>
          </w:p>
        </w:tc>
        <w:tc>
          <w:tcPr>
            <w:tcW w:w="1121" w:type="dxa"/>
            <w:tcBorders>
              <w:top w:val="nil"/>
              <w:left w:val="nil"/>
              <w:bottom w:val="nil"/>
              <w:right w:val="nil"/>
            </w:tcBorders>
            <w:noWrap/>
            <w:vAlign w:val="bottom"/>
          </w:tcPr>
          <w:p w:rsidR="00B7734C" w:rsidRPr="00F83957" w:rsidRDefault="00B7734C">
            <w:pPr>
              <w:shd w:val="clear" w:color="000000" w:fill="auto"/>
              <w:spacing w:before="60" w:line="200" w:lineRule="exact"/>
              <w:rPr>
                <w:sz w:val="16"/>
                <w:szCs w:val="16"/>
              </w:rPr>
            </w:pPr>
            <w:r w:rsidRPr="00F83957">
              <w:rPr>
                <w:sz w:val="16"/>
                <w:szCs w:val="16"/>
              </w:rPr>
              <w:t>Regering</w:t>
            </w:r>
            <w:r w:rsidRPr="00F83957">
              <w:rPr>
                <w:sz w:val="16"/>
                <w:szCs w:val="16"/>
              </w:rPr>
              <w:t>s</w:t>
            </w:r>
            <w:r w:rsidRPr="00F83957">
              <w:rPr>
                <w:sz w:val="16"/>
                <w:szCs w:val="16"/>
              </w:rPr>
              <w:t xml:space="preserve">kansliet m.m. </w:t>
            </w:r>
          </w:p>
        </w:tc>
        <w:tc>
          <w:tcPr>
            <w:tcW w:w="1080"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pacing w:val="-6"/>
                <w:sz w:val="16"/>
                <w:szCs w:val="16"/>
              </w:rPr>
            </w:pPr>
            <w:r w:rsidRPr="00F83957">
              <w:rPr>
                <w:spacing w:val="-6"/>
                <w:sz w:val="16"/>
                <w:szCs w:val="16"/>
              </w:rPr>
              <w:t>6 927 585</w:t>
            </w:r>
          </w:p>
        </w:tc>
        <w:tc>
          <w:tcPr>
            <w:tcW w:w="963"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141 700</w:t>
            </w:r>
          </w:p>
        </w:tc>
        <w:tc>
          <w:tcPr>
            <w:tcW w:w="669"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pacing w:val="-6"/>
                <w:sz w:val="16"/>
                <w:szCs w:val="16"/>
              </w:rPr>
            </w:pPr>
            <w:r w:rsidRPr="00F83957">
              <w:rPr>
                <w:spacing w:val="-6"/>
                <w:sz w:val="16"/>
                <w:szCs w:val="16"/>
              </w:rPr>
              <w:t>7 069 285</w:t>
            </w:r>
          </w:p>
        </w:tc>
        <w:tc>
          <w:tcPr>
            <w:tcW w:w="892"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pacing w:val="-6"/>
                <w:sz w:val="16"/>
                <w:szCs w:val="16"/>
              </w:rPr>
            </w:pPr>
            <w:r w:rsidRPr="00F83957">
              <w:rPr>
                <w:spacing w:val="-6"/>
                <w:sz w:val="16"/>
                <w:szCs w:val="16"/>
              </w:rPr>
              <w:t>–40 000</w:t>
            </w:r>
          </w:p>
        </w:tc>
      </w:tr>
      <w:tr w:rsidR="00000000" w:rsidRPr="00F83957">
        <w:tc>
          <w:tcPr>
            <w:tcW w:w="670"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6</w:t>
            </w:r>
          </w:p>
        </w:tc>
        <w:tc>
          <w:tcPr>
            <w:tcW w:w="729"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1:08</w:t>
            </w:r>
          </w:p>
        </w:tc>
        <w:tc>
          <w:tcPr>
            <w:tcW w:w="1121" w:type="dxa"/>
            <w:tcBorders>
              <w:top w:val="nil"/>
              <w:left w:val="nil"/>
              <w:bottom w:val="nil"/>
              <w:right w:val="nil"/>
            </w:tcBorders>
            <w:noWrap/>
            <w:vAlign w:val="bottom"/>
          </w:tcPr>
          <w:p w:rsidR="00B7734C" w:rsidRPr="00F83957" w:rsidRDefault="00B7734C">
            <w:pPr>
              <w:shd w:val="clear" w:color="000000" w:fill="auto"/>
              <w:spacing w:before="60" w:line="200" w:lineRule="exact"/>
              <w:rPr>
                <w:sz w:val="16"/>
                <w:szCs w:val="16"/>
              </w:rPr>
            </w:pPr>
            <w:r w:rsidRPr="00F83957">
              <w:rPr>
                <w:sz w:val="16"/>
                <w:szCs w:val="16"/>
              </w:rPr>
              <w:t xml:space="preserve">Försvarets radioanstalt </w:t>
            </w:r>
          </w:p>
        </w:tc>
        <w:tc>
          <w:tcPr>
            <w:tcW w:w="1080"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z w:val="16"/>
                <w:szCs w:val="16"/>
              </w:rPr>
            </w:pPr>
            <w:r w:rsidRPr="00F83957">
              <w:rPr>
                <w:sz w:val="16"/>
                <w:szCs w:val="16"/>
              </w:rPr>
              <w:t>644 522</w:t>
            </w:r>
          </w:p>
        </w:tc>
        <w:tc>
          <w:tcPr>
            <w:tcW w:w="963"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3 300</w:t>
            </w:r>
          </w:p>
        </w:tc>
        <w:tc>
          <w:tcPr>
            <w:tcW w:w="669"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647 822</w:t>
            </w:r>
          </w:p>
        </w:tc>
        <w:tc>
          <w:tcPr>
            <w:tcW w:w="892"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–3 300</w:t>
            </w:r>
          </w:p>
        </w:tc>
      </w:tr>
      <w:tr w:rsidR="00000000" w:rsidRPr="00F83957">
        <w:trPr>
          <w:trHeight w:val="242"/>
        </w:trPr>
        <w:tc>
          <w:tcPr>
            <w:tcW w:w="670"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9</w:t>
            </w:r>
          </w:p>
        </w:tc>
        <w:tc>
          <w:tcPr>
            <w:tcW w:w="729"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1:08</w:t>
            </w:r>
          </w:p>
        </w:tc>
        <w:tc>
          <w:tcPr>
            <w:tcW w:w="1121" w:type="dxa"/>
            <w:tcBorders>
              <w:top w:val="nil"/>
              <w:left w:val="nil"/>
              <w:bottom w:val="nil"/>
              <w:right w:val="nil"/>
            </w:tcBorders>
            <w:noWrap/>
            <w:vAlign w:val="bottom"/>
          </w:tcPr>
          <w:p w:rsidR="00B7734C" w:rsidRPr="00F83957" w:rsidRDefault="00B7734C">
            <w:pPr>
              <w:shd w:val="clear" w:color="000000" w:fill="auto"/>
              <w:spacing w:before="60" w:line="200" w:lineRule="exact"/>
              <w:rPr>
                <w:sz w:val="16"/>
                <w:szCs w:val="16"/>
              </w:rPr>
            </w:pPr>
            <w:r w:rsidRPr="00F83957">
              <w:rPr>
                <w:sz w:val="16"/>
                <w:szCs w:val="16"/>
              </w:rPr>
              <w:t xml:space="preserve">Bidrag till psykiatri </w:t>
            </w:r>
          </w:p>
        </w:tc>
        <w:tc>
          <w:tcPr>
            <w:tcW w:w="1080"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z w:val="16"/>
                <w:szCs w:val="16"/>
              </w:rPr>
            </w:pPr>
            <w:r w:rsidRPr="00F83957">
              <w:rPr>
                <w:sz w:val="16"/>
                <w:szCs w:val="16"/>
              </w:rPr>
              <w:t>893 471</w:t>
            </w:r>
          </w:p>
        </w:tc>
        <w:tc>
          <w:tcPr>
            <w:tcW w:w="963"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–685</w:t>
            </w:r>
          </w:p>
        </w:tc>
        <w:tc>
          <w:tcPr>
            <w:tcW w:w="669"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892 786</w:t>
            </w:r>
          </w:p>
        </w:tc>
        <w:tc>
          <w:tcPr>
            <w:tcW w:w="892"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685</w:t>
            </w:r>
          </w:p>
        </w:tc>
      </w:tr>
      <w:tr w:rsidR="00000000" w:rsidRPr="00F83957">
        <w:trPr>
          <w:trHeight w:val="242"/>
        </w:trPr>
        <w:tc>
          <w:tcPr>
            <w:tcW w:w="670"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14</w:t>
            </w:r>
          </w:p>
        </w:tc>
        <w:tc>
          <w:tcPr>
            <w:tcW w:w="729"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1:02</w:t>
            </w:r>
          </w:p>
        </w:tc>
        <w:tc>
          <w:tcPr>
            <w:tcW w:w="1121" w:type="dxa"/>
            <w:tcBorders>
              <w:top w:val="nil"/>
              <w:left w:val="nil"/>
              <w:bottom w:val="nil"/>
              <w:right w:val="nil"/>
            </w:tcBorders>
            <w:noWrap/>
            <w:vAlign w:val="bottom"/>
          </w:tcPr>
          <w:p w:rsidR="00B7734C" w:rsidRPr="00F83957" w:rsidRDefault="00B7734C">
            <w:pPr>
              <w:shd w:val="clear" w:color="000000" w:fill="auto"/>
              <w:spacing w:before="60" w:line="200" w:lineRule="exact"/>
              <w:rPr>
                <w:sz w:val="16"/>
                <w:szCs w:val="16"/>
              </w:rPr>
            </w:pPr>
            <w:r w:rsidRPr="00F83957">
              <w:rPr>
                <w:sz w:val="16"/>
                <w:szCs w:val="16"/>
              </w:rPr>
              <w:t>Bidrag till arbets</w:t>
            </w:r>
            <w:r w:rsidRPr="00F83957">
              <w:rPr>
                <w:sz w:val="16"/>
                <w:szCs w:val="16"/>
              </w:rPr>
              <w:softHyphen/>
              <w:t>lös</w:t>
            </w:r>
            <w:r w:rsidRPr="00F83957">
              <w:rPr>
                <w:sz w:val="16"/>
                <w:szCs w:val="16"/>
              </w:rPr>
              <w:softHyphen/>
              <w:t>hetsersättning och aktivitet</w:t>
            </w:r>
            <w:r w:rsidRPr="00F83957">
              <w:rPr>
                <w:sz w:val="16"/>
                <w:szCs w:val="16"/>
              </w:rPr>
              <w:t>s</w:t>
            </w:r>
            <w:r w:rsidRPr="00F83957">
              <w:rPr>
                <w:sz w:val="16"/>
                <w:szCs w:val="16"/>
              </w:rPr>
              <w:t xml:space="preserve">stöd </w:t>
            </w:r>
          </w:p>
        </w:tc>
        <w:tc>
          <w:tcPr>
            <w:tcW w:w="1080"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pacing w:val="-8"/>
                <w:sz w:val="16"/>
                <w:szCs w:val="16"/>
              </w:rPr>
            </w:pPr>
            <w:r w:rsidRPr="00F83957">
              <w:rPr>
                <w:spacing w:val="-8"/>
                <w:sz w:val="16"/>
                <w:szCs w:val="16"/>
              </w:rPr>
              <w:t>27 677 872</w:t>
            </w:r>
          </w:p>
        </w:tc>
        <w:tc>
          <w:tcPr>
            <w:tcW w:w="963" w:type="dxa"/>
            <w:tcBorders>
              <w:top w:val="nil"/>
              <w:left w:val="nil"/>
              <w:bottom w:val="nil"/>
              <w:right w:val="nil"/>
            </w:tcBorders>
            <w:noWrap/>
            <w:vAlign w:val="bottom"/>
          </w:tcPr>
          <w:p w:rsidR="00B7734C" w:rsidRPr="00F83957" w:rsidRDefault="00B7734C">
            <w:pPr>
              <w:shd w:val="clear" w:color="000000" w:fill="auto"/>
              <w:spacing w:before="60" w:line="200" w:lineRule="exact"/>
              <w:ind w:left="-57"/>
              <w:jc w:val="right"/>
              <w:rPr>
                <w:spacing w:val="-10"/>
                <w:sz w:val="16"/>
                <w:szCs w:val="16"/>
              </w:rPr>
            </w:pPr>
            <w:r w:rsidRPr="00F83957">
              <w:rPr>
                <w:spacing w:val="-10"/>
                <w:sz w:val="16"/>
                <w:szCs w:val="16"/>
              </w:rPr>
              <w:t>10 086 000</w:t>
            </w:r>
          </w:p>
        </w:tc>
        <w:tc>
          <w:tcPr>
            <w:tcW w:w="669"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pacing w:val="-10"/>
                <w:sz w:val="16"/>
                <w:szCs w:val="16"/>
              </w:rPr>
            </w:pPr>
            <w:r w:rsidRPr="00F83957">
              <w:rPr>
                <w:spacing w:val="-10"/>
                <w:sz w:val="16"/>
                <w:szCs w:val="16"/>
              </w:rPr>
              <w:t>37 763 872</w:t>
            </w:r>
          </w:p>
        </w:tc>
        <w:tc>
          <w:tcPr>
            <w:tcW w:w="892"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pacing w:val="-10"/>
                <w:sz w:val="16"/>
                <w:szCs w:val="16"/>
              </w:rPr>
            </w:pPr>
            <w:r w:rsidRPr="00F83957">
              <w:rPr>
                <w:spacing w:val="-10"/>
                <w:sz w:val="16"/>
                <w:szCs w:val="16"/>
              </w:rPr>
              <w:t>–1 600 000</w:t>
            </w:r>
          </w:p>
        </w:tc>
      </w:tr>
      <w:tr w:rsidR="00000000" w:rsidRPr="00F83957">
        <w:trPr>
          <w:trHeight w:val="242"/>
        </w:trPr>
        <w:tc>
          <w:tcPr>
            <w:tcW w:w="670"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20</w:t>
            </w:r>
          </w:p>
        </w:tc>
        <w:tc>
          <w:tcPr>
            <w:tcW w:w="729"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1:02</w:t>
            </w:r>
          </w:p>
        </w:tc>
        <w:tc>
          <w:tcPr>
            <w:tcW w:w="1121" w:type="dxa"/>
            <w:tcBorders>
              <w:top w:val="nil"/>
              <w:left w:val="nil"/>
              <w:bottom w:val="nil"/>
              <w:right w:val="nil"/>
            </w:tcBorders>
            <w:noWrap/>
          </w:tcPr>
          <w:p w:rsidR="00B7734C" w:rsidRPr="00F83957" w:rsidRDefault="00B7734C">
            <w:pPr>
              <w:shd w:val="clear" w:color="000000" w:fill="auto"/>
              <w:spacing w:before="60" w:line="200" w:lineRule="exact"/>
              <w:rPr>
                <w:sz w:val="16"/>
                <w:szCs w:val="16"/>
              </w:rPr>
            </w:pPr>
            <w:r w:rsidRPr="00F83957">
              <w:rPr>
                <w:sz w:val="16"/>
                <w:szCs w:val="16"/>
              </w:rPr>
              <w:t>Miljööverva</w:t>
            </w:r>
            <w:r w:rsidRPr="00F83957">
              <w:rPr>
                <w:sz w:val="16"/>
                <w:szCs w:val="16"/>
              </w:rPr>
              <w:t>k</w:t>
            </w:r>
            <w:r w:rsidRPr="00F83957">
              <w:rPr>
                <w:sz w:val="16"/>
                <w:szCs w:val="16"/>
              </w:rPr>
              <w:t xml:space="preserve">ning m.m. </w:t>
            </w:r>
          </w:p>
        </w:tc>
        <w:tc>
          <w:tcPr>
            <w:tcW w:w="1080"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z w:val="16"/>
                <w:szCs w:val="16"/>
              </w:rPr>
            </w:pPr>
            <w:r w:rsidRPr="00F83957">
              <w:rPr>
                <w:sz w:val="16"/>
                <w:szCs w:val="16"/>
              </w:rPr>
              <w:t>308 856</w:t>
            </w:r>
          </w:p>
        </w:tc>
        <w:tc>
          <w:tcPr>
            <w:tcW w:w="963"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–2 000</w:t>
            </w:r>
          </w:p>
        </w:tc>
        <w:tc>
          <w:tcPr>
            <w:tcW w:w="669"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306 856</w:t>
            </w:r>
          </w:p>
        </w:tc>
        <w:tc>
          <w:tcPr>
            <w:tcW w:w="892"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2 000</w:t>
            </w:r>
          </w:p>
        </w:tc>
      </w:tr>
      <w:tr w:rsidR="00000000" w:rsidRPr="00F83957">
        <w:trPr>
          <w:trHeight w:val="242"/>
        </w:trPr>
        <w:tc>
          <w:tcPr>
            <w:tcW w:w="670"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20</w:t>
            </w:r>
          </w:p>
        </w:tc>
        <w:tc>
          <w:tcPr>
            <w:tcW w:w="729"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1:04</w:t>
            </w:r>
          </w:p>
        </w:tc>
        <w:tc>
          <w:tcPr>
            <w:tcW w:w="1121" w:type="dxa"/>
            <w:tcBorders>
              <w:top w:val="nil"/>
              <w:left w:val="nil"/>
              <w:bottom w:val="nil"/>
              <w:right w:val="nil"/>
            </w:tcBorders>
            <w:noWrap/>
            <w:vAlign w:val="bottom"/>
          </w:tcPr>
          <w:p w:rsidR="00B7734C" w:rsidRPr="00F83957" w:rsidRDefault="00B7734C">
            <w:pPr>
              <w:shd w:val="clear" w:color="000000" w:fill="auto"/>
              <w:spacing w:before="60" w:line="200" w:lineRule="exact"/>
              <w:rPr>
                <w:sz w:val="16"/>
                <w:szCs w:val="16"/>
              </w:rPr>
            </w:pPr>
            <w:r w:rsidRPr="00F83957">
              <w:rPr>
                <w:sz w:val="16"/>
                <w:szCs w:val="16"/>
              </w:rPr>
              <w:t>Sanering och åter</w:t>
            </w:r>
            <w:r w:rsidRPr="00F83957">
              <w:rPr>
                <w:sz w:val="16"/>
                <w:szCs w:val="16"/>
              </w:rPr>
              <w:softHyphen/>
              <w:t>ställning av förore</w:t>
            </w:r>
            <w:r w:rsidRPr="00F83957">
              <w:rPr>
                <w:sz w:val="16"/>
                <w:szCs w:val="16"/>
              </w:rPr>
              <w:softHyphen/>
              <w:t xml:space="preserve">nade områden </w:t>
            </w:r>
          </w:p>
        </w:tc>
        <w:tc>
          <w:tcPr>
            <w:tcW w:w="1080"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z w:val="16"/>
                <w:szCs w:val="16"/>
              </w:rPr>
            </w:pPr>
            <w:r w:rsidRPr="00F83957">
              <w:rPr>
                <w:sz w:val="16"/>
                <w:szCs w:val="16"/>
              </w:rPr>
              <w:t>539 973</w:t>
            </w:r>
          </w:p>
        </w:tc>
        <w:tc>
          <w:tcPr>
            <w:tcW w:w="963"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–15 000</w:t>
            </w:r>
          </w:p>
        </w:tc>
        <w:tc>
          <w:tcPr>
            <w:tcW w:w="669"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524 973</w:t>
            </w:r>
          </w:p>
        </w:tc>
        <w:tc>
          <w:tcPr>
            <w:tcW w:w="892"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z w:val="16"/>
                <w:szCs w:val="16"/>
              </w:rPr>
            </w:pPr>
            <w:r w:rsidRPr="00F83957">
              <w:rPr>
                <w:sz w:val="16"/>
                <w:szCs w:val="16"/>
              </w:rPr>
              <w:t>15 000</w:t>
            </w:r>
          </w:p>
        </w:tc>
      </w:tr>
      <w:tr w:rsidR="00000000" w:rsidRPr="00F83957">
        <w:trPr>
          <w:trHeight w:val="242"/>
        </w:trPr>
        <w:tc>
          <w:tcPr>
            <w:tcW w:w="670"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25</w:t>
            </w:r>
          </w:p>
        </w:tc>
        <w:tc>
          <w:tcPr>
            <w:tcW w:w="729" w:type="dxa"/>
            <w:tcBorders>
              <w:top w:val="nil"/>
              <w:left w:val="nil"/>
              <w:bottom w:val="nil"/>
              <w:right w:val="nil"/>
            </w:tcBorders>
            <w:noWrap/>
          </w:tcPr>
          <w:p w:rsidR="00B7734C" w:rsidRPr="00F83957" w:rsidRDefault="00B7734C">
            <w:pPr>
              <w:shd w:val="clear" w:color="000000" w:fill="auto"/>
              <w:spacing w:before="60" w:line="200" w:lineRule="exact"/>
              <w:jc w:val="right"/>
              <w:rPr>
                <w:sz w:val="16"/>
                <w:szCs w:val="16"/>
              </w:rPr>
            </w:pPr>
            <w:r w:rsidRPr="00F83957">
              <w:rPr>
                <w:sz w:val="16"/>
                <w:szCs w:val="16"/>
              </w:rPr>
              <w:t>1:01</w:t>
            </w:r>
          </w:p>
        </w:tc>
        <w:tc>
          <w:tcPr>
            <w:tcW w:w="1121" w:type="dxa"/>
            <w:tcBorders>
              <w:top w:val="nil"/>
              <w:left w:val="nil"/>
              <w:bottom w:val="nil"/>
              <w:right w:val="nil"/>
            </w:tcBorders>
            <w:noWrap/>
            <w:vAlign w:val="bottom"/>
          </w:tcPr>
          <w:p w:rsidR="00B7734C" w:rsidRPr="00F83957" w:rsidRDefault="00B7734C">
            <w:pPr>
              <w:shd w:val="clear" w:color="000000" w:fill="auto"/>
              <w:spacing w:before="60" w:line="200" w:lineRule="exact"/>
              <w:rPr>
                <w:sz w:val="16"/>
                <w:szCs w:val="16"/>
              </w:rPr>
            </w:pPr>
            <w:r w:rsidRPr="00F83957">
              <w:rPr>
                <w:sz w:val="16"/>
                <w:szCs w:val="16"/>
              </w:rPr>
              <w:t xml:space="preserve">Allmänna bidrag till kommuner </w:t>
            </w:r>
          </w:p>
        </w:tc>
        <w:tc>
          <w:tcPr>
            <w:tcW w:w="1080"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pacing w:val="-6"/>
                <w:sz w:val="16"/>
                <w:szCs w:val="16"/>
              </w:rPr>
            </w:pPr>
            <w:r w:rsidRPr="00F83957">
              <w:rPr>
                <w:spacing w:val="-6"/>
                <w:sz w:val="16"/>
                <w:szCs w:val="16"/>
              </w:rPr>
              <w:t>67 039 055</w:t>
            </w:r>
          </w:p>
        </w:tc>
        <w:tc>
          <w:tcPr>
            <w:tcW w:w="963" w:type="dxa"/>
            <w:tcBorders>
              <w:top w:val="nil"/>
              <w:left w:val="nil"/>
              <w:bottom w:val="nil"/>
              <w:right w:val="nil"/>
            </w:tcBorders>
            <w:noWrap/>
            <w:vAlign w:val="bottom"/>
          </w:tcPr>
          <w:p w:rsidR="00B7734C" w:rsidRPr="00F83957" w:rsidRDefault="00B7734C">
            <w:pPr>
              <w:shd w:val="clear" w:color="000000" w:fill="auto"/>
              <w:spacing w:before="60" w:line="200" w:lineRule="exact"/>
              <w:jc w:val="right"/>
              <w:rPr>
                <w:spacing w:val="-8"/>
                <w:sz w:val="16"/>
                <w:szCs w:val="16"/>
              </w:rPr>
            </w:pPr>
            <w:r w:rsidRPr="00F83957">
              <w:rPr>
                <w:spacing w:val="-8"/>
                <w:sz w:val="16"/>
                <w:szCs w:val="16"/>
              </w:rPr>
              <w:t>7 000 000</w:t>
            </w:r>
          </w:p>
        </w:tc>
        <w:tc>
          <w:tcPr>
            <w:tcW w:w="669" w:type="dxa"/>
            <w:tcBorders>
              <w:top w:val="nil"/>
              <w:left w:val="nil"/>
              <w:bottom w:val="nil"/>
              <w:right w:val="nil"/>
            </w:tcBorders>
            <w:noWrap/>
            <w:vAlign w:val="bottom"/>
          </w:tcPr>
          <w:p w:rsidR="00B7734C" w:rsidRPr="00F83957" w:rsidRDefault="00B7734C">
            <w:pPr>
              <w:shd w:val="clear" w:color="000000" w:fill="auto"/>
              <w:spacing w:before="60" w:line="200" w:lineRule="exact"/>
              <w:ind w:left="-113" w:right="-57"/>
              <w:jc w:val="right"/>
              <w:rPr>
                <w:spacing w:val="-6"/>
                <w:sz w:val="16"/>
                <w:szCs w:val="16"/>
              </w:rPr>
            </w:pPr>
            <w:r w:rsidRPr="00F83957">
              <w:rPr>
                <w:spacing w:val="-6"/>
                <w:sz w:val="16"/>
                <w:szCs w:val="16"/>
              </w:rPr>
              <w:t>74 039 055</w:t>
            </w:r>
          </w:p>
        </w:tc>
        <w:tc>
          <w:tcPr>
            <w:tcW w:w="892" w:type="dxa"/>
            <w:tcBorders>
              <w:top w:val="nil"/>
              <w:left w:val="nil"/>
              <w:bottom w:val="nil"/>
              <w:right w:val="nil"/>
            </w:tcBorders>
            <w:noWrap/>
            <w:vAlign w:val="bottom"/>
          </w:tcPr>
          <w:p w:rsidR="00B7734C" w:rsidRPr="00F83957" w:rsidRDefault="00B7734C">
            <w:pPr>
              <w:shd w:val="clear" w:color="000000" w:fill="auto"/>
              <w:spacing w:before="60" w:line="200" w:lineRule="exact"/>
              <w:ind w:left="-57"/>
              <w:jc w:val="right"/>
              <w:rPr>
                <w:spacing w:val="-6"/>
                <w:sz w:val="16"/>
                <w:szCs w:val="16"/>
              </w:rPr>
            </w:pPr>
            <w:r w:rsidRPr="00F83957">
              <w:rPr>
                <w:spacing w:val="-6"/>
                <w:sz w:val="16"/>
                <w:szCs w:val="16"/>
              </w:rPr>
              <w:t>–2 000 000</w:t>
            </w:r>
          </w:p>
        </w:tc>
      </w:tr>
      <w:tr w:rsidR="00000000" w:rsidRPr="00F83957">
        <w:trPr>
          <w:trHeight w:val="258"/>
        </w:trPr>
        <w:tc>
          <w:tcPr>
            <w:tcW w:w="670" w:type="dxa"/>
            <w:tcBorders>
              <w:top w:val="nil"/>
              <w:left w:val="nil"/>
              <w:bottom w:val="single" w:sz="8" w:space="0" w:color="auto"/>
              <w:right w:val="nil"/>
            </w:tcBorders>
            <w:noWrap/>
            <w:vAlign w:val="bottom"/>
          </w:tcPr>
          <w:p w:rsidR="00B7734C" w:rsidRPr="00F83957" w:rsidRDefault="00B7734C">
            <w:pPr>
              <w:shd w:val="clear" w:color="000000" w:fill="auto"/>
              <w:spacing w:before="60" w:line="200" w:lineRule="exact"/>
              <w:ind w:left="-57" w:right="-57"/>
              <w:rPr>
                <w:b/>
                <w:iCs/>
                <w:spacing w:val="-4"/>
                <w:sz w:val="16"/>
                <w:szCs w:val="16"/>
              </w:rPr>
            </w:pPr>
            <w:r w:rsidRPr="00F83957">
              <w:rPr>
                <w:b/>
                <w:iCs/>
                <w:spacing w:val="-4"/>
                <w:sz w:val="16"/>
                <w:szCs w:val="16"/>
              </w:rPr>
              <w:t>Summa:</w:t>
            </w:r>
          </w:p>
        </w:tc>
        <w:tc>
          <w:tcPr>
            <w:tcW w:w="729" w:type="dxa"/>
            <w:tcBorders>
              <w:top w:val="nil"/>
              <w:left w:val="nil"/>
              <w:bottom w:val="single" w:sz="8" w:space="0" w:color="auto"/>
              <w:right w:val="nil"/>
            </w:tcBorders>
            <w:noWrap/>
            <w:vAlign w:val="bottom"/>
          </w:tcPr>
          <w:p w:rsidR="00B7734C" w:rsidRPr="00F83957" w:rsidRDefault="00B7734C">
            <w:pPr>
              <w:shd w:val="clear" w:color="000000" w:fill="auto"/>
              <w:spacing w:before="60" w:line="200" w:lineRule="exact"/>
              <w:ind w:left="-57"/>
              <w:rPr>
                <w:b/>
                <w:iCs/>
                <w:sz w:val="16"/>
                <w:szCs w:val="16"/>
              </w:rPr>
            </w:pPr>
            <w:r w:rsidRPr="00F83957">
              <w:rPr>
                <w:b/>
                <w:iCs/>
                <w:sz w:val="16"/>
                <w:szCs w:val="16"/>
              </w:rPr>
              <w:t> </w:t>
            </w:r>
          </w:p>
        </w:tc>
        <w:tc>
          <w:tcPr>
            <w:tcW w:w="1121" w:type="dxa"/>
            <w:tcBorders>
              <w:top w:val="nil"/>
              <w:left w:val="nil"/>
              <w:bottom w:val="single" w:sz="8" w:space="0" w:color="auto"/>
              <w:right w:val="nil"/>
            </w:tcBorders>
            <w:noWrap/>
            <w:vAlign w:val="bottom"/>
          </w:tcPr>
          <w:p w:rsidR="00B7734C" w:rsidRPr="00F83957" w:rsidRDefault="00B7734C">
            <w:pPr>
              <w:shd w:val="clear" w:color="000000" w:fill="auto"/>
              <w:spacing w:before="60" w:line="200" w:lineRule="exact"/>
              <w:rPr>
                <w:b/>
                <w:iCs/>
                <w:sz w:val="16"/>
                <w:szCs w:val="16"/>
              </w:rPr>
            </w:pPr>
            <w:r w:rsidRPr="00F83957">
              <w:rPr>
                <w:b/>
                <w:iCs/>
                <w:sz w:val="16"/>
                <w:szCs w:val="16"/>
              </w:rPr>
              <w:t> </w:t>
            </w:r>
          </w:p>
        </w:tc>
        <w:tc>
          <w:tcPr>
            <w:tcW w:w="1080" w:type="dxa"/>
            <w:tcBorders>
              <w:top w:val="nil"/>
              <w:left w:val="nil"/>
              <w:bottom w:val="single" w:sz="8" w:space="0" w:color="auto"/>
              <w:right w:val="nil"/>
            </w:tcBorders>
            <w:noWrap/>
            <w:vAlign w:val="bottom"/>
          </w:tcPr>
          <w:p w:rsidR="00B7734C" w:rsidRPr="00F83957" w:rsidRDefault="00B7734C">
            <w:pPr>
              <w:shd w:val="clear" w:color="000000" w:fill="auto"/>
              <w:spacing w:before="60" w:line="200" w:lineRule="exact"/>
              <w:rPr>
                <w:b/>
                <w:iCs/>
                <w:sz w:val="16"/>
                <w:szCs w:val="16"/>
              </w:rPr>
            </w:pPr>
            <w:r w:rsidRPr="00F83957">
              <w:rPr>
                <w:b/>
                <w:iCs/>
                <w:sz w:val="16"/>
                <w:szCs w:val="16"/>
              </w:rPr>
              <w:t> </w:t>
            </w:r>
          </w:p>
        </w:tc>
        <w:tc>
          <w:tcPr>
            <w:tcW w:w="963" w:type="dxa"/>
            <w:tcBorders>
              <w:top w:val="nil"/>
              <w:left w:val="nil"/>
              <w:bottom w:val="single" w:sz="8" w:space="0" w:color="auto"/>
              <w:right w:val="nil"/>
            </w:tcBorders>
            <w:noWrap/>
            <w:vAlign w:val="bottom"/>
          </w:tcPr>
          <w:p w:rsidR="00B7734C" w:rsidRPr="00F83957" w:rsidRDefault="00B7734C">
            <w:pPr>
              <w:shd w:val="clear" w:color="000000" w:fill="auto"/>
              <w:spacing w:before="60" w:line="200" w:lineRule="exact"/>
              <w:rPr>
                <w:b/>
                <w:iCs/>
                <w:sz w:val="16"/>
                <w:szCs w:val="16"/>
              </w:rPr>
            </w:pPr>
            <w:r w:rsidRPr="00F83957">
              <w:rPr>
                <w:b/>
                <w:iCs/>
                <w:sz w:val="16"/>
                <w:szCs w:val="16"/>
              </w:rPr>
              <w:t> </w:t>
            </w:r>
          </w:p>
        </w:tc>
        <w:tc>
          <w:tcPr>
            <w:tcW w:w="669" w:type="dxa"/>
            <w:tcBorders>
              <w:top w:val="nil"/>
              <w:left w:val="nil"/>
              <w:bottom w:val="single" w:sz="8" w:space="0" w:color="auto"/>
              <w:right w:val="nil"/>
            </w:tcBorders>
            <w:noWrap/>
            <w:vAlign w:val="bottom"/>
          </w:tcPr>
          <w:p w:rsidR="00B7734C" w:rsidRPr="00F83957" w:rsidRDefault="00B7734C">
            <w:pPr>
              <w:shd w:val="clear" w:color="000000" w:fill="auto"/>
              <w:spacing w:before="60" w:line="200" w:lineRule="exact"/>
              <w:rPr>
                <w:b/>
                <w:iCs/>
                <w:sz w:val="16"/>
                <w:szCs w:val="16"/>
              </w:rPr>
            </w:pPr>
          </w:p>
        </w:tc>
        <w:tc>
          <w:tcPr>
            <w:tcW w:w="892" w:type="dxa"/>
            <w:tcBorders>
              <w:top w:val="nil"/>
              <w:left w:val="nil"/>
              <w:bottom w:val="single" w:sz="8" w:space="0" w:color="auto"/>
              <w:right w:val="nil"/>
            </w:tcBorders>
            <w:noWrap/>
            <w:vAlign w:val="bottom"/>
          </w:tcPr>
          <w:p w:rsidR="00B7734C" w:rsidRPr="00F83957" w:rsidRDefault="00B7734C">
            <w:pPr>
              <w:shd w:val="clear" w:color="000000" w:fill="auto"/>
              <w:spacing w:before="60" w:line="200" w:lineRule="exact"/>
              <w:ind w:left="-57"/>
              <w:jc w:val="right"/>
              <w:rPr>
                <w:b/>
                <w:iCs/>
                <w:spacing w:val="-6"/>
                <w:sz w:val="16"/>
                <w:szCs w:val="16"/>
              </w:rPr>
            </w:pPr>
            <w:r w:rsidRPr="00F83957">
              <w:rPr>
                <w:b/>
                <w:iCs/>
                <w:spacing w:val="-6"/>
                <w:sz w:val="16"/>
                <w:szCs w:val="16"/>
              </w:rPr>
              <w:t>–3 585 615</w:t>
            </w:r>
          </w:p>
        </w:tc>
      </w:tr>
    </w:tbl>
    <w:p w:rsidR="00B7734C" w:rsidRPr="00F83957" w:rsidRDefault="00B7734C">
      <w:pPr>
        <w:shd w:val="clear" w:color="000000" w:fill="auto"/>
      </w:pPr>
    </w:p>
    <w:p w:rsidR="00B7734C" w:rsidRPr="00F83957" w:rsidRDefault="00B7734C">
      <w:pPr>
        <w:pStyle w:val="Rubrik1"/>
        <w:shd w:val="clear" w:color="000000" w:fill="auto"/>
      </w:pPr>
      <w:r w:rsidRPr="00F83957">
        <w:lastRenderedPageBreak/>
        <w:t>Inledning</w:t>
      </w:r>
    </w:p>
    <w:p w:rsidR="00B7734C" w:rsidRPr="00F83957" w:rsidRDefault="00B7734C">
      <w:pPr>
        <w:shd w:val="clear" w:color="000000" w:fill="auto"/>
      </w:pPr>
      <w:r w:rsidRPr="00F83957">
        <w:t>Miljöpartiets ekonomiska politik för 2009 presenteras i vår motion på rege</w:t>
      </w:r>
      <w:r w:rsidRPr="00F83957">
        <w:t>r</w:t>
      </w:r>
      <w:r w:rsidRPr="00F83957">
        <w:t>ingens ekonomiska vårproposition (proposition 2008/09:100). Vi hänvisar läsare till den för förståelse för vår ekonomiska politik och de ändringsförslag som presenteras i den här motionen. Ordningen för budgetbehandlingen i riksdagen medför att vi inte kan lägga konkreta ändringsförslag på tillägg</w:t>
      </w:r>
      <w:r w:rsidRPr="00F83957">
        <w:t>s</w:t>
      </w:r>
      <w:r w:rsidRPr="00F83957">
        <w:t xml:space="preserve">budgeten utanför de anslag och utgiftsområden där regeringen gör ändringar, varför vi valt att i stället presentera vår alternativa politik för 2009 i motionen på den ekonomiska vårpropositionen. </w:t>
      </w:r>
    </w:p>
    <w:p w:rsidR="00B7734C" w:rsidRPr="00F83957" w:rsidRDefault="00B7734C">
      <w:pPr>
        <w:pStyle w:val="Normaltindrag"/>
        <w:shd w:val="clear" w:color="000000" w:fill="auto"/>
      </w:pPr>
      <w:r w:rsidRPr="00F83957">
        <w:t>Här presenteras</w:t>
      </w:r>
      <w:r w:rsidRPr="00F83957">
        <w:t xml:space="preserve"> endast de avslagsyrkanden vi har på den tilläggsbudget (proposition 2008/09:99) som regeringen presenterat i samband med den ekonomiska vårpropositionen. </w:t>
      </w:r>
    </w:p>
    <w:p w:rsidR="00B7734C" w:rsidRPr="00F83957" w:rsidRDefault="00B7734C">
      <w:pPr>
        <w:pStyle w:val="Rubrik1"/>
        <w:shd w:val="clear" w:color="000000" w:fill="auto"/>
      </w:pPr>
      <w:r w:rsidRPr="00F83957">
        <w:t>Utgiftsområde 1</w:t>
      </w:r>
    </w:p>
    <w:p w:rsidR="00B7734C" w:rsidRPr="00F83957" w:rsidRDefault="00B7734C">
      <w:pPr>
        <w:shd w:val="clear" w:color="000000" w:fill="auto"/>
      </w:pPr>
      <w:r w:rsidRPr="00F83957">
        <w:t>Den stora ökningen av utgifterna på 81 miljoner kronor, som regeringen för</w:t>
      </w:r>
      <w:r w:rsidRPr="00F83957">
        <w:t>e</w:t>
      </w:r>
      <w:r w:rsidRPr="00F83957">
        <w:t>slår, avseende Sveriges ordförandeskap som följd av händelser i omvärlden kan inte motivera att hela den summan ska leda till anslagsökning. De ökade behoven borde leda till omprioriteringar, och vi föreslår därför en minskning på 40 miljoner kronor jämfört med regeringens förslag.</w:t>
      </w:r>
    </w:p>
    <w:p w:rsidR="00B7734C" w:rsidRPr="00F83957" w:rsidRDefault="00B7734C">
      <w:pPr>
        <w:pStyle w:val="Normaltindrag"/>
        <w:shd w:val="clear" w:color="000000" w:fill="auto"/>
      </w:pPr>
      <w:r w:rsidRPr="00F83957">
        <w:t>Regeringen föreslår en minskning av anslag 3:1 som går till Sametinget på 5 miljoner kronor. Regeringen visar inte på vilka konsekvenser detta kommer att få för Sametingets verksamhet. Sametingets verksamhet är viktig och när re</w:t>
      </w:r>
      <w:r w:rsidRPr="00F83957">
        <w:t>geringen inte kan påvisa att det finns något skäl till neddragningen så avv</w:t>
      </w:r>
      <w:r w:rsidRPr="00F83957">
        <w:t>i</w:t>
      </w:r>
      <w:r w:rsidRPr="00F83957">
        <w:t xml:space="preserve">sar vi detta. </w:t>
      </w:r>
    </w:p>
    <w:p w:rsidR="00B7734C" w:rsidRPr="00F83957" w:rsidRDefault="00B7734C">
      <w:pPr>
        <w:pStyle w:val="Rubrik1"/>
        <w:shd w:val="clear" w:color="000000" w:fill="auto"/>
      </w:pPr>
      <w:r w:rsidRPr="00F83957">
        <w:t>Utgiftsområde 6</w:t>
      </w:r>
    </w:p>
    <w:p w:rsidR="00B7734C" w:rsidRPr="00F83957" w:rsidRDefault="00B7734C">
      <w:pPr>
        <w:shd w:val="clear" w:color="000000" w:fill="auto"/>
      </w:pPr>
      <w:r w:rsidRPr="00F83957">
        <w:t xml:space="preserve">Miljöpartiet har röstat emot FRA-lagstiftningen. Vi anser inte att de ska ha utökade möjligheter att bedriva sin verksamhet och anser därmed inte heller att det finns något behov av att tillföra ytterligare medel. </w:t>
      </w:r>
    </w:p>
    <w:p w:rsidR="00B7734C" w:rsidRPr="00F83957" w:rsidRDefault="00B7734C">
      <w:pPr>
        <w:pStyle w:val="Rubrik1"/>
        <w:shd w:val="clear" w:color="000000" w:fill="auto"/>
      </w:pPr>
      <w:r w:rsidRPr="00F83957">
        <w:t>Utgiftsområde 9</w:t>
      </w:r>
    </w:p>
    <w:p w:rsidR="00B7734C" w:rsidRPr="00F83957" w:rsidRDefault="00B7734C">
      <w:pPr>
        <w:shd w:val="clear" w:color="000000" w:fill="auto"/>
      </w:pPr>
      <w:r w:rsidRPr="00F83957">
        <w:t>Miljöpartiet avvisar neddragningen av anslaget Bidrag till psykiatrin. Rege</w:t>
      </w:r>
      <w:r w:rsidRPr="00F83957">
        <w:t>r</w:t>
      </w:r>
      <w:r w:rsidRPr="00F83957">
        <w:t>ingen motiverar inte neddragningen. Behoven inom psykiatrin är mycket stora, och vi ser därför inga möjligheter att minska dessa anslag.</w:t>
      </w:r>
    </w:p>
    <w:p w:rsidR="00B7734C" w:rsidRPr="00F83957" w:rsidRDefault="00B7734C">
      <w:pPr>
        <w:pStyle w:val="Rubrik1"/>
        <w:shd w:val="clear" w:color="000000" w:fill="auto"/>
      </w:pPr>
      <w:r w:rsidRPr="00F83957">
        <w:t>Utgiftsområde 14</w:t>
      </w:r>
    </w:p>
    <w:p w:rsidR="00B7734C" w:rsidRPr="00F83957" w:rsidRDefault="00B7734C">
      <w:pPr>
        <w:shd w:val="clear" w:color="000000" w:fill="auto"/>
      </w:pPr>
      <w:r w:rsidRPr="00F83957">
        <w:t>Miljöpartiet har för 2009 presenterat en annan jobbpolitik än regeringen. Vår politik med mer aktiva åtgärder för minskad arbetslöshet medför mindre kos</w:t>
      </w:r>
      <w:r w:rsidRPr="00F83957">
        <w:t>t</w:t>
      </w:r>
      <w:r w:rsidRPr="00F83957">
        <w:t>nader för arbetslöshetsförsäkringen och aktivitetsstöd. I den här motionen redovisas effekten för det kommande halvåret. I vår motion på den ekonomi</w:t>
      </w:r>
      <w:r w:rsidRPr="00F83957">
        <w:t>s</w:t>
      </w:r>
      <w:r w:rsidRPr="00F83957">
        <w:t>ka vårpropositionen redovisas helårseffekt för att tydliggöra skillnaderna mellan regeringens och Miljöpartiets politik. Ytterligare motivering och fö</w:t>
      </w:r>
      <w:r w:rsidRPr="00F83957">
        <w:t>r</w:t>
      </w:r>
      <w:r w:rsidRPr="00F83957">
        <w:t>klaring till vår politik återfinns i vår motion på den ekonomiska vårpropos</w:t>
      </w:r>
      <w:r w:rsidRPr="00F83957">
        <w:t>i</w:t>
      </w:r>
      <w:r w:rsidRPr="00F83957">
        <w:t xml:space="preserve">tionen. </w:t>
      </w:r>
    </w:p>
    <w:p w:rsidR="00B7734C" w:rsidRPr="00F83957" w:rsidRDefault="00B7734C">
      <w:pPr>
        <w:pStyle w:val="Rubrik1"/>
        <w:shd w:val="clear" w:color="000000" w:fill="auto"/>
      </w:pPr>
      <w:r w:rsidRPr="00F83957">
        <w:t>Utgiftsområde 20</w:t>
      </w:r>
    </w:p>
    <w:p w:rsidR="00B7734C" w:rsidRPr="00F83957" w:rsidRDefault="00B7734C">
      <w:pPr>
        <w:pStyle w:val="Rubrik2"/>
        <w:shd w:val="clear" w:color="000000" w:fill="auto"/>
        <w:spacing w:before="125"/>
      </w:pPr>
      <w:r w:rsidRPr="00F83957">
        <w:t>Anslag för sanering av förorenade områden</w:t>
      </w:r>
    </w:p>
    <w:p w:rsidR="00B7734C" w:rsidRPr="00F83957" w:rsidRDefault="00B7734C">
      <w:pPr>
        <w:shd w:val="clear" w:color="000000" w:fill="auto"/>
      </w:pPr>
      <w:r w:rsidRPr="00F83957">
        <w:t>Regeringen konstaterade i budgetpropositionen för 2008 att antalet förorenade områden är betydligt större än vad man tidigare trott. Nuvarande takt i arbetet med sanering av förorenade områden räcker inte för att nå miljömålen. Ändå föreslog man en neddragning av anslaget från 507 till 455 miljoner kronor 2008. Regeringen medgav att detta kommer att ytterligare försena uppfylla</w:t>
      </w:r>
      <w:r w:rsidRPr="00F83957">
        <w:t>n</w:t>
      </w:r>
      <w:r w:rsidRPr="00F83957">
        <w:t xml:space="preserve">det av miljömålet. Man aviserade därför att anslaget kommer att återställas i framtiden. I tilläggsbudgeten 2008 minskades dock anslaget ytterligare. </w:t>
      </w:r>
    </w:p>
    <w:p w:rsidR="00B7734C" w:rsidRPr="00F83957" w:rsidRDefault="00B7734C">
      <w:pPr>
        <w:pStyle w:val="Normaltindrag"/>
        <w:shd w:val="clear" w:color="000000" w:fill="auto"/>
      </w:pPr>
      <w:r w:rsidRPr="00F83957">
        <w:t>Regeringen föreslår nu i tilläggsbudgeten ännu en neddragning för att f</w:t>
      </w:r>
      <w:r w:rsidRPr="00F83957">
        <w:t>i</w:t>
      </w:r>
      <w:r w:rsidRPr="00F83957">
        <w:t>nansiera andra verksamheter. Regeringens ständiga förändringar av anslaget för sanering av förorenade områden är mycket problematiskt och skapar mycket dåliga planerings</w:t>
      </w:r>
      <w:r w:rsidRPr="00F83957">
        <w:softHyphen/>
        <w:t xml:space="preserve">förutsättningar för kommuner och privata aktörer som jobbar med sanering. </w:t>
      </w:r>
    </w:p>
    <w:p w:rsidR="00B7734C" w:rsidRPr="00F83957" w:rsidRDefault="00B7734C">
      <w:pPr>
        <w:pStyle w:val="Normaltindrag"/>
        <w:shd w:val="clear" w:color="000000" w:fill="auto"/>
      </w:pPr>
      <w:r w:rsidRPr="00F83957">
        <w:t>Utöver dåliga planeringsförutsättningar står delar av saneringsarbetet des</w:t>
      </w:r>
      <w:r w:rsidRPr="00F83957">
        <w:t>s</w:t>
      </w:r>
      <w:r w:rsidRPr="00F83957">
        <w:t>utom still på grund av en förväntad förordningsändring gällande kommune</w:t>
      </w:r>
      <w:r w:rsidRPr="00F83957">
        <w:t>r</w:t>
      </w:r>
      <w:r w:rsidRPr="00F83957">
        <w:t>nas medfinansieringsansvar. Detta är särskilt allvarligt i ett läge där komm</w:t>
      </w:r>
      <w:r w:rsidRPr="00F83957">
        <w:t>u</w:t>
      </w:r>
      <w:r w:rsidRPr="00F83957">
        <w:t xml:space="preserve">nernas ansträngda ekonomiska situation gör att gällande prioriteringar ses över. Miljöpartiet menar att regeringen genast bör åtgärda detta genom att sluta justera i anslaget och ge ett tydligt besked om medfinansieringsfrågan. </w:t>
      </w:r>
    </w:p>
    <w:p w:rsidR="00B7734C" w:rsidRPr="00F83957" w:rsidRDefault="00B7734C">
      <w:pPr>
        <w:pStyle w:val="Rubrik2"/>
        <w:shd w:val="clear" w:color="000000" w:fill="auto"/>
      </w:pPr>
      <w:r w:rsidRPr="00F83957">
        <w:t>Miljöövervakning</w:t>
      </w:r>
    </w:p>
    <w:p w:rsidR="00B7734C" w:rsidRPr="00F83957" w:rsidRDefault="00B7734C">
      <w:pPr>
        <w:shd w:val="clear" w:color="000000" w:fill="auto"/>
      </w:pPr>
      <w:r w:rsidRPr="00F83957">
        <w:t>Regeringen föreslår att anslagen till miljöövervakningen minskas med 2 mi</w:t>
      </w:r>
      <w:r w:rsidRPr="00F83957">
        <w:t>l</w:t>
      </w:r>
      <w:r w:rsidRPr="00F83957">
        <w:t xml:space="preserve">joner kronor. </w:t>
      </w:r>
    </w:p>
    <w:p w:rsidR="00B7734C" w:rsidRPr="00F83957" w:rsidRDefault="00B7734C">
      <w:pPr>
        <w:pStyle w:val="Normaltindrag"/>
        <w:shd w:val="clear" w:color="000000" w:fill="auto"/>
      </w:pPr>
      <w:r w:rsidRPr="00F83957">
        <w:t>Informationen från miljöövervakningen är av central betydelse för att följa upp utvecklingen av miljötillståndet. Den är därmed också en viktig del av underlaget för beslut om åtgärder. Vi ser inga möjligheter att minska anslagen på detta område.</w:t>
      </w:r>
    </w:p>
    <w:p w:rsidR="00B7734C" w:rsidRPr="00F83957" w:rsidRDefault="00B7734C">
      <w:pPr>
        <w:pStyle w:val="Rubrik1"/>
        <w:shd w:val="clear" w:color="000000" w:fill="auto"/>
      </w:pPr>
      <w:r w:rsidRPr="00F83957">
        <w:t>Utgiftsområde 23</w:t>
      </w:r>
    </w:p>
    <w:p w:rsidR="00B7734C" w:rsidRPr="00F83957" w:rsidRDefault="00B7734C">
      <w:pPr>
        <w:shd w:val="clear" w:color="000000" w:fill="auto"/>
      </w:pPr>
      <w:r w:rsidRPr="00F83957">
        <w:t>Regeringen föreslår en neddragning på 71 miljoner på anslag 1:23 Åtgärder för landsbygdens miljö och struktur. Medlen används för att finansiera vissa kostnader på anslag 1:13. Miljöpartiet accepterar denna förändring men vi hoppas att neddragningen av medlen till landsbygdsprogrammet genomförs på så sätt att det inte äventyrar möjligheterna att nå miljömålen.</w:t>
      </w:r>
    </w:p>
    <w:p w:rsidR="00B7734C" w:rsidRPr="00F83957" w:rsidRDefault="00B7734C">
      <w:pPr>
        <w:pStyle w:val="Rubrik1"/>
        <w:shd w:val="clear" w:color="000000" w:fill="auto"/>
      </w:pPr>
      <w:r w:rsidRPr="00F83957">
        <w:t>Utgiftsområde 25</w:t>
      </w:r>
    </w:p>
    <w:p w:rsidR="00B7734C" w:rsidRPr="00F83957" w:rsidRDefault="00B7734C">
      <w:pPr>
        <w:shd w:val="clear" w:color="000000" w:fill="auto"/>
      </w:pPr>
      <w:r w:rsidRPr="00F83957">
        <w:t>Miljöpartiet har för 2009 föreslagit en annan politik vad det gäller att unde</w:t>
      </w:r>
      <w:r w:rsidRPr="00F83957">
        <w:t>r</w:t>
      </w:r>
      <w:r w:rsidRPr="00F83957">
        <w:t>lätta för kommuner och landsting i samband med den ekonomiska krisen. Vi har tidigare föreslagit ökade statsbidrag för 2009 på 5 miljarder. Regeringen skjuter inte till några pengar för 2009 utan gör i stället en tillfällig tidigare utbetalning för 2010 på 7 miljarder. Motivet för den tidigare utbetalningen är att utrymmet under utgiftstaket 2009 är större än 2010. Miljöpartiet är kritiskt till den här typen av trixande med utgiftstaket. Då vi tidigare föreslagit ytte</w:t>
      </w:r>
      <w:r w:rsidRPr="00F83957">
        <w:t>r</w:t>
      </w:r>
      <w:r w:rsidRPr="00F83957">
        <w:t>ligare 5 miljarder för 2009 och står f</w:t>
      </w:r>
      <w:r w:rsidRPr="00F83957">
        <w:t>ast vid detta accepteras 5 miljarder av de 7 som regeringen föreslår på tilläggsbudget nu. För 2010 föreslår vi ytterlig</w:t>
      </w:r>
      <w:r w:rsidRPr="00F83957">
        <w:t>a</w:t>
      </w:r>
      <w:r w:rsidRPr="00F83957">
        <w:t>re 5 miljarder utöver regeringens politik. Ytterligare motiv till vår politik återfinns i vår motion på den ekonomiska vårpropositionen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957">
        <w:trPr>
          <w:cantSplit/>
        </w:trPr>
        <w:tc>
          <w:tcPr>
            <w:tcW w:w="3046" w:type="dxa"/>
          </w:tcPr>
          <w:p w:rsidR="00B7734C" w:rsidRPr="00F83957" w:rsidRDefault="00B7734C">
            <w:pPr>
              <w:pStyle w:val="UnderskriftDatum"/>
              <w:shd w:val="clear" w:color="000000" w:fill="auto"/>
              <w:spacing w:before="240"/>
            </w:pPr>
            <w:r w:rsidRPr="00F83957">
              <w:t>Stockholm den 29 april 2009</w:t>
            </w:r>
          </w:p>
        </w:tc>
        <w:tc>
          <w:tcPr>
            <w:tcW w:w="3047" w:type="dxa"/>
          </w:tcPr>
          <w:p w:rsidR="00B7734C" w:rsidRPr="00F83957" w:rsidRDefault="00B7734C">
            <w:pPr>
              <w:pStyle w:val="Underskrifter"/>
              <w:shd w:val="clear" w:color="000000" w:fill="auto"/>
              <w:spacing w:before="240"/>
            </w:pPr>
          </w:p>
        </w:tc>
      </w:tr>
      <w:tr w:rsidR="00000000" w:rsidRPr="00F83957">
        <w:trPr>
          <w:cantSplit/>
        </w:trPr>
        <w:tc>
          <w:tcPr>
            <w:tcW w:w="3046" w:type="dxa"/>
          </w:tcPr>
          <w:p w:rsidR="00B7734C" w:rsidRPr="00F83957" w:rsidRDefault="00B7734C">
            <w:pPr>
              <w:pStyle w:val="Underskrifter"/>
              <w:shd w:val="clear" w:color="000000" w:fill="auto"/>
            </w:pPr>
            <w:r w:rsidRPr="00F83957">
              <w:t>Peter Eriksson (mp)</w:t>
            </w:r>
          </w:p>
        </w:tc>
        <w:tc>
          <w:tcPr>
            <w:tcW w:w="3046" w:type="dxa"/>
          </w:tcPr>
          <w:p w:rsidR="00B7734C" w:rsidRPr="00F83957" w:rsidRDefault="00B7734C">
            <w:pPr>
              <w:pStyle w:val="Underskrifter"/>
              <w:shd w:val="clear" w:color="000000" w:fill="auto"/>
            </w:pPr>
          </w:p>
        </w:tc>
      </w:tr>
      <w:tr w:rsidR="00000000" w:rsidRPr="00F83957">
        <w:trPr>
          <w:cantSplit/>
        </w:trPr>
        <w:tc>
          <w:tcPr>
            <w:tcW w:w="3046" w:type="dxa"/>
          </w:tcPr>
          <w:p w:rsidR="00B7734C" w:rsidRPr="00F83957" w:rsidRDefault="00B7734C">
            <w:pPr>
              <w:pStyle w:val="Underskrifter"/>
              <w:shd w:val="clear" w:color="000000" w:fill="auto"/>
            </w:pPr>
            <w:r w:rsidRPr="00F83957">
              <w:t>Maria Wetterstrand (mp)</w:t>
            </w:r>
          </w:p>
        </w:tc>
        <w:tc>
          <w:tcPr>
            <w:tcW w:w="3046" w:type="dxa"/>
          </w:tcPr>
          <w:p w:rsidR="00B7734C" w:rsidRPr="00F83957" w:rsidRDefault="00B7734C">
            <w:pPr>
              <w:pStyle w:val="Underskrifter"/>
              <w:shd w:val="clear" w:color="000000" w:fill="auto"/>
            </w:pPr>
            <w:r w:rsidRPr="00F83957">
              <w:t>Mikaela Valtersson (mp)</w:t>
            </w:r>
          </w:p>
        </w:tc>
      </w:tr>
      <w:tr w:rsidR="00000000" w:rsidRPr="00F83957">
        <w:trPr>
          <w:cantSplit/>
        </w:trPr>
        <w:tc>
          <w:tcPr>
            <w:tcW w:w="3046" w:type="dxa"/>
          </w:tcPr>
          <w:p w:rsidR="00B7734C" w:rsidRPr="00F83957" w:rsidRDefault="00B7734C">
            <w:pPr>
              <w:pStyle w:val="Underskrifter"/>
              <w:shd w:val="clear" w:color="000000" w:fill="auto"/>
            </w:pPr>
            <w:r w:rsidRPr="00F83957">
              <w:t>Max Andersson (mp)</w:t>
            </w:r>
          </w:p>
        </w:tc>
        <w:tc>
          <w:tcPr>
            <w:tcW w:w="3046" w:type="dxa"/>
          </w:tcPr>
          <w:p w:rsidR="00B7734C" w:rsidRPr="00F83957" w:rsidRDefault="00B7734C">
            <w:pPr>
              <w:pStyle w:val="Underskrifter"/>
              <w:shd w:val="clear" w:color="000000" w:fill="auto"/>
            </w:pPr>
            <w:r w:rsidRPr="00F83957">
              <w:t>Per Bolund (mp)</w:t>
            </w:r>
          </w:p>
        </w:tc>
      </w:tr>
      <w:tr w:rsidR="00000000" w:rsidRPr="00F83957">
        <w:trPr>
          <w:cantSplit/>
        </w:trPr>
        <w:tc>
          <w:tcPr>
            <w:tcW w:w="3046" w:type="dxa"/>
          </w:tcPr>
          <w:p w:rsidR="00B7734C" w:rsidRPr="00F83957" w:rsidRDefault="00B7734C">
            <w:pPr>
              <w:pStyle w:val="Underskrifter"/>
              <w:shd w:val="clear" w:color="000000" w:fill="auto"/>
            </w:pPr>
            <w:r w:rsidRPr="00F83957">
              <w:t>Bodil Ceballos (mp)</w:t>
            </w:r>
          </w:p>
        </w:tc>
        <w:tc>
          <w:tcPr>
            <w:tcW w:w="3046" w:type="dxa"/>
          </w:tcPr>
          <w:p w:rsidR="00B7734C" w:rsidRPr="00F83957" w:rsidRDefault="00B7734C">
            <w:pPr>
              <w:pStyle w:val="Underskrifter"/>
              <w:shd w:val="clear" w:color="000000" w:fill="auto"/>
            </w:pPr>
            <w:r w:rsidRPr="00F83957">
              <w:t>Esabelle Dingizian (mp)</w:t>
            </w:r>
          </w:p>
        </w:tc>
      </w:tr>
      <w:tr w:rsidR="00000000" w:rsidRPr="00F83957">
        <w:trPr>
          <w:cantSplit/>
        </w:trPr>
        <w:tc>
          <w:tcPr>
            <w:tcW w:w="3046" w:type="dxa"/>
          </w:tcPr>
          <w:p w:rsidR="00B7734C" w:rsidRPr="00F83957" w:rsidRDefault="00B7734C">
            <w:pPr>
              <w:pStyle w:val="Underskrifter"/>
              <w:shd w:val="clear" w:color="000000" w:fill="auto"/>
            </w:pPr>
            <w:r w:rsidRPr="00F83957">
              <w:t>Tina Ehn (mp)</w:t>
            </w:r>
          </w:p>
        </w:tc>
        <w:tc>
          <w:tcPr>
            <w:tcW w:w="3046" w:type="dxa"/>
          </w:tcPr>
          <w:p w:rsidR="00B7734C" w:rsidRPr="00F83957" w:rsidRDefault="00B7734C">
            <w:pPr>
              <w:pStyle w:val="Underskrifter"/>
              <w:shd w:val="clear" w:color="000000" w:fill="auto"/>
            </w:pPr>
            <w:r w:rsidRPr="00F83957">
              <w:t>Gunvor G Ericson (mp)</w:t>
            </w:r>
          </w:p>
        </w:tc>
      </w:tr>
      <w:tr w:rsidR="00000000" w:rsidRPr="00F83957">
        <w:trPr>
          <w:cantSplit/>
        </w:trPr>
        <w:tc>
          <w:tcPr>
            <w:tcW w:w="3046" w:type="dxa"/>
          </w:tcPr>
          <w:p w:rsidR="00B7734C" w:rsidRPr="00F83957" w:rsidRDefault="00B7734C">
            <w:pPr>
              <w:pStyle w:val="Underskrifter"/>
              <w:shd w:val="clear" w:color="000000" w:fill="auto"/>
            </w:pPr>
            <w:r w:rsidRPr="00F83957">
              <w:t>Ulf Holm (mp)</w:t>
            </w:r>
          </w:p>
        </w:tc>
        <w:tc>
          <w:tcPr>
            <w:tcW w:w="3046" w:type="dxa"/>
          </w:tcPr>
          <w:p w:rsidR="00B7734C" w:rsidRPr="00F83957" w:rsidRDefault="00B7734C">
            <w:pPr>
              <w:pStyle w:val="Underskrifter"/>
              <w:shd w:val="clear" w:color="000000" w:fill="auto"/>
            </w:pPr>
            <w:r w:rsidRPr="00F83957">
              <w:t>Mikael Johansson (mp)</w:t>
            </w:r>
          </w:p>
        </w:tc>
      </w:tr>
      <w:tr w:rsidR="00000000" w:rsidRPr="00F83957">
        <w:trPr>
          <w:cantSplit/>
        </w:trPr>
        <w:tc>
          <w:tcPr>
            <w:tcW w:w="3046" w:type="dxa"/>
          </w:tcPr>
          <w:p w:rsidR="00B7734C" w:rsidRPr="00F83957" w:rsidRDefault="00B7734C">
            <w:pPr>
              <w:pStyle w:val="Underskrifter"/>
              <w:shd w:val="clear" w:color="000000" w:fill="auto"/>
            </w:pPr>
            <w:r w:rsidRPr="00F83957">
              <w:t>Mehmet Kaplan (mp)</w:t>
            </w:r>
          </w:p>
        </w:tc>
        <w:tc>
          <w:tcPr>
            <w:tcW w:w="3046" w:type="dxa"/>
          </w:tcPr>
          <w:p w:rsidR="00B7734C" w:rsidRPr="00F83957" w:rsidRDefault="00B7734C">
            <w:pPr>
              <w:pStyle w:val="Underskrifter"/>
              <w:shd w:val="clear" w:color="000000" w:fill="auto"/>
            </w:pPr>
            <w:r w:rsidRPr="00F83957">
              <w:t>Helena Leander (mp)</w:t>
            </w:r>
          </w:p>
        </w:tc>
      </w:tr>
      <w:tr w:rsidR="00000000" w:rsidRPr="00F83957">
        <w:trPr>
          <w:cantSplit/>
        </w:trPr>
        <w:tc>
          <w:tcPr>
            <w:tcW w:w="3046" w:type="dxa"/>
          </w:tcPr>
          <w:p w:rsidR="00B7734C" w:rsidRPr="00F83957" w:rsidRDefault="00B7734C">
            <w:pPr>
              <w:pStyle w:val="Underskrifter"/>
              <w:shd w:val="clear" w:color="000000" w:fill="auto"/>
            </w:pPr>
            <w:r w:rsidRPr="00F83957">
              <w:t>Jan Lindholm (mp)</w:t>
            </w:r>
          </w:p>
        </w:tc>
        <w:tc>
          <w:tcPr>
            <w:tcW w:w="3046" w:type="dxa"/>
          </w:tcPr>
          <w:p w:rsidR="00B7734C" w:rsidRPr="00F83957" w:rsidRDefault="00B7734C">
            <w:pPr>
              <w:pStyle w:val="Underskrifter"/>
              <w:shd w:val="clear" w:color="000000" w:fill="auto"/>
            </w:pPr>
            <w:r w:rsidRPr="00F83957">
              <w:t>Thomas Nihlén (mp)</w:t>
            </w:r>
          </w:p>
        </w:tc>
      </w:tr>
      <w:tr w:rsidR="00000000" w:rsidRPr="00F83957">
        <w:trPr>
          <w:cantSplit/>
        </w:trPr>
        <w:tc>
          <w:tcPr>
            <w:tcW w:w="3046" w:type="dxa"/>
          </w:tcPr>
          <w:p w:rsidR="00B7734C" w:rsidRPr="00F83957" w:rsidRDefault="00B7734C">
            <w:pPr>
              <w:pStyle w:val="Underskrifter"/>
              <w:shd w:val="clear" w:color="000000" w:fill="auto"/>
            </w:pPr>
            <w:r w:rsidRPr="00F83957">
              <w:t>Mats Pertoft (mp)</w:t>
            </w:r>
          </w:p>
        </w:tc>
        <w:tc>
          <w:tcPr>
            <w:tcW w:w="3046" w:type="dxa"/>
          </w:tcPr>
          <w:p w:rsidR="00B7734C" w:rsidRPr="00F83957" w:rsidRDefault="00B7734C">
            <w:pPr>
              <w:pStyle w:val="Underskrifter"/>
              <w:shd w:val="clear" w:color="000000" w:fill="auto"/>
            </w:pPr>
            <w:r w:rsidRPr="00F83957">
              <w:t>Lage Rahm (mp)</w:t>
            </w:r>
          </w:p>
        </w:tc>
      </w:tr>
      <w:tr w:rsidR="00000000" w:rsidRPr="00F83957">
        <w:trPr>
          <w:cantSplit/>
        </w:trPr>
        <w:tc>
          <w:tcPr>
            <w:tcW w:w="3046" w:type="dxa"/>
          </w:tcPr>
          <w:p w:rsidR="00B7734C" w:rsidRPr="00F83957" w:rsidRDefault="00B7734C">
            <w:pPr>
              <w:pStyle w:val="Underskrifter"/>
              <w:shd w:val="clear" w:color="000000" w:fill="auto"/>
            </w:pPr>
            <w:r w:rsidRPr="00F83957">
              <w:t>Peter Rådberg (mp)</w:t>
            </w:r>
          </w:p>
        </w:tc>
        <w:tc>
          <w:tcPr>
            <w:tcW w:w="3046" w:type="dxa"/>
          </w:tcPr>
          <w:p w:rsidR="00B7734C" w:rsidRPr="00F83957" w:rsidRDefault="00B7734C">
            <w:pPr>
              <w:pStyle w:val="Underskrifter"/>
              <w:shd w:val="clear" w:color="000000" w:fill="auto"/>
            </w:pPr>
            <w:r w:rsidRPr="00F83957">
              <w:t>Karin Svensson Smith (mp)</w:t>
            </w:r>
          </w:p>
        </w:tc>
      </w:tr>
    </w:tbl>
    <w:p w:rsidR="00B7734C" w:rsidRPr="00F83957" w:rsidRDefault="00B7734C">
      <w:pPr>
        <w:pStyle w:val="Normaltindrag"/>
        <w:shd w:val="clear" w:color="000000" w:fill="auto"/>
      </w:pPr>
    </w:p>
    <w:sectPr w:rsidR="00B7734C" w:rsidRPr="00F83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34C" w:rsidRPr="00F83957" w:rsidRDefault="00B7734C">
      <w:r w:rsidRPr="00F83957">
        <w:separator/>
      </w:r>
    </w:p>
  </w:endnote>
  <w:endnote w:type="continuationSeparator" w:id="0">
    <w:p w:rsidR="00B7734C" w:rsidRPr="00F83957" w:rsidRDefault="00B7734C">
      <w:r w:rsidRPr="00F83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4C" w:rsidRPr="00F83957" w:rsidRDefault="00F83957">
    <w:pPr>
      <w:pStyle w:val="Sidfot"/>
    </w:pPr>
    <w:r w:rsidRPr="00F83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34229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4C" w:rsidRDefault="00B7734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34C" w:rsidRDefault="00B7734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4C" w:rsidRPr="00F83957" w:rsidRDefault="00F83957">
    <w:pPr>
      <w:pStyle w:val="Sidfot"/>
    </w:pPr>
    <w:r w:rsidRPr="00F83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65450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4C" w:rsidRDefault="00B773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34C" w:rsidRDefault="00B773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4C" w:rsidRPr="00F83957" w:rsidRDefault="00F83957">
    <w:pPr>
      <w:pStyle w:val="Sidfot"/>
    </w:pPr>
    <w:r w:rsidRPr="00F83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569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4C" w:rsidRDefault="00B773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34C" w:rsidRDefault="00B773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34C" w:rsidRPr="00F83957" w:rsidRDefault="00B7734C">
      <w:r w:rsidRPr="00F83957">
        <w:separator/>
      </w:r>
    </w:p>
  </w:footnote>
  <w:footnote w:type="continuationSeparator" w:id="0">
    <w:p w:rsidR="00B7734C" w:rsidRPr="00F83957" w:rsidRDefault="00B7734C">
      <w:r w:rsidRPr="00F83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4C" w:rsidRPr="00F83957" w:rsidRDefault="00F83957">
    <w:pPr>
      <w:pStyle w:val="Sidhuvud"/>
    </w:pPr>
    <w:r w:rsidRPr="00F83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8511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4C" w:rsidRDefault="00B773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34C" w:rsidRDefault="00B773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4C" w:rsidRPr="00F83957" w:rsidRDefault="00F83957">
    <w:pPr>
      <w:pStyle w:val="Sidhuvud"/>
    </w:pPr>
    <w:r w:rsidRPr="00F83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17157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34C" w:rsidRDefault="00B773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34C" w:rsidRDefault="00B773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34C" w:rsidRPr="00F83957" w:rsidRDefault="00B7734C">
    <w:pPr>
      <w:pStyle w:val="FSHNormal"/>
      <w:tabs>
        <w:tab w:val="right" w:pos="5840"/>
      </w:tabs>
    </w:pPr>
    <w:r w:rsidRPr="00F83957">
      <w:br/>
    </w:r>
    <w:r w:rsidRPr="00F83957">
      <w:fldChar w:fldCharType="begin" w:fldLock="1"/>
    </w:r>
    <w:r w:rsidRPr="00F83957">
      <w:instrText xml:space="preserve"> DOCPROPERTY</w:instrText>
    </w:r>
    <w:r w:rsidRPr="00F83957">
      <w:rPr>
        <w:sz w:val="18"/>
      </w:rPr>
      <w:instrText xml:space="preserve"> "YearUser" *\charformat </w:instrText>
    </w:r>
    <w:r w:rsidRPr="00F83957">
      <w:fldChar w:fldCharType="separate"/>
    </w:r>
    <w:r w:rsidRPr="00F83957">
      <w:t>2008/09</w:t>
    </w:r>
    <w:r w:rsidRPr="00F83957">
      <w:fldChar w:fldCharType="end"/>
    </w:r>
    <w:r w:rsidRPr="00F83957">
      <w:t xml:space="preserve"> </w:t>
    </w:r>
    <w:r w:rsidRPr="00F83957">
      <w:tab/>
      <w:t xml:space="preserve">mnr: </w:t>
    </w:r>
    <w:r w:rsidRPr="00F83957">
      <w:fldChar w:fldCharType="begin" w:fldLock="1"/>
    </w:r>
    <w:r w:rsidRPr="00F83957">
      <w:instrText xml:space="preserve"> DOCPROPERTY</w:instrText>
    </w:r>
    <w:r w:rsidRPr="00F83957">
      <w:rPr>
        <w:sz w:val="18"/>
      </w:rPr>
      <w:instrText xml:space="preserve"> "Motionsnummer" *\charformat </w:instrText>
    </w:r>
    <w:r w:rsidRPr="00F83957">
      <w:fldChar w:fldCharType="separate"/>
    </w:r>
    <w:r w:rsidRPr="00F83957">
      <w:t>Fi22</w:t>
    </w:r>
    <w:r w:rsidRPr="00F83957">
      <w:fldChar w:fldCharType="end"/>
    </w:r>
    <w:r w:rsidRPr="00F83957">
      <w:br/>
    </w:r>
    <w:r w:rsidRPr="00F83957">
      <w:fldChar w:fldCharType="begin" w:fldLock="1"/>
    </w:r>
    <w:r w:rsidRPr="00F83957">
      <w:instrText xml:space="preserve"> DOCPROPERTY</w:instrText>
    </w:r>
    <w:r w:rsidRPr="00F83957">
      <w:rPr>
        <w:sz w:val="18"/>
      </w:rPr>
      <w:instrText xml:space="preserve"> "Samling" *\charformat </w:instrText>
    </w:r>
    <w:r w:rsidRPr="00F83957">
      <w:fldChar w:fldCharType="end"/>
    </w:r>
    <w:r w:rsidRPr="00F83957">
      <w:tab/>
      <w:t xml:space="preserve">pnr: </w:t>
    </w:r>
    <w:r w:rsidRPr="00F83957">
      <w:fldChar w:fldCharType="begin" w:fldLock="1"/>
    </w:r>
    <w:r w:rsidRPr="00F83957">
      <w:instrText xml:space="preserve"> DOCPROPERTY</w:instrText>
    </w:r>
    <w:r w:rsidRPr="00F83957">
      <w:rPr>
        <w:sz w:val="18"/>
      </w:rPr>
      <w:instrText xml:space="preserve"> "Partinummer" *\charformat </w:instrText>
    </w:r>
    <w:r w:rsidRPr="00F83957">
      <w:fldChar w:fldCharType="separate"/>
    </w:r>
    <w:r w:rsidRPr="00F83957">
      <w:t>mp54</w:t>
    </w:r>
    <w:r w:rsidRPr="00F83957">
      <w:fldChar w:fldCharType="end"/>
    </w:r>
  </w:p>
  <w:p w:rsidR="00B7734C" w:rsidRPr="00F83957" w:rsidRDefault="00B7734C">
    <w:pPr>
      <w:pStyle w:val="FSHRub1"/>
    </w:pPr>
    <w:r w:rsidRPr="00F83957">
      <w:t>Motion till riksdagen</w:t>
    </w:r>
    <w:r w:rsidRPr="00F83957">
      <w:br/>
    </w:r>
    <w:r w:rsidRPr="00F83957">
      <w:fldChar w:fldCharType="begin" w:fldLock="1"/>
    </w:r>
    <w:r w:rsidRPr="00F83957">
      <w:instrText xml:space="preserve"> DOCPROPERTY "YearUser" *\charformat </w:instrText>
    </w:r>
    <w:r w:rsidRPr="00F83957">
      <w:fldChar w:fldCharType="separate"/>
    </w:r>
    <w:r w:rsidRPr="00F83957">
      <w:t>2008/09</w:t>
    </w:r>
    <w:r w:rsidRPr="00F83957">
      <w:fldChar w:fldCharType="end"/>
    </w:r>
    <w:r w:rsidRPr="00F83957">
      <w:t>:</w:t>
    </w:r>
    <w:r w:rsidRPr="00F83957">
      <w:fldChar w:fldCharType="begin" w:fldLock="1"/>
    </w:r>
    <w:r w:rsidRPr="00F83957">
      <w:instrText xml:space="preserve"> DOCPROPERTY "Motionsnummer" *\charformat </w:instrText>
    </w:r>
    <w:r w:rsidRPr="00F83957">
      <w:fldChar w:fldCharType="separate"/>
    </w:r>
    <w:r w:rsidRPr="00F83957">
      <w:t>Fi22</w:t>
    </w:r>
    <w:r w:rsidRPr="00F83957">
      <w:fldChar w:fldCharType="end"/>
    </w:r>
  </w:p>
  <w:p w:rsidR="00B7734C" w:rsidRPr="00F83957" w:rsidRDefault="00B7734C">
    <w:pPr>
      <w:pStyle w:val="FSHNormalS5"/>
    </w:pPr>
    <w:r w:rsidRPr="00F83957">
      <w:fldChar w:fldCharType="begin" w:fldLock="1"/>
    </w:r>
    <w:r w:rsidRPr="00F83957">
      <w:instrText xml:space="preserve"> DOCPROPERTY "MotionarText" *\charformat </w:instrText>
    </w:r>
    <w:r w:rsidRPr="00F83957">
      <w:fldChar w:fldCharType="separate"/>
    </w:r>
    <w:r w:rsidRPr="00F83957">
      <w:t>av Peter Eriksson m.fl. (mp)</w:t>
    </w:r>
    <w:r w:rsidRPr="00F83957">
      <w:fldChar w:fldCharType="end"/>
    </w:r>
    <w:r w:rsidRPr="00F83957">
      <w:br/>
    </w:r>
    <w:r w:rsidRPr="00F83957">
      <w:fldChar w:fldCharType="begin" w:fldLock="1"/>
    </w:r>
    <w:r w:rsidRPr="00F83957">
      <w:instrText xml:space="preserve"> DOCPROPERTY "SvarFrasKort" *\charformat </w:instrText>
    </w:r>
    <w:r w:rsidRPr="00F83957">
      <w:fldChar w:fldCharType="separate"/>
    </w:r>
    <w:r w:rsidRPr="00F83957">
      <w:t>med anledning av prop. 2008/09:99</w:t>
    </w:r>
    <w:r w:rsidRPr="00F83957">
      <w:fldChar w:fldCharType="end"/>
    </w:r>
  </w:p>
  <w:p w:rsidR="00B7734C" w:rsidRPr="00F83957" w:rsidRDefault="00B7734C">
    <w:pPr>
      <w:pStyle w:val="FSHTitel"/>
    </w:pPr>
    <w:r w:rsidRPr="00F83957">
      <w:fldChar w:fldCharType="begin" w:fldLock="1"/>
    </w:r>
    <w:r w:rsidRPr="00F83957">
      <w:instrText xml:space="preserve"> DOCPROPERTY</w:instrText>
    </w:r>
    <w:r w:rsidRPr="00F83957">
      <w:rPr>
        <w:sz w:val="18"/>
      </w:rPr>
      <w:instrText xml:space="preserve"> "RubrikSvar" *\charformat </w:instrText>
    </w:r>
    <w:r w:rsidRPr="00F83957">
      <w:fldChar w:fldCharType="separate"/>
    </w:r>
    <w:r w:rsidRPr="00F83957">
      <w:t>2009 års proposition om vårtilläggsbudget</w:t>
    </w:r>
    <w:r w:rsidRPr="00F83957">
      <w:fldChar w:fldCharType="end"/>
    </w:r>
  </w:p>
  <w:p w:rsidR="00B7734C" w:rsidRPr="00F83957" w:rsidRDefault="00B7734C">
    <w:pPr>
      <w:pStyle w:val="Normal00"/>
    </w:pPr>
  </w:p>
  <w:p w:rsidR="00B7734C" w:rsidRPr="00F83957" w:rsidRDefault="00B773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290D12"/>
    <w:multiLevelType w:val="hybridMultilevel"/>
    <w:tmpl w:val="267A6B38"/>
    <w:lvl w:ilvl="0" w:tplc="7CA67B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FE108F6"/>
    <w:multiLevelType w:val="hybridMultilevel"/>
    <w:tmpl w:val="D494B766"/>
    <w:lvl w:ilvl="0" w:tplc="FE9EB5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2B5A0C"/>
    <w:multiLevelType w:val="hybridMultilevel"/>
    <w:tmpl w:val="8BCE04AE"/>
    <w:lvl w:ilvl="0" w:tplc="DFD8E6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4734444">
    <w:abstractNumId w:val="8"/>
  </w:num>
  <w:num w:numId="2" w16cid:durableId="1325662803">
    <w:abstractNumId w:val="9"/>
  </w:num>
  <w:num w:numId="3" w16cid:durableId="1613366102">
    <w:abstractNumId w:val="8"/>
  </w:num>
  <w:num w:numId="4" w16cid:durableId="387806654">
    <w:abstractNumId w:val="9"/>
  </w:num>
  <w:num w:numId="5" w16cid:durableId="1584146267">
    <w:abstractNumId w:val="15"/>
  </w:num>
  <w:num w:numId="6" w16cid:durableId="418253840">
    <w:abstractNumId w:val="10"/>
  </w:num>
  <w:num w:numId="7" w16cid:durableId="20936710">
    <w:abstractNumId w:val="11"/>
  </w:num>
  <w:num w:numId="8" w16cid:durableId="1316953234">
    <w:abstractNumId w:val="14"/>
  </w:num>
  <w:num w:numId="9" w16cid:durableId="1006515027">
    <w:abstractNumId w:val="8"/>
  </w:num>
  <w:num w:numId="10" w16cid:durableId="1056318457">
    <w:abstractNumId w:val="3"/>
  </w:num>
  <w:num w:numId="11" w16cid:durableId="1121995363">
    <w:abstractNumId w:val="2"/>
  </w:num>
  <w:num w:numId="12" w16cid:durableId="225189628">
    <w:abstractNumId w:val="1"/>
  </w:num>
  <w:num w:numId="13" w16cid:durableId="1897086340">
    <w:abstractNumId w:val="0"/>
  </w:num>
  <w:num w:numId="14" w16cid:durableId="1057513565">
    <w:abstractNumId w:val="9"/>
  </w:num>
  <w:num w:numId="15" w16cid:durableId="322666369">
    <w:abstractNumId w:val="7"/>
  </w:num>
  <w:num w:numId="16" w16cid:durableId="1208445904">
    <w:abstractNumId w:val="6"/>
  </w:num>
  <w:num w:numId="17" w16cid:durableId="1747649972">
    <w:abstractNumId w:val="5"/>
  </w:num>
  <w:num w:numId="18" w16cid:durableId="52315998">
    <w:abstractNumId w:val="4"/>
  </w:num>
  <w:num w:numId="19" w16cid:durableId="478614080">
    <w:abstractNumId w:val="12"/>
  </w:num>
  <w:num w:numId="20" w16cid:durableId="1663893810">
    <w:abstractNumId w:val="13"/>
  </w:num>
  <w:num w:numId="21" w16cid:durableId="197547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25"/>
    <w:docVar w:name="PersonGUIDs" w:val="{0CDB567F-E43C-4889-9FA5-1291966678FD},{8022D127-CE9D-46CB-B553-D28767AFBAA9},{7C31CD86-53C7-4E1C-A073-157C1FC7DBDC},{891F8238-7272-4195-A81B-8E357071C4D2},{7CC9A58C-3141-48A3-86B8-8EA19B911E01},{44E1179A-EAF6-4300-B094-8294DC01CCC9},{67E77369-3EE3-448A-A205-B9E0C4AF5EC8},{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
  </w:docVars>
  <w:rsids>
    <w:rsidRoot w:val="00930067"/>
    <w:rsid w:val="00930067"/>
    <w:rsid w:val="00B7734C"/>
    <w:rsid w:val="00F83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72B198-EB21-4701-868C-FCC50110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6872">
      <w:bodyDiv w:val="1"/>
      <w:marLeft w:val="0"/>
      <w:marRight w:val="0"/>
      <w:marTop w:val="0"/>
      <w:marBottom w:val="0"/>
      <w:divBdr>
        <w:top w:val="none" w:sz="0" w:space="0" w:color="auto"/>
        <w:left w:val="none" w:sz="0" w:space="0" w:color="auto"/>
        <w:bottom w:val="none" w:sz="0" w:space="0" w:color="auto"/>
        <w:right w:val="none" w:sz="0" w:space="0" w:color="auto"/>
      </w:divBdr>
    </w:div>
    <w:div w:id="423184461">
      <w:bodyDiv w:val="1"/>
      <w:marLeft w:val="0"/>
      <w:marRight w:val="0"/>
      <w:marTop w:val="0"/>
      <w:marBottom w:val="0"/>
      <w:divBdr>
        <w:top w:val="none" w:sz="0" w:space="0" w:color="auto"/>
        <w:left w:val="none" w:sz="0" w:space="0" w:color="auto"/>
        <w:bottom w:val="none" w:sz="0" w:space="0" w:color="auto"/>
        <w:right w:val="none" w:sz="0" w:space="0" w:color="auto"/>
      </w:divBdr>
    </w:div>
    <w:div w:id="766509938">
      <w:bodyDiv w:val="1"/>
      <w:marLeft w:val="0"/>
      <w:marRight w:val="0"/>
      <w:marTop w:val="0"/>
      <w:marBottom w:val="0"/>
      <w:divBdr>
        <w:top w:val="none" w:sz="0" w:space="0" w:color="auto"/>
        <w:left w:val="none" w:sz="0" w:space="0" w:color="auto"/>
        <w:bottom w:val="none" w:sz="0" w:space="0" w:color="auto"/>
        <w:right w:val="none" w:sz="0" w:space="0" w:color="auto"/>
      </w:divBdr>
    </w:div>
    <w:div w:id="878661414">
      <w:bodyDiv w:val="1"/>
      <w:marLeft w:val="0"/>
      <w:marRight w:val="0"/>
      <w:marTop w:val="0"/>
      <w:marBottom w:val="0"/>
      <w:divBdr>
        <w:top w:val="none" w:sz="0" w:space="0" w:color="auto"/>
        <w:left w:val="none" w:sz="0" w:space="0" w:color="auto"/>
        <w:bottom w:val="none" w:sz="0" w:space="0" w:color="auto"/>
        <w:right w:val="none" w:sz="0" w:space="0" w:color="auto"/>
      </w:divBdr>
    </w:div>
    <w:div w:id="1431465566">
      <w:bodyDiv w:val="1"/>
      <w:marLeft w:val="0"/>
      <w:marRight w:val="0"/>
      <w:marTop w:val="0"/>
      <w:marBottom w:val="0"/>
      <w:divBdr>
        <w:top w:val="none" w:sz="0" w:space="0" w:color="auto"/>
        <w:left w:val="none" w:sz="0" w:space="0" w:color="auto"/>
        <w:bottom w:val="none" w:sz="0" w:space="0" w:color="auto"/>
        <w:right w:val="none" w:sz="0" w:space="0" w:color="auto"/>
      </w:divBdr>
    </w:div>
    <w:div w:id="1511751570">
      <w:bodyDiv w:val="1"/>
      <w:marLeft w:val="0"/>
      <w:marRight w:val="0"/>
      <w:marTop w:val="0"/>
      <w:marBottom w:val="0"/>
      <w:divBdr>
        <w:top w:val="none" w:sz="0" w:space="0" w:color="auto"/>
        <w:left w:val="none" w:sz="0" w:space="0" w:color="auto"/>
        <w:bottom w:val="none" w:sz="0" w:space="0" w:color="auto"/>
        <w:right w:val="none" w:sz="0" w:space="0" w:color="auto"/>
      </w:divBdr>
    </w:div>
    <w:div w:id="1775788057">
      <w:bodyDiv w:val="1"/>
      <w:marLeft w:val="0"/>
      <w:marRight w:val="0"/>
      <w:marTop w:val="0"/>
      <w:marBottom w:val="0"/>
      <w:divBdr>
        <w:top w:val="none" w:sz="0" w:space="0" w:color="auto"/>
        <w:left w:val="none" w:sz="0" w:space="0" w:color="auto"/>
        <w:bottom w:val="none" w:sz="0" w:space="0" w:color="auto"/>
        <w:right w:val="none" w:sz="0" w:space="0" w:color="auto"/>
      </w:divBdr>
    </w:div>
    <w:div w:id="19742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5816</Characters>
  <Application>Microsoft Office Word</Application>
  <DocSecurity>4</DocSecurity>
  <Lines>215</Lines>
  <Paragraphs>130</Paragraphs>
  <ScaleCrop>false</ScaleCrop>
  <HeadingPairs>
    <vt:vector size="2" baseType="variant">
      <vt:variant>
        <vt:lpstr>Rubrik</vt:lpstr>
      </vt:variant>
      <vt:variant>
        <vt:i4>1</vt:i4>
      </vt:variant>
    </vt:vector>
  </HeadingPairs>
  <TitlesOfParts>
    <vt:vector size="1" baseType="lpstr">
      <vt:lpstr>mp054</vt:lpstr>
    </vt:vector>
  </TitlesOfParts>
  <Company>Riksdagen</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mp054</dc:title>
  <dc:subject>mp054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2009-05-22T08:21:00Z</cp:lastPrinted>
  <dcterms:created xsi:type="dcterms:W3CDTF">2025-12-17T14:58:00Z</dcterms:created>
  <dcterms:modified xsi:type="dcterms:W3CDTF">2025-12-17T14:58:00Z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mot2000_496_2009-04-25</vt:lpwstr>
  </property>
  <property fmtid="{D5CDD505-2E9C-101B-9397-08002B2CF9AE}" pid="3" name="version">
    <vt:lpwstr>mot2000_496_2009-04-25</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2008/09:99 2009 års proposition om vårtilläggsbudget</vt:lpwstr>
  </property>
  <property fmtid="{D5CDD505-2E9C-101B-9397-08002B2CF9AE}" pid="11" name="SvarFrasKort">
    <vt:lpwstr>med anledning av prop. 2008/09:99</vt:lpwstr>
  </property>
  <property fmtid="{D5CDD505-2E9C-101B-9397-08002B2CF9AE}" pid="12" name="Svar">
    <vt:lpwstr>Proposition</vt:lpwstr>
  </property>
  <property fmtid="{D5CDD505-2E9C-101B-9397-08002B2CF9AE}" pid="13" name="SvarNr">
    <vt:lpwstr>2008/09:99</vt:lpwstr>
  </property>
  <property fmtid="{D5CDD505-2E9C-101B-9397-08002B2CF9AE}" pid="14" name="RubrikSvar">
    <vt:lpwstr>2009 års proposition om vårtilläggsbudget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(mp)\Valtersson, Mikaela (mp)\Andersson, Max (mp)\Bolund, Per (mp)\Ceballos, Bodil (mp)\Dingizian, Esabelle (mp)\Ehn, Tina (mp)\Ericson, Gunvor G (mp)\Holm, Ulf (mp)\Johansson, Mikael (mp)\Kaplan, Mehmet (mp)\</vt:lpwstr>
  </property>
  <property fmtid="{D5CDD505-2E9C-101B-9397-08002B2CF9AE}" pid="27" name="MotionarLista1">
    <vt:lpwstr>Leander, Helena (mp)\Lindholm, Jan (mp)\Nihlén, Thomas (mp)\Pertoft, Mats (mp)\Rahm, Lage (mp)\Rådberg, Peter (mp)\Svensson Smith, Karin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Mikaela Valtersson (mp), Max Andersson (mp), Per Bolund (mp), Bodil Ceballos (mp), Esabelle Dingizian (mp), Tina Ehn (mp), Gunvor G Ericson (mp), Ulf Holm (mp), Mikael Johansson (mp), Mehmet Kaplan (mp), Helen</vt:lpwstr>
  </property>
  <property fmtid="{D5CDD505-2E9C-101B-9397-08002B2CF9AE}" pid="31" name="MotionarLotus1">
    <vt:lpwstr>a Leander (mp), Jan Lindholm (mp), Thomas Nihlén (mp), Mats Pertoft (mp), Lage Rahm (mp), Peter Rådberg (mp), Karin Svensson Smith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20082009000001090112000000540080</vt:lpwstr>
  </property>
  <property fmtid="{D5CDD505-2E9C-101B-9397-08002B2CF9AE}" pid="47" name="datum">
    <vt:lpwstr>090429</vt:lpwstr>
  </property>
  <property fmtid="{D5CDD505-2E9C-101B-9397-08002B2CF9AE}" pid="48" name="avsändar-e-post">
    <vt:lpwstr>magnus.lindgren@riksdagen.se</vt:lpwstr>
  </property>
  <property fmtid="{D5CDD505-2E9C-101B-9397-08002B2CF9AE}" pid="49" name="id">
    <vt:lpwstr>20082009000001090112000000540080</vt:lpwstr>
  </property>
  <property fmtid="{D5CDD505-2E9C-101B-9397-08002B2CF9AE}" pid="50" name="nummer">
    <vt:lpwstr>22</vt:lpwstr>
  </property>
  <property fmtid="{D5CDD505-2E9C-101B-9397-08002B2CF9AE}" pid="51" name="utskottsbeteckning">
    <vt:lpwstr>Fi</vt:lpwstr>
  </property>
  <property fmtid="{D5CDD505-2E9C-101B-9397-08002B2CF9AE}" pid="52" name="GlobalUID">
    <vt:lpwstr>{9B90C012-217F-4C55-A2A2-9B017573DAE8}</vt:lpwstr>
  </property>
  <property fmtid="{D5CDD505-2E9C-101B-9397-08002B2CF9AE}" pid="53" name="Överföringar">
    <vt:i4>0</vt:i4>
  </property>
  <property fmtid="{D5CDD505-2E9C-101B-9397-08002B2CF9AE}" pid="54" name="Checksum">
    <vt:lpwstr>*0009174457207*</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090522 10:21:57.123</vt:lpwstr>
  </property>
  <property fmtid="{D5CDD505-2E9C-101B-9397-08002B2CF9AE}" pid="58" name="urixGuid">
    <vt:lpwstr>{ED4BA027-3C62-4FDB-A45C-1F243EF7828D}</vt:lpwstr>
  </property>
</Properties>
</file>