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6FDB8123F444851905BA5C630D600BF"/>
        </w:placeholder>
        <w:text/>
      </w:sdtPr>
      <w:sdtEndPr/>
      <w:sdtContent>
        <w:p w:rsidRPr="009B062B" w:rsidR="00AF30DD" w:rsidP="00B1528D" w:rsidRDefault="00AF30DD" w14:paraId="2A361FB8" w14:textId="77777777">
          <w:pPr>
            <w:pStyle w:val="Rubrik1"/>
            <w:spacing w:after="300"/>
          </w:pPr>
          <w:r w:rsidRPr="009B062B">
            <w:t>Förslag till riksdagsbeslut</w:t>
          </w:r>
        </w:p>
      </w:sdtContent>
    </w:sdt>
    <w:sdt>
      <w:sdtPr>
        <w:alias w:val="Yrkande 1"/>
        <w:tag w:val="a13c5983-e452-4d85-8783-063e545eaf80"/>
        <w:id w:val="-1317344327"/>
        <w:lock w:val="sdtLocked"/>
      </w:sdtPr>
      <w:sdtEndPr/>
      <w:sdtContent>
        <w:p w:rsidR="00346772" w:rsidRDefault="00467F82" w14:paraId="42CB5F7D" w14:textId="05AF59CD">
          <w:pPr>
            <w:pStyle w:val="Frslagstext"/>
            <w:numPr>
              <w:ilvl w:val="0"/>
              <w:numId w:val="0"/>
            </w:numPr>
          </w:pPr>
          <w:r>
            <w:t xml:space="preserve">Riksdagen ställer sig bakom det som anförs i motionen om att </w:t>
          </w:r>
          <w:r w:rsidR="00D358DC">
            <w:t xml:space="preserve">regeringen </w:t>
          </w:r>
          <w:r>
            <w:t xml:space="preserve">inom tre år från lagstiftningens införande </w:t>
          </w:r>
          <w:r w:rsidR="00D358DC">
            <w:t xml:space="preserve">ska </w:t>
          </w:r>
          <w:r>
            <w:t>utvärdera dess konsekvenser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7CF8087F0324081947B4F21B69869BC"/>
        </w:placeholder>
        <w:text/>
      </w:sdtPr>
      <w:sdtEndPr/>
      <w:sdtContent>
        <w:p w:rsidRPr="009B062B" w:rsidR="006D79C9" w:rsidP="00333E95" w:rsidRDefault="006D79C9" w14:paraId="300F42FA" w14:textId="77777777">
          <w:pPr>
            <w:pStyle w:val="Rubrik1"/>
          </w:pPr>
          <w:r>
            <w:t>Motivering</w:t>
          </w:r>
        </w:p>
      </w:sdtContent>
    </w:sdt>
    <w:p w:rsidR="00422B9E" w:rsidP="00607ED6" w:rsidRDefault="00333E44" w14:paraId="5489377A" w14:textId="590E3E13">
      <w:pPr>
        <w:pStyle w:val="Normalutanindragellerluft"/>
      </w:pPr>
      <w:r>
        <w:t xml:space="preserve">I propositionen </w:t>
      </w:r>
      <w:r w:rsidRPr="00333E44">
        <w:t>föreslår</w:t>
      </w:r>
      <w:r>
        <w:t xml:space="preserve"> r</w:t>
      </w:r>
      <w:r w:rsidRPr="00333E44">
        <w:t xml:space="preserve">egeringen ändringar i reglerna om minoritetsskydd i aktiebolag och ekonomiska föreningar, däribland bostadsrättsföreningar. Förslagen syftar till att stärka minoritetsskyddet samtidigt som missbruk av reglerna motverkas. Förslagen </w:t>
      </w:r>
      <w:r w:rsidR="001F348E">
        <w:t xml:space="preserve">syftar till att </w:t>
      </w:r>
      <w:r w:rsidRPr="00333E44">
        <w:t>gör</w:t>
      </w:r>
      <w:r w:rsidR="001F348E">
        <w:t>a</w:t>
      </w:r>
      <w:r w:rsidRPr="00333E44">
        <w:t xml:space="preserve"> det svårare för </w:t>
      </w:r>
      <w:r w:rsidR="00AD4BAC">
        <w:t>exempelvis</w:t>
      </w:r>
      <w:r w:rsidRPr="00333E44">
        <w:t xml:space="preserve"> styrelsen i ett bolag eller en förening att motarbeta </w:t>
      </w:r>
      <w:r w:rsidR="00AD502F">
        <w:t xml:space="preserve">insynen för </w:t>
      </w:r>
      <w:r w:rsidRPr="00333E44">
        <w:t xml:space="preserve">en minoritet av aktieägare eller medlemmar. </w:t>
      </w:r>
    </w:p>
    <w:p w:rsidRPr="00607ED6" w:rsidR="001F348E" w:rsidP="00607ED6" w:rsidRDefault="001F348E" w14:paraId="4C6C0C8E" w14:textId="5F0C4F3F">
      <w:pPr>
        <w:rPr>
          <w:spacing w:val="-1"/>
        </w:rPr>
      </w:pPr>
      <w:r w:rsidRPr="00607ED6">
        <w:rPr>
          <w:spacing w:val="-1"/>
        </w:rPr>
        <w:t xml:space="preserve">Eftersom propositionen riktar sig såväl till aktiebolag som till ekonomiska </w:t>
      </w:r>
      <w:r w:rsidRPr="00607ED6" w:rsidR="000C52BC">
        <w:rPr>
          <w:spacing w:val="-1"/>
        </w:rPr>
        <w:t>föreningar</w:t>
      </w:r>
      <w:r w:rsidRPr="00607ED6">
        <w:rPr>
          <w:spacing w:val="-1"/>
        </w:rPr>
        <w:t xml:space="preserve"> såsom bostadsrättsföreningar</w:t>
      </w:r>
      <w:r w:rsidRPr="00607ED6" w:rsidR="00567F17">
        <w:rPr>
          <w:spacing w:val="-1"/>
        </w:rPr>
        <w:t xml:space="preserve"> </w:t>
      </w:r>
      <w:r w:rsidRPr="00607ED6" w:rsidR="00927EAA">
        <w:rPr>
          <w:spacing w:val="-1"/>
        </w:rPr>
        <w:t>kommer den direkt eller indirekt att påverka förutsättning</w:t>
      </w:r>
      <w:r w:rsidR="00607ED6">
        <w:rPr>
          <w:spacing w:val="-1"/>
        </w:rPr>
        <w:softHyphen/>
      </w:r>
      <w:r w:rsidRPr="00607ED6" w:rsidR="00927EAA">
        <w:rPr>
          <w:spacing w:val="-1"/>
        </w:rPr>
        <w:t>arna för ett stort antal människor att bevaka sina ekonomiska intressen. Den får också bäring på konsumentskyddet för bostadsrättsinnehavare.</w:t>
      </w:r>
    </w:p>
    <w:p w:rsidR="001F348E" w:rsidP="00607ED6" w:rsidRDefault="001F348E" w14:paraId="423CE335" w14:textId="3FFF172C">
      <w:r>
        <w:t xml:space="preserve">Det har länge varit </w:t>
      </w:r>
      <w:r w:rsidR="00927EAA">
        <w:t>tydligt att</w:t>
      </w:r>
      <w:r>
        <w:t xml:space="preserve"> minoritetsskyddet </w:t>
      </w:r>
      <w:r w:rsidR="00B3243D">
        <w:t xml:space="preserve">är </w:t>
      </w:r>
      <w:r>
        <w:t>för svagt</w:t>
      </w:r>
      <w:r w:rsidR="00927EAA">
        <w:t xml:space="preserve"> och behöver stärkas</w:t>
      </w:r>
      <w:r>
        <w:t xml:space="preserve">. Exempelvis har Kronofogdemyndigheten hanterat en mängd ärenden </w:t>
      </w:r>
      <w:r w:rsidR="00927EAA">
        <w:t>som berört</w:t>
      </w:r>
      <w:r>
        <w:t xml:space="preserve"> </w:t>
      </w:r>
      <w:r w:rsidRPr="001F348E">
        <w:t>bostadsrättsföreningar som misstänks ha</w:t>
      </w:r>
      <w:r w:rsidR="00927EAA">
        <w:t xml:space="preserve"> misskötts eller</w:t>
      </w:r>
      <w:r w:rsidRPr="001F348E">
        <w:t xml:space="preserve"> kapats</w:t>
      </w:r>
      <w:r w:rsidR="00927EAA">
        <w:t xml:space="preserve"> i syfte att berika den eller </w:t>
      </w:r>
      <w:proofErr w:type="gramStart"/>
      <w:r w:rsidR="00927EAA">
        <w:t>de medlemmar</w:t>
      </w:r>
      <w:proofErr w:type="gramEnd"/>
      <w:r w:rsidR="00927EAA">
        <w:t xml:space="preserve"> </w:t>
      </w:r>
      <w:r w:rsidR="00AD502F">
        <w:t>m.fl.</w:t>
      </w:r>
      <w:r w:rsidR="00927EAA">
        <w:t xml:space="preserve"> som varit delaktiga i kapningen. Berörd m</w:t>
      </w:r>
      <w:r>
        <w:t xml:space="preserve">yndighet har </w:t>
      </w:r>
      <w:r w:rsidR="00927EAA">
        <w:t>därför</w:t>
      </w:r>
      <w:r>
        <w:t xml:space="preserve"> efterlyst ny lagstiftning</w:t>
      </w:r>
      <w:r w:rsidR="00927EAA">
        <w:t xml:space="preserve"> på området</w:t>
      </w:r>
      <w:r>
        <w:t>.</w:t>
      </w:r>
    </w:p>
    <w:p w:rsidR="001F348E" w:rsidP="00607ED6" w:rsidRDefault="001F348E" w14:paraId="5AF17B35" w14:textId="07ADA167">
      <w:r>
        <w:t xml:space="preserve">Centerpartiet instämmer </w:t>
      </w:r>
      <w:r w:rsidR="00AD502F">
        <w:t xml:space="preserve">i </w:t>
      </w:r>
      <w:r w:rsidR="00927EAA">
        <w:t>syftet med den föreslagna lagstiftningen</w:t>
      </w:r>
      <w:r>
        <w:t xml:space="preserve">. Det behövs ett starkare </w:t>
      </w:r>
      <w:r w:rsidR="00927EAA">
        <w:t>minoritetsskydd i aktiebolag och ekonomiska föreningar</w:t>
      </w:r>
      <w:r>
        <w:t xml:space="preserve">. Samtidigt är det viktigt att </w:t>
      </w:r>
      <w:r w:rsidR="00927EAA">
        <w:t>konstatera</w:t>
      </w:r>
      <w:r>
        <w:t xml:space="preserve"> att förslagen så</w:t>
      </w:r>
      <w:r w:rsidR="00AD502F">
        <w:t xml:space="preserve"> </w:t>
      </w:r>
      <w:r>
        <w:t xml:space="preserve">som de är utformade inte </w:t>
      </w:r>
      <w:r w:rsidR="00927EAA">
        <w:t xml:space="preserve">är så </w:t>
      </w:r>
      <w:r>
        <w:t>tydlig</w:t>
      </w:r>
      <w:r w:rsidR="00927EAA">
        <w:t>a</w:t>
      </w:r>
      <w:r>
        <w:t xml:space="preserve"> i alla </w:t>
      </w:r>
      <w:r w:rsidR="00927EAA">
        <w:t>delar</w:t>
      </w:r>
      <w:r>
        <w:t xml:space="preserve"> som hade varit önskvärt. </w:t>
      </w:r>
      <w:r w:rsidR="00927EAA">
        <w:t xml:space="preserve">Samtidigt är det viktigt att ha respekt för </w:t>
      </w:r>
      <w:r>
        <w:t xml:space="preserve">att myndigheter och domstolar </w:t>
      </w:r>
      <w:r w:rsidR="00927EAA">
        <w:t>ges</w:t>
      </w:r>
      <w:r>
        <w:t xml:space="preserve"> ett tolkningsutrymme. </w:t>
      </w:r>
      <w:r w:rsidR="00927EAA">
        <w:t xml:space="preserve">I vilken utsträckning frågan behöver regleras i </w:t>
      </w:r>
      <w:r w:rsidR="00927EAA">
        <w:lastRenderedPageBreak/>
        <w:t xml:space="preserve">olika detaljer behöver följas i samband med att lagstiftningen implementeras och möter verkligheten. </w:t>
      </w:r>
      <w:r>
        <w:t xml:space="preserve">För Centerpartiet är det </w:t>
      </w:r>
      <w:r w:rsidR="00927EAA">
        <w:t xml:space="preserve">därför </w:t>
      </w:r>
      <w:r>
        <w:t xml:space="preserve">viktigt att </w:t>
      </w:r>
      <w:r w:rsidR="00066D8D">
        <w:t>lagstiftningen</w:t>
      </w:r>
      <w:r>
        <w:t xml:space="preserve">, </w:t>
      </w:r>
      <w:r w:rsidR="00927EAA">
        <w:t xml:space="preserve">sedan den </w:t>
      </w:r>
      <w:r>
        <w:t>väl inför</w:t>
      </w:r>
      <w:r w:rsidR="00927EAA">
        <w:t>ts</w:t>
      </w:r>
      <w:r>
        <w:t xml:space="preserve">, </w:t>
      </w:r>
      <w:r w:rsidR="00556C23">
        <w:t xml:space="preserve">utvärderas senast tre år efter </w:t>
      </w:r>
      <w:r w:rsidR="00C27460">
        <w:t>att den trätt i</w:t>
      </w:r>
      <w:r w:rsidR="00AD502F">
        <w:t xml:space="preserve"> </w:t>
      </w:r>
      <w:r w:rsidR="00C27460">
        <w:t>kraft. Några av skälen till att vi anser att en sådan utvärdering är nödvändig avser vi</w:t>
      </w:r>
      <w:r w:rsidR="00AD502F">
        <w:t xml:space="preserve"> att</w:t>
      </w:r>
      <w:r w:rsidR="00C27460">
        <w:t xml:space="preserve"> beskriva nedan.</w:t>
      </w:r>
    </w:p>
    <w:p w:rsidRPr="00607ED6" w:rsidR="00556C23" w:rsidP="00607ED6" w:rsidRDefault="00D2383A" w14:paraId="7E3C8476" w14:textId="50B23D96">
      <w:pPr>
        <w:rPr>
          <w:spacing w:val="-2"/>
        </w:rPr>
      </w:pPr>
      <w:r w:rsidRPr="00607ED6">
        <w:rPr>
          <w:spacing w:val="-2"/>
        </w:rPr>
        <w:t>Förslagen</w:t>
      </w:r>
      <w:r w:rsidRPr="00607ED6" w:rsidR="00C27460">
        <w:rPr>
          <w:spacing w:val="-2"/>
        </w:rPr>
        <w:t xml:space="preserve"> i propositionen</w:t>
      </w:r>
      <w:r w:rsidRPr="00607ED6">
        <w:rPr>
          <w:spacing w:val="-2"/>
        </w:rPr>
        <w:t xml:space="preserve"> är tydliga vad avser en minoritets möjlighet</w:t>
      </w:r>
      <w:r w:rsidRPr="00607ED6" w:rsidR="00C27460">
        <w:rPr>
          <w:spacing w:val="-2"/>
        </w:rPr>
        <w:t xml:space="preserve"> att</w:t>
      </w:r>
      <w:r w:rsidRPr="00607ED6">
        <w:rPr>
          <w:spacing w:val="-2"/>
        </w:rPr>
        <w:t xml:space="preserve"> i en bostads</w:t>
      </w:r>
      <w:r w:rsidR="00607ED6">
        <w:rPr>
          <w:spacing w:val="-2"/>
        </w:rPr>
        <w:softHyphen/>
      </w:r>
      <w:r w:rsidRPr="00607ED6">
        <w:rPr>
          <w:spacing w:val="-2"/>
        </w:rPr>
        <w:t xml:space="preserve">rättsförening </w:t>
      </w:r>
      <w:r w:rsidRPr="00607ED6" w:rsidR="00C27460">
        <w:rPr>
          <w:spacing w:val="-2"/>
        </w:rPr>
        <w:t xml:space="preserve">anmäla om granskning </w:t>
      </w:r>
      <w:r w:rsidRPr="00607ED6">
        <w:rPr>
          <w:spacing w:val="-2"/>
        </w:rPr>
        <w:t xml:space="preserve">via </w:t>
      </w:r>
      <w:r w:rsidRPr="00607ED6" w:rsidR="008E1342">
        <w:rPr>
          <w:spacing w:val="-2"/>
        </w:rPr>
        <w:t>Bolagsverket</w:t>
      </w:r>
      <w:r w:rsidRPr="00607ED6">
        <w:rPr>
          <w:spacing w:val="-2"/>
        </w:rPr>
        <w:t>. Däremot riskerar begreppet ”u</w:t>
      </w:r>
      <w:r w:rsidRPr="00607ED6" w:rsidR="00556C23">
        <w:rPr>
          <w:spacing w:val="-2"/>
        </w:rPr>
        <w:t>pp</w:t>
      </w:r>
      <w:r w:rsidR="00607ED6">
        <w:rPr>
          <w:spacing w:val="-2"/>
        </w:rPr>
        <w:softHyphen/>
      </w:r>
      <w:r w:rsidRPr="00607ED6" w:rsidR="00556C23">
        <w:rPr>
          <w:spacing w:val="-2"/>
        </w:rPr>
        <w:t>enbart obehövlig”</w:t>
      </w:r>
      <w:r w:rsidRPr="00607ED6">
        <w:rPr>
          <w:spacing w:val="-2"/>
        </w:rPr>
        <w:t xml:space="preserve"> som används att leda till en varierad mängd tolkningar i relation till enskilda fall. Det är </w:t>
      </w:r>
      <w:r w:rsidRPr="00607ED6" w:rsidR="00AD502F">
        <w:rPr>
          <w:spacing w:val="-2"/>
        </w:rPr>
        <w:t>av</w:t>
      </w:r>
      <w:r w:rsidRPr="00607ED6">
        <w:rPr>
          <w:spacing w:val="-2"/>
        </w:rPr>
        <w:t xml:space="preserve"> lagtexten svårt att dra slutsatser kring hur ”uppenbart obehöv</w:t>
      </w:r>
      <w:bookmarkStart w:name="_GoBack" w:id="1"/>
      <w:bookmarkEnd w:id="1"/>
      <w:r w:rsidRPr="00607ED6">
        <w:rPr>
          <w:spacing w:val="-2"/>
        </w:rPr>
        <w:t>lig” ska tolkas</w:t>
      </w:r>
      <w:r w:rsidRPr="00607ED6" w:rsidR="00556C23">
        <w:rPr>
          <w:spacing w:val="-2"/>
        </w:rPr>
        <w:t>.</w:t>
      </w:r>
      <w:r w:rsidRPr="00607ED6" w:rsidR="00AC6F78">
        <w:rPr>
          <w:spacing w:val="-2"/>
        </w:rPr>
        <w:t xml:space="preserve"> </w:t>
      </w:r>
    </w:p>
    <w:p w:rsidR="00556C23" w:rsidP="00607ED6" w:rsidRDefault="00556C23" w14:paraId="171290E2" w14:textId="13AC4745">
      <w:r>
        <w:t>De</w:t>
      </w:r>
      <w:r w:rsidR="00AC6F78">
        <w:t>t finns anledning att i en utvärdering särskilt analysera den</w:t>
      </w:r>
      <w:r>
        <w:t xml:space="preserve"> särskild</w:t>
      </w:r>
      <w:r w:rsidR="00C27460">
        <w:t>a</w:t>
      </w:r>
      <w:r>
        <w:t xml:space="preserve"> granskarens rätt till ersättning. </w:t>
      </w:r>
      <w:r w:rsidR="00AC6F78">
        <w:t xml:space="preserve">I grunden handlar det om hur begreppet ”uppenbart obehövlig” ska tolkas i relation till vem som står ersättningsskyldig. Föreningen och bolaget ska ställa pant för granskarens kostnad. Det är problematiskt att förutse hur stor denna pant kan behöva vara och även dess storlek i relation till den aktuella föreningen eller bolagets kapital. Likaså, vilket i sig även är ett skydd mot ”onödiga” anmälningar, den som begär </w:t>
      </w:r>
      <w:r w:rsidRPr="00B3243D" w:rsidR="00B3243D">
        <w:t>att en särskild granskare ska utses, och det visar sig att det är ”uppenbart obehövligt” att den personen får stå för granskarens ersättning</w:t>
      </w:r>
      <w:r w:rsidR="00AC6F78">
        <w:t>. Det riskerar också att bli en faktor som minskar incitamentet att ansöka om granskning.</w:t>
      </w:r>
    </w:p>
    <w:p w:rsidR="00BB6339" w:rsidP="00607ED6" w:rsidRDefault="00AC6F78" w14:paraId="269EFAA1" w14:textId="535B99B3">
      <w:r>
        <w:t>När det kommer till frågan om ersättningsskyldighet</w:t>
      </w:r>
      <w:r w:rsidR="00CC2B76">
        <w:t xml:space="preserve"> för aktieägare</w:t>
      </w:r>
      <w:r>
        <w:t xml:space="preserve"> i publika bolag omfattas inte</w:t>
      </w:r>
      <w:r w:rsidR="00CC2B76">
        <w:t xml:space="preserve"> detta </w:t>
      </w:r>
      <w:r>
        <w:t xml:space="preserve">av förslagen i propositionen. </w:t>
      </w:r>
      <w:r w:rsidR="00CC2B76">
        <w:t>Regeringen konstaterar att d</w:t>
      </w:r>
      <w:r w:rsidRPr="00CC2B76" w:rsidR="00CC2B76">
        <w:t>et</w:t>
      </w:r>
      <w:r w:rsidR="00CC2B76">
        <w:t xml:space="preserve"> inte</w:t>
      </w:r>
      <w:r w:rsidRPr="00CC2B76" w:rsidR="00CC2B76">
        <w:t xml:space="preserve"> </w:t>
      </w:r>
      <w:r w:rsidR="00C27460">
        <w:t xml:space="preserve">finns </w:t>
      </w:r>
      <w:r w:rsidR="00CC2B76">
        <w:t>något</w:t>
      </w:r>
      <w:r w:rsidRPr="00CC2B76" w:rsidR="00CC2B76">
        <w:t xml:space="preserve"> som tyder på att ett missbruk </w:t>
      </w:r>
      <w:r w:rsidR="00CC2B76">
        <w:t xml:space="preserve">av granskningar </w:t>
      </w:r>
      <w:r w:rsidRPr="00CC2B76" w:rsidR="00CC2B76">
        <w:t>förekommer annat än undantagsvis, vare sig i aktiebolag eller i ekonomiska föreningar, och</w:t>
      </w:r>
      <w:r w:rsidR="00C27460">
        <w:t xml:space="preserve"> att</w:t>
      </w:r>
      <w:r w:rsidRPr="00CC2B76" w:rsidR="00CC2B76">
        <w:t xml:space="preserve"> en regel om ersättningsskyl</w:t>
      </w:r>
      <w:r w:rsidR="00607ED6">
        <w:softHyphen/>
      </w:r>
      <w:r w:rsidRPr="00CC2B76" w:rsidR="00CC2B76">
        <w:t xml:space="preserve">dighet troligen sällan </w:t>
      </w:r>
      <w:r w:rsidR="00C27460">
        <w:t>skulle komma att</w:t>
      </w:r>
      <w:r w:rsidRPr="00CC2B76" w:rsidR="00CC2B76">
        <w:t xml:space="preserve"> användas.</w:t>
      </w:r>
      <w:r w:rsidR="00CC2B76">
        <w:t xml:space="preserve"> Regeringen instämmer i att det är ett problem som ändå ska följas </w:t>
      </w:r>
      <w:r w:rsidR="00C27460">
        <w:t>framgent</w:t>
      </w:r>
      <w:r w:rsidR="00CC2B76">
        <w:t xml:space="preserve">. </w:t>
      </w:r>
      <w:r w:rsidR="00C27460">
        <w:t>Därför</w:t>
      </w:r>
      <w:r w:rsidR="00CC2B76">
        <w:t xml:space="preserve"> bör </w:t>
      </w:r>
      <w:r w:rsidR="00C27460">
        <w:t xml:space="preserve">även </w:t>
      </w:r>
      <w:r w:rsidR="00CC2B76">
        <w:t>denna frågeställning ingå i en utvärdering.</w:t>
      </w:r>
    </w:p>
    <w:p w:rsidR="00B3243D" w:rsidP="00607ED6" w:rsidRDefault="00B3243D" w14:paraId="3F4EC5A8" w14:textId="7FFAC9A4">
      <w:r w:rsidRPr="00B3243D">
        <w:t xml:space="preserve">Det vore värdefullt </w:t>
      </w:r>
      <w:r w:rsidR="00AD502F">
        <w:t>om</w:t>
      </w:r>
      <w:r w:rsidRPr="00B3243D">
        <w:t xml:space="preserve"> utvärderingen även omfatta</w:t>
      </w:r>
      <w:r w:rsidR="00AD502F">
        <w:t>de</w:t>
      </w:r>
      <w:r w:rsidRPr="00B3243D">
        <w:t xml:space="preserve"> de oegentligheter som före</w:t>
      </w:r>
      <w:r w:rsidR="00607ED6">
        <w:softHyphen/>
      </w:r>
      <w:r w:rsidRPr="00B3243D">
        <w:t>kommit och hur de ha</w:t>
      </w:r>
      <w:r w:rsidR="00AD502F">
        <w:t>r</w:t>
      </w:r>
      <w:r w:rsidRPr="00B3243D">
        <w:t xml:space="preserve"> följts upp. </w:t>
      </w:r>
    </w:p>
    <w:sdt>
      <w:sdtPr>
        <w:alias w:val="CC_Underskrifter"/>
        <w:tag w:val="CC_Underskrifter"/>
        <w:id w:val="583496634"/>
        <w:lock w:val="sdtContentLocked"/>
        <w:placeholder>
          <w:docPart w:val="DF0BF39F3FD542FFBDE51EF8A2B12200"/>
        </w:placeholder>
      </w:sdtPr>
      <w:sdtEndPr/>
      <w:sdtContent>
        <w:p w:rsidR="00A71439" w:rsidP="00A71439" w:rsidRDefault="00A71439" w14:paraId="2215F97F" w14:textId="77777777"/>
        <w:p w:rsidRPr="008E0FE2" w:rsidR="004801AC" w:rsidP="00A71439" w:rsidRDefault="00607ED6" w14:paraId="15A3D1DD" w14:textId="59A3F7C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Martina Johansson (C)</w:t>
            </w:r>
          </w:p>
        </w:tc>
        <w:tc>
          <w:tcPr>
            <w:tcW w:w="50" w:type="pct"/>
            <w:vAlign w:val="bottom"/>
          </w:tcPr>
          <w:p>
            <w:pPr>
              <w:pStyle w:val="Underskrifter"/>
            </w:pPr>
            <w:r>
              <w:t> </w:t>
            </w:r>
          </w:p>
        </w:tc>
      </w:tr>
      <w:tr>
        <w:trPr>
          <w:cantSplit/>
        </w:trPr>
        <w:tc>
          <w:tcPr>
            <w:tcW w:w="50" w:type="pct"/>
            <w:vAlign w:val="bottom"/>
          </w:tcPr>
          <w:p>
            <w:pPr>
              <w:pStyle w:val="Underskrifter"/>
              <w:spacing w:after="0"/>
            </w:pPr>
            <w:r>
              <w:t>Ola Johansson (C)</w:t>
            </w:r>
          </w:p>
        </w:tc>
        <w:tc>
          <w:tcPr>
            <w:tcW w:w="50" w:type="pct"/>
            <w:vAlign w:val="bottom"/>
          </w:tcPr>
          <w:p>
            <w:pPr>
              <w:pStyle w:val="Underskrifter"/>
              <w:spacing w:after="0"/>
            </w:pPr>
            <w:r>
              <w:t>Anne-Li Sjölund (C)</w:t>
            </w:r>
          </w:p>
        </w:tc>
      </w:tr>
    </w:tbl>
    <w:p w:rsidR="002E41F4" w:rsidRDefault="002E41F4" w14:paraId="3401BBDB" w14:textId="77777777"/>
    <w:sectPr w:rsidR="002E41F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82C42" w14:textId="77777777" w:rsidR="004D2296" w:rsidRDefault="004D2296" w:rsidP="000C1CAD">
      <w:pPr>
        <w:spacing w:line="240" w:lineRule="auto"/>
      </w:pPr>
      <w:r>
        <w:separator/>
      </w:r>
    </w:p>
  </w:endnote>
  <w:endnote w:type="continuationSeparator" w:id="0">
    <w:p w14:paraId="291E40BF" w14:textId="77777777" w:rsidR="004D2296" w:rsidRDefault="004D22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A77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E5F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64BA5" w14:textId="06A73CA0" w:rsidR="00262EA3" w:rsidRPr="00A71439" w:rsidRDefault="00262EA3" w:rsidP="00A714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271B7" w14:textId="77777777" w:rsidR="004D2296" w:rsidRDefault="004D2296" w:rsidP="000C1CAD">
      <w:pPr>
        <w:spacing w:line="240" w:lineRule="auto"/>
      </w:pPr>
      <w:r>
        <w:separator/>
      </w:r>
    </w:p>
  </w:footnote>
  <w:footnote w:type="continuationSeparator" w:id="0">
    <w:p w14:paraId="647F83CF" w14:textId="77777777" w:rsidR="004D2296" w:rsidRDefault="004D22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08658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3AEF5E" wp14:anchorId="68C44F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7ED6" w14:paraId="72D3B572" w14:textId="77777777">
                          <w:pPr>
                            <w:jc w:val="right"/>
                          </w:pPr>
                          <w:sdt>
                            <w:sdtPr>
                              <w:alias w:val="CC_Noformat_Partikod"/>
                              <w:tag w:val="CC_Noformat_Partikod"/>
                              <w:id w:val="-53464382"/>
                              <w:placeholder>
                                <w:docPart w:val="D697035F3D584833BB31EA3074028768"/>
                              </w:placeholder>
                              <w:text/>
                            </w:sdtPr>
                            <w:sdtEndPr/>
                            <w:sdtContent>
                              <w:r w:rsidR="00883916">
                                <w:t>C</w:t>
                              </w:r>
                            </w:sdtContent>
                          </w:sdt>
                          <w:sdt>
                            <w:sdtPr>
                              <w:alias w:val="CC_Noformat_Partinummer"/>
                              <w:tag w:val="CC_Noformat_Partinummer"/>
                              <w:id w:val="-1709555926"/>
                              <w:placeholder>
                                <w:docPart w:val="419EE8B6DD664EA581CA6BF3477AC69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C44F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07ED6" w14:paraId="72D3B572" w14:textId="77777777">
                    <w:pPr>
                      <w:jc w:val="right"/>
                    </w:pPr>
                    <w:sdt>
                      <w:sdtPr>
                        <w:alias w:val="CC_Noformat_Partikod"/>
                        <w:tag w:val="CC_Noformat_Partikod"/>
                        <w:id w:val="-53464382"/>
                        <w:placeholder>
                          <w:docPart w:val="D697035F3D584833BB31EA3074028768"/>
                        </w:placeholder>
                        <w:text/>
                      </w:sdtPr>
                      <w:sdtEndPr/>
                      <w:sdtContent>
                        <w:r w:rsidR="00883916">
                          <w:t>C</w:t>
                        </w:r>
                      </w:sdtContent>
                    </w:sdt>
                    <w:sdt>
                      <w:sdtPr>
                        <w:alias w:val="CC_Noformat_Partinummer"/>
                        <w:tag w:val="CC_Noformat_Partinummer"/>
                        <w:id w:val="-1709555926"/>
                        <w:placeholder>
                          <w:docPart w:val="419EE8B6DD664EA581CA6BF3477AC69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CFCC3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7DF43E9" w14:textId="77777777">
    <w:pPr>
      <w:jc w:val="right"/>
    </w:pPr>
  </w:p>
  <w:p w:rsidR="00262EA3" w:rsidP="00776B74" w:rsidRDefault="00262EA3" w14:paraId="7B3D2D0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07ED6" w14:paraId="6518B57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8CBA4C" wp14:anchorId="45FDD2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7ED6" w14:paraId="7FF6540B" w14:textId="164338D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8391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07ED6" w14:paraId="2803249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7ED6" w14:paraId="1B9F21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:310</w:t>
        </w:r>
      </w:sdtContent>
    </w:sdt>
  </w:p>
  <w:p w:rsidR="00262EA3" w:rsidP="00E03A3D" w:rsidRDefault="00607ED6" w14:paraId="42E4501E" w14:textId="604042D6">
    <w:pPr>
      <w:pStyle w:val="Motionr"/>
    </w:pPr>
    <w:sdt>
      <w:sdtPr>
        <w:alias w:val="CC_Noformat_Avtext"/>
        <w:tag w:val="CC_Noformat_Avtext"/>
        <w:id w:val="-2020768203"/>
        <w:lock w:val="sdtContentLocked"/>
        <w15:appearance w15:val="hidden"/>
        <w:text/>
      </w:sdtPr>
      <w:sdtEndPr/>
      <w:sdtContent>
        <w:r>
          <w:t>av Martina Johansson m.fl. (C)</w:t>
        </w:r>
      </w:sdtContent>
    </w:sdt>
  </w:p>
  <w:sdt>
    <w:sdtPr>
      <w:alias w:val="CC_Noformat_Rubtext"/>
      <w:tag w:val="CC_Noformat_Rubtext"/>
      <w:id w:val="-218060500"/>
      <w:lock w:val="sdtLocked"/>
      <w:text/>
    </w:sdtPr>
    <w:sdtEndPr/>
    <w:sdtContent>
      <w:p w:rsidR="00262EA3" w:rsidP="00283E0F" w:rsidRDefault="00467F82" w14:paraId="4BE26763" w14:textId="69253999">
        <w:pPr>
          <w:pStyle w:val="FSHRub2"/>
        </w:pPr>
        <w:r>
          <w:t>med anledning av prop. 2019/20:194 Ett ändamålsenligt minoritetsskydd i aktiebolag och ekonomiska föreningar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47A52E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839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D8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AC3"/>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2BC"/>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48E"/>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48A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1F4"/>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44"/>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772"/>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F82"/>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296"/>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C23"/>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F17"/>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ED6"/>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EB1"/>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62A"/>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916"/>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34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27EAA"/>
    <w:rsid w:val="00930345"/>
    <w:rsid w:val="009303EF"/>
    <w:rsid w:val="0093082B"/>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439"/>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D3B"/>
    <w:rsid w:val="00AC6F78"/>
    <w:rsid w:val="00AC78AC"/>
    <w:rsid w:val="00AD076C"/>
    <w:rsid w:val="00AD09A8"/>
    <w:rsid w:val="00AD28F9"/>
    <w:rsid w:val="00AD2CD8"/>
    <w:rsid w:val="00AD3653"/>
    <w:rsid w:val="00AD3EDA"/>
    <w:rsid w:val="00AD495E"/>
    <w:rsid w:val="00AD4BAC"/>
    <w:rsid w:val="00AD502F"/>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28D"/>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43D"/>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7DC"/>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6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B76"/>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2D6"/>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3A"/>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58DC"/>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66C9"/>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711"/>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252"/>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9DA6D6E"/>
  <w15:chartTrackingRefBased/>
  <w15:docId w15:val="{04FEB961-83BE-4732-82C4-990C5C350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6FDB8123F444851905BA5C630D600BF"/>
        <w:category>
          <w:name w:val="Allmänt"/>
          <w:gallery w:val="placeholder"/>
        </w:category>
        <w:types>
          <w:type w:val="bbPlcHdr"/>
        </w:types>
        <w:behaviors>
          <w:behavior w:val="content"/>
        </w:behaviors>
        <w:guid w:val="{403BEAA8-E1AF-48B2-B139-3C338E7E02EC}"/>
      </w:docPartPr>
      <w:docPartBody>
        <w:p w:rsidR="00FB69B9" w:rsidRDefault="00B90086">
          <w:pPr>
            <w:pStyle w:val="16FDB8123F444851905BA5C630D600BF"/>
          </w:pPr>
          <w:r w:rsidRPr="005A0A93">
            <w:rPr>
              <w:rStyle w:val="Platshllartext"/>
            </w:rPr>
            <w:t>Förslag till riksdagsbeslut</w:t>
          </w:r>
        </w:p>
      </w:docPartBody>
    </w:docPart>
    <w:docPart>
      <w:docPartPr>
        <w:name w:val="D7CF8087F0324081947B4F21B69869BC"/>
        <w:category>
          <w:name w:val="Allmänt"/>
          <w:gallery w:val="placeholder"/>
        </w:category>
        <w:types>
          <w:type w:val="bbPlcHdr"/>
        </w:types>
        <w:behaviors>
          <w:behavior w:val="content"/>
        </w:behaviors>
        <w:guid w:val="{74C0F685-3AE8-4E38-9572-1182813D3BA7}"/>
      </w:docPartPr>
      <w:docPartBody>
        <w:p w:rsidR="00FB69B9" w:rsidRDefault="00B90086">
          <w:pPr>
            <w:pStyle w:val="D7CF8087F0324081947B4F21B69869BC"/>
          </w:pPr>
          <w:r w:rsidRPr="005A0A93">
            <w:rPr>
              <w:rStyle w:val="Platshllartext"/>
            </w:rPr>
            <w:t>Motivering</w:t>
          </w:r>
        </w:p>
      </w:docPartBody>
    </w:docPart>
    <w:docPart>
      <w:docPartPr>
        <w:name w:val="D697035F3D584833BB31EA3074028768"/>
        <w:category>
          <w:name w:val="Allmänt"/>
          <w:gallery w:val="placeholder"/>
        </w:category>
        <w:types>
          <w:type w:val="bbPlcHdr"/>
        </w:types>
        <w:behaviors>
          <w:behavior w:val="content"/>
        </w:behaviors>
        <w:guid w:val="{A3460F9E-F1A6-4799-88CF-0D3FE214D5A8}"/>
      </w:docPartPr>
      <w:docPartBody>
        <w:p w:rsidR="00FB69B9" w:rsidRDefault="00B90086">
          <w:pPr>
            <w:pStyle w:val="D697035F3D584833BB31EA3074028768"/>
          </w:pPr>
          <w:r>
            <w:rPr>
              <w:rStyle w:val="Platshllartext"/>
            </w:rPr>
            <w:t xml:space="preserve"> </w:t>
          </w:r>
        </w:p>
      </w:docPartBody>
    </w:docPart>
    <w:docPart>
      <w:docPartPr>
        <w:name w:val="419EE8B6DD664EA581CA6BF3477AC69D"/>
        <w:category>
          <w:name w:val="Allmänt"/>
          <w:gallery w:val="placeholder"/>
        </w:category>
        <w:types>
          <w:type w:val="bbPlcHdr"/>
        </w:types>
        <w:behaviors>
          <w:behavior w:val="content"/>
        </w:behaviors>
        <w:guid w:val="{23863B6C-D351-42E2-9565-3E8745B4DAF9}"/>
      </w:docPartPr>
      <w:docPartBody>
        <w:p w:rsidR="00FB69B9" w:rsidRDefault="00B90086">
          <w:pPr>
            <w:pStyle w:val="419EE8B6DD664EA581CA6BF3477AC69D"/>
          </w:pPr>
          <w:r>
            <w:t xml:space="preserve"> </w:t>
          </w:r>
        </w:p>
      </w:docPartBody>
    </w:docPart>
    <w:docPart>
      <w:docPartPr>
        <w:name w:val="DF0BF39F3FD542FFBDE51EF8A2B12200"/>
        <w:category>
          <w:name w:val="Allmänt"/>
          <w:gallery w:val="placeholder"/>
        </w:category>
        <w:types>
          <w:type w:val="bbPlcHdr"/>
        </w:types>
        <w:behaviors>
          <w:behavior w:val="content"/>
        </w:behaviors>
        <w:guid w:val="{93B82B53-5BD8-455B-8FC1-57AFBD2F75F3}"/>
      </w:docPartPr>
      <w:docPartBody>
        <w:p w:rsidR="00E446F9" w:rsidRDefault="00E446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086"/>
    <w:rsid w:val="00A60BFB"/>
    <w:rsid w:val="00A65BE2"/>
    <w:rsid w:val="00B90086"/>
    <w:rsid w:val="00E446F9"/>
    <w:rsid w:val="00FB69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FDB8123F444851905BA5C630D600BF">
    <w:name w:val="16FDB8123F444851905BA5C630D600BF"/>
  </w:style>
  <w:style w:type="paragraph" w:customStyle="1" w:styleId="D7638E6F64464A15B2CC91ED94B609C1">
    <w:name w:val="D7638E6F64464A15B2CC91ED94B609C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1561670E437415A846658F119334D9E">
    <w:name w:val="B1561670E437415A846658F119334D9E"/>
  </w:style>
  <w:style w:type="paragraph" w:customStyle="1" w:styleId="D7CF8087F0324081947B4F21B69869BC">
    <w:name w:val="D7CF8087F0324081947B4F21B69869BC"/>
  </w:style>
  <w:style w:type="paragraph" w:customStyle="1" w:styleId="011F22E425044602A143620FBBEDF065">
    <w:name w:val="011F22E425044602A143620FBBEDF065"/>
  </w:style>
  <w:style w:type="paragraph" w:customStyle="1" w:styleId="F00B21FB54C84F7C8ADAECD2CC43844C">
    <w:name w:val="F00B21FB54C84F7C8ADAECD2CC43844C"/>
  </w:style>
  <w:style w:type="paragraph" w:customStyle="1" w:styleId="D697035F3D584833BB31EA3074028768">
    <w:name w:val="D697035F3D584833BB31EA3074028768"/>
  </w:style>
  <w:style w:type="paragraph" w:customStyle="1" w:styleId="419EE8B6DD664EA581CA6BF3477AC69D">
    <w:name w:val="419EE8B6DD664EA581CA6BF3477AC6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CDB71B-70D0-492A-90A1-BB5BDAB871EC}"/>
</file>

<file path=customXml/itemProps2.xml><?xml version="1.0" encoding="utf-8"?>
<ds:datastoreItem xmlns:ds="http://schemas.openxmlformats.org/officeDocument/2006/customXml" ds:itemID="{9723A4CC-43E4-4897-A71F-76FAA6AE21F4}"/>
</file>

<file path=customXml/itemProps3.xml><?xml version="1.0" encoding="utf-8"?>
<ds:datastoreItem xmlns:ds="http://schemas.openxmlformats.org/officeDocument/2006/customXml" ds:itemID="{D88F6E36-11AF-43F2-9671-CED7AA8B3E73}"/>
</file>

<file path=docProps/app.xml><?xml version="1.0" encoding="utf-8"?>
<Properties xmlns="http://schemas.openxmlformats.org/officeDocument/2006/extended-properties" xmlns:vt="http://schemas.openxmlformats.org/officeDocument/2006/docPropsVTypes">
  <Template>Normal</Template>
  <TotalTime>16</TotalTime>
  <Pages>2</Pages>
  <Words>572</Words>
  <Characters>3372</Characters>
  <Application>Microsoft Office Word</Application>
  <DocSecurity>0</DocSecurity>
  <Lines>60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Proposition 2019 20 194 Ett ändamålsenligt minoritetsskydd i aktiebolag och  ekonomiska föreningar</vt:lpstr>
      <vt:lpstr>
      </vt:lpstr>
    </vt:vector>
  </TitlesOfParts>
  <Company>Sveriges riksdag</Company>
  <LinksUpToDate>false</LinksUpToDate>
  <CharactersWithSpaces>3928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