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026" w:rsidRPr="0091284A" w:rsidRDefault="00C77026" w:rsidP="00AF523B">
      <w:pPr>
        <w:pStyle w:val="Hemstlrubrik"/>
      </w:pPr>
      <w:r w:rsidRPr="0091284A">
        <w:t>Förslag till riksdagsbeslut</w:t>
      </w:r>
    </w:p>
    <w:p w:rsidR="00C77026" w:rsidRPr="0091284A" w:rsidRDefault="00C77026">
      <w:pPr>
        <w:pStyle w:val="Hemstlatt"/>
      </w:pPr>
      <w:r w:rsidRPr="0091284A">
        <w:t>Riksdagen tillkännager för regeringen som sin mening vad i motionen anförs om inkomsteffekterna och de regionala effekterna av skattevä</w:t>
      </w:r>
      <w:r w:rsidRPr="0091284A">
        <w:t>x</w:t>
      </w:r>
      <w:r w:rsidRPr="0091284A">
        <w:t>lingen.</w:t>
      </w:r>
    </w:p>
    <w:p w:rsidR="00C77026" w:rsidRPr="0091284A" w:rsidRDefault="00C77026">
      <w:pPr>
        <w:pStyle w:val="Rubrik1"/>
      </w:pPr>
      <w:r w:rsidRPr="0091284A">
        <w:t>Motivering</w:t>
      </w:r>
    </w:p>
    <w:p w:rsidR="00C77026" w:rsidRPr="0091284A" w:rsidRDefault="00C77026">
      <w:pPr>
        <w:rPr>
          <w:szCs w:val="24"/>
        </w:rPr>
      </w:pPr>
      <w:r w:rsidRPr="0091284A">
        <w:rPr>
          <w:szCs w:val="24"/>
        </w:rPr>
        <w:t xml:space="preserve">I den s.k. Skatteväxlingsutredningen utsades klart att skatteväxlingen inte fick leda till vare sig ökade inkomstskillnader eller ökade regionala skillnader. Ordagrant hette det på sidan 19: </w:t>
      </w:r>
      <w:r w:rsidR="00AF523B" w:rsidRPr="0091284A">
        <w:rPr>
          <w:szCs w:val="24"/>
        </w:rPr>
        <w:t>”</w:t>
      </w:r>
      <w:r w:rsidRPr="0091284A">
        <w:rPr>
          <w:iCs/>
          <w:szCs w:val="24"/>
        </w:rPr>
        <w:t>Kommittén anser att fördelningseffekterna av en skatteväxling noga måste vägas in i hur besluten på detta område fattas. Effekten av en skatteväxling får inte bli att hushåll med små marginaler får sämre välfärd. Inte heller får växlingen leda till att d</w:t>
      </w:r>
      <w:r w:rsidR="00AF523B" w:rsidRPr="0091284A">
        <w:rPr>
          <w:iCs/>
          <w:szCs w:val="24"/>
        </w:rPr>
        <w:t>e regionala skillnaderna ökar.”</w:t>
      </w:r>
    </w:p>
    <w:p w:rsidR="00C77026" w:rsidRPr="0091284A" w:rsidRDefault="00C77026">
      <w:pPr>
        <w:pStyle w:val="Normaltindrag"/>
      </w:pPr>
      <w:r w:rsidRPr="0091284A">
        <w:t>Nu beror naturligtvis de regionala skillnaderna (liksom inkomstskillnade</w:t>
      </w:r>
      <w:r w:rsidRPr="0091284A">
        <w:t>r</w:t>
      </w:r>
      <w:r w:rsidRPr="0091284A">
        <w:t>na) på vilka konkreta åtgärder som vidtas. Hittills har emellertid skattevä</w:t>
      </w:r>
      <w:r w:rsidRPr="0091284A">
        <w:t>x</w:t>
      </w:r>
      <w:r w:rsidRPr="0091284A">
        <w:t>lingens huvudspår varit att höja framför allt energiskatterna (alternativt kold</w:t>
      </w:r>
      <w:r w:rsidRPr="0091284A">
        <w:t>i</w:t>
      </w:r>
      <w:r w:rsidRPr="0091284A">
        <w:t>oxidskatten) och i gengäld sänka inkomstskatten, de sociala avgifterna och/eller höja grundavdragen. Det är vanskligt att säga exakt hur dessa fö</w:t>
      </w:r>
      <w:r w:rsidRPr="0091284A">
        <w:t>r</w:t>
      </w:r>
      <w:r w:rsidRPr="0091284A">
        <w:t>ändringar slår regionalt, men klart är att ökning av energiskatterna får regi</w:t>
      </w:r>
      <w:r w:rsidRPr="0091284A">
        <w:t>o</w:t>
      </w:r>
      <w:r w:rsidRPr="0091284A">
        <w:t>nala effekter. I den bilaga till Långtidsutredningen som presenterades för några år sedan – och som behandlade miljöpolitikens fördelningseffekter – framgick klart att den gröna skatteväxlingen främst missgynnade låginkoms</w:t>
      </w:r>
      <w:r w:rsidRPr="0091284A">
        <w:t>t</w:t>
      </w:r>
      <w:r w:rsidRPr="0091284A">
        <w:t>tagare och glesbygdsbor.</w:t>
      </w:r>
    </w:p>
    <w:p w:rsidR="00C77026" w:rsidRPr="0091284A" w:rsidRDefault="00C77026">
      <w:pPr>
        <w:pStyle w:val="Normaltindrag"/>
        <w:rPr>
          <w:szCs w:val="24"/>
        </w:rPr>
      </w:pPr>
      <w:r w:rsidRPr="0091284A">
        <w:rPr>
          <w:szCs w:val="24"/>
        </w:rPr>
        <w:t>Årets planerade skatteväxling bara en liten del av det totala paketet med grön skatteväxling vilket, som bekant, omfattar 30 miljarder. Med årets vä</w:t>
      </w:r>
      <w:r w:rsidRPr="0091284A">
        <w:rPr>
          <w:szCs w:val="24"/>
        </w:rPr>
        <w:t>x</w:t>
      </w:r>
      <w:r w:rsidRPr="0091284A">
        <w:rPr>
          <w:szCs w:val="24"/>
        </w:rPr>
        <w:t>ling har man hunnit ungefär halvvägs, men trots detta har ännu ingen utvärd</w:t>
      </w:r>
      <w:r w:rsidRPr="0091284A">
        <w:rPr>
          <w:szCs w:val="24"/>
        </w:rPr>
        <w:t>e</w:t>
      </w:r>
      <w:r w:rsidRPr="0091284A">
        <w:rPr>
          <w:szCs w:val="24"/>
        </w:rPr>
        <w:t xml:space="preserve">ring gjorts om de samlade effekterna på inkomstfördelning och regionalt utfall. Detta är anledningen till denna motion. Jag utgår från att regeringen </w:t>
      </w:r>
      <w:r w:rsidRPr="0091284A">
        <w:rPr>
          <w:szCs w:val="24"/>
        </w:rPr>
        <w:lastRenderedPageBreak/>
        <w:t>följer upp skatteväxlingens effekter och beräknar det utfall som den gröna skatteväxlingen hittills lett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F523B" w:rsidRPr="0091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523B" w:rsidRPr="0091284A" w:rsidRDefault="00AF523B" w:rsidP="00AF523B">
            <w:pPr>
              <w:pStyle w:val="UnderskriftDatum"/>
              <w:spacing w:before="240"/>
            </w:pPr>
            <w:r w:rsidRPr="0091284A">
              <w:t>Stockholm den 3 oktober 2005</w:t>
            </w:r>
          </w:p>
        </w:tc>
        <w:tc>
          <w:tcPr>
            <w:tcW w:w="3047" w:type="dxa"/>
          </w:tcPr>
          <w:p w:rsidR="00AF523B" w:rsidRPr="0091284A" w:rsidRDefault="00AF523B" w:rsidP="00AF523B">
            <w:pPr>
              <w:pStyle w:val="Underskrifter"/>
              <w:spacing w:before="240"/>
            </w:pPr>
          </w:p>
        </w:tc>
      </w:tr>
      <w:tr w:rsidR="00AF523B" w:rsidRPr="00912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523B" w:rsidRPr="0091284A" w:rsidRDefault="00AF523B" w:rsidP="00AF523B">
            <w:pPr>
              <w:pStyle w:val="Underskrifter"/>
            </w:pPr>
            <w:r w:rsidRPr="0091284A">
              <w:t>Sören Wibe (s)</w:t>
            </w:r>
          </w:p>
        </w:tc>
        <w:tc>
          <w:tcPr>
            <w:tcW w:w="3047" w:type="dxa"/>
          </w:tcPr>
          <w:p w:rsidR="00AF523B" w:rsidRPr="0091284A" w:rsidRDefault="00AF523B" w:rsidP="00AF523B">
            <w:pPr>
              <w:pStyle w:val="Underskrifter"/>
            </w:pPr>
          </w:p>
        </w:tc>
      </w:tr>
    </w:tbl>
    <w:p w:rsidR="00C77026" w:rsidRPr="0091284A" w:rsidRDefault="00C77026" w:rsidP="00AF523B">
      <w:pPr>
        <w:pStyle w:val="Normaltindrag"/>
      </w:pPr>
    </w:p>
    <w:sectPr w:rsidR="00C77026" w:rsidRPr="0091284A" w:rsidSect="00AF5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79D" w:rsidRPr="0091284A" w:rsidRDefault="00F3379D">
      <w:r w:rsidRPr="0091284A">
        <w:separator/>
      </w:r>
    </w:p>
  </w:endnote>
  <w:endnote w:type="continuationSeparator" w:id="0">
    <w:p w:rsidR="00F3379D" w:rsidRPr="0091284A" w:rsidRDefault="00F3379D">
      <w:r w:rsidRPr="009128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26" w:rsidRPr="0091284A" w:rsidRDefault="0091284A" w:rsidP="00AF523B">
    <w:pPr>
      <w:pStyle w:val="Sidfot"/>
    </w:pPr>
    <w:r w:rsidRPr="009128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59303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23B" w:rsidRDefault="00AF52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523B" w:rsidRDefault="00AF52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26" w:rsidRPr="0091284A" w:rsidRDefault="0091284A" w:rsidP="00AF523B">
    <w:pPr>
      <w:pStyle w:val="Sidfot"/>
    </w:pPr>
    <w:r w:rsidRPr="009128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76998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23B" w:rsidRDefault="00AF52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523B" w:rsidRDefault="00AF52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26" w:rsidRPr="0091284A" w:rsidRDefault="0091284A" w:rsidP="00AF523B">
    <w:pPr>
      <w:pStyle w:val="Sidfot"/>
    </w:pPr>
    <w:r w:rsidRPr="009128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16999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23B" w:rsidRDefault="00AF52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523B" w:rsidRDefault="00AF52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79D" w:rsidRPr="0091284A" w:rsidRDefault="00F3379D">
      <w:r w:rsidRPr="0091284A">
        <w:separator/>
      </w:r>
    </w:p>
  </w:footnote>
  <w:footnote w:type="continuationSeparator" w:id="0">
    <w:p w:rsidR="00F3379D" w:rsidRPr="0091284A" w:rsidRDefault="00F3379D">
      <w:r w:rsidRPr="009128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26" w:rsidRPr="0091284A" w:rsidRDefault="0091284A" w:rsidP="00AF523B">
    <w:pPr>
      <w:pStyle w:val="Sidhuvud"/>
    </w:pPr>
    <w:r w:rsidRPr="009128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69336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23B" w:rsidRDefault="00AF52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523B" w:rsidRDefault="00AF52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26" w:rsidRPr="0091284A" w:rsidRDefault="0091284A" w:rsidP="00AF523B">
    <w:pPr>
      <w:pStyle w:val="Sidhuvud"/>
    </w:pPr>
    <w:r w:rsidRPr="009128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39621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23B" w:rsidRDefault="00AF52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523B" w:rsidRDefault="00AF52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23B" w:rsidRPr="0091284A" w:rsidRDefault="00AF523B">
    <w:pPr>
      <w:pStyle w:val="FSHNormal"/>
      <w:tabs>
        <w:tab w:val="right" w:pos="5840"/>
      </w:tabs>
    </w:pPr>
    <w:r w:rsidRPr="0091284A">
      <w:br/>
    </w:r>
    <w:r w:rsidRPr="0091284A">
      <w:fldChar w:fldCharType="begin" w:fldLock="1"/>
    </w:r>
    <w:r w:rsidRPr="0091284A">
      <w:instrText xml:space="preserve"> DOCPROPERTY</w:instrText>
    </w:r>
    <w:r w:rsidRPr="0091284A">
      <w:rPr>
        <w:sz w:val="18"/>
      </w:rPr>
      <w:instrText xml:space="preserve"> "YearUser" *\charformat </w:instrText>
    </w:r>
    <w:r w:rsidRPr="0091284A">
      <w:fldChar w:fldCharType="separate"/>
    </w:r>
    <w:r w:rsidRPr="0091284A">
      <w:t>2005/06</w:t>
    </w:r>
    <w:r w:rsidRPr="0091284A">
      <w:fldChar w:fldCharType="end"/>
    </w:r>
    <w:r w:rsidRPr="0091284A">
      <w:t xml:space="preserve"> </w:t>
    </w:r>
    <w:r w:rsidRPr="0091284A">
      <w:tab/>
      <w:t xml:space="preserve">mnr: </w:t>
    </w:r>
    <w:r w:rsidRPr="0091284A">
      <w:fldChar w:fldCharType="begin" w:fldLock="1"/>
    </w:r>
    <w:r w:rsidRPr="0091284A">
      <w:instrText xml:space="preserve"> DOCPROPERTY</w:instrText>
    </w:r>
    <w:r w:rsidRPr="0091284A">
      <w:rPr>
        <w:sz w:val="18"/>
      </w:rPr>
      <w:instrText xml:space="preserve"> "Motionsnummer" *\charformat </w:instrText>
    </w:r>
    <w:r w:rsidRPr="0091284A">
      <w:fldChar w:fldCharType="separate"/>
    </w:r>
    <w:r w:rsidRPr="0091284A">
      <w:t>Sk470</w:t>
    </w:r>
    <w:r w:rsidRPr="0091284A">
      <w:fldChar w:fldCharType="end"/>
    </w:r>
    <w:r w:rsidRPr="0091284A">
      <w:br/>
    </w:r>
    <w:r w:rsidRPr="0091284A">
      <w:fldChar w:fldCharType="begin" w:fldLock="1"/>
    </w:r>
    <w:r w:rsidRPr="0091284A">
      <w:instrText xml:space="preserve"> DOCPROPERTY</w:instrText>
    </w:r>
    <w:r w:rsidRPr="0091284A">
      <w:rPr>
        <w:sz w:val="18"/>
      </w:rPr>
      <w:instrText xml:space="preserve"> "Samling" *\charformat </w:instrText>
    </w:r>
    <w:r w:rsidRPr="0091284A">
      <w:fldChar w:fldCharType="end"/>
    </w:r>
    <w:r w:rsidRPr="0091284A">
      <w:tab/>
      <w:t xml:space="preserve">pnr: </w:t>
    </w:r>
    <w:r w:rsidRPr="0091284A">
      <w:fldChar w:fldCharType="begin" w:fldLock="1"/>
    </w:r>
    <w:r w:rsidRPr="0091284A">
      <w:instrText xml:space="preserve"> DOCPROPERTY</w:instrText>
    </w:r>
    <w:r w:rsidRPr="0091284A">
      <w:rPr>
        <w:sz w:val="18"/>
      </w:rPr>
      <w:instrText xml:space="preserve"> "Partinummer" *\charformat </w:instrText>
    </w:r>
    <w:r w:rsidRPr="0091284A">
      <w:fldChar w:fldCharType="separate"/>
    </w:r>
    <w:r w:rsidRPr="0091284A">
      <w:t>s45222</w:t>
    </w:r>
    <w:r w:rsidRPr="0091284A">
      <w:fldChar w:fldCharType="end"/>
    </w:r>
  </w:p>
  <w:p w:rsidR="00AF523B" w:rsidRPr="0091284A" w:rsidRDefault="00AF523B">
    <w:pPr>
      <w:pStyle w:val="FSHRub1"/>
    </w:pPr>
    <w:r w:rsidRPr="0091284A">
      <w:t>Motion till riksdagen</w:t>
    </w:r>
    <w:r w:rsidRPr="0091284A">
      <w:br/>
    </w:r>
    <w:r w:rsidRPr="0091284A">
      <w:fldChar w:fldCharType="begin" w:fldLock="1"/>
    </w:r>
    <w:r w:rsidRPr="0091284A">
      <w:instrText xml:space="preserve"> DOCPROPERTY "YearUser" *\charformat </w:instrText>
    </w:r>
    <w:r w:rsidRPr="0091284A">
      <w:fldChar w:fldCharType="separate"/>
    </w:r>
    <w:r w:rsidRPr="0091284A">
      <w:t>2005/06</w:t>
    </w:r>
    <w:r w:rsidRPr="0091284A">
      <w:fldChar w:fldCharType="end"/>
    </w:r>
    <w:r w:rsidRPr="0091284A">
      <w:t>:</w:t>
    </w:r>
    <w:r w:rsidRPr="0091284A">
      <w:fldChar w:fldCharType="begin" w:fldLock="1"/>
    </w:r>
    <w:r w:rsidRPr="0091284A">
      <w:instrText xml:space="preserve"> DOCPROPERTY "Motionsnummer" *\charformat </w:instrText>
    </w:r>
    <w:r w:rsidRPr="0091284A">
      <w:fldChar w:fldCharType="separate"/>
    </w:r>
    <w:r w:rsidRPr="0091284A">
      <w:t>Sk470</w:t>
    </w:r>
    <w:r w:rsidRPr="0091284A">
      <w:fldChar w:fldCharType="end"/>
    </w:r>
  </w:p>
  <w:p w:rsidR="00AF523B" w:rsidRPr="0091284A" w:rsidRDefault="00AF523B">
    <w:pPr>
      <w:pStyle w:val="FSHNormalS5"/>
    </w:pPr>
    <w:r w:rsidRPr="0091284A">
      <w:fldChar w:fldCharType="begin" w:fldLock="1"/>
    </w:r>
    <w:r w:rsidRPr="0091284A">
      <w:instrText xml:space="preserve"> DOCPROPERTY "MotionarText" *\charformat </w:instrText>
    </w:r>
    <w:r w:rsidRPr="0091284A">
      <w:fldChar w:fldCharType="separate"/>
    </w:r>
    <w:r w:rsidRPr="0091284A">
      <w:t>av Sören Wibe (s)</w:t>
    </w:r>
    <w:r w:rsidRPr="0091284A">
      <w:fldChar w:fldCharType="end"/>
    </w:r>
    <w:r w:rsidRPr="0091284A">
      <w:br/>
    </w:r>
    <w:r w:rsidRPr="0091284A">
      <w:fldChar w:fldCharType="begin" w:fldLock="1"/>
    </w:r>
    <w:r w:rsidRPr="0091284A">
      <w:instrText xml:space="preserve"> DOCPROPERTY "SvarFrasKort" *\charformat </w:instrText>
    </w:r>
    <w:r w:rsidRPr="0091284A">
      <w:fldChar w:fldCharType="end"/>
    </w:r>
  </w:p>
  <w:p w:rsidR="00AF523B" w:rsidRPr="0091284A" w:rsidRDefault="00AF523B">
    <w:pPr>
      <w:pStyle w:val="FSHTitel"/>
    </w:pPr>
    <w:r w:rsidRPr="0091284A">
      <w:fldChar w:fldCharType="begin" w:fldLock="1"/>
    </w:r>
    <w:r w:rsidRPr="0091284A">
      <w:instrText xml:space="preserve"> DOCPROPERTY</w:instrText>
    </w:r>
    <w:r w:rsidRPr="0091284A">
      <w:rPr>
        <w:sz w:val="18"/>
      </w:rPr>
      <w:instrText xml:space="preserve"> "RubrikSvar" *\charformat </w:instrText>
    </w:r>
    <w:r w:rsidRPr="0091284A">
      <w:fldChar w:fldCharType="separate"/>
    </w:r>
    <w:r w:rsidRPr="0091284A">
      <w:t>De regionala  effekterna av skatteväxlingen</w:t>
    </w:r>
    <w:r w:rsidRPr="0091284A">
      <w:fldChar w:fldCharType="end"/>
    </w:r>
  </w:p>
  <w:p w:rsidR="00AF523B" w:rsidRPr="0091284A" w:rsidRDefault="00AF523B" w:rsidP="00AF523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0367027">
    <w:abstractNumId w:val="13"/>
  </w:num>
  <w:num w:numId="2" w16cid:durableId="564876834">
    <w:abstractNumId w:val="10"/>
  </w:num>
  <w:num w:numId="3" w16cid:durableId="774402295">
    <w:abstractNumId w:val="11"/>
  </w:num>
  <w:num w:numId="4" w16cid:durableId="2097627777">
    <w:abstractNumId w:val="12"/>
  </w:num>
  <w:num w:numId="5" w16cid:durableId="2136675618">
    <w:abstractNumId w:val="8"/>
  </w:num>
  <w:num w:numId="6" w16cid:durableId="1759600213">
    <w:abstractNumId w:val="3"/>
  </w:num>
  <w:num w:numId="7" w16cid:durableId="548685612">
    <w:abstractNumId w:val="2"/>
  </w:num>
  <w:num w:numId="8" w16cid:durableId="423842302">
    <w:abstractNumId w:val="1"/>
  </w:num>
  <w:num w:numId="9" w16cid:durableId="963848676">
    <w:abstractNumId w:val="0"/>
  </w:num>
  <w:num w:numId="10" w16cid:durableId="1407921769">
    <w:abstractNumId w:val="9"/>
  </w:num>
  <w:num w:numId="11" w16cid:durableId="814756688">
    <w:abstractNumId w:val="7"/>
  </w:num>
  <w:num w:numId="12" w16cid:durableId="1360932960">
    <w:abstractNumId w:val="6"/>
  </w:num>
  <w:num w:numId="13" w16cid:durableId="200703827">
    <w:abstractNumId w:val="5"/>
  </w:num>
  <w:num w:numId="14" w16cid:durableId="1630470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C77026"/>
    <w:rsid w:val="0091284A"/>
    <w:rsid w:val="00AF523B"/>
    <w:rsid w:val="00C77026"/>
    <w:rsid w:val="00F3379D"/>
    <w:rsid w:val="00F4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33DE28-D5EC-445F-8365-C7C57799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F523B"/>
    <w:pPr>
      <w:spacing w:after="25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5"/>
      </w:numPr>
    </w:pPr>
  </w:style>
  <w:style w:type="paragraph" w:styleId="Punktlista">
    <w:name w:val="List Bullet"/>
    <w:basedOn w:val="Normal"/>
    <w:semiHidden/>
    <w:pPr>
      <w:numPr>
        <w:numId w:val="10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paragraph" w:styleId="Signatur">
    <w:name w:val="Signature"/>
    <w:basedOn w:val="Normal"/>
    <w:semiHidden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259</Words>
  <Characters>1638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Sk470</vt:lpstr>
    </vt:vector>
  </TitlesOfParts>
  <Company>Riksdagen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Sk470</dc:title>
  <dc:subject>Sk470</dc:subject>
  <dc:creator>Riksdagen</dc:creator>
  <cp:keywords>Riksdagen</cp:keywords>
  <dc:description/>
  <cp:lastModifiedBy>Lars Brink</cp:lastModifiedBy>
  <cp:revision>2</cp:revision>
  <cp:lastPrinted>2005-11-16T08:15:00Z</cp:lastPrinted>
  <dcterms:created xsi:type="dcterms:W3CDTF">2025-12-16T21:05:00Z</dcterms:created>
  <dcterms:modified xsi:type="dcterms:W3CDTF">2025-12-16T21:05:00Z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 regionala  effekterna av skatteväxlingen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 regionala  effekterna av skatteväxlingen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Sören Wibe (s)</vt:lpwstr>
  </property>
  <property fmtid="{D5CDD505-2E9C-101B-9397-08002B2CF9AE}" pid="26" name="MotionarLista">
    <vt:lpwstr>Wibe, Sören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Sören Wibe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20052006000000000115000452220069</vt:lpwstr>
  </property>
  <property fmtid="{D5CDD505-2E9C-101B-9397-08002B2CF9AE}" pid="47" name="datum">
    <vt:lpwstr>051003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20052006000000000115000452220069</vt:lpwstr>
  </property>
  <property fmtid="{D5CDD505-2E9C-101B-9397-08002B2CF9AE}" pid="50" name="nummer">
    <vt:lpwstr>470</vt:lpwstr>
  </property>
  <property fmtid="{D5CDD505-2E9C-101B-9397-08002B2CF9AE}" pid="51" name="utskottsbeteckning">
    <vt:lpwstr>Sk</vt:lpwstr>
  </property>
</Properties>
</file>