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418"/>
      </w:tblGrid>
      <w:tr w:rsidR="00000000" w:rsidRPr="009018C6">
        <w:tblPrEx>
          <w:tblCellMar>
            <w:top w:w="0" w:type="dxa"/>
            <w:bottom w:w="0" w:type="dxa"/>
          </w:tblCellMar>
        </w:tblPrEx>
        <w:trPr>
          <w:cantSplit/>
          <w:trHeight w:val="1720"/>
        </w:trPr>
        <w:tc>
          <w:tcPr>
            <w:tcW w:w="6024" w:type="dxa"/>
          </w:tcPr>
          <w:p w:rsidR="003851BF" w:rsidRPr="009018C6" w:rsidRDefault="003851BF">
            <w:pPr>
              <w:pStyle w:val="HuvudRubrik"/>
            </w:pPr>
            <w:r w:rsidRPr="009018C6">
              <w:t>Utrikesutskottets betänkande</w:t>
            </w:r>
          </w:p>
          <w:p w:rsidR="003851BF" w:rsidRPr="009018C6" w:rsidRDefault="003851BF">
            <w:pPr>
              <w:pStyle w:val="HuvudRubrikRad2"/>
            </w:pPr>
            <w:bookmarkStart w:id="0" w:name="BetänkandeNr"/>
            <w:bookmarkEnd w:id="0"/>
            <w:r w:rsidRPr="009018C6">
              <w:t>2001/02:UU7</w:t>
            </w:r>
          </w:p>
        </w:tc>
        <w:tc>
          <w:tcPr>
            <w:tcW w:w="1418" w:type="dxa"/>
            <w:tcBorders>
              <w:bottom w:val="nil"/>
            </w:tcBorders>
          </w:tcPr>
          <w:p w:rsidR="003851BF" w:rsidRPr="009018C6" w:rsidRDefault="009018C6">
            <w:pPr>
              <w:spacing w:line="230" w:lineRule="auto"/>
              <w:jc w:val="center"/>
            </w:pPr>
            <w:r w:rsidRPr="009018C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851BF" w:rsidRPr="009018C6" w:rsidRDefault="003851BF">
            <w:pPr>
              <w:pStyle w:val="Normaltindrag"/>
              <w:jc w:val="center"/>
            </w:pPr>
          </w:p>
          <w:p w:rsidR="003851BF" w:rsidRPr="009018C6" w:rsidRDefault="003851BF">
            <w:pPr>
              <w:pStyle w:val="StatusSida1"/>
            </w:pPr>
          </w:p>
          <w:p w:rsidR="003851BF" w:rsidRPr="009018C6" w:rsidRDefault="003851BF">
            <w:pPr>
              <w:pStyle w:val="UtskriftsdatumSida1"/>
              <w:framePr w:wrap="around"/>
            </w:pPr>
          </w:p>
        </w:tc>
      </w:tr>
      <w:tr w:rsidR="00000000" w:rsidRPr="009018C6">
        <w:tblPrEx>
          <w:tblCellMar>
            <w:top w:w="0" w:type="dxa"/>
            <w:bottom w:w="0" w:type="dxa"/>
          </w:tblCellMar>
        </w:tblPrEx>
        <w:trPr>
          <w:cantSplit/>
        </w:trPr>
        <w:tc>
          <w:tcPr>
            <w:tcW w:w="6024" w:type="dxa"/>
            <w:tcBorders>
              <w:bottom w:val="single" w:sz="4" w:space="0" w:color="auto"/>
            </w:tcBorders>
          </w:tcPr>
          <w:p w:rsidR="003851BF" w:rsidRPr="009018C6" w:rsidRDefault="003851BF">
            <w:pPr>
              <w:pStyle w:val="DokumentRubrik"/>
              <w:rPr>
                <w:noProof w:val="0"/>
              </w:rPr>
            </w:pPr>
            <w:bookmarkStart w:id="1" w:name="Huvudrubrik"/>
            <w:bookmarkEnd w:id="1"/>
            <w:r w:rsidRPr="009018C6">
              <w:rPr>
                <w:noProof w:val="0"/>
              </w:rPr>
              <w:t>Verksamheten inom Europarådet</w:t>
            </w:r>
          </w:p>
        </w:tc>
        <w:tc>
          <w:tcPr>
            <w:tcW w:w="1418" w:type="dxa"/>
            <w:tcBorders>
              <w:bottom w:val="nil"/>
            </w:tcBorders>
          </w:tcPr>
          <w:p w:rsidR="003851BF" w:rsidRPr="009018C6" w:rsidRDefault="003851BF"/>
        </w:tc>
      </w:tr>
    </w:tbl>
    <w:p w:rsidR="003851BF" w:rsidRPr="009018C6" w:rsidRDefault="003851BF">
      <w:pPr>
        <w:pStyle w:val="Rubrik1"/>
        <w:spacing w:after="180"/>
        <w:rPr>
          <w:noProof w:val="0"/>
        </w:rPr>
      </w:pPr>
    </w:p>
    <w:p w:rsidR="003851BF" w:rsidRPr="009018C6" w:rsidRDefault="003851BF">
      <w:pPr>
        <w:pStyle w:val="Rubrik1"/>
        <w:spacing w:after="180"/>
        <w:rPr>
          <w:noProof w:val="0"/>
        </w:rPr>
      </w:pPr>
      <w:bookmarkStart w:id="2" w:name="_Toc2677679"/>
      <w:r w:rsidRPr="009018C6">
        <w:rPr>
          <w:noProof w:val="0"/>
        </w:rPr>
        <w:t>Sammanfattning</w:t>
      </w:r>
      <w:bookmarkEnd w:id="2"/>
    </w:p>
    <w:p w:rsidR="003851BF" w:rsidRPr="009018C6" w:rsidRDefault="003851BF">
      <w:r w:rsidRPr="009018C6">
        <w:t>I betänkandet behandlar utskottet regeringens skrivelse 2001/02:12 Redog</w:t>
      </w:r>
      <w:r w:rsidRPr="009018C6">
        <w:t>ö</w:t>
      </w:r>
      <w:r w:rsidRPr="009018C6">
        <w:t>relse för verksamheten inom Europarådets ministerkommitté m.m. under år 2000 och första halvåret 2001 samt redogörelse 2000/01:ER1 från Sveriges delegation vid Europarådets parlamentariska församling.</w:t>
      </w:r>
    </w:p>
    <w:p w:rsidR="003851BF" w:rsidRPr="009018C6" w:rsidRDefault="003851BF">
      <w:r w:rsidRPr="009018C6">
        <w:t>I betänkandet behandlas även en motion som har väckts med anledning av skrivelsen samt två motioner från allmänna motionstiden 2001/02. Samtliga motionsyrkanden tar upp arbetssituationen inom Europ</w:t>
      </w:r>
      <w:r w:rsidRPr="009018C6">
        <w:t>a</w:t>
      </w:r>
      <w:r w:rsidRPr="009018C6">
        <w:t>domstolen.</w:t>
      </w:r>
    </w:p>
    <w:p w:rsidR="003851BF" w:rsidRPr="009018C6" w:rsidRDefault="003851BF">
      <w:r w:rsidRPr="009018C6">
        <w:t xml:space="preserve">Utskottet föreslår att skrivelsen och redogörelsen läggs till handlingarna. Samtliga motioner föreslås bli besvarade. </w:t>
      </w:r>
    </w:p>
    <w:tbl>
      <w:tblPr>
        <w:tblW w:w="0" w:type="auto"/>
        <w:tblLayout w:type="fixed"/>
        <w:tblCellMar>
          <w:left w:w="70" w:type="dxa"/>
          <w:right w:w="70" w:type="dxa"/>
        </w:tblCellMar>
        <w:tblLook w:val="0000" w:firstRow="0" w:lastRow="0" w:firstColumn="0" w:lastColumn="0" w:noHBand="0" w:noVBand="0"/>
      </w:tblPr>
      <w:tblGrid>
        <w:gridCol w:w="2622"/>
        <w:gridCol w:w="3012"/>
        <w:gridCol w:w="1418"/>
      </w:tblGrid>
      <w:tr w:rsidR="00000000" w:rsidRPr="009018C6">
        <w:tblPrEx>
          <w:tblCellMar>
            <w:top w:w="0" w:type="dxa"/>
            <w:bottom w:w="0" w:type="dxa"/>
          </w:tblCellMar>
        </w:tblPrEx>
        <w:trPr>
          <w:cantSplit/>
          <w:trHeight w:hRule="exact" w:val="360"/>
        </w:trPr>
        <w:tc>
          <w:tcPr>
            <w:tcW w:w="2622" w:type="dxa"/>
          </w:tcPr>
          <w:p w:rsidR="003851BF" w:rsidRPr="009018C6" w:rsidRDefault="003851BF">
            <w:pPr>
              <w:pStyle w:val="Deltagare"/>
              <w:keepLines w:val="0"/>
              <w:spacing w:before="62" w:line="250" w:lineRule="atLeast"/>
              <w:ind w:right="-3082"/>
              <w:rPr>
                <w:noProof w:val="0"/>
              </w:rPr>
            </w:pPr>
          </w:p>
          <w:p w:rsidR="003851BF" w:rsidRPr="009018C6" w:rsidRDefault="003851BF"/>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p>
          <w:p w:rsidR="003851BF" w:rsidRPr="009018C6" w:rsidRDefault="003851BF">
            <w:pPr>
              <w:pStyle w:val="Deltagare"/>
              <w:keepLines w:val="0"/>
              <w:spacing w:before="62" w:line="250" w:lineRule="atLeast"/>
              <w:rPr>
                <w:noProof w:val="0"/>
              </w:rPr>
            </w:pPr>
            <w:r w:rsidRPr="009018C6">
              <w:rPr>
                <w:noProof w:val="0"/>
              </w:rPr>
              <w:t>regeringens  regeringens skri</w:t>
            </w:r>
          </w:p>
        </w:tc>
        <w:tc>
          <w:tcPr>
            <w:tcW w:w="3012" w:type="dxa"/>
          </w:tcPr>
          <w:p w:rsidR="003851BF" w:rsidRPr="009018C6" w:rsidRDefault="003851BF">
            <w:pPr>
              <w:pStyle w:val="Deltagare"/>
              <w:keepLines w:val="0"/>
              <w:spacing w:before="62" w:line="250" w:lineRule="atLeast"/>
              <w:rPr>
                <w:noProof w:val="0"/>
              </w:rPr>
            </w:pPr>
          </w:p>
        </w:tc>
        <w:tc>
          <w:tcPr>
            <w:tcW w:w="1418" w:type="dxa"/>
          </w:tcPr>
          <w:p w:rsidR="003851BF" w:rsidRPr="009018C6" w:rsidRDefault="003851BF"/>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p w:rsidR="003851BF" w:rsidRPr="009018C6" w:rsidRDefault="003851BF">
            <w:pPr>
              <w:pStyle w:val="Normaltindrag"/>
            </w:pPr>
          </w:p>
        </w:tc>
      </w:tr>
    </w:tbl>
    <w:p w:rsidR="003851BF" w:rsidRPr="009018C6" w:rsidRDefault="003851BF">
      <w:pPr>
        <w:pStyle w:val="Normaltindrag"/>
        <w:sectPr w:rsidR="00000000" w:rsidRPr="009018C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3851BF" w:rsidRPr="009018C6" w:rsidRDefault="003851BF">
      <w:pPr>
        <w:pStyle w:val="Rubrik1"/>
        <w:rPr>
          <w:noProof w:val="0"/>
        </w:rPr>
      </w:pPr>
      <w:bookmarkStart w:id="4" w:name="_Toc2677680"/>
      <w:r w:rsidRPr="009018C6">
        <w:rPr>
          <w:noProof w:val="0"/>
        </w:rPr>
        <w:lastRenderedPageBreak/>
        <w:t>Innehållsförteckning</w:t>
      </w:r>
      <w:bookmarkEnd w:id="4"/>
    </w:p>
    <w:p w:rsidR="003851BF" w:rsidRPr="009018C6" w:rsidRDefault="003851BF">
      <w:pPr>
        <w:pStyle w:val="Innehll1"/>
      </w:pPr>
      <w:r w:rsidRPr="009018C6">
        <w:t>Sammanfattning</w:t>
      </w:r>
      <w:r w:rsidRPr="009018C6">
        <w:tab/>
        <w:t>1</w:t>
      </w:r>
    </w:p>
    <w:p w:rsidR="003851BF" w:rsidRPr="009018C6" w:rsidRDefault="003851BF">
      <w:pPr>
        <w:pStyle w:val="Innehll1"/>
      </w:pPr>
      <w:r w:rsidRPr="009018C6">
        <w:t>Innehållsförteckning</w:t>
      </w:r>
      <w:r w:rsidRPr="009018C6">
        <w:tab/>
        <w:t>2</w:t>
      </w:r>
    </w:p>
    <w:p w:rsidR="003851BF" w:rsidRPr="009018C6" w:rsidRDefault="003851BF">
      <w:pPr>
        <w:pStyle w:val="Innehll1"/>
      </w:pPr>
      <w:r w:rsidRPr="009018C6">
        <w:t>Utskottets förslag till riksdagsbeslut</w:t>
      </w:r>
      <w:r w:rsidRPr="009018C6">
        <w:tab/>
        <w:t>3</w:t>
      </w:r>
    </w:p>
    <w:p w:rsidR="003851BF" w:rsidRPr="009018C6" w:rsidRDefault="003851BF">
      <w:pPr>
        <w:pStyle w:val="Innehll1"/>
      </w:pPr>
      <w:r w:rsidRPr="009018C6">
        <w:t>Redogörelse för ärendet</w:t>
      </w:r>
      <w:r w:rsidRPr="009018C6">
        <w:tab/>
        <w:t>4</w:t>
      </w:r>
    </w:p>
    <w:p w:rsidR="003851BF" w:rsidRPr="009018C6" w:rsidRDefault="003851BF">
      <w:pPr>
        <w:pStyle w:val="Innehll2"/>
      </w:pPr>
      <w:r w:rsidRPr="009018C6">
        <w:t>Skrivelsens huvudsakliga innehåll</w:t>
      </w:r>
      <w:r w:rsidRPr="009018C6">
        <w:tab/>
        <w:t>4</w:t>
      </w:r>
    </w:p>
    <w:p w:rsidR="003851BF" w:rsidRPr="009018C6" w:rsidRDefault="003851BF">
      <w:pPr>
        <w:pStyle w:val="Innehll3"/>
      </w:pPr>
      <w:r w:rsidRPr="009018C6">
        <w:t>Verksamheten i ministerkommittén</w:t>
      </w:r>
      <w:r w:rsidRPr="009018C6">
        <w:tab/>
        <w:t>5</w:t>
      </w:r>
    </w:p>
    <w:p w:rsidR="003851BF" w:rsidRPr="009018C6" w:rsidRDefault="003851BF">
      <w:pPr>
        <w:pStyle w:val="Innehll3"/>
      </w:pPr>
      <w:r w:rsidRPr="009018C6">
        <w:t>Europakonventionen och dess övervakningsorgan</w:t>
      </w:r>
      <w:r w:rsidRPr="009018C6">
        <w:tab/>
        <w:t>6</w:t>
      </w:r>
    </w:p>
    <w:p w:rsidR="003851BF" w:rsidRPr="009018C6" w:rsidRDefault="003851BF">
      <w:pPr>
        <w:pStyle w:val="Innehll3"/>
      </w:pPr>
      <w:r w:rsidRPr="009018C6">
        <w:t>Arbetet inom ramen för verksamhetsprogrammen</w:t>
      </w:r>
      <w:r w:rsidRPr="009018C6">
        <w:tab/>
        <w:t>7</w:t>
      </w:r>
    </w:p>
    <w:p w:rsidR="003851BF" w:rsidRPr="009018C6" w:rsidRDefault="003851BF">
      <w:pPr>
        <w:pStyle w:val="Innehll2"/>
      </w:pPr>
      <w:r w:rsidRPr="009018C6">
        <w:t>Huvudsakliga innehållet i redogörelsen från Sveriges delegation vid Europarådets parlamentariska församling</w:t>
      </w:r>
      <w:r w:rsidRPr="009018C6">
        <w:tab/>
        <w:t>7</w:t>
      </w:r>
    </w:p>
    <w:p w:rsidR="003851BF" w:rsidRPr="009018C6" w:rsidRDefault="003851BF">
      <w:pPr>
        <w:pStyle w:val="Innehll2"/>
      </w:pPr>
      <w:r w:rsidRPr="009018C6">
        <w:t>Motionerna</w:t>
      </w:r>
      <w:r w:rsidRPr="009018C6">
        <w:tab/>
        <w:t>8</w:t>
      </w:r>
    </w:p>
    <w:p w:rsidR="003851BF" w:rsidRPr="009018C6" w:rsidRDefault="003851BF">
      <w:pPr>
        <w:pStyle w:val="Innehll1"/>
      </w:pPr>
      <w:r w:rsidRPr="009018C6">
        <w:t>Utskottets överväganden</w:t>
      </w:r>
      <w:r w:rsidRPr="009018C6">
        <w:tab/>
        <w:t>10</w:t>
      </w:r>
    </w:p>
    <w:p w:rsidR="003851BF" w:rsidRPr="009018C6" w:rsidRDefault="003851BF">
      <w:pPr>
        <w:pStyle w:val="Innehll1"/>
        <w:rPr>
          <w:i/>
        </w:rPr>
      </w:pPr>
      <w:r w:rsidRPr="009018C6">
        <w:rPr>
          <w:i/>
        </w:rPr>
        <w:t>Bilaga 1</w:t>
      </w:r>
    </w:p>
    <w:p w:rsidR="003851BF" w:rsidRPr="009018C6" w:rsidRDefault="003851BF">
      <w:pPr>
        <w:pStyle w:val="Innehll1"/>
      </w:pPr>
      <w:r w:rsidRPr="009018C6">
        <w:t>Förteckning över behandlade förslag</w:t>
      </w:r>
      <w:r w:rsidRPr="009018C6">
        <w:tab/>
        <w:t>12</w:t>
      </w:r>
    </w:p>
    <w:p w:rsidR="003851BF" w:rsidRPr="009018C6" w:rsidRDefault="003851BF">
      <w:pPr>
        <w:pStyle w:val="Innehll2"/>
      </w:pPr>
      <w:r w:rsidRPr="009018C6">
        <w:t>Skrivelsen</w:t>
      </w:r>
      <w:r w:rsidRPr="009018C6">
        <w:tab/>
        <w:t>12</w:t>
      </w:r>
    </w:p>
    <w:p w:rsidR="003851BF" w:rsidRPr="009018C6" w:rsidRDefault="003851BF">
      <w:pPr>
        <w:pStyle w:val="Innehll2"/>
      </w:pPr>
      <w:r w:rsidRPr="009018C6">
        <w:t>Redogörelsen</w:t>
      </w:r>
      <w:r w:rsidRPr="009018C6">
        <w:tab/>
        <w:t>12</w:t>
      </w:r>
    </w:p>
    <w:p w:rsidR="003851BF" w:rsidRPr="009018C6" w:rsidRDefault="003851BF">
      <w:pPr>
        <w:pStyle w:val="Innehll2"/>
      </w:pPr>
      <w:r w:rsidRPr="009018C6">
        <w:t>Följdmotion</w:t>
      </w:r>
      <w:r w:rsidRPr="009018C6">
        <w:tab/>
        <w:t>12</w:t>
      </w:r>
    </w:p>
    <w:p w:rsidR="003851BF" w:rsidRPr="009018C6" w:rsidRDefault="003851BF">
      <w:pPr>
        <w:pStyle w:val="Innehll2"/>
      </w:pPr>
      <w:r w:rsidRPr="009018C6">
        <w:t>Motioner från allmänna motionstiden 2001/02</w:t>
      </w:r>
      <w:r w:rsidRPr="009018C6">
        <w:tab/>
        <w:t>12</w:t>
      </w:r>
    </w:p>
    <w:p w:rsidR="003851BF" w:rsidRPr="009018C6" w:rsidRDefault="003851BF">
      <w:pPr>
        <w:pStyle w:val="Innehll1"/>
        <w:rPr>
          <w:i/>
        </w:rPr>
      </w:pPr>
      <w:r w:rsidRPr="009018C6">
        <w:rPr>
          <w:i/>
        </w:rPr>
        <w:t>Bilaga 2</w:t>
      </w:r>
    </w:p>
    <w:p w:rsidR="003851BF" w:rsidRPr="009018C6" w:rsidRDefault="003851BF">
      <w:pPr>
        <w:pStyle w:val="Innehll1"/>
      </w:pPr>
      <w:r w:rsidRPr="009018C6">
        <w:t>Översikt av ratifikationsläget</w:t>
      </w:r>
      <w:r w:rsidRPr="009018C6">
        <w:tab/>
        <w:t>13</w:t>
      </w:r>
    </w:p>
    <w:p w:rsidR="003851BF" w:rsidRPr="009018C6" w:rsidRDefault="003851BF"/>
    <w:p w:rsidR="003851BF" w:rsidRPr="009018C6" w:rsidRDefault="003851BF">
      <w:pPr>
        <w:pStyle w:val="Normaltindrag"/>
        <w:sectPr w:rsidR="00000000" w:rsidRPr="009018C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851BF" w:rsidRPr="009018C6" w:rsidRDefault="003851BF">
      <w:pPr>
        <w:pStyle w:val="Rubrik1"/>
        <w:rPr>
          <w:noProof w:val="0"/>
        </w:rPr>
      </w:pPr>
      <w:bookmarkStart w:id="5" w:name="_Toc2677681"/>
      <w:r w:rsidRPr="009018C6">
        <w:rPr>
          <w:noProof w:val="0"/>
        </w:rPr>
        <w:t>Utskottets förslag till riksdagsbeslut</w:t>
      </w:r>
      <w:bookmarkEnd w:id="5"/>
    </w:p>
    <w:p w:rsidR="003851BF" w:rsidRPr="009018C6" w:rsidRDefault="003851BF">
      <w:r w:rsidRPr="009018C6">
        <w:t>Med hänvisning till motiveringar som framförs under utskottets överväganden föreslår utskottet att riksdagen fattar följande beslut:</w:t>
      </w:r>
    </w:p>
    <w:p w:rsidR="003851BF" w:rsidRPr="009018C6" w:rsidRDefault="003851BF">
      <w:pPr>
        <w:pStyle w:val="Frslagspunkt"/>
        <w:rPr>
          <w:noProof w:val="0"/>
        </w:rPr>
      </w:pPr>
      <w:r w:rsidRPr="009018C6">
        <w:rPr>
          <w:noProof w:val="0"/>
        </w:rPr>
        <w:t>1.</w:t>
      </w:r>
      <w:r w:rsidRPr="009018C6">
        <w:rPr>
          <w:noProof w:val="0"/>
        </w:rPr>
        <w:tab/>
        <w:t>Europadomstolens resurser och arbetssätt</w:t>
      </w:r>
    </w:p>
    <w:p w:rsidR="003851BF" w:rsidRPr="009018C6" w:rsidRDefault="003851BF">
      <w:pPr>
        <w:pStyle w:val="Frslagstext"/>
      </w:pPr>
      <w:r w:rsidRPr="009018C6">
        <w:t>Riksdagen förklarar motionerna 2001/02:U1 yrkandena 1 och 2,</w:t>
      </w:r>
    </w:p>
    <w:p w:rsidR="003851BF" w:rsidRPr="009018C6" w:rsidRDefault="003851BF">
      <w:pPr>
        <w:pStyle w:val="Frslagstext"/>
      </w:pPr>
      <w:r w:rsidRPr="009018C6">
        <w:t>2001/02:U243 samt 2001/02:U305 yrkande 12 besvarade med vad u</w:t>
      </w:r>
      <w:r w:rsidRPr="009018C6">
        <w:t>t</w:t>
      </w:r>
      <w:r w:rsidRPr="009018C6">
        <w:t>skottet anfört.</w:t>
      </w:r>
    </w:p>
    <w:p w:rsidR="003851BF" w:rsidRPr="009018C6" w:rsidRDefault="003851BF">
      <w:pPr>
        <w:pStyle w:val="Frslagspunkt"/>
        <w:rPr>
          <w:noProof w:val="0"/>
        </w:rPr>
      </w:pPr>
      <w:bookmarkStart w:id="6" w:name="RESPARTI001"/>
      <w:bookmarkEnd w:id="6"/>
      <w:r w:rsidRPr="009018C6">
        <w:rPr>
          <w:noProof w:val="0"/>
        </w:rPr>
        <w:t>2.</w:t>
      </w:r>
      <w:r w:rsidRPr="009018C6">
        <w:rPr>
          <w:noProof w:val="0"/>
        </w:rPr>
        <w:tab/>
        <w:t>Regeringens skrivelse 2001/02:12 Redogörelse för verksamheten inom Europarådets ministerkommitté m.m. under år 2000 och första halvåret 2001</w:t>
      </w:r>
    </w:p>
    <w:p w:rsidR="003851BF" w:rsidRPr="009018C6" w:rsidRDefault="003851BF">
      <w:pPr>
        <w:pStyle w:val="Frslagstext"/>
      </w:pPr>
      <w:r w:rsidRPr="009018C6">
        <w:t>Riksdagen lägger skrivelsen till handlingarna.</w:t>
      </w:r>
    </w:p>
    <w:p w:rsidR="003851BF" w:rsidRPr="009018C6" w:rsidRDefault="003851BF">
      <w:pPr>
        <w:pStyle w:val="Frslagspunkt"/>
        <w:rPr>
          <w:noProof w:val="0"/>
        </w:rPr>
      </w:pPr>
      <w:r w:rsidRPr="009018C6">
        <w:rPr>
          <w:noProof w:val="0"/>
        </w:rPr>
        <w:t>3.</w:t>
      </w:r>
      <w:r w:rsidRPr="009018C6">
        <w:rPr>
          <w:noProof w:val="0"/>
        </w:rPr>
        <w:tab/>
        <w:t>Redogörelse till riksdagen 2000/01:ER1 Från Sveriges delegation vid Europarådets parlamentariska församling</w:t>
      </w:r>
    </w:p>
    <w:p w:rsidR="003851BF" w:rsidRPr="009018C6" w:rsidRDefault="003851BF">
      <w:pPr>
        <w:pStyle w:val="Frslagstext"/>
        <w:ind w:left="0"/>
      </w:pPr>
      <w:r w:rsidRPr="009018C6">
        <w:t xml:space="preserve">        </w:t>
      </w:r>
      <w:bookmarkStart w:id="7" w:name="RESPARTI003"/>
      <w:bookmarkEnd w:id="7"/>
      <w:r w:rsidRPr="009018C6">
        <w:t>Riksdagen lägger redogörelsen till handlingarna.</w:t>
      </w:r>
    </w:p>
    <w:p w:rsidR="003851BF" w:rsidRPr="009018C6" w:rsidRDefault="003851BF">
      <w:pPr>
        <w:pStyle w:val="Frslagstext"/>
        <w:ind w:left="0"/>
      </w:pPr>
      <w:bookmarkStart w:id="8" w:name="RESPARTI002"/>
      <w:bookmarkStart w:id="9" w:name="Nästa_Hpunkt"/>
      <w:bookmarkEnd w:id="8"/>
      <w:bookmarkEnd w:id="9"/>
    </w:p>
    <w:p w:rsidR="003851BF" w:rsidRPr="009018C6" w:rsidRDefault="003851BF">
      <w:pPr>
        <w:pStyle w:val="Frslagstext"/>
        <w:ind w:left="0"/>
      </w:pPr>
    </w:p>
    <w:p w:rsidR="003851BF" w:rsidRPr="009018C6" w:rsidRDefault="003851BF">
      <w:pPr>
        <w:pStyle w:val="Utskriftsdatum"/>
      </w:pPr>
      <w:r w:rsidRPr="009018C6">
        <w:t>Stockholm den 31 januari 2002</w:t>
      </w:r>
    </w:p>
    <w:p w:rsidR="003851BF" w:rsidRPr="009018C6" w:rsidRDefault="003851BF">
      <w:r w:rsidRPr="009018C6">
        <w:t>På utrikesutskottets vägnar</w:t>
      </w:r>
    </w:p>
    <w:p w:rsidR="003851BF" w:rsidRPr="009018C6" w:rsidRDefault="003851BF">
      <w:pPr>
        <w:pStyle w:val="Ordfranden"/>
        <w:rPr>
          <w:noProof w:val="0"/>
        </w:rPr>
      </w:pPr>
      <w:bookmarkStart w:id="10" w:name="Ordförande"/>
      <w:bookmarkEnd w:id="10"/>
      <w:r w:rsidRPr="009018C6">
        <w:rPr>
          <w:noProof w:val="0"/>
        </w:rPr>
        <w:t xml:space="preserve">Urban Ahlin </w:t>
      </w:r>
    </w:p>
    <w:p w:rsidR="003851BF" w:rsidRPr="009018C6" w:rsidRDefault="003851BF">
      <w:pPr>
        <w:pStyle w:val="Deltagare"/>
        <w:rPr>
          <w:noProof w:val="0"/>
        </w:rPr>
      </w:pPr>
      <w:bookmarkStart w:id="11" w:name="Deltagare"/>
      <w:bookmarkEnd w:id="11"/>
      <w:r w:rsidRPr="009018C6">
        <w:rPr>
          <w:noProof w:val="0"/>
        </w:rPr>
        <w:t>Följande ledamöter har deltagit i beslutet: Urban Ahlin (s), Sören Lekberg (s), Holger Gustafsson (kd), Göran Lennmarker (m), Liselotte Wågö (m), Marianne Jönsson (s), Murad Artin (v), Sten Tolgfors (m), Marianne Samuelsson (mp), Marianne Andersson (c), Karl-Göran Biörsmark (fp), Birgitta Ahlqvist (s), Ronny Olander (s), Eva Zetterberg (v), Hans Hjortzberg-Nordlund (m) och Rosita Runegrund (kd).</w:t>
      </w:r>
    </w:p>
    <w:p w:rsidR="003851BF" w:rsidRPr="009018C6" w:rsidRDefault="003851BF">
      <w:pPr>
        <w:pStyle w:val="Normaltindrag"/>
      </w:pPr>
    </w:p>
    <w:p w:rsidR="003851BF" w:rsidRPr="009018C6" w:rsidRDefault="003851BF">
      <w:pPr>
        <w:pStyle w:val="Normaltindrag"/>
        <w:sectPr w:rsidR="00000000" w:rsidRPr="009018C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851BF" w:rsidRPr="009018C6" w:rsidRDefault="003851BF">
      <w:pPr>
        <w:pStyle w:val="Rubrik1"/>
        <w:rPr>
          <w:noProof w:val="0"/>
        </w:rPr>
      </w:pPr>
      <w:bookmarkStart w:id="12" w:name="_Toc2677682"/>
      <w:r w:rsidRPr="009018C6">
        <w:rPr>
          <w:noProof w:val="0"/>
        </w:rPr>
        <w:t>Redogörelse för ärendet</w:t>
      </w:r>
      <w:bookmarkEnd w:id="12"/>
    </w:p>
    <w:p w:rsidR="003851BF" w:rsidRPr="009018C6" w:rsidRDefault="003851BF">
      <w:pPr>
        <w:pStyle w:val="Rubrik2"/>
        <w:spacing w:before="0"/>
      </w:pPr>
      <w:bookmarkStart w:id="13" w:name="_Toc2677683"/>
      <w:r w:rsidRPr="009018C6">
        <w:t>Skrivelsens huvudsakliga innehåll</w:t>
      </w:r>
      <w:bookmarkEnd w:id="13"/>
    </w:p>
    <w:p w:rsidR="003851BF" w:rsidRPr="009018C6" w:rsidRDefault="003851BF">
      <w:r w:rsidRPr="009018C6">
        <w:t>I skrivelsen lämnar regeringen en redogörelse för verksamheten inom Europ</w:t>
      </w:r>
      <w:r w:rsidRPr="009018C6">
        <w:t>a</w:t>
      </w:r>
      <w:r w:rsidRPr="009018C6">
        <w:t xml:space="preserve">rådets ministerkommitté under år 2000 och första halvåret 2001 vilken även </w:t>
      </w:r>
      <w:bookmarkStart w:id="14" w:name="_Hlt690621"/>
      <w:bookmarkEnd w:id="14"/>
      <w:r w:rsidRPr="009018C6">
        <w:t>omfattar samarbetsprogrammen för demokratisk utveckling och Europaråd</w:t>
      </w:r>
      <w:r w:rsidRPr="009018C6">
        <w:t>s</w:t>
      </w:r>
      <w:r w:rsidRPr="009018C6">
        <w:t>sekretariatets budget. Utöver ministerkommitténs verksamhet redovisas också frågor rörande Europakonventionen och dess övervakningsorgan, arbetet inom ramen för verksamhetsprogrammen, mänskliga rättigheter och dem</w:t>
      </w:r>
      <w:r w:rsidRPr="009018C6">
        <w:t>o</w:t>
      </w:r>
      <w:r w:rsidRPr="009018C6">
        <w:t>kratifrågor, sociala frågor, kulturfrågor och kulturell mångfald samt sama</w:t>
      </w:r>
      <w:r w:rsidRPr="009018C6">
        <w:t>r</w:t>
      </w:r>
      <w:r w:rsidRPr="009018C6">
        <w:t xml:space="preserve">betet inom ramen för partsavtalen. </w:t>
      </w:r>
    </w:p>
    <w:p w:rsidR="003851BF" w:rsidRPr="009018C6" w:rsidRDefault="003851BF">
      <w:pPr>
        <w:pStyle w:val="Normaltindrag"/>
      </w:pPr>
      <w:r w:rsidRPr="009018C6">
        <w:t>I skrivelsen konstateras inledningsvis at</w:t>
      </w:r>
      <w:r w:rsidRPr="009018C6">
        <w:t>t arbetet med Europarådets kär</w:t>
      </w:r>
      <w:r w:rsidRPr="009018C6">
        <w:t>n</w:t>
      </w:r>
      <w:r w:rsidRPr="009018C6">
        <w:t>frågor, respekt för de mänskliga rättigheterna, demokratisk utveckling och rättsstatens principer, måste intensifieras och anpassas till de nya och större krav som ställs på organisationen, bl.a. på grund av det ökade antalet me</w:t>
      </w:r>
      <w:r w:rsidRPr="009018C6">
        <w:t>d</w:t>
      </w:r>
      <w:r w:rsidRPr="009018C6">
        <w:t>lemmar och genom händelser såsom de i Central- och Östeuropa samt på Balkan. Europarådet har i dag 43 medlemmar jämfört med 25 medlemmar för 10 år sedan.</w:t>
      </w:r>
    </w:p>
    <w:p w:rsidR="003851BF" w:rsidRPr="009018C6" w:rsidRDefault="003851BF">
      <w:r w:rsidRPr="009018C6">
        <w:t>Under det svenska ordförandeskapet har EU gemensamt presenterat sin syn på Europarådets reformarbe</w:t>
      </w:r>
      <w:r w:rsidRPr="009018C6">
        <w:t>te. Generalsekreterare Schwimmers ansträngnin</w:t>
      </w:r>
      <w:r w:rsidRPr="009018C6">
        <w:t>g</w:t>
      </w:r>
      <w:r w:rsidRPr="009018C6">
        <w:t>ar att reformera och prioritera i verksamheten har EU:s fulla stöd. Förutom de nämnda kärnområdena anser EU att hög prioritet skall ges åt de områden där Europarådet har sin traditionella styrka: normskapande, övervakning och uppföljningsmekanismer. Vidare bör Europadomstolens effektiva funktion</w:t>
      </w:r>
      <w:r w:rsidRPr="009018C6">
        <w:t>s</w:t>
      </w:r>
      <w:r w:rsidRPr="009018C6">
        <w:t>sätt  säkerställas och frågan om domstolens arbetssätt och finansiering b</w:t>
      </w:r>
      <w:r w:rsidRPr="009018C6">
        <w:t>e</w:t>
      </w:r>
      <w:r w:rsidRPr="009018C6">
        <w:t xml:space="preserve">handlas. Hög prioritet bör också ges åt Europarådets samarbete med OSSE. Ytterligare samarbete </w:t>
      </w:r>
      <w:r w:rsidRPr="009018C6">
        <w:t>och samverkan bör ske mellan EU och Europarådet  för att främja rättsstatens principer som ett led i arbetet på kapacitetet för civil krishant</w:t>
      </w:r>
      <w:r w:rsidRPr="009018C6">
        <w:t>e</w:t>
      </w:r>
      <w:r w:rsidRPr="009018C6">
        <w:t>ring.</w:t>
      </w:r>
    </w:p>
    <w:p w:rsidR="003851BF" w:rsidRPr="009018C6" w:rsidRDefault="003851BF">
      <w:pPr>
        <w:pStyle w:val="Normaltindrag"/>
      </w:pPr>
      <w:r w:rsidRPr="009018C6">
        <w:t>I det program för förebyggande av väpnade konflikter som förhandlades fram under det svenska ordförandeskapet och bekräftades av EU:s toppmöte i Göteborg i juni slås fast att EU måste bygga effektiva partnerskap med inte</w:t>
      </w:r>
      <w:r w:rsidRPr="009018C6">
        <w:t>r</w:t>
      </w:r>
      <w:r w:rsidRPr="009018C6">
        <w:t>nationella organisationer och att informationsutbyte och praktiskt samarbete mellan EU och bl.a. Europarådet därför skall intensifieras.</w:t>
      </w:r>
    </w:p>
    <w:p w:rsidR="003851BF" w:rsidRPr="009018C6" w:rsidRDefault="003851BF">
      <w:pPr>
        <w:pStyle w:val="Normaltindrag"/>
      </w:pPr>
      <w:r w:rsidRPr="009018C6">
        <w:t>Det svenska EU-ordförandeskapet har även i det praktiska arbetet främjat ökad samverkan mellan EU, Europarådet och OSSE, bl.a. genom trojkabes</w:t>
      </w:r>
      <w:r w:rsidRPr="009018C6">
        <w:t>ö</w:t>
      </w:r>
      <w:r w:rsidRPr="009018C6">
        <w:t>ket till de tre länderna i södra Kaukasus i februari. EU har också stött det arbete som Europarådets experter utför i Tjetjenien. Även på västra Balkan har samarbetet mellan EU, Europarådet och OSSE utökats.</w:t>
      </w:r>
    </w:p>
    <w:p w:rsidR="003851BF" w:rsidRPr="009018C6" w:rsidRDefault="003851BF">
      <w:pPr>
        <w:pStyle w:val="Rubrik3"/>
        <w:rPr>
          <w:noProof w:val="0"/>
        </w:rPr>
      </w:pPr>
      <w:bookmarkStart w:id="15" w:name="_Toc2677684"/>
      <w:r w:rsidRPr="009018C6">
        <w:rPr>
          <w:noProof w:val="0"/>
        </w:rPr>
        <w:t>Verksamheten i ministerkommittén</w:t>
      </w:r>
      <w:bookmarkEnd w:id="15"/>
    </w:p>
    <w:p w:rsidR="003851BF" w:rsidRPr="009018C6" w:rsidRDefault="003851BF">
      <w:pPr>
        <w:pStyle w:val="Normaltindrag"/>
        <w:ind w:firstLine="0"/>
      </w:pPr>
      <w:r w:rsidRPr="009018C6">
        <w:t>Kosovo och utvecklingen i sydöstra Europa har fortsatt, sedan ministermötet i Budapest 1999, varit en central fråga på ministerkommitténs dagordning. Bosnien-Hercegovinas och Förbundsrepubliken Jugoslaviens ansökningar om medlemskap behandlas för närvarande av den parlamentariska församlingen men följs också noga av ministe</w:t>
      </w:r>
      <w:r w:rsidRPr="009018C6">
        <w:t>r</w:t>
      </w:r>
      <w:r w:rsidRPr="009018C6">
        <w:t>kommittén.</w:t>
      </w:r>
    </w:p>
    <w:p w:rsidR="003851BF" w:rsidRPr="009018C6" w:rsidRDefault="003851BF">
      <w:pPr>
        <w:pStyle w:val="Normaltindrag"/>
      </w:pPr>
      <w:r w:rsidRPr="009018C6">
        <w:t>Andra återkommande frågor på ministerkommitténs agenda har varit sit</w:t>
      </w:r>
      <w:r w:rsidRPr="009018C6">
        <w:t>u</w:t>
      </w:r>
      <w:r w:rsidRPr="009018C6">
        <w:t>ationen i Kaukasus, frågor om EU/EG:s anslutning till Europakonventionen om de mänskliga rättigheterna samt domstolens situation vad gäller arbetsb</w:t>
      </w:r>
      <w:r w:rsidRPr="009018C6">
        <w:t>e</w:t>
      </w:r>
      <w:r w:rsidRPr="009018C6">
        <w:t>las</w:t>
      </w:r>
      <w:r w:rsidRPr="009018C6">
        <w:t>t</w:t>
      </w:r>
      <w:r w:rsidRPr="009018C6">
        <w:t xml:space="preserve">ning och budget. </w:t>
      </w:r>
    </w:p>
    <w:p w:rsidR="003851BF" w:rsidRPr="009018C6" w:rsidRDefault="003851BF">
      <w:pPr>
        <w:pStyle w:val="Normaltindrag"/>
      </w:pPr>
      <w:r w:rsidRPr="009018C6">
        <w:t>Situationen i Tjetjenien har följts noga och behandlats vid ett flertal til</w:t>
      </w:r>
      <w:r w:rsidRPr="009018C6">
        <w:t>l</w:t>
      </w:r>
      <w:r w:rsidRPr="009018C6">
        <w:t>fällen i ministerkommitténs löpande arbete i ställföreträdarkretsen, bl.a. i samband med kommissarien för mänskliga rättigheters, Gil-Robles, besök där. Närvaron av tre experter på mänskliga rättigheter från Europarådet vid den ryske ombudsmannen för mänskliga rättigheters kontor i staden Zn</w:t>
      </w:r>
      <w:r w:rsidRPr="009018C6">
        <w:t>a</w:t>
      </w:r>
      <w:r w:rsidRPr="009018C6">
        <w:t>menskoje i Tjetjenien sedan april 2000 har givit Europarådet en särställning, då man under en lång period utgjorde den enda internationella närvaron i omr</w:t>
      </w:r>
      <w:r w:rsidRPr="009018C6">
        <w:t>å</w:t>
      </w:r>
      <w:r w:rsidRPr="009018C6">
        <w:t xml:space="preserve">det. </w:t>
      </w:r>
    </w:p>
    <w:p w:rsidR="003851BF" w:rsidRPr="009018C6" w:rsidRDefault="003851BF">
      <w:pPr>
        <w:pStyle w:val="Normaltindrag"/>
      </w:pPr>
      <w:r w:rsidRPr="009018C6">
        <w:t>Georgien upptogs som medlem av Europarådet 1999, medan Ar</w:t>
      </w:r>
      <w:r w:rsidRPr="009018C6">
        <w:t xml:space="preserve">menien och Azerbajdzjan inträdde den 25 januari 2001. Europarådet övervakar och följer nu noga utvecklingen i länderna. EU har varit och är starkt drivande vad avser uppföljning av ländernas åtaganden, bl.a. har gemensamma program tagits fram av Europarådet och Europeiska kommissionen för detta syfte. </w:t>
      </w:r>
    </w:p>
    <w:p w:rsidR="003851BF" w:rsidRPr="009018C6" w:rsidRDefault="003851BF">
      <w:r w:rsidRPr="009018C6">
        <w:t>Europarådet har under den behandlade perioden genomfört flera aktiviteter i Ukraina för att assistera myndigheterna i strävandena att uppnå de normer på områdena demokrati och mänskliga rättigheter som man fö</w:t>
      </w:r>
      <w:r w:rsidRPr="009018C6">
        <w:t>rbundit sig till vid medlemskapet; bl.a. genom gemensamma program med Europeiska kommi</w:t>
      </w:r>
      <w:r w:rsidRPr="009018C6">
        <w:t>s</w:t>
      </w:r>
      <w:r w:rsidRPr="009018C6">
        <w:t xml:space="preserve">sionen och samverkan med OSSE. </w:t>
      </w:r>
    </w:p>
    <w:p w:rsidR="003851BF" w:rsidRPr="009018C6" w:rsidRDefault="003851BF">
      <w:pPr>
        <w:pStyle w:val="Normaltindrag"/>
      </w:pPr>
      <w:r w:rsidRPr="009018C6">
        <w:t>Turkiet har upprepade gånger uppmanats av ministerkommittén att up</w:t>
      </w:r>
      <w:r w:rsidRPr="009018C6">
        <w:t>p</w:t>
      </w:r>
      <w:r w:rsidRPr="009018C6">
        <w:t>fylla domar mot sig i Europadomstolen. Dessa har gällt såväl yttrandefrihet</w:t>
      </w:r>
      <w:r w:rsidRPr="009018C6">
        <w:t>s</w:t>
      </w:r>
      <w:r w:rsidRPr="009018C6">
        <w:t xml:space="preserve">frågor som säkerhetsstyrkornas uppträdande. </w:t>
      </w:r>
    </w:p>
    <w:p w:rsidR="003851BF" w:rsidRPr="009018C6" w:rsidRDefault="003851BF">
      <w:pPr>
        <w:pStyle w:val="Normaltindrag"/>
      </w:pPr>
      <w:r w:rsidRPr="009018C6">
        <w:t>Under 2000, initierades även nya gemensamma projekt mellan Europar</w:t>
      </w:r>
      <w:r w:rsidRPr="009018C6">
        <w:t>å</w:t>
      </w:r>
      <w:r w:rsidRPr="009018C6">
        <w:t>det och Europeiska kommissionen bl.a. avseende Ryssland.</w:t>
      </w:r>
    </w:p>
    <w:p w:rsidR="003851BF" w:rsidRPr="009018C6" w:rsidRDefault="003851BF">
      <w:pPr>
        <w:pStyle w:val="R3"/>
      </w:pPr>
      <w:r w:rsidRPr="009018C6">
        <w:t>Samarbetsprogrammen för demokratisk utveckling</w:t>
      </w:r>
    </w:p>
    <w:p w:rsidR="003851BF" w:rsidRPr="009018C6" w:rsidRDefault="003851BF">
      <w:r w:rsidRPr="009018C6">
        <w:t>Samarbetsprogrammen, som syftar till att främja demokratisk utveckling och underlätta uppfyllandet av de åtaganden som följer på medlemskap i organ</w:t>
      </w:r>
      <w:r w:rsidRPr="009018C6">
        <w:t>i</w:t>
      </w:r>
      <w:r w:rsidRPr="009018C6">
        <w:t xml:space="preserve">sationen, har växt i omfattning i takt med ökningen av medlemskretsen. Även kandidatländerna kommer i fråga för samarbetsprogram. </w:t>
      </w:r>
    </w:p>
    <w:p w:rsidR="003851BF" w:rsidRPr="009018C6" w:rsidRDefault="003851BF">
      <w:pPr>
        <w:pStyle w:val="Normaltindrag"/>
      </w:pPr>
      <w:r w:rsidRPr="009018C6">
        <w:t>En del samarbetsprogram erhåller finansiellt stöd av Europeiska kommi</w:t>
      </w:r>
      <w:r w:rsidRPr="009018C6">
        <w:t>s</w:t>
      </w:r>
      <w:r w:rsidRPr="009018C6">
        <w:t>sionen. Andra program med delad finansiering, utförs inom ramen för Eur</w:t>
      </w:r>
      <w:r w:rsidRPr="009018C6">
        <w:t>o</w:t>
      </w:r>
      <w:r w:rsidRPr="009018C6">
        <w:t>parådets och Europeiska kommissionens gemensamma samarbetsprogram.</w:t>
      </w:r>
    </w:p>
    <w:p w:rsidR="003851BF" w:rsidRPr="009018C6" w:rsidRDefault="003851BF">
      <w:pPr>
        <w:pStyle w:val="Normaltindrag"/>
      </w:pPr>
      <w:r w:rsidRPr="009018C6">
        <w:t xml:space="preserve"> Exempel på nya aktiviteter under verksamhetsperioden är insatser till förmån för Ryssland (inklusive norra Kaukasus), Albanien och Moldavien. Andra exempel är insatser för antagande av medielagstiftning i Serbien (FRJ) och insatser för att förbättra situationen för r</w:t>
      </w:r>
      <w:r w:rsidRPr="009018C6">
        <w:t>o</w:t>
      </w:r>
      <w:r w:rsidRPr="009018C6">
        <w:t>mer.</w:t>
      </w:r>
    </w:p>
    <w:p w:rsidR="003851BF" w:rsidRPr="009018C6" w:rsidRDefault="003851BF">
      <w:pPr>
        <w:pStyle w:val="Normaltindrag"/>
      </w:pPr>
      <w:r w:rsidRPr="009018C6">
        <w:t>Europarådet är även fortsatt aktivt inom den s.k. stabilitetspakten för sy</w:t>
      </w:r>
      <w:r w:rsidRPr="009018C6">
        <w:t>d</w:t>
      </w:r>
      <w:r w:rsidRPr="009018C6">
        <w:t xml:space="preserve">östra Europa. </w:t>
      </w:r>
    </w:p>
    <w:p w:rsidR="003851BF" w:rsidRPr="009018C6" w:rsidRDefault="003851BF">
      <w:pPr>
        <w:pStyle w:val="R3"/>
      </w:pPr>
      <w:bookmarkStart w:id="16" w:name="_Toc525008439"/>
      <w:r w:rsidRPr="009018C6">
        <w:t>Europarådssekretariatet och budgeten</w:t>
      </w:r>
      <w:bookmarkEnd w:id="16"/>
    </w:p>
    <w:p w:rsidR="003851BF" w:rsidRPr="009018C6" w:rsidRDefault="003851BF">
      <w:r w:rsidRPr="009018C6">
        <w:t>Europarådets budget uppgick år 2000 till 159 500 000 euro och 2001 till</w:t>
      </w:r>
      <w:r w:rsidRPr="009018C6">
        <w:br/>
        <w:t>163 000 000 euro. Ökningarna innebär som tidigare en reell nolltillväxt. Sv</w:t>
      </w:r>
      <w:r w:rsidRPr="009018C6">
        <w:t>e</w:t>
      </w:r>
      <w:r w:rsidRPr="009018C6">
        <w:t xml:space="preserve">rige tillhör de länder som, mot bakgrund av Europadomstolens behov, gärna hade sett en viss ytterligare ökning av budgeten. </w:t>
      </w:r>
    </w:p>
    <w:p w:rsidR="003851BF" w:rsidRPr="009018C6" w:rsidRDefault="003851BF">
      <w:pPr>
        <w:pStyle w:val="Normaltindrag"/>
      </w:pPr>
      <w:r w:rsidRPr="009018C6">
        <w:t>Sveriges andel av Europarådets budget uppgick år 2000 till 2,19 % och 2001 till 2,21 %. I budgetpropositionen för de aktuella åren anslogs knappt 35 respektive knappt 39 miljoner kronor för de olika obligatoriska bidragen till Europarådets budget, inklusive vissa partsavtal.</w:t>
      </w:r>
    </w:p>
    <w:p w:rsidR="003851BF" w:rsidRPr="009018C6" w:rsidRDefault="003851BF">
      <w:pPr>
        <w:pStyle w:val="Rubrik3"/>
        <w:rPr>
          <w:noProof w:val="0"/>
        </w:rPr>
      </w:pPr>
      <w:bookmarkStart w:id="17" w:name="_Toc525008440"/>
      <w:bookmarkStart w:id="18" w:name="_Toc2677685"/>
      <w:r w:rsidRPr="009018C6">
        <w:rPr>
          <w:noProof w:val="0"/>
        </w:rPr>
        <w:t>Europakonventionen och dess övervakningsorgan</w:t>
      </w:r>
      <w:bookmarkEnd w:id="17"/>
      <w:bookmarkEnd w:id="18"/>
    </w:p>
    <w:p w:rsidR="003851BF" w:rsidRPr="009018C6" w:rsidRDefault="003851BF">
      <w:r w:rsidRPr="009018C6">
        <w:t>Den europeiska konventionen om skydd för de mänskliga rättigheterna och de grundläggande friheterna (Europakonventionen) har ratificerats av 41 av Europarådets 43 medlemsstater. När det gäller tilläggsprotokollen kan nä</w:t>
      </w:r>
      <w:r w:rsidRPr="009018C6">
        <w:t>m</w:t>
      </w:r>
      <w:r w:rsidRPr="009018C6">
        <w:t>nas att Albanien, Cypern, Georgien, Polen och Ukraina, under 2000, har ratificerat det sjätte tilläggsprotokollet, som förbjuder användning av död</w:t>
      </w:r>
      <w:r w:rsidRPr="009018C6">
        <w:t>s</w:t>
      </w:r>
      <w:r w:rsidRPr="009018C6">
        <w:t>straff i fredstid. Armenien, Azerbajdzjan, Ryssland och Turkiet har däremot ännu inte ratificerat det. (Utskottet fogar en översikt av ratifikationsläget som en bilaga till detta b</w:t>
      </w:r>
      <w:r w:rsidRPr="009018C6">
        <w:t>e</w:t>
      </w:r>
      <w:r w:rsidRPr="009018C6">
        <w:t xml:space="preserve">tänkande.) </w:t>
      </w:r>
    </w:p>
    <w:p w:rsidR="003851BF" w:rsidRPr="009018C6" w:rsidRDefault="003851BF">
      <w:pPr>
        <w:pStyle w:val="Normaltindrag"/>
      </w:pPr>
      <w:r w:rsidRPr="009018C6">
        <w:t>Europadomstolen meddelade under 2000 en dom i mål mot Sverige. Hi</w:t>
      </w:r>
      <w:r w:rsidRPr="009018C6">
        <w:t>t</w:t>
      </w:r>
      <w:r w:rsidRPr="009018C6">
        <w:t>tills under 2001 har tre domar mot Sverige meddelats. I samtliga fyra fall hade förlikning träffats inför domstolen och domstolens uppgift inskränkte sig till att konstatera detta faktum samt avskriva målet. Vid halvårsskiftet juni/juli 2001 hade Europadomstolen ett trettiotal mål mot Sverige under handläg</w:t>
      </w:r>
      <w:r w:rsidRPr="009018C6">
        <w:t>g</w:t>
      </w:r>
      <w:r w:rsidRPr="009018C6">
        <w:t>ning där regeringen ombetts inkomma med sv</w:t>
      </w:r>
      <w:r w:rsidRPr="009018C6">
        <w:t>a</w:t>
      </w:r>
      <w:r w:rsidRPr="009018C6">
        <w:t>romål.</w:t>
      </w:r>
    </w:p>
    <w:p w:rsidR="003851BF" w:rsidRPr="009018C6" w:rsidRDefault="003851BF">
      <w:pPr>
        <w:pStyle w:val="Normaltindrag"/>
      </w:pPr>
      <w:r w:rsidRPr="009018C6">
        <w:t>Den nya, permanenta Europadomstolen, som inrättades 1998, har nu hu</w:t>
      </w:r>
      <w:r w:rsidRPr="009018C6">
        <w:t>n</w:t>
      </w:r>
      <w:r w:rsidRPr="009018C6">
        <w:t>nit arbeta under närmare tre år. Den reform som beskrivits i tidigare skrivelser har ännu inte lett till det eftersträvade resultatet, nämligen att korta handläg</w:t>
      </w:r>
      <w:r w:rsidRPr="009018C6">
        <w:t>g</w:t>
      </w:r>
      <w:r w:rsidRPr="009018C6">
        <w:t>ningstiderna. Tvärtom fortsätter målbalansen att öka kontinuerligt på grund av ett  stort och hela tiden växande antal klagomål. Under 2000 registrerades över 10 000 nya mål.</w:t>
      </w:r>
    </w:p>
    <w:p w:rsidR="003851BF" w:rsidRPr="009018C6" w:rsidRDefault="003851BF">
      <w:pPr>
        <w:pStyle w:val="Normaltindrag"/>
      </w:pPr>
      <w:r w:rsidRPr="009018C6">
        <w:t>Domstolen har fått möjlighet att anställa ytterligare jurister för att bereda målen. Några olika arbetsgrupper har även inrättats för att överväga vad som kan göras för att p</w:t>
      </w:r>
      <w:r w:rsidRPr="009018C6">
        <w:t>å sikt komma tillrätta med den problematiska situationen. Arbetet tar sikte på både domstolens interna arbetsmetoder och dess procedu</w:t>
      </w:r>
      <w:r w:rsidRPr="009018C6">
        <w:t>r</w:t>
      </w:r>
      <w:r w:rsidRPr="009018C6">
        <w:t>regler. Också ändringar av Europakonventionen som sådan kan bli aktuella. Att på något sätt begränsa de redan existerande rättigheter, som enligt ko</w:t>
      </w:r>
      <w:r w:rsidRPr="009018C6">
        <w:t>n</w:t>
      </w:r>
      <w:r w:rsidRPr="009018C6">
        <w:t>ventionen til</w:t>
      </w:r>
      <w:r w:rsidRPr="009018C6">
        <w:t>l</w:t>
      </w:r>
      <w:r w:rsidRPr="009018C6">
        <w:t>kommer individen, har dock inte varit på tal.</w:t>
      </w:r>
    </w:p>
    <w:p w:rsidR="003851BF" w:rsidRPr="009018C6" w:rsidRDefault="003851BF">
      <w:pPr>
        <w:pStyle w:val="Normaltindrag"/>
      </w:pPr>
    </w:p>
    <w:p w:rsidR="003851BF" w:rsidRPr="009018C6" w:rsidRDefault="003851BF">
      <w:pPr>
        <w:pStyle w:val="Rubrik3"/>
        <w:rPr>
          <w:noProof w:val="0"/>
        </w:rPr>
      </w:pPr>
      <w:bookmarkStart w:id="19" w:name="_Toc2677686"/>
      <w:r w:rsidRPr="009018C6">
        <w:rPr>
          <w:noProof w:val="0"/>
        </w:rPr>
        <w:t>Arbetet inom ramen för verksamhetsprogrammen</w:t>
      </w:r>
      <w:bookmarkEnd w:id="19"/>
    </w:p>
    <w:p w:rsidR="003851BF" w:rsidRPr="009018C6" w:rsidRDefault="003851BF">
      <w:r w:rsidRPr="009018C6">
        <w:t>Inom verksamhetsprogrammen bedrevs under perioden arbete inom områdena mänskliga rättigheter och demokratifrågor, sociala frågor samt kulturfrågor och kulturell mångfald. Vidare bedrevs verksamhet inom ramen för de s.k. partsavtalen på bl.a. social-, hälso- och kulturområdena.</w:t>
      </w:r>
    </w:p>
    <w:p w:rsidR="003851BF" w:rsidRPr="009018C6" w:rsidRDefault="003851BF">
      <w:pPr>
        <w:pStyle w:val="Normaltindrag"/>
      </w:pPr>
      <w:r w:rsidRPr="009018C6">
        <w:t>Expertkommittén för utveckling av de mänskliga rättigheterna (DH-DEV) påbörjade under första halvåret 2001 ett arbete med att utforma ett nytt tilläggsprotokoll till Europakonventionen angående dödsstraffets totala a</w:t>
      </w:r>
      <w:r w:rsidRPr="009018C6">
        <w:t>v</w:t>
      </w:r>
      <w:r w:rsidRPr="009018C6">
        <w:t>skaffande, alltså inte bara i fredstid. Arbetet har som utgångspunkt ett svenskt förslag, som behandlades av ministerkommittén under slutet av 2000 och början av 2001. Förhoppningen från svensk sida är att ett nytt tilläggsprot</w:t>
      </w:r>
      <w:r w:rsidRPr="009018C6">
        <w:t>o</w:t>
      </w:r>
      <w:r w:rsidRPr="009018C6">
        <w:t>koll skall kunna antas av ministerko</w:t>
      </w:r>
      <w:r w:rsidRPr="009018C6">
        <w:t>m</w:t>
      </w:r>
      <w:r w:rsidRPr="009018C6">
        <w:t>mittén under 2002.</w:t>
      </w:r>
    </w:p>
    <w:p w:rsidR="003851BF" w:rsidRPr="009018C6" w:rsidRDefault="003851BF">
      <w:pPr>
        <w:pStyle w:val="Normaltindrag"/>
      </w:pPr>
      <w:r w:rsidRPr="009018C6">
        <w:t>Europarådets kommissarie för mänskliga rättigheter spanjoren Alvaro Gil-Robles  har under den behandlade perioden gjort ett flertal besök i medlem</w:t>
      </w:r>
      <w:r w:rsidRPr="009018C6">
        <w:t>s</w:t>
      </w:r>
      <w:r w:rsidRPr="009018C6">
        <w:t xml:space="preserve">länder. Bland dessa kan noteras flera besök i Ryssland och särskilt norra Kaukasus, inklusive Tjetjenien. </w:t>
      </w:r>
    </w:p>
    <w:p w:rsidR="003851BF" w:rsidRPr="009018C6" w:rsidRDefault="003851BF">
      <w:pPr>
        <w:pStyle w:val="Rubrik2"/>
      </w:pPr>
      <w:bookmarkStart w:id="20" w:name="_Toc2677687"/>
      <w:r w:rsidRPr="009018C6">
        <w:t>Huvudsakliga innehållet i redogörelsen från Sveriges delegation vid Europarådets parlamentariska församling</w:t>
      </w:r>
      <w:bookmarkEnd w:id="20"/>
    </w:p>
    <w:p w:rsidR="003851BF" w:rsidRPr="009018C6" w:rsidRDefault="003851BF">
      <w:r w:rsidRPr="009018C6">
        <w:t>I redogörelsen redovisar Sveriges delegation vid Europarådets parlamentari</w:t>
      </w:r>
      <w:r w:rsidRPr="009018C6">
        <w:t>s</w:t>
      </w:r>
      <w:r w:rsidRPr="009018C6">
        <w:t>ka församling Europarådets roll i det europeiska samarbetet, den parlament</w:t>
      </w:r>
      <w:r w:rsidRPr="009018C6">
        <w:t>a</w:t>
      </w:r>
      <w:r w:rsidRPr="009018C6">
        <w:t>riska församlingens verksamhet under 2000 och den svenska representati</w:t>
      </w:r>
      <w:r w:rsidRPr="009018C6">
        <w:t>o</w:t>
      </w:r>
      <w:r w:rsidRPr="009018C6">
        <w:t>nen. Vidare redovisas huvudområdena för församlingens verksamhet vilka är granskning av hur medlemsländerna uppfyller sina åtaganden, politiska fr</w:t>
      </w:r>
      <w:r w:rsidRPr="009018C6">
        <w:t>å</w:t>
      </w:r>
      <w:r w:rsidRPr="009018C6">
        <w:t>gor, juridiska frågor och mänskliga rättigheter, ekonomi och utveckling, sociala frågor, hälso- och familjefrågor, kultur och utbildning, naturvetenskap och teknik, miljö, regionalplanering och lokal förvaltning, befol</w:t>
      </w:r>
      <w:r w:rsidRPr="009018C6">
        <w:t>knings- och flyktingfrågor, jordbruk och landsbygdsutveckling, kontakter med nationella parlament och med allmänheten samt jämställdhet mellan kvinnor och män. Till redogörelsen har fogats en förteckning över församlingens beslut.</w:t>
      </w:r>
    </w:p>
    <w:p w:rsidR="003851BF" w:rsidRPr="009018C6" w:rsidRDefault="003851BF">
      <w:pPr>
        <w:pStyle w:val="Normaltindrag"/>
      </w:pPr>
      <w:r w:rsidRPr="009018C6">
        <w:t>Den parlamentariska församlingen höll fyra delsessioner om vardera en vecka. Till president för församlingen omvaldes i januari britten Lord Ru</w:t>
      </w:r>
      <w:r w:rsidRPr="009018C6">
        <w:t>s</w:t>
      </w:r>
      <w:r w:rsidRPr="009018C6">
        <w:t>sell-Johnston. Den svenska delegationen bestod av totalt tolv riksdagsled</w:t>
      </w:r>
      <w:r w:rsidRPr="009018C6">
        <w:t>a</w:t>
      </w:r>
      <w:r w:rsidRPr="009018C6">
        <w:t>möter, med Jan Bergqvist (s) som ordförande.</w:t>
      </w:r>
    </w:p>
    <w:p w:rsidR="003851BF" w:rsidRPr="009018C6" w:rsidRDefault="003851BF">
      <w:pPr>
        <w:pStyle w:val="Normaltindrag"/>
      </w:pPr>
      <w:r w:rsidRPr="009018C6">
        <w:t>I och med att församlingen beslöt att dess prioriteringar och strukturer skall ändras för att effektivisera verksamheten fattades även ett beslut om en ny utskottsorganisation. Från början av 2001 är antalet utskott tio i stället för fjorton. Det innebär att sammansättningen av ett flertal utskott och mand</w:t>
      </w:r>
      <w:r w:rsidRPr="009018C6">
        <w:t>a</w:t>
      </w:r>
      <w:r w:rsidRPr="009018C6">
        <w:t>t-uppdelningen mellan de nationella delegationerna har förändrats för att tillg</w:t>
      </w:r>
      <w:r w:rsidRPr="009018C6">
        <w:t>o</w:t>
      </w:r>
      <w:r w:rsidRPr="009018C6">
        <w:t>dose principen att varje församlingsledamot skall få plats i minst ett utskott.</w:t>
      </w:r>
    </w:p>
    <w:p w:rsidR="003851BF" w:rsidRPr="009018C6" w:rsidRDefault="003851BF">
      <w:r w:rsidRPr="009018C6">
        <w:t>Med utvidgningen av medlemskretsen har uppföljning och kontroll av efte</w:t>
      </w:r>
      <w:r w:rsidRPr="009018C6">
        <w:t>r</w:t>
      </w:r>
      <w:r w:rsidRPr="009018C6">
        <w:t>levnaden av medlemsländernas åtaganden blivit en allt viktigare del av Eur</w:t>
      </w:r>
      <w:r w:rsidRPr="009018C6">
        <w:t>o</w:t>
      </w:r>
      <w:r w:rsidRPr="009018C6">
        <w:t>parådets verksamhet. Under 2000 granskade församlingen fyra landsrappo</w:t>
      </w:r>
      <w:r w:rsidRPr="009018C6">
        <w:t>r</w:t>
      </w:r>
      <w:r w:rsidRPr="009018C6">
        <w:t>ter: Albanien, Bulgarien, Kroatien och Makedonien. Andra stater som för närvarande är föremål för granskning är Georgien, Lettland, Moldova, Rys</w:t>
      </w:r>
      <w:r w:rsidRPr="009018C6">
        <w:t>s</w:t>
      </w:r>
      <w:r w:rsidRPr="009018C6">
        <w:t>land, Turkiet och Ukraina. Dessutom har parlamentarikerförsamlingen under de senaste åren engagerat sig i ett stort antal valövervakningsinsatser, oftast i samarbete med OSSE och Europapa</w:t>
      </w:r>
      <w:r w:rsidRPr="009018C6">
        <w:t>r</w:t>
      </w:r>
      <w:r w:rsidRPr="009018C6">
        <w:t>lamentet.</w:t>
      </w:r>
    </w:p>
    <w:p w:rsidR="003851BF" w:rsidRPr="009018C6" w:rsidRDefault="003851BF">
      <w:pPr>
        <w:pStyle w:val="Normaltindrag"/>
      </w:pPr>
      <w:r w:rsidRPr="009018C6">
        <w:t>Under 2000 ägnade förs</w:t>
      </w:r>
      <w:r w:rsidRPr="009018C6">
        <w:t>amlingen mycket tid åt att debattera konflikten i Tjetjenien, som blev det dominerande ärendet, samt utvecklingen på Balkan och Kosovokrisen. Parlamentarikerna fördömde kränkningarna av de mäns</w:t>
      </w:r>
      <w:r w:rsidRPr="009018C6">
        <w:t>k</w:t>
      </w:r>
      <w:r w:rsidRPr="009018C6">
        <w:t>liga rättigheterna i Tjetjenien och rekommenderade att ministerkommittén vid uteblivna framsteg i den långdragna tjetjensk-ryska konflikten vidtog åtgärder för att utesluta Rys</w:t>
      </w:r>
      <w:r w:rsidRPr="009018C6">
        <w:t>s</w:t>
      </w:r>
      <w:r w:rsidRPr="009018C6">
        <w:t>land från Europarådet.</w:t>
      </w:r>
    </w:p>
    <w:p w:rsidR="003851BF" w:rsidRPr="009018C6" w:rsidRDefault="003851BF">
      <w:pPr>
        <w:pStyle w:val="Normaltindrag"/>
      </w:pPr>
      <w:r w:rsidRPr="009018C6">
        <w:t xml:space="preserve"> Demokrati och de mänskliga rättigheterna såväl som förekomsten av dödsstraff i några medlemsländer återkom i många ol</w:t>
      </w:r>
      <w:r w:rsidRPr="009018C6">
        <w:t>ika debatter under 2000. Ukraina förbjöd dödsstraff i sin lagstiftning i februari 2000. Nu återstår Ryssland och Turkiet som ännu inte tagit detta steg.</w:t>
      </w:r>
    </w:p>
    <w:p w:rsidR="003851BF" w:rsidRPr="009018C6" w:rsidRDefault="003851BF">
      <w:pPr>
        <w:pStyle w:val="Normaltindrag"/>
      </w:pPr>
      <w:r w:rsidRPr="009018C6">
        <w:t>Vidare ansåg församlingen att Turkiets fastställande av dödsstraffet mot kurdledaren Abdullah Öcalan var oacceptabelt. Domen har överklagats till Europadomstolen för de mänskliga rättigheterna. Domstolsbehandlingen började i november och förväntades pågå i flera månader.</w:t>
      </w:r>
    </w:p>
    <w:p w:rsidR="003851BF" w:rsidRPr="009018C6" w:rsidRDefault="003851BF">
      <w:pPr>
        <w:pStyle w:val="Normaltindrag"/>
      </w:pPr>
      <w:r w:rsidRPr="009018C6">
        <w:t>Arbetet med EU:s nya grundrättighetsstadga diskuterades även vid två ol</w:t>
      </w:r>
      <w:r w:rsidRPr="009018C6">
        <w:t>i</w:t>
      </w:r>
      <w:r w:rsidRPr="009018C6">
        <w:t>ka sessioner av församlingen. Europarådet hade två observatörer i det förb</w:t>
      </w:r>
      <w:r w:rsidRPr="009018C6">
        <w:t>e</w:t>
      </w:r>
      <w:r w:rsidRPr="009018C6">
        <w:t>redande EU-organet. Församlingen ansåg att Europarådets mekanism för att skydda mänskliga rättigheter  borde utnyttjas i arbetet med EU-stadgan för att undvika överla</w:t>
      </w:r>
      <w:r w:rsidRPr="009018C6">
        <w:t>p</w:t>
      </w:r>
      <w:r w:rsidRPr="009018C6">
        <w:t xml:space="preserve">pande funktioner.        </w:t>
      </w:r>
    </w:p>
    <w:p w:rsidR="003851BF" w:rsidRPr="009018C6" w:rsidRDefault="003851BF">
      <w:pPr>
        <w:pStyle w:val="Rubrik2"/>
      </w:pPr>
      <w:bookmarkStart w:id="21" w:name="_Toc2677688"/>
      <w:r w:rsidRPr="009018C6">
        <w:t>Motionerna</w:t>
      </w:r>
      <w:bookmarkEnd w:id="21"/>
    </w:p>
    <w:p w:rsidR="003851BF" w:rsidRPr="009018C6" w:rsidRDefault="003851BF">
      <w:pPr>
        <w:spacing w:before="0"/>
      </w:pPr>
      <w:r w:rsidRPr="009018C6">
        <w:t xml:space="preserve">I motion </w:t>
      </w:r>
      <w:r w:rsidRPr="009018C6">
        <w:rPr>
          <w:i/>
        </w:rPr>
        <w:t>2001/02:U1 (kd) yrkande 1</w:t>
      </w:r>
      <w:r w:rsidRPr="009018C6">
        <w:t xml:space="preserve"> understryker motionärerna att Europar</w:t>
      </w:r>
      <w:r w:rsidRPr="009018C6">
        <w:t>å</w:t>
      </w:r>
      <w:r w:rsidRPr="009018C6">
        <w:t>dets resursbrist har blivit allt allvarligare och särskilt drabbar arbetet inom Europadomstolen. Domstolen riskerar att förlora sin unika trovärdighet om eftersläpningen i ärendebehandlingen fortsätter hävdar motionärerna och kräver att regeringen måste fortsätta verka för en ökning av Europarådets budget.</w:t>
      </w:r>
    </w:p>
    <w:p w:rsidR="003851BF" w:rsidRPr="009018C6" w:rsidRDefault="003851BF">
      <w:pPr>
        <w:pStyle w:val="Normaltindrag"/>
      </w:pPr>
      <w:r w:rsidRPr="009018C6">
        <w:t xml:space="preserve">Vidare betonas i motionen </w:t>
      </w:r>
      <w:r w:rsidRPr="009018C6">
        <w:rPr>
          <w:i/>
        </w:rPr>
        <w:t>(yrkande 2)</w:t>
      </w:r>
      <w:r w:rsidRPr="009018C6">
        <w:rPr>
          <w:b/>
          <w:i/>
        </w:rPr>
        <w:t xml:space="preserve"> </w:t>
      </w:r>
      <w:r w:rsidRPr="009018C6">
        <w:t>vikten av att de arbetsgrupper som nu ser över domstolens arbetssätt snarast presenterar förslag på reformer som effektiviserar domstolens arbete utan att försämra dess möjligheter att skydda de mänskliga rätti</w:t>
      </w:r>
      <w:r w:rsidRPr="009018C6">
        <w:t>g</w:t>
      </w:r>
      <w:r w:rsidRPr="009018C6">
        <w:t>heterna.</w:t>
      </w:r>
    </w:p>
    <w:p w:rsidR="003851BF" w:rsidRPr="009018C6" w:rsidRDefault="003851BF">
      <w:r w:rsidRPr="009018C6">
        <w:t xml:space="preserve">I motion </w:t>
      </w:r>
      <w:r w:rsidRPr="009018C6">
        <w:rPr>
          <w:i/>
        </w:rPr>
        <w:t>2001/02:U243 (s)</w:t>
      </w:r>
      <w:r w:rsidRPr="009018C6">
        <w:rPr>
          <w:b/>
        </w:rPr>
        <w:t xml:space="preserve"> </w:t>
      </w:r>
      <w:r w:rsidRPr="009018C6">
        <w:t>påtalas också Europadomstolens allvarliga pr</w:t>
      </w:r>
      <w:r w:rsidRPr="009018C6">
        <w:t>o</w:t>
      </w:r>
      <w:r w:rsidRPr="009018C6">
        <w:t>blem med bristande resurser och stora svårigheter att hantera arbetsbelas</w:t>
      </w:r>
      <w:r w:rsidRPr="009018C6">
        <w:t>t</w:t>
      </w:r>
      <w:r w:rsidRPr="009018C6">
        <w:t>ningen, vilket, enligt motionären, riskerar domstolens trovärdighet och kan leda till allvarliga bakslag för skyddet av de mänskliga rättigheterna över hela Europa.</w:t>
      </w:r>
    </w:p>
    <w:p w:rsidR="003851BF" w:rsidRPr="009018C6" w:rsidRDefault="003851BF">
      <w:r w:rsidRPr="009018C6">
        <w:t xml:space="preserve">I motion </w:t>
      </w:r>
      <w:r w:rsidRPr="009018C6">
        <w:rPr>
          <w:i/>
        </w:rPr>
        <w:t>2001/02:U305</w:t>
      </w:r>
      <w:r w:rsidRPr="009018C6">
        <w:t xml:space="preserve"> </w:t>
      </w:r>
      <w:r w:rsidRPr="009018C6">
        <w:rPr>
          <w:i/>
        </w:rPr>
        <w:t>(kd) yrkande 12</w:t>
      </w:r>
      <w:r w:rsidRPr="009018C6">
        <w:rPr>
          <w:b/>
          <w:i/>
        </w:rPr>
        <w:t xml:space="preserve"> </w:t>
      </w:r>
      <w:r w:rsidRPr="009018C6">
        <w:t>anförs att Europarådets resurser bör stärkas särskilt med tanke på Europadomstolens ställning, vilken ger rådet en unik betydelse.</w:t>
      </w:r>
    </w:p>
    <w:p w:rsidR="003851BF" w:rsidRPr="009018C6" w:rsidRDefault="003851BF"/>
    <w:p w:rsidR="003851BF" w:rsidRPr="009018C6" w:rsidRDefault="003851BF">
      <w:pPr>
        <w:pStyle w:val="Normaltindrag"/>
        <w:sectPr w:rsidR="00000000" w:rsidRPr="009018C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851BF" w:rsidRPr="009018C6" w:rsidRDefault="003851BF">
      <w:pPr>
        <w:pStyle w:val="Rubrik1"/>
        <w:rPr>
          <w:noProof w:val="0"/>
        </w:rPr>
      </w:pPr>
      <w:bookmarkStart w:id="22" w:name="_Toc2677689"/>
      <w:r w:rsidRPr="009018C6">
        <w:rPr>
          <w:noProof w:val="0"/>
        </w:rPr>
        <w:t>Utskottets överväganden</w:t>
      </w:r>
      <w:bookmarkEnd w:id="22"/>
    </w:p>
    <w:p w:rsidR="003851BF" w:rsidRPr="009018C6" w:rsidRDefault="003851BF">
      <w:r w:rsidRPr="009018C6">
        <w:t>Utskottet konstaterar att Europarådet spelar en central roll för fred, säkerhet, demokrati och mänskliga rättigheter i Europa ända sedan dess bildande kort efter det andra världskrigets slut. Det är utskottets uppfattning att Europar</w:t>
      </w:r>
      <w:r w:rsidRPr="009018C6">
        <w:t>å</w:t>
      </w:r>
      <w:r w:rsidRPr="009018C6">
        <w:t xml:space="preserve">det, med sin breda medlemskrets och sin omfattande erfarenhet, med sina normer och med sin demokratiska värdegemenskap, även framdeles har en viktig roll att spela för en fredlig utveckling på vår kontinent. Europarådet bidrar i hög grad till att stärka skyddet för de mänskliga rättigheterna i </w:t>
      </w:r>
      <w:r w:rsidRPr="009018C6">
        <w:br/>
        <w:t>Europa, och den gemensamma normbildningen inom kretsen av medlemslä</w:t>
      </w:r>
      <w:r w:rsidRPr="009018C6">
        <w:t>n</w:t>
      </w:r>
      <w:r w:rsidRPr="009018C6">
        <w:t>der är ett viktigt instrument för att förebygga väpnade konflikter. Stödet till stärkande av demokrati och respekt för de mänskliga rättigheterna ä</w:t>
      </w:r>
      <w:r w:rsidRPr="009018C6">
        <w:t>r en ce</w:t>
      </w:r>
      <w:r w:rsidRPr="009018C6">
        <w:t>n</w:t>
      </w:r>
      <w:r w:rsidRPr="009018C6">
        <w:t>tral del av Europarådets verksamhet. De krav på respekt för mänskliga rätti</w:t>
      </w:r>
      <w:r w:rsidRPr="009018C6">
        <w:t>g</w:t>
      </w:r>
      <w:r w:rsidRPr="009018C6">
        <w:t>heter som ställs på Europarådets medlemsländer utgör ett konstruktivt stöd till uppbyggnaden av demokrati och rättsstat i många av de tidigare kommuni</w:t>
      </w:r>
      <w:r w:rsidRPr="009018C6">
        <w:t>s</w:t>
      </w:r>
      <w:r w:rsidRPr="009018C6">
        <w:t>tiskt styrda länderna i Central- och Östeur</w:t>
      </w:r>
      <w:r w:rsidRPr="009018C6">
        <w:t>o</w:t>
      </w:r>
      <w:r w:rsidRPr="009018C6">
        <w:t>pa.</w:t>
      </w:r>
    </w:p>
    <w:p w:rsidR="003851BF" w:rsidRPr="009018C6" w:rsidRDefault="003851BF">
      <w:pPr>
        <w:pStyle w:val="Normaltindrag"/>
      </w:pPr>
      <w:r w:rsidRPr="009018C6">
        <w:t>En bidragande orsak till Europarådets framgångar har också varit det sta</w:t>
      </w:r>
      <w:r w:rsidRPr="009018C6">
        <w:t>r</w:t>
      </w:r>
      <w:r w:rsidRPr="009018C6">
        <w:t>ka parlamentariska inflytande som funnits i form av den rådgivande parl</w:t>
      </w:r>
      <w:r w:rsidRPr="009018C6">
        <w:t>a</w:t>
      </w:r>
      <w:r w:rsidRPr="009018C6">
        <w:t>mentariska församlingen och det engagemang som rådets arbete väckt i de nati</w:t>
      </w:r>
      <w:r w:rsidRPr="009018C6">
        <w:t>o</w:t>
      </w:r>
      <w:r w:rsidRPr="009018C6">
        <w:t xml:space="preserve">nella parlamenten. </w:t>
      </w:r>
    </w:p>
    <w:p w:rsidR="003851BF" w:rsidRPr="009018C6" w:rsidRDefault="003851BF">
      <w:pPr>
        <w:pStyle w:val="Normaltindrag"/>
      </w:pPr>
      <w:r w:rsidRPr="009018C6">
        <w:t>I sin skrivelse understryker regeringen att det är mycket viktigt att Europ</w:t>
      </w:r>
      <w:r w:rsidRPr="009018C6">
        <w:t>a</w:t>
      </w:r>
      <w:r w:rsidRPr="009018C6">
        <w:t>rådets resurser kan koncentreras på en kärnverksamhet med fokus på frä</w:t>
      </w:r>
      <w:r w:rsidRPr="009018C6">
        <w:t>m</w:t>
      </w:r>
      <w:r w:rsidRPr="009018C6">
        <w:t>jandet av de mänskliga rättigheterna, demokrati och rättsstatens principer samt åt normskapande, övervakning och uppföljningsmekanismer på dessa områden. Europadomst</w:t>
      </w:r>
      <w:r w:rsidRPr="009018C6">
        <w:t>o</w:t>
      </w:r>
      <w:r w:rsidRPr="009018C6">
        <w:t>lens effektiva funktionssätt måste säkerställas.</w:t>
      </w:r>
    </w:p>
    <w:p w:rsidR="003851BF" w:rsidRPr="009018C6" w:rsidRDefault="003851BF">
      <w:pPr>
        <w:pStyle w:val="Normaltindrag"/>
      </w:pPr>
      <w:r w:rsidRPr="009018C6">
        <w:t>Vidare påpekar regeringen att Sverige är ett av de länder som gärna hade sett en viss ökning av Europarådets budget, främst med tanke på domstolens behov. Detta har dock inte varit möjligt att nå konsensus om, då viktiga me</w:t>
      </w:r>
      <w:r w:rsidRPr="009018C6">
        <w:t>d</w:t>
      </w:r>
      <w:r w:rsidRPr="009018C6">
        <w:t>lemsländer med stora betalningsposter arbetar aktivt för en fortsatt nolltil</w:t>
      </w:r>
      <w:r w:rsidRPr="009018C6">
        <w:t>l</w:t>
      </w:r>
      <w:r w:rsidRPr="009018C6">
        <w:t>växt. Under det svenska ordförandeskapet kunde man dock inom EU enas kring prioriterin</w:t>
      </w:r>
      <w:r w:rsidRPr="009018C6">
        <w:t>g</w:t>
      </w:r>
      <w:r w:rsidRPr="009018C6">
        <w:t xml:space="preserve">arna för Europarådet, vilket i sig var ett framsteg.  </w:t>
      </w:r>
    </w:p>
    <w:p w:rsidR="003851BF" w:rsidRPr="009018C6" w:rsidRDefault="003851BF">
      <w:pPr>
        <w:pStyle w:val="Normaltindrag"/>
      </w:pPr>
      <w:r w:rsidRPr="009018C6">
        <w:t>Sverige verkade dessutom, inför ministermötet i Strasbourg i november 2001, för att EU:s anförande skulle spegla den vikt vi lägger vid domstolens verksamhet och betydelsen av bl.a. ministerkommitténs uppföljning av do</w:t>
      </w:r>
      <w:r w:rsidRPr="009018C6">
        <w:t>m</w:t>
      </w:r>
      <w:r w:rsidRPr="009018C6">
        <w:t>st</w:t>
      </w:r>
      <w:r w:rsidRPr="009018C6">
        <w:t>o</w:t>
      </w:r>
      <w:r w:rsidRPr="009018C6">
        <w:t>lens domar.</w:t>
      </w:r>
    </w:p>
    <w:p w:rsidR="003851BF" w:rsidRPr="009018C6" w:rsidRDefault="003851BF">
      <w:r w:rsidRPr="009018C6">
        <w:t>De motioner som behandlas i detta betänkande ligger i linje med det av r</w:t>
      </w:r>
      <w:r w:rsidRPr="009018C6">
        <w:t>e</w:t>
      </w:r>
      <w:r w:rsidRPr="009018C6">
        <w:t>geringen framförda synsättet och understryker att den övervakning av efte</w:t>
      </w:r>
      <w:r w:rsidRPr="009018C6">
        <w:t>r</w:t>
      </w:r>
      <w:r w:rsidRPr="009018C6">
        <w:t>levnaden av de mänskliga rättigheterna i Europa som bedrivs genom Europ</w:t>
      </w:r>
      <w:r w:rsidRPr="009018C6">
        <w:t>a</w:t>
      </w:r>
      <w:r w:rsidRPr="009018C6">
        <w:t>domstolen arbete är central. Det framhålls också att domstolens nuvarande svåra situation riskerar leda till att domstolens viktiga arbete ej kan garant</w:t>
      </w:r>
      <w:r w:rsidRPr="009018C6">
        <w:t>e</w:t>
      </w:r>
      <w:r w:rsidRPr="009018C6">
        <w:t xml:space="preserve">ras. </w:t>
      </w:r>
    </w:p>
    <w:p w:rsidR="003851BF" w:rsidRPr="009018C6" w:rsidRDefault="003851BF">
      <w:pPr>
        <w:pStyle w:val="Normaltindrag"/>
      </w:pPr>
      <w:r w:rsidRPr="009018C6">
        <w:t>Utskottet delar de framförda uppfattningarna och vill i sammhanget fra</w:t>
      </w:r>
      <w:r w:rsidRPr="009018C6">
        <w:t>m</w:t>
      </w:r>
      <w:r w:rsidRPr="009018C6">
        <w:t>hålla att den s.k. utvärderingsgruppen (the Evaluation Group) inom Europar</w:t>
      </w:r>
      <w:r w:rsidRPr="009018C6">
        <w:t>å</w:t>
      </w:r>
      <w:r w:rsidRPr="009018C6">
        <w:t>det, under förra året, på ministerkommitténs uppdrag, arbetat med att ta fram förslag till tänkbara reformer av Europadomstolen och dess arbetssätt. Gru</w:t>
      </w:r>
      <w:r w:rsidRPr="009018C6">
        <w:t>p</w:t>
      </w:r>
      <w:r w:rsidRPr="009018C6">
        <w:t>pen lade fram sin rapport i september 2001. I rapporten konstateras att ingen enskild åtgärd – inte heller kontinuerliga ökningar av domstolens resurser – bedöms som tillräckliga. Lösningen anses i stället ligga i ett helt reformpaket av åtgärder. Även ändringar av själva Europakonv</w:t>
      </w:r>
      <w:r w:rsidRPr="009018C6">
        <w:t>entionen bedöms nödvä</w:t>
      </w:r>
      <w:r w:rsidRPr="009018C6">
        <w:t>n</w:t>
      </w:r>
      <w:r w:rsidRPr="009018C6">
        <w:t xml:space="preserve">diga. </w:t>
      </w:r>
    </w:p>
    <w:p w:rsidR="003851BF" w:rsidRPr="009018C6" w:rsidRDefault="003851BF">
      <w:pPr>
        <w:pStyle w:val="Normaltindrag"/>
      </w:pPr>
      <w:r w:rsidRPr="009018C6">
        <w:t>Utskottet, som erfarit att den svenska regeringen delar utvärderingsgru</w:t>
      </w:r>
      <w:r w:rsidRPr="009018C6">
        <w:t>p</w:t>
      </w:r>
      <w:r w:rsidRPr="009018C6">
        <w:t>pens synsätt, understryker som sin mening att några förändringar av de rätti</w:t>
      </w:r>
      <w:r w:rsidRPr="009018C6">
        <w:t>g</w:t>
      </w:r>
      <w:r w:rsidRPr="009018C6">
        <w:t>heter som konventionen garanterar enskilda inte får ifrågakomma och vill i sammanhanget betona vikten av det pågående arbetet med att ytterligare stärka skyddet för den e</w:t>
      </w:r>
      <w:r w:rsidRPr="009018C6">
        <w:t>n</w:t>
      </w:r>
      <w:r w:rsidRPr="009018C6">
        <w:t xml:space="preserve">skilde. </w:t>
      </w:r>
    </w:p>
    <w:p w:rsidR="003851BF" w:rsidRPr="009018C6" w:rsidRDefault="003851BF">
      <w:pPr>
        <w:pStyle w:val="Normaltindrag"/>
      </w:pPr>
      <w:r w:rsidRPr="009018C6">
        <w:t>Utskottet förutsätter att den svenska regeringen, bl.a. inom ramen för sty</w:t>
      </w:r>
      <w:r w:rsidRPr="009018C6">
        <w:t>r</w:t>
      </w:r>
      <w:r w:rsidRPr="009018C6">
        <w:t>kommittén för mänskliga rättigher (CDDH)  och ministerkommittén, fortsatt kommer att verka för att förhandlingslösningar nås som möjliggör att Europ</w:t>
      </w:r>
      <w:r w:rsidRPr="009018C6">
        <w:t>a</w:t>
      </w:r>
      <w:r w:rsidRPr="009018C6">
        <w:t>domstolen även i framtiden kan fungera som den yttersta garanten för att respekten för mänskliga rättigheter inom Europa upprät</w:t>
      </w:r>
      <w:r w:rsidRPr="009018C6">
        <w:t>t</w:t>
      </w:r>
      <w:r w:rsidRPr="009018C6">
        <w:t>hålls.</w:t>
      </w:r>
    </w:p>
    <w:p w:rsidR="003851BF" w:rsidRPr="009018C6" w:rsidRDefault="003851BF">
      <w:r w:rsidRPr="009018C6">
        <w:t>Med vad ovan anförts anser utskottet att motion 2001/02:U1 (kd) yrkandena 1 och 2, motion 2001/02:U243 (s) samt motion 2001/02:U305 (kd) yrkande 12 kan besv</w:t>
      </w:r>
      <w:r w:rsidRPr="009018C6">
        <w:t>a</w:t>
      </w:r>
      <w:r w:rsidRPr="009018C6">
        <w:t>ras.</w:t>
      </w:r>
    </w:p>
    <w:p w:rsidR="003851BF" w:rsidRPr="009018C6" w:rsidRDefault="003851BF">
      <w:r w:rsidRPr="009018C6">
        <w:t>Regeringen berör i sin skrivelse frågan om en eventuell anslutning av EU till Europakonventionen. Utskottet vill med anledning härav särskilt framhålla riksdagens tidigare ställningstagande i denna fråga, vilket framgår av betä</w:t>
      </w:r>
      <w:r w:rsidRPr="009018C6">
        <w:t>n</w:t>
      </w:r>
      <w:r w:rsidRPr="009018C6">
        <w:t xml:space="preserve">kande 2000/01:KUU1 där det sammansatta konstitutions- och utrikesutskottet som sin mening ger regeringen till känna att den med all kraft bör verka för att EU skall tillträda Europakonventionen. </w:t>
      </w:r>
    </w:p>
    <w:p w:rsidR="003851BF" w:rsidRPr="009018C6" w:rsidRDefault="003851BF">
      <w:r w:rsidRPr="009018C6">
        <w:t>Utskottet vill slutligen erinra om att regeringens skrivelse om verksamheten inom Europarådets ministerkommitté tidigare regelmässigt lämnats varje år till riksdagen. Till följd av en förskjutning  i inlämningsprocessen på grund av det svenska ordförandeskapet i EU, omfattar årets skrivelse 18 månader. Utskottet m</w:t>
      </w:r>
      <w:r w:rsidRPr="009018C6">
        <w:t>enar att ett lämpligt sätt att tidsmässigt komma i fas vore att låta också nästa skrivelse med tänkt avlämning våren 2003, omfatta en 18-månadersperiod.</w:t>
      </w:r>
    </w:p>
    <w:p w:rsidR="003851BF" w:rsidRPr="009018C6" w:rsidRDefault="003851BF">
      <w:r w:rsidRPr="009018C6">
        <w:t>Utskottet föreslår att regeringens skrivelse 2001/02:12 och riksdagens Eur</w:t>
      </w:r>
      <w:r w:rsidRPr="009018C6">
        <w:t>o</w:t>
      </w:r>
      <w:r w:rsidRPr="009018C6">
        <w:t>parådsdelegations redogörelse 2000/01:ER1 läggs till handlin</w:t>
      </w:r>
      <w:r w:rsidRPr="009018C6">
        <w:t>g</w:t>
      </w:r>
      <w:r w:rsidRPr="009018C6">
        <w:t xml:space="preserve">arna. </w:t>
      </w:r>
    </w:p>
    <w:p w:rsidR="003851BF" w:rsidRPr="009018C6" w:rsidRDefault="003851BF">
      <w:pPr>
        <w:pStyle w:val="Deltagare"/>
        <w:keepLines w:val="0"/>
        <w:spacing w:before="62" w:line="250" w:lineRule="atLeast"/>
        <w:rPr>
          <w:noProof w:val="0"/>
        </w:rPr>
      </w:pPr>
    </w:p>
    <w:p w:rsidR="003851BF" w:rsidRPr="009018C6" w:rsidRDefault="003851BF">
      <w:pPr>
        <w:pStyle w:val="Bilaga"/>
        <w:sectPr w:rsidR="00000000" w:rsidRPr="009018C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851BF" w:rsidRPr="009018C6" w:rsidRDefault="003851BF">
      <w:pPr>
        <w:pStyle w:val="Bilaga"/>
      </w:pPr>
      <w:r w:rsidRPr="009018C6">
        <w:t>Bilaga 1</w:t>
      </w:r>
    </w:p>
    <w:p w:rsidR="003851BF" w:rsidRPr="009018C6" w:rsidRDefault="003851BF">
      <w:pPr>
        <w:pStyle w:val="Rubrik1"/>
        <w:rPr>
          <w:noProof w:val="0"/>
        </w:rPr>
      </w:pPr>
      <w:bookmarkStart w:id="23" w:name="_Toc2677690"/>
      <w:r w:rsidRPr="009018C6">
        <w:rPr>
          <w:noProof w:val="0"/>
        </w:rPr>
        <w:t>Förteckning över behandlade förslag</w:t>
      </w:r>
      <w:bookmarkEnd w:id="23"/>
    </w:p>
    <w:p w:rsidR="003851BF" w:rsidRPr="009018C6" w:rsidRDefault="003851BF">
      <w:pPr>
        <w:pStyle w:val="Rubrik2"/>
        <w:spacing w:before="0"/>
      </w:pPr>
      <w:bookmarkStart w:id="24" w:name="_Toc2677691"/>
      <w:r w:rsidRPr="009018C6">
        <w:t>Skrivelsen</w:t>
      </w:r>
      <w:bookmarkEnd w:id="24"/>
    </w:p>
    <w:p w:rsidR="003851BF" w:rsidRPr="009018C6" w:rsidRDefault="003851BF">
      <w:r w:rsidRPr="009018C6">
        <w:t>2001/02:12 Redogörelse för verksamheten inom Europarådets ministerko</w:t>
      </w:r>
      <w:r w:rsidRPr="009018C6">
        <w:t>m</w:t>
      </w:r>
      <w:r w:rsidRPr="009018C6">
        <w:t xml:space="preserve">mitté m.m. under år 2000 och första halvåret 2001 överlämnas till riksdagen. </w:t>
      </w:r>
    </w:p>
    <w:p w:rsidR="003851BF" w:rsidRPr="009018C6" w:rsidRDefault="003851BF">
      <w:pPr>
        <w:pStyle w:val="Rubrik2"/>
      </w:pPr>
      <w:bookmarkStart w:id="25" w:name="_Toc2677692"/>
      <w:r w:rsidRPr="009018C6">
        <w:t>Redogörelsen</w:t>
      </w:r>
      <w:bookmarkEnd w:id="25"/>
    </w:p>
    <w:p w:rsidR="003851BF" w:rsidRPr="009018C6" w:rsidRDefault="003851BF">
      <w:r w:rsidRPr="009018C6">
        <w:t>2000/01:ER1 Redogörelse från Sveriges delegation vid Europarådets parl</w:t>
      </w:r>
      <w:r w:rsidRPr="009018C6">
        <w:t>a</w:t>
      </w:r>
      <w:r w:rsidRPr="009018C6">
        <w:t>mentariska församling överlämnas till riksdagen.</w:t>
      </w:r>
    </w:p>
    <w:p w:rsidR="003851BF" w:rsidRPr="009018C6" w:rsidRDefault="003851BF">
      <w:pPr>
        <w:pStyle w:val="Rubrik2"/>
      </w:pPr>
      <w:bookmarkStart w:id="26" w:name="_Toc2677693"/>
      <w:r w:rsidRPr="009018C6">
        <w:t>Följdmotion</w:t>
      </w:r>
      <w:bookmarkEnd w:id="26"/>
    </w:p>
    <w:p w:rsidR="003851BF" w:rsidRPr="009018C6" w:rsidRDefault="003851BF">
      <w:pPr>
        <w:pStyle w:val="Motioner"/>
      </w:pPr>
      <w:bookmarkStart w:id="27" w:name="RangeStart"/>
      <w:bookmarkStart w:id="28" w:name="RangeEnd"/>
      <w:bookmarkEnd w:id="27"/>
      <w:bookmarkEnd w:id="28"/>
      <w:r w:rsidRPr="009018C6">
        <w:t>2001/02:U1 av Holger Gustafsson m.fl. (kd):</w:t>
      </w:r>
    </w:p>
    <w:p w:rsidR="003851BF" w:rsidRPr="009018C6" w:rsidRDefault="003851BF">
      <w:pPr>
        <w:pStyle w:val="Yrkanden"/>
      </w:pPr>
      <w:r w:rsidRPr="009018C6">
        <w:t xml:space="preserve">1. Riksdagen tillkännager för regeringen som sin mening vad i motionen anförs om att Sverige skall verka för en höjd budget för Europarådet, i syfte att öka Europadomstolens kapacitet. </w:t>
      </w:r>
    </w:p>
    <w:p w:rsidR="003851BF" w:rsidRPr="009018C6" w:rsidRDefault="003851BF">
      <w:pPr>
        <w:pStyle w:val="Yrkanden"/>
      </w:pPr>
      <w:r w:rsidRPr="009018C6">
        <w:t xml:space="preserve">2. Riksdagen tillkännager för regeringen som sin mening vad i motionen anförs om att reformer av Europadomstolens arbetssätt är nödvändiga. </w:t>
      </w:r>
    </w:p>
    <w:p w:rsidR="003851BF" w:rsidRPr="009018C6" w:rsidRDefault="003851BF">
      <w:pPr>
        <w:pStyle w:val="Rubrik2"/>
      </w:pPr>
      <w:bookmarkStart w:id="29" w:name="_Toc2677694"/>
      <w:r w:rsidRPr="009018C6">
        <w:t>Motioner från allmänna motionstiden 2001/02</w:t>
      </w:r>
      <w:bookmarkEnd w:id="29"/>
    </w:p>
    <w:p w:rsidR="003851BF" w:rsidRPr="009018C6" w:rsidRDefault="003851BF">
      <w:pPr>
        <w:pStyle w:val="Ordfranden"/>
        <w:keepNext w:val="0"/>
        <w:spacing w:before="62"/>
        <w:rPr>
          <w:noProof w:val="0"/>
        </w:rPr>
      </w:pPr>
      <w:r w:rsidRPr="009018C6">
        <w:rPr>
          <w:noProof w:val="0"/>
        </w:rPr>
        <w:t>2001/02:U243 av Göran Magnusson (s):</w:t>
      </w:r>
    </w:p>
    <w:p w:rsidR="003851BF" w:rsidRPr="009018C6" w:rsidRDefault="003851BF">
      <w:r w:rsidRPr="009018C6">
        <w:t xml:space="preserve">Riksdagen tillkännager för regeringen som sin mening vad i motionen anförs om Strasbourgdomstolens resurser och effektivitet. </w:t>
      </w:r>
    </w:p>
    <w:p w:rsidR="003851BF" w:rsidRPr="009018C6" w:rsidRDefault="003851BF">
      <w:pPr>
        <w:pStyle w:val="Ordfranden"/>
        <w:keepNext w:val="0"/>
        <w:spacing w:before="62"/>
        <w:rPr>
          <w:noProof w:val="0"/>
        </w:rPr>
      </w:pPr>
      <w:r w:rsidRPr="009018C6">
        <w:rPr>
          <w:noProof w:val="0"/>
        </w:rPr>
        <w:t>2001/02:U305 av Holger Gustafsson m.fl. (kd):</w:t>
      </w:r>
    </w:p>
    <w:p w:rsidR="003851BF" w:rsidRPr="009018C6" w:rsidRDefault="003851BF">
      <w:pPr>
        <w:pStyle w:val="Yrkanden"/>
      </w:pPr>
      <w:r w:rsidRPr="009018C6">
        <w:t xml:space="preserve">12. Riksdagen tillkännager för regeringen som sin mening vad i motionen anförs om att resurserna till arbetet i Europarådet bör stärkas. </w:t>
      </w:r>
    </w:p>
    <w:p w:rsidR="003851BF" w:rsidRPr="009018C6" w:rsidRDefault="003851BF">
      <w:pPr>
        <w:pStyle w:val="Yrkanden"/>
      </w:pPr>
    </w:p>
    <w:p w:rsidR="003851BF" w:rsidRPr="009018C6" w:rsidRDefault="003851BF">
      <w:pPr>
        <w:sectPr w:rsidR="00000000" w:rsidRPr="009018C6">
          <w:headerReference w:type="first" r:id="rId38"/>
          <w:pgSz w:w="11906" w:h="16838" w:code="9"/>
          <w:pgMar w:top="907" w:right="4649" w:bottom="4508" w:left="1304" w:header="340" w:footer="227" w:gutter="0"/>
          <w:cols w:space="720"/>
          <w:titlePg/>
        </w:sectPr>
      </w:pPr>
    </w:p>
    <w:p w:rsidR="003851BF" w:rsidRPr="009018C6" w:rsidRDefault="003851BF">
      <w:pPr>
        <w:pStyle w:val="Bilaga"/>
      </w:pPr>
      <w:r w:rsidRPr="009018C6">
        <w:t>Bilaga 2</w:t>
      </w:r>
    </w:p>
    <w:p w:rsidR="003851BF" w:rsidRPr="009018C6" w:rsidRDefault="003851BF">
      <w:pPr>
        <w:pStyle w:val="Rubrik1"/>
        <w:rPr>
          <w:noProof w:val="0"/>
        </w:rPr>
      </w:pPr>
      <w:bookmarkStart w:id="30" w:name="_Toc2677695"/>
      <w:r w:rsidRPr="009018C6">
        <w:rPr>
          <w:noProof w:val="0"/>
        </w:rPr>
        <w:t>Översikt av ratifikationsläget</w:t>
      </w:r>
      <w:bookmarkEnd w:id="30"/>
    </w:p>
    <w:p w:rsidR="003851BF" w:rsidRPr="009018C6" w:rsidRDefault="003851BF">
      <w:pPr>
        <w:jc w:val="left"/>
        <w:rPr>
          <w:sz w:val="24"/>
        </w:rPr>
      </w:pPr>
      <w:r w:rsidRPr="009018C6">
        <w:rPr>
          <w:b/>
          <w:sz w:val="24"/>
        </w:rPr>
        <w:t>EU Members adhesion to ECHR &amp; Pr</w:t>
      </w:r>
      <w:r w:rsidRPr="009018C6">
        <w:rPr>
          <w:b/>
          <w:sz w:val="24"/>
        </w:rPr>
        <w:t>o</w:t>
      </w:r>
      <w:r w:rsidRPr="009018C6">
        <w:rPr>
          <w:b/>
          <w:sz w:val="24"/>
        </w:rPr>
        <w:t>tocols</w:t>
      </w:r>
    </w:p>
    <w:p w:rsidR="003851BF" w:rsidRPr="009018C6" w:rsidRDefault="003851BF">
      <w:pPr>
        <w:jc w:val="center"/>
      </w:pPr>
    </w:p>
    <w:p w:rsidR="003851BF" w:rsidRPr="009018C6" w:rsidRDefault="003851BF">
      <w:pPr>
        <w:rPr>
          <w:sz w:val="18"/>
        </w:rPr>
      </w:pP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567"/>
        <w:gridCol w:w="567"/>
        <w:gridCol w:w="426"/>
        <w:gridCol w:w="425"/>
        <w:gridCol w:w="425"/>
        <w:gridCol w:w="425"/>
        <w:gridCol w:w="426"/>
        <w:gridCol w:w="425"/>
        <w:gridCol w:w="425"/>
        <w:gridCol w:w="425"/>
        <w:gridCol w:w="426"/>
        <w:gridCol w:w="425"/>
        <w:gridCol w:w="425"/>
      </w:tblGrid>
      <w:tr w:rsidR="00000000" w:rsidRPr="009018C6">
        <w:tblPrEx>
          <w:tblCellMar>
            <w:top w:w="0" w:type="dxa"/>
            <w:bottom w:w="0" w:type="dxa"/>
          </w:tblCellMar>
        </w:tblPrEx>
        <w:tc>
          <w:tcPr>
            <w:tcW w:w="1242" w:type="dxa"/>
          </w:tcPr>
          <w:p w:rsidR="003851BF" w:rsidRPr="009018C6" w:rsidRDefault="003851BF">
            <w:pPr>
              <w:rPr>
                <w:sz w:val="17"/>
              </w:rPr>
            </w:pPr>
          </w:p>
        </w:tc>
        <w:tc>
          <w:tcPr>
            <w:tcW w:w="567" w:type="dxa"/>
          </w:tcPr>
          <w:p w:rsidR="003851BF" w:rsidRPr="009018C6" w:rsidRDefault="003851BF">
            <w:pPr>
              <w:rPr>
                <w:b/>
                <w:sz w:val="17"/>
              </w:rPr>
            </w:pPr>
            <w:r w:rsidRPr="009018C6">
              <w:rPr>
                <w:b/>
                <w:sz w:val="17"/>
              </w:rPr>
              <w:t>1950</w:t>
            </w:r>
          </w:p>
        </w:tc>
        <w:tc>
          <w:tcPr>
            <w:tcW w:w="567" w:type="dxa"/>
          </w:tcPr>
          <w:p w:rsidR="003851BF" w:rsidRPr="009018C6" w:rsidRDefault="003851BF">
            <w:pPr>
              <w:rPr>
                <w:b/>
                <w:sz w:val="17"/>
              </w:rPr>
            </w:pPr>
            <w:r w:rsidRPr="009018C6">
              <w:rPr>
                <w:b/>
                <w:sz w:val="17"/>
              </w:rPr>
              <w:t>1952</w:t>
            </w:r>
          </w:p>
        </w:tc>
        <w:tc>
          <w:tcPr>
            <w:tcW w:w="426" w:type="dxa"/>
          </w:tcPr>
          <w:p w:rsidR="003851BF" w:rsidRPr="009018C6" w:rsidRDefault="003851BF">
            <w:pPr>
              <w:rPr>
                <w:b/>
                <w:sz w:val="17"/>
              </w:rPr>
            </w:pPr>
            <w:r w:rsidRPr="009018C6">
              <w:rPr>
                <w:b/>
                <w:sz w:val="17"/>
              </w:rPr>
              <w:t>2</w:t>
            </w:r>
          </w:p>
        </w:tc>
        <w:tc>
          <w:tcPr>
            <w:tcW w:w="425" w:type="dxa"/>
          </w:tcPr>
          <w:p w:rsidR="003851BF" w:rsidRPr="009018C6" w:rsidRDefault="003851BF">
            <w:pPr>
              <w:rPr>
                <w:b/>
                <w:sz w:val="17"/>
              </w:rPr>
            </w:pPr>
            <w:r w:rsidRPr="009018C6">
              <w:rPr>
                <w:b/>
                <w:sz w:val="17"/>
              </w:rPr>
              <w:t>3</w:t>
            </w:r>
          </w:p>
        </w:tc>
        <w:tc>
          <w:tcPr>
            <w:tcW w:w="425" w:type="dxa"/>
          </w:tcPr>
          <w:p w:rsidR="003851BF" w:rsidRPr="009018C6" w:rsidRDefault="003851BF">
            <w:pPr>
              <w:rPr>
                <w:b/>
                <w:sz w:val="17"/>
              </w:rPr>
            </w:pPr>
            <w:r w:rsidRPr="009018C6">
              <w:rPr>
                <w:b/>
                <w:sz w:val="17"/>
              </w:rPr>
              <w:t>4</w:t>
            </w:r>
          </w:p>
        </w:tc>
        <w:tc>
          <w:tcPr>
            <w:tcW w:w="425" w:type="dxa"/>
          </w:tcPr>
          <w:p w:rsidR="003851BF" w:rsidRPr="009018C6" w:rsidRDefault="003851BF">
            <w:pPr>
              <w:rPr>
                <w:b/>
                <w:sz w:val="17"/>
              </w:rPr>
            </w:pPr>
            <w:r w:rsidRPr="009018C6">
              <w:rPr>
                <w:b/>
                <w:sz w:val="17"/>
              </w:rPr>
              <w:t>5</w:t>
            </w:r>
          </w:p>
        </w:tc>
        <w:tc>
          <w:tcPr>
            <w:tcW w:w="426" w:type="dxa"/>
          </w:tcPr>
          <w:p w:rsidR="003851BF" w:rsidRPr="009018C6" w:rsidRDefault="003851BF">
            <w:pPr>
              <w:rPr>
                <w:b/>
                <w:sz w:val="17"/>
              </w:rPr>
            </w:pPr>
            <w:r w:rsidRPr="009018C6">
              <w:rPr>
                <w:b/>
                <w:sz w:val="17"/>
              </w:rPr>
              <w:t>6</w:t>
            </w:r>
          </w:p>
        </w:tc>
        <w:tc>
          <w:tcPr>
            <w:tcW w:w="425" w:type="dxa"/>
          </w:tcPr>
          <w:p w:rsidR="003851BF" w:rsidRPr="009018C6" w:rsidRDefault="003851BF">
            <w:pPr>
              <w:rPr>
                <w:b/>
                <w:sz w:val="17"/>
              </w:rPr>
            </w:pPr>
            <w:r w:rsidRPr="009018C6">
              <w:rPr>
                <w:b/>
                <w:sz w:val="17"/>
              </w:rPr>
              <w:t>7</w:t>
            </w:r>
          </w:p>
        </w:tc>
        <w:tc>
          <w:tcPr>
            <w:tcW w:w="425" w:type="dxa"/>
          </w:tcPr>
          <w:p w:rsidR="003851BF" w:rsidRPr="009018C6" w:rsidRDefault="003851BF">
            <w:pPr>
              <w:rPr>
                <w:b/>
                <w:sz w:val="17"/>
              </w:rPr>
            </w:pPr>
            <w:r w:rsidRPr="009018C6">
              <w:rPr>
                <w:b/>
                <w:sz w:val="17"/>
              </w:rPr>
              <w:t>8</w:t>
            </w:r>
          </w:p>
        </w:tc>
        <w:tc>
          <w:tcPr>
            <w:tcW w:w="425" w:type="dxa"/>
          </w:tcPr>
          <w:p w:rsidR="003851BF" w:rsidRPr="009018C6" w:rsidRDefault="003851BF">
            <w:pPr>
              <w:rPr>
                <w:b/>
                <w:sz w:val="17"/>
              </w:rPr>
            </w:pPr>
            <w:r w:rsidRPr="009018C6">
              <w:rPr>
                <w:b/>
                <w:sz w:val="17"/>
              </w:rPr>
              <w:t>9</w:t>
            </w:r>
          </w:p>
        </w:tc>
        <w:tc>
          <w:tcPr>
            <w:tcW w:w="426" w:type="dxa"/>
          </w:tcPr>
          <w:p w:rsidR="003851BF" w:rsidRPr="009018C6" w:rsidRDefault="003851BF">
            <w:pPr>
              <w:rPr>
                <w:b/>
                <w:sz w:val="17"/>
              </w:rPr>
            </w:pPr>
            <w:r w:rsidRPr="009018C6">
              <w:rPr>
                <w:b/>
                <w:sz w:val="17"/>
              </w:rPr>
              <w:t>10</w:t>
            </w:r>
          </w:p>
        </w:tc>
        <w:tc>
          <w:tcPr>
            <w:tcW w:w="425" w:type="dxa"/>
          </w:tcPr>
          <w:p w:rsidR="003851BF" w:rsidRPr="009018C6" w:rsidRDefault="003851BF">
            <w:pPr>
              <w:rPr>
                <w:b/>
                <w:sz w:val="17"/>
              </w:rPr>
            </w:pPr>
            <w:r w:rsidRPr="009018C6">
              <w:rPr>
                <w:b/>
                <w:sz w:val="17"/>
              </w:rPr>
              <w:t>11</w:t>
            </w:r>
          </w:p>
        </w:tc>
        <w:tc>
          <w:tcPr>
            <w:tcW w:w="425" w:type="dxa"/>
          </w:tcPr>
          <w:p w:rsidR="003851BF" w:rsidRPr="009018C6" w:rsidRDefault="003851BF">
            <w:pPr>
              <w:rPr>
                <w:sz w:val="17"/>
              </w:rPr>
            </w:pPr>
            <w:r w:rsidRPr="009018C6">
              <w:rPr>
                <w:b/>
                <w:sz w:val="17"/>
              </w:rPr>
              <w:t>12</w:t>
            </w:r>
          </w:p>
          <w:p w:rsidR="003851BF" w:rsidRPr="009018C6" w:rsidRDefault="003851BF">
            <w:pPr>
              <w:rPr>
                <w:b/>
                <w:sz w:val="17"/>
              </w:rPr>
            </w:pPr>
          </w:p>
        </w:tc>
      </w:tr>
      <w:tr w:rsidR="00000000" w:rsidRPr="009018C6">
        <w:tblPrEx>
          <w:tblCellMar>
            <w:top w:w="0" w:type="dxa"/>
            <w:bottom w:w="0" w:type="dxa"/>
          </w:tblCellMar>
        </w:tblPrEx>
        <w:tc>
          <w:tcPr>
            <w:tcW w:w="1242" w:type="dxa"/>
            <w:tcBorders>
              <w:top w:val="nil"/>
            </w:tcBorders>
          </w:tcPr>
          <w:p w:rsidR="003851BF" w:rsidRPr="009018C6" w:rsidRDefault="003851BF">
            <w:pPr>
              <w:rPr>
                <w:sz w:val="18"/>
              </w:rPr>
            </w:pPr>
            <w:r w:rsidRPr="009018C6">
              <w:rPr>
                <w:b/>
                <w:sz w:val="18"/>
              </w:rPr>
              <w:t>Austria</w:t>
            </w:r>
          </w:p>
        </w:tc>
        <w:tc>
          <w:tcPr>
            <w:tcW w:w="567" w:type="dxa"/>
            <w:tcBorders>
              <w:top w:val="nil"/>
            </w:tcBorders>
          </w:tcPr>
          <w:p w:rsidR="003851BF" w:rsidRPr="009018C6" w:rsidRDefault="003851BF">
            <w:pPr>
              <w:rPr>
                <w:sz w:val="18"/>
              </w:rPr>
            </w:pPr>
            <w:r w:rsidRPr="009018C6">
              <w:rPr>
                <w:sz w:val="18"/>
              </w:rPr>
              <w:t>x</w:t>
            </w:r>
          </w:p>
        </w:tc>
        <w:tc>
          <w:tcPr>
            <w:tcW w:w="567" w:type="dxa"/>
            <w:tcBorders>
              <w:top w:val="nil"/>
            </w:tcBorders>
          </w:tcPr>
          <w:p w:rsidR="003851BF" w:rsidRPr="009018C6" w:rsidRDefault="003851BF">
            <w:pPr>
              <w:rPr>
                <w:sz w:val="18"/>
              </w:rPr>
            </w:pPr>
            <w:r w:rsidRPr="009018C6">
              <w:rPr>
                <w:sz w:val="18"/>
              </w:rPr>
              <w:t>x</w:t>
            </w:r>
          </w:p>
        </w:tc>
        <w:tc>
          <w:tcPr>
            <w:tcW w:w="426" w:type="dxa"/>
            <w:tcBorders>
              <w:top w:val="nil"/>
            </w:tcBorders>
          </w:tcPr>
          <w:p w:rsidR="003851BF" w:rsidRPr="009018C6" w:rsidRDefault="003851BF">
            <w:pPr>
              <w:rPr>
                <w:sz w:val="18"/>
              </w:rPr>
            </w:pPr>
            <w:r w:rsidRPr="009018C6">
              <w:rPr>
                <w:sz w:val="18"/>
              </w:rPr>
              <w:t>x</w:t>
            </w:r>
          </w:p>
        </w:tc>
        <w:tc>
          <w:tcPr>
            <w:tcW w:w="425" w:type="dxa"/>
            <w:tcBorders>
              <w:top w:val="nil"/>
            </w:tcBorders>
          </w:tcPr>
          <w:p w:rsidR="003851BF" w:rsidRPr="009018C6" w:rsidRDefault="003851BF">
            <w:pPr>
              <w:rPr>
                <w:sz w:val="18"/>
              </w:rPr>
            </w:pPr>
            <w:r w:rsidRPr="009018C6">
              <w:rPr>
                <w:sz w:val="18"/>
              </w:rPr>
              <w:t>x</w:t>
            </w:r>
          </w:p>
        </w:tc>
        <w:tc>
          <w:tcPr>
            <w:tcW w:w="425" w:type="dxa"/>
            <w:tcBorders>
              <w:top w:val="nil"/>
            </w:tcBorders>
          </w:tcPr>
          <w:p w:rsidR="003851BF" w:rsidRPr="009018C6" w:rsidRDefault="003851BF">
            <w:pPr>
              <w:rPr>
                <w:sz w:val="18"/>
              </w:rPr>
            </w:pPr>
            <w:r w:rsidRPr="009018C6">
              <w:rPr>
                <w:sz w:val="18"/>
              </w:rPr>
              <w:t>x</w:t>
            </w:r>
          </w:p>
        </w:tc>
        <w:tc>
          <w:tcPr>
            <w:tcW w:w="425" w:type="dxa"/>
            <w:tcBorders>
              <w:top w:val="nil"/>
            </w:tcBorders>
          </w:tcPr>
          <w:p w:rsidR="003851BF" w:rsidRPr="009018C6" w:rsidRDefault="003851BF">
            <w:pPr>
              <w:rPr>
                <w:sz w:val="18"/>
              </w:rPr>
            </w:pPr>
            <w:r w:rsidRPr="009018C6">
              <w:rPr>
                <w:sz w:val="18"/>
              </w:rPr>
              <w:t>x</w:t>
            </w:r>
          </w:p>
        </w:tc>
        <w:tc>
          <w:tcPr>
            <w:tcW w:w="426" w:type="dxa"/>
            <w:tcBorders>
              <w:top w:val="nil"/>
            </w:tcBorders>
          </w:tcPr>
          <w:p w:rsidR="003851BF" w:rsidRPr="009018C6" w:rsidRDefault="003851BF">
            <w:pPr>
              <w:rPr>
                <w:sz w:val="18"/>
              </w:rPr>
            </w:pPr>
            <w:r w:rsidRPr="009018C6">
              <w:rPr>
                <w:sz w:val="18"/>
              </w:rPr>
              <w:t>x</w:t>
            </w:r>
          </w:p>
        </w:tc>
        <w:tc>
          <w:tcPr>
            <w:tcW w:w="425" w:type="dxa"/>
            <w:tcBorders>
              <w:top w:val="nil"/>
            </w:tcBorders>
          </w:tcPr>
          <w:p w:rsidR="003851BF" w:rsidRPr="009018C6" w:rsidRDefault="003851BF">
            <w:pPr>
              <w:rPr>
                <w:sz w:val="18"/>
              </w:rPr>
            </w:pPr>
            <w:r w:rsidRPr="009018C6">
              <w:rPr>
                <w:sz w:val="18"/>
              </w:rPr>
              <w:t>x</w:t>
            </w:r>
          </w:p>
        </w:tc>
        <w:tc>
          <w:tcPr>
            <w:tcW w:w="425" w:type="dxa"/>
            <w:tcBorders>
              <w:top w:val="nil"/>
            </w:tcBorders>
          </w:tcPr>
          <w:p w:rsidR="003851BF" w:rsidRPr="009018C6" w:rsidRDefault="003851BF">
            <w:pPr>
              <w:rPr>
                <w:sz w:val="18"/>
              </w:rPr>
            </w:pPr>
            <w:r w:rsidRPr="009018C6">
              <w:rPr>
                <w:sz w:val="18"/>
              </w:rPr>
              <w:t>x</w:t>
            </w:r>
          </w:p>
        </w:tc>
        <w:tc>
          <w:tcPr>
            <w:tcW w:w="425" w:type="dxa"/>
            <w:tcBorders>
              <w:top w:val="nil"/>
            </w:tcBorders>
          </w:tcPr>
          <w:p w:rsidR="003851BF" w:rsidRPr="009018C6" w:rsidRDefault="003851BF">
            <w:pPr>
              <w:rPr>
                <w:sz w:val="18"/>
              </w:rPr>
            </w:pPr>
            <w:r w:rsidRPr="009018C6">
              <w:rPr>
                <w:sz w:val="18"/>
              </w:rPr>
              <w:t>x</w:t>
            </w:r>
          </w:p>
        </w:tc>
        <w:tc>
          <w:tcPr>
            <w:tcW w:w="426" w:type="dxa"/>
            <w:tcBorders>
              <w:top w:val="nil"/>
            </w:tcBorders>
          </w:tcPr>
          <w:p w:rsidR="003851BF" w:rsidRPr="009018C6" w:rsidRDefault="003851BF">
            <w:pPr>
              <w:rPr>
                <w:sz w:val="18"/>
              </w:rPr>
            </w:pPr>
            <w:r w:rsidRPr="009018C6">
              <w:rPr>
                <w:sz w:val="18"/>
              </w:rPr>
              <w:t>x</w:t>
            </w:r>
          </w:p>
        </w:tc>
        <w:tc>
          <w:tcPr>
            <w:tcW w:w="425" w:type="dxa"/>
            <w:tcBorders>
              <w:top w:val="nil"/>
            </w:tcBorders>
          </w:tcPr>
          <w:p w:rsidR="003851BF" w:rsidRPr="009018C6" w:rsidRDefault="003851BF">
            <w:pPr>
              <w:rPr>
                <w:sz w:val="18"/>
              </w:rPr>
            </w:pPr>
            <w:r w:rsidRPr="009018C6">
              <w:rPr>
                <w:sz w:val="18"/>
              </w:rPr>
              <w:t>x</w:t>
            </w:r>
          </w:p>
        </w:tc>
        <w:tc>
          <w:tcPr>
            <w:tcW w:w="425" w:type="dxa"/>
            <w:tcBorders>
              <w:top w:val="nil"/>
            </w:tcBorders>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Belgium</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Denmark</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Finland</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France</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c>
          <w:tcPr>
            <w:tcW w:w="426" w:type="dxa"/>
          </w:tcPr>
          <w:p w:rsidR="003851BF" w:rsidRPr="009018C6" w:rsidRDefault="003851BF">
            <w:pPr>
              <w:rPr>
                <w:sz w:val="18"/>
              </w:rPr>
            </w:pPr>
            <w:r w:rsidRPr="009018C6">
              <w:rPr>
                <w:sz w:val="18"/>
              </w:rPr>
              <w:t>s</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Germany</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Greece</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c>
          <w:tcPr>
            <w:tcW w:w="426" w:type="dxa"/>
          </w:tcPr>
          <w:p w:rsidR="003851BF" w:rsidRPr="009018C6" w:rsidRDefault="003851BF">
            <w:pPr>
              <w:rPr>
                <w:sz w:val="18"/>
              </w:rPr>
            </w:pPr>
            <w:r w:rsidRPr="009018C6">
              <w:rPr>
                <w:sz w:val="18"/>
              </w:rPr>
              <w:t>s</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Ireland</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Italy</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Luxembourg</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Netherlands</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Portugal</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Spain</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c>
          <w:tcPr>
            <w:tcW w:w="426" w:type="dxa"/>
          </w:tcPr>
          <w:p w:rsidR="003851BF" w:rsidRPr="009018C6" w:rsidRDefault="003851BF">
            <w:pPr>
              <w:rPr>
                <w:sz w:val="18"/>
              </w:rPr>
            </w:pP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Sweden</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r>
      <w:tr w:rsidR="00000000" w:rsidRPr="009018C6">
        <w:tblPrEx>
          <w:tblCellMar>
            <w:top w:w="0" w:type="dxa"/>
            <w:bottom w:w="0" w:type="dxa"/>
          </w:tblCellMar>
        </w:tblPrEx>
        <w:tc>
          <w:tcPr>
            <w:tcW w:w="1242" w:type="dxa"/>
          </w:tcPr>
          <w:p w:rsidR="003851BF" w:rsidRPr="009018C6" w:rsidRDefault="003851BF">
            <w:pPr>
              <w:rPr>
                <w:sz w:val="18"/>
              </w:rPr>
            </w:pPr>
            <w:r w:rsidRPr="009018C6">
              <w:rPr>
                <w:b/>
                <w:sz w:val="18"/>
              </w:rPr>
              <w:t>United Kingdom</w:t>
            </w:r>
          </w:p>
        </w:tc>
        <w:tc>
          <w:tcPr>
            <w:tcW w:w="567" w:type="dxa"/>
          </w:tcPr>
          <w:p w:rsidR="003851BF" w:rsidRPr="009018C6" w:rsidRDefault="003851BF">
            <w:pPr>
              <w:rPr>
                <w:sz w:val="18"/>
              </w:rPr>
            </w:pPr>
            <w:r w:rsidRPr="009018C6">
              <w:rPr>
                <w:sz w:val="18"/>
              </w:rPr>
              <w:t>x</w:t>
            </w:r>
          </w:p>
        </w:tc>
        <w:tc>
          <w:tcPr>
            <w:tcW w:w="567"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s</w:t>
            </w:r>
          </w:p>
        </w:tc>
        <w:tc>
          <w:tcPr>
            <w:tcW w:w="425" w:type="dxa"/>
          </w:tcPr>
          <w:p w:rsidR="003851BF" w:rsidRPr="009018C6" w:rsidRDefault="003851BF">
            <w:pPr>
              <w:rPr>
                <w:sz w:val="18"/>
              </w:rPr>
            </w:pPr>
            <w:r w:rsidRPr="009018C6">
              <w:rPr>
                <w:sz w:val="18"/>
              </w:rPr>
              <w:t>x</w:t>
            </w: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c>
          <w:tcPr>
            <w:tcW w:w="426"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r w:rsidRPr="009018C6">
              <w:rPr>
                <w:sz w:val="18"/>
              </w:rPr>
              <w:t>x</w:t>
            </w:r>
          </w:p>
        </w:tc>
        <w:tc>
          <w:tcPr>
            <w:tcW w:w="425" w:type="dxa"/>
          </w:tcPr>
          <w:p w:rsidR="003851BF" w:rsidRPr="009018C6" w:rsidRDefault="003851BF">
            <w:pPr>
              <w:rPr>
                <w:sz w:val="18"/>
              </w:rPr>
            </w:pPr>
          </w:p>
        </w:tc>
      </w:tr>
      <w:tr w:rsidR="00000000" w:rsidRPr="009018C6">
        <w:tblPrEx>
          <w:tblCellMar>
            <w:top w:w="0" w:type="dxa"/>
            <w:bottom w:w="0" w:type="dxa"/>
          </w:tblCellMar>
        </w:tblPrEx>
        <w:tc>
          <w:tcPr>
            <w:tcW w:w="1242" w:type="dxa"/>
          </w:tcPr>
          <w:p w:rsidR="003851BF" w:rsidRPr="009018C6" w:rsidRDefault="003851BF">
            <w:pPr>
              <w:rPr>
                <w:b/>
                <w:sz w:val="18"/>
              </w:rPr>
            </w:pPr>
          </w:p>
        </w:tc>
        <w:tc>
          <w:tcPr>
            <w:tcW w:w="567" w:type="dxa"/>
          </w:tcPr>
          <w:p w:rsidR="003851BF" w:rsidRPr="009018C6" w:rsidRDefault="003851BF">
            <w:pPr>
              <w:rPr>
                <w:b/>
                <w:sz w:val="18"/>
              </w:rPr>
            </w:pPr>
            <w:r w:rsidRPr="009018C6">
              <w:rPr>
                <w:b/>
                <w:sz w:val="18"/>
              </w:rPr>
              <w:t>15</w:t>
            </w:r>
          </w:p>
        </w:tc>
        <w:tc>
          <w:tcPr>
            <w:tcW w:w="567" w:type="dxa"/>
          </w:tcPr>
          <w:p w:rsidR="003851BF" w:rsidRPr="009018C6" w:rsidRDefault="003851BF">
            <w:pPr>
              <w:rPr>
                <w:b/>
                <w:sz w:val="18"/>
              </w:rPr>
            </w:pPr>
            <w:r w:rsidRPr="009018C6">
              <w:rPr>
                <w:b/>
                <w:sz w:val="18"/>
              </w:rPr>
              <w:t>15</w:t>
            </w:r>
          </w:p>
        </w:tc>
        <w:tc>
          <w:tcPr>
            <w:tcW w:w="426" w:type="dxa"/>
          </w:tcPr>
          <w:p w:rsidR="003851BF" w:rsidRPr="009018C6" w:rsidRDefault="003851BF">
            <w:pPr>
              <w:rPr>
                <w:b/>
                <w:sz w:val="18"/>
              </w:rPr>
            </w:pPr>
            <w:r w:rsidRPr="009018C6">
              <w:rPr>
                <w:b/>
                <w:sz w:val="18"/>
              </w:rPr>
              <w:t>15</w:t>
            </w:r>
          </w:p>
        </w:tc>
        <w:tc>
          <w:tcPr>
            <w:tcW w:w="425" w:type="dxa"/>
          </w:tcPr>
          <w:p w:rsidR="003851BF" w:rsidRPr="009018C6" w:rsidRDefault="003851BF">
            <w:pPr>
              <w:rPr>
                <w:b/>
                <w:sz w:val="18"/>
              </w:rPr>
            </w:pPr>
            <w:r w:rsidRPr="009018C6">
              <w:rPr>
                <w:b/>
                <w:sz w:val="18"/>
              </w:rPr>
              <w:t>15</w:t>
            </w:r>
          </w:p>
        </w:tc>
        <w:tc>
          <w:tcPr>
            <w:tcW w:w="425" w:type="dxa"/>
          </w:tcPr>
          <w:p w:rsidR="003851BF" w:rsidRPr="009018C6" w:rsidRDefault="003851BF">
            <w:pPr>
              <w:rPr>
                <w:b/>
                <w:sz w:val="18"/>
              </w:rPr>
            </w:pPr>
            <w:r w:rsidRPr="009018C6">
              <w:rPr>
                <w:b/>
                <w:sz w:val="18"/>
              </w:rPr>
              <w:t>12</w:t>
            </w:r>
          </w:p>
        </w:tc>
        <w:tc>
          <w:tcPr>
            <w:tcW w:w="425" w:type="dxa"/>
          </w:tcPr>
          <w:p w:rsidR="003851BF" w:rsidRPr="009018C6" w:rsidRDefault="003851BF">
            <w:pPr>
              <w:rPr>
                <w:b/>
                <w:sz w:val="18"/>
              </w:rPr>
            </w:pPr>
            <w:r w:rsidRPr="009018C6">
              <w:rPr>
                <w:b/>
                <w:sz w:val="18"/>
              </w:rPr>
              <w:t>15</w:t>
            </w:r>
          </w:p>
        </w:tc>
        <w:tc>
          <w:tcPr>
            <w:tcW w:w="426" w:type="dxa"/>
          </w:tcPr>
          <w:p w:rsidR="003851BF" w:rsidRPr="009018C6" w:rsidRDefault="003851BF">
            <w:pPr>
              <w:rPr>
                <w:b/>
                <w:sz w:val="18"/>
              </w:rPr>
            </w:pPr>
            <w:r w:rsidRPr="009018C6">
              <w:rPr>
                <w:b/>
                <w:sz w:val="18"/>
              </w:rPr>
              <w:t>15</w:t>
            </w:r>
          </w:p>
        </w:tc>
        <w:tc>
          <w:tcPr>
            <w:tcW w:w="425" w:type="dxa"/>
          </w:tcPr>
          <w:p w:rsidR="003851BF" w:rsidRPr="009018C6" w:rsidRDefault="003851BF">
            <w:pPr>
              <w:rPr>
                <w:b/>
                <w:sz w:val="18"/>
              </w:rPr>
            </w:pPr>
            <w:r w:rsidRPr="009018C6">
              <w:rPr>
                <w:b/>
                <w:sz w:val="18"/>
              </w:rPr>
              <w:t>9</w:t>
            </w:r>
          </w:p>
        </w:tc>
        <w:tc>
          <w:tcPr>
            <w:tcW w:w="425" w:type="dxa"/>
          </w:tcPr>
          <w:p w:rsidR="003851BF" w:rsidRPr="009018C6" w:rsidRDefault="003851BF">
            <w:pPr>
              <w:rPr>
                <w:b/>
                <w:sz w:val="18"/>
              </w:rPr>
            </w:pPr>
            <w:r w:rsidRPr="009018C6">
              <w:rPr>
                <w:b/>
                <w:sz w:val="18"/>
              </w:rPr>
              <w:t>15</w:t>
            </w:r>
          </w:p>
        </w:tc>
        <w:tc>
          <w:tcPr>
            <w:tcW w:w="425" w:type="dxa"/>
          </w:tcPr>
          <w:p w:rsidR="003851BF" w:rsidRPr="009018C6" w:rsidRDefault="003851BF">
            <w:pPr>
              <w:rPr>
                <w:b/>
                <w:sz w:val="18"/>
              </w:rPr>
            </w:pPr>
            <w:r w:rsidRPr="009018C6">
              <w:rPr>
                <w:b/>
                <w:sz w:val="18"/>
              </w:rPr>
              <w:t>11</w:t>
            </w:r>
          </w:p>
        </w:tc>
        <w:tc>
          <w:tcPr>
            <w:tcW w:w="426" w:type="dxa"/>
          </w:tcPr>
          <w:p w:rsidR="003851BF" w:rsidRPr="009018C6" w:rsidRDefault="003851BF">
            <w:pPr>
              <w:rPr>
                <w:b/>
                <w:sz w:val="18"/>
              </w:rPr>
            </w:pPr>
            <w:r w:rsidRPr="009018C6">
              <w:rPr>
                <w:b/>
                <w:sz w:val="18"/>
              </w:rPr>
              <w:t>12</w:t>
            </w:r>
          </w:p>
        </w:tc>
        <w:tc>
          <w:tcPr>
            <w:tcW w:w="425" w:type="dxa"/>
          </w:tcPr>
          <w:p w:rsidR="003851BF" w:rsidRPr="009018C6" w:rsidRDefault="003851BF">
            <w:pPr>
              <w:rPr>
                <w:b/>
                <w:sz w:val="18"/>
              </w:rPr>
            </w:pPr>
            <w:r w:rsidRPr="009018C6">
              <w:rPr>
                <w:b/>
                <w:sz w:val="18"/>
              </w:rPr>
              <w:t>15</w:t>
            </w:r>
          </w:p>
        </w:tc>
        <w:tc>
          <w:tcPr>
            <w:tcW w:w="425" w:type="dxa"/>
          </w:tcPr>
          <w:p w:rsidR="003851BF" w:rsidRPr="009018C6" w:rsidRDefault="003851BF">
            <w:pPr>
              <w:rPr>
                <w:b/>
                <w:sz w:val="18"/>
              </w:rPr>
            </w:pPr>
            <w:r w:rsidRPr="009018C6">
              <w:rPr>
                <w:b/>
                <w:sz w:val="18"/>
              </w:rPr>
              <w:t>10</w:t>
            </w:r>
          </w:p>
        </w:tc>
      </w:tr>
    </w:tbl>
    <w:p w:rsidR="003851BF" w:rsidRPr="009018C6" w:rsidRDefault="003851BF">
      <w:pPr>
        <w:rPr>
          <w:sz w:val="18"/>
        </w:rPr>
      </w:pPr>
    </w:p>
    <w:p w:rsidR="003851BF" w:rsidRPr="009018C6" w:rsidRDefault="003851BF">
      <w:pPr>
        <w:rPr>
          <w:sz w:val="16"/>
        </w:rPr>
      </w:pPr>
    </w:p>
    <w:p w:rsidR="003851BF" w:rsidRPr="009018C6" w:rsidRDefault="003851BF">
      <w:pPr>
        <w:rPr>
          <w:sz w:val="16"/>
        </w:rPr>
      </w:pPr>
      <w:r w:rsidRPr="009018C6">
        <w:rPr>
          <w:b/>
          <w:sz w:val="16"/>
        </w:rPr>
        <w:t>x= ratified      s=signed</w:t>
      </w:r>
    </w:p>
    <w:p w:rsidR="003851BF" w:rsidRPr="009018C6" w:rsidRDefault="003851BF">
      <w:pPr>
        <w:rPr>
          <w:sz w:val="16"/>
        </w:rPr>
      </w:pPr>
    </w:p>
    <w:p w:rsidR="003851BF" w:rsidRPr="009018C6" w:rsidRDefault="003851BF">
      <w:pPr>
        <w:rPr>
          <w:sz w:val="16"/>
        </w:rPr>
      </w:pPr>
    </w:p>
    <w:p w:rsidR="003851BF" w:rsidRPr="009018C6" w:rsidRDefault="003851BF">
      <w:pPr>
        <w:pStyle w:val="Tryckort"/>
        <w:framePr w:wrap="around"/>
      </w:pPr>
      <w:r w:rsidRPr="009018C6">
        <w:t>Elanders Gotab, Stockholm  2002</w:t>
      </w:r>
    </w:p>
    <w:p w:rsidR="003851BF" w:rsidRPr="009018C6" w:rsidRDefault="003851BF">
      <w:pPr>
        <w:pStyle w:val="Normaltindrag"/>
      </w:pPr>
    </w:p>
    <w:sectPr w:rsidR="003851BF" w:rsidRPr="009018C6">
      <w:headerReference w:type="first" r:id="rId3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1BF" w:rsidRPr="009018C6" w:rsidRDefault="003851BF">
      <w:pPr>
        <w:spacing w:before="0" w:line="240" w:lineRule="auto"/>
      </w:pPr>
      <w:r w:rsidRPr="009018C6">
        <w:separator/>
      </w:r>
    </w:p>
  </w:endnote>
  <w:endnote w:type="continuationSeparator" w:id="0">
    <w:p w:rsidR="003851BF" w:rsidRPr="009018C6" w:rsidRDefault="003851BF">
      <w:pPr>
        <w:spacing w:before="0" w:line="240" w:lineRule="auto"/>
      </w:pPr>
      <w:r w:rsidRPr="00901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msRmn">
    <w:altName w:val="Calibri"/>
    <w:panose1 w:val="00000000000000000000"/>
    <w:charset w:val="00"/>
    <w:family w:val="decorative"/>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2</w:t>
    </w:r>
    <w:r w:rsidRPr="009018C6">
      <w:fldChar w:fldCharType="end"/>
    </w:r>
  </w:p>
  <w:p w:rsidR="003851BF" w:rsidRPr="009018C6" w:rsidRDefault="003851B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8</w:t>
    </w:r>
    <w:r w:rsidRPr="009018C6">
      <w:fldChar w:fldCharType="end"/>
    </w:r>
  </w:p>
  <w:p w:rsidR="003851BF" w:rsidRPr="009018C6" w:rsidRDefault="003851B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H"/>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9</w:t>
    </w:r>
    <w:r w:rsidRPr="009018C6">
      <w:fldChar w:fldCharType="end"/>
    </w:r>
  </w:p>
  <w:p w:rsidR="003851BF" w:rsidRPr="009018C6" w:rsidRDefault="003851B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if </w:instrText>
    </w:r>
    <w:r w:rsidRPr="009018C6">
      <w:fldChar w:fldCharType="begin" w:fldLock="1"/>
    </w:r>
    <w:r w:rsidRPr="009018C6">
      <w:instrText xml:space="preserve"> = </w:instrText>
    </w:r>
    <w:r w:rsidRPr="009018C6">
      <w:fldChar w:fldCharType="begin" w:fldLock="1"/>
    </w:r>
    <w:r w:rsidRPr="009018C6">
      <w:instrText xml:space="preserve"> = </w:instrText>
    </w:r>
    <w:r w:rsidRPr="009018C6">
      <w:fldChar w:fldCharType="begin" w:fldLock="1"/>
    </w:r>
    <w:r w:rsidRPr="009018C6">
      <w:instrText xml:space="preserve"> page</w:instrText>
    </w:r>
    <w:r w:rsidRPr="009018C6">
      <w:fldChar w:fldCharType="separate"/>
    </w:r>
    <w:r w:rsidRPr="009018C6">
      <w:instrText>4</w:instrText>
    </w:r>
    <w:r w:rsidRPr="009018C6">
      <w:fldChar w:fldCharType="end"/>
    </w:r>
    <w:r w:rsidRPr="009018C6">
      <w:instrText xml:space="preserve">/2 </w:instrText>
    </w:r>
    <w:r w:rsidRPr="009018C6">
      <w:fldChar w:fldCharType="separate"/>
    </w:r>
    <w:r w:rsidRPr="009018C6">
      <w:instrText>2</w:instrText>
    </w:r>
    <w:r w:rsidRPr="009018C6">
      <w:fldChar w:fldCharType="end"/>
    </w:r>
    <w:r w:rsidRPr="009018C6">
      <w:instrText xml:space="preserve"> - </w:instrText>
    </w:r>
    <w:r w:rsidRPr="009018C6">
      <w:fldChar w:fldCharType="begin" w:fldLock="1"/>
    </w:r>
    <w:r w:rsidRPr="009018C6">
      <w:instrText xml:space="preserve"> = int(</w:instrText>
    </w:r>
    <w:r w:rsidRPr="009018C6">
      <w:fldChar w:fldCharType="begin" w:fldLock="1"/>
    </w:r>
    <w:r w:rsidRPr="009018C6">
      <w:instrText xml:space="preserve"> page</w:instrText>
    </w:r>
    <w:r w:rsidRPr="009018C6">
      <w:fldChar w:fldCharType="separate"/>
    </w:r>
    <w:r w:rsidRPr="009018C6">
      <w:instrText>4</w:instrText>
    </w:r>
    <w:r w:rsidRPr="009018C6">
      <w:fldChar w:fldCharType="end"/>
    </w:r>
    <w:r w:rsidRPr="009018C6">
      <w:instrText xml:space="preserve">/2) </w:instrText>
    </w:r>
    <w:r w:rsidRPr="009018C6">
      <w:fldChar w:fldCharType="separate"/>
    </w:r>
    <w:r w:rsidRPr="009018C6">
      <w:instrText>2</w:instrText>
    </w:r>
    <w:r w:rsidRPr="009018C6">
      <w:fldChar w:fldCharType="end"/>
    </w:r>
    <w:r w:rsidRPr="009018C6">
      <w:fldChar w:fldCharType="separate"/>
    </w:r>
    <w:r w:rsidRPr="009018C6">
      <w:instrText>0</w:instrText>
    </w:r>
    <w:r w:rsidRPr="009018C6">
      <w:fldChar w:fldCharType="end"/>
    </w:r>
    <w:r w:rsidRPr="009018C6">
      <w:instrText xml:space="preserve"> = 0 "</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4</w:instrText>
    </w:r>
    <w:r w:rsidRPr="009018C6">
      <w:fldChar w:fldCharType="end"/>
    </w:r>
  </w:p>
  <w:p w:rsidR="003851BF" w:rsidRPr="009018C6" w:rsidRDefault="003851BF">
    <w:pPr>
      <w:pStyle w:val="SidfotV"/>
      <w:framePr w:w="8732" w:h="284" w:hRule="exact" w:hSpace="0" w:vSpace="0" w:wrap="around" w:xAlign="inside" w:y="13042" w:anchorLock="0"/>
    </w:pPr>
    <w:r w:rsidRPr="009018C6">
      <w:instrText>""</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5</w:instrText>
    </w:r>
    <w:r w:rsidRPr="009018C6">
      <w:fldChar w:fldCharType="end"/>
    </w:r>
    <w:r w:rsidRPr="009018C6">
      <w:instrText>"</w:instrText>
    </w:r>
    <w:r w:rsidRPr="009018C6">
      <w:fldChar w:fldCharType="separate"/>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4</w:t>
    </w:r>
    <w:r w:rsidRPr="009018C6">
      <w:fldChar w:fldCharType="end"/>
    </w:r>
  </w:p>
  <w:p w:rsidR="003851BF" w:rsidRPr="009018C6" w:rsidRDefault="003851BF">
    <w:pPr>
      <w:pStyle w:val="SidfotH"/>
      <w:framePr w:w="8732" w:h="284" w:hRule="exact" w:hSpace="0" w:vSpace="0" w:wrap="around" w:xAlign="inside" w:y="13042" w:anchorLock="0"/>
    </w:pPr>
    <w:r w:rsidRPr="009018C6">
      <w:fldChar w:fldCharType="end"/>
    </w:r>
  </w:p>
  <w:p w:rsidR="003851BF" w:rsidRPr="009018C6" w:rsidRDefault="003851B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12</w:t>
    </w:r>
    <w:r w:rsidRPr="009018C6">
      <w:fldChar w:fldCharType="end"/>
    </w:r>
  </w:p>
  <w:p w:rsidR="003851BF" w:rsidRPr="009018C6" w:rsidRDefault="003851B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H"/>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11</w:t>
    </w:r>
    <w:r w:rsidRPr="009018C6">
      <w:fldChar w:fldCharType="end"/>
    </w:r>
  </w:p>
  <w:p w:rsidR="003851BF" w:rsidRPr="009018C6" w:rsidRDefault="003851B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if </w:instrText>
    </w:r>
    <w:r w:rsidRPr="009018C6">
      <w:fldChar w:fldCharType="begin" w:fldLock="1"/>
    </w:r>
    <w:r w:rsidRPr="009018C6">
      <w:instrText xml:space="preserve"> = </w:instrText>
    </w:r>
    <w:r w:rsidRPr="009018C6">
      <w:fldChar w:fldCharType="begin" w:fldLock="1"/>
    </w:r>
    <w:r w:rsidRPr="009018C6">
      <w:instrText xml:space="preserve"> = </w:instrText>
    </w:r>
    <w:r w:rsidRPr="009018C6">
      <w:fldChar w:fldCharType="begin" w:fldLock="1"/>
    </w:r>
    <w:r w:rsidRPr="009018C6">
      <w:instrText xml:space="preserve"> page</w:instrText>
    </w:r>
    <w:r w:rsidRPr="009018C6">
      <w:fldChar w:fldCharType="separate"/>
    </w:r>
    <w:r w:rsidRPr="009018C6">
      <w:instrText>13</w:instrText>
    </w:r>
    <w:r w:rsidRPr="009018C6">
      <w:fldChar w:fldCharType="end"/>
    </w:r>
    <w:r w:rsidRPr="009018C6">
      <w:instrText xml:space="preserve">/2 </w:instrText>
    </w:r>
    <w:r w:rsidRPr="009018C6">
      <w:fldChar w:fldCharType="separate"/>
    </w:r>
    <w:r w:rsidRPr="009018C6">
      <w:instrText>6,5</w:instrText>
    </w:r>
    <w:r w:rsidRPr="009018C6">
      <w:fldChar w:fldCharType="end"/>
    </w:r>
    <w:r w:rsidRPr="009018C6">
      <w:instrText xml:space="preserve"> - </w:instrText>
    </w:r>
    <w:r w:rsidRPr="009018C6">
      <w:fldChar w:fldCharType="begin" w:fldLock="1"/>
    </w:r>
    <w:r w:rsidRPr="009018C6">
      <w:instrText xml:space="preserve"> = int(</w:instrText>
    </w:r>
    <w:r w:rsidRPr="009018C6">
      <w:fldChar w:fldCharType="begin" w:fldLock="1"/>
    </w:r>
    <w:r w:rsidRPr="009018C6">
      <w:instrText xml:space="preserve"> page</w:instrText>
    </w:r>
    <w:r w:rsidRPr="009018C6">
      <w:fldChar w:fldCharType="separate"/>
    </w:r>
    <w:r w:rsidRPr="009018C6">
      <w:instrText>13</w:instrText>
    </w:r>
    <w:r w:rsidRPr="009018C6">
      <w:fldChar w:fldCharType="end"/>
    </w:r>
    <w:r w:rsidRPr="009018C6">
      <w:instrText xml:space="preserve">/2) </w:instrText>
    </w:r>
    <w:r w:rsidRPr="009018C6">
      <w:fldChar w:fldCharType="separate"/>
    </w:r>
    <w:r w:rsidRPr="009018C6">
      <w:instrText>6</w:instrText>
    </w:r>
    <w:r w:rsidRPr="009018C6">
      <w:fldChar w:fldCharType="end"/>
    </w:r>
    <w:r w:rsidRPr="009018C6">
      <w:fldChar w:fldCharType="separate"/>
    </w:r>
    <w:r w:rsidRPr="009018C6">
      <w:instrText>0,5</w:instrText>
    </w:r>
    <w:r w:rsidRPr="009018C6">
      <w:fldChar w:fldCharType="end"/>
    </w:r>
    <w:r w:rsidRPr="009018C6">
      <w:instrText xml:space="preserve"> = 0 "</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12</w:instrText>
    </w:r>
    <w:r w:rsidRPr="009018C6">
      <w:fldChar w:fldCharType="end"/>
    </w:r>
  </w:p>
  <w:p w:rsidR="003851BF" w:rsidRPr="009018C6" w:rsidRDefault="003851BF">
    <w:pPr>
      <w:pStyle w:val="SidfotH"/>
      <w:framePr w:w="8732" w:h="284" w:hRule="exact" w:hSpace="0" w:vSpace="0" w:wrap="around" w:xAlign="inside" w:y="13042" w:anchorLock="0"/>
    </w:pPr>
    <w:r w:rsidRPr="009018C6">
      <w:instrText>""</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13</w:instrText>
    </w:r>
    <w:r w:rsidRPr="009018C6">
      <w:fldChar w:fldCharType="end"/>
    </w:r>
    <w:r w:rsidRPr="009018C6">
      <w:instrText>"</w:instrText>
    </w:r>
    <w:r w:rsidRPr="009018C6">
      <w:fldChar w:fldCharType="separate"/>
    </w:r>
    <w:r w:rsidRPr="009018C6">
      <w:t>13</w:t>
    </w:r>
    <w:r w:rsidRPr="009018C6">
      <w:fldChar w:fldCharType="end"/>
    </w:r>
  </w:p>
  <w:p w:rsidR="003851BF" w:rsidRPr="009018C6" w:rsidRDefault="003851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H"/>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3</w:t>
    </w:r>
    <w:r w:rsidRPr="009018C6">
      <w:fldChar w:fldCharType="end"/>
    </w:r>
  </w:p>
  <w:p w:rsidR="003851BF" w:rsidRPr="009018C6" w:rsidRDefault="003851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if </w:instrText>
    </w:r>
    <w:r w:rsidRPr="009018C6">
      <w:fldChar w:fldCharType="begin" w:fldLock="1"/>
    </w:r>
    <w:r w:rsidRPr="009018C6">
      <w:instrText xml:space="preserve"> = </w:instrText>
    </w:r>
    <w:r w:rsidRPr="009018C6">
      <w:fldChar w:fldCharType="begin" w:fldLock="1"/>
    </w:r>
    <w:r w:rsidRPr="009018C6">
      <w:instrText xml:space="preserve"> = </w:instrText>
    </w:r>
    <w:r w:rsidRPr="009018C6">
      <w:fldChar w:fldCharType="begin" w:fldLock="1"/>
    </w:r>
    <w:r w:rsidRPr="009018C6">
      <w:instrText xml:space="preserve"> page</w:instrText>
    </w:r>
    <w:r w:rsidRPr="009018C6">
      <w:fldChar w:fldCharType="separate"/>
    </w:r>
    <w:r w:rsidR="009018C6">
      <w:rPr>
        <w:noProof/>
      </w:rPr>
      <w:instrText>1</w:instrText>
    </w:r>
    <w:r w:rsidRPr="009018C6">
      <w:fldChar w:fldCharType="end"/>
    </w:r>
    <w:r w:rsidRPr="009018C6">
      <w:instrText xml:space="preserve">/2 </w:instrText>
    </w:r>
    <w:r w:rsidRPr="009018C6">
      <w:fldChar w:fldCharType="separate"/>
    </w:r>
    <w:r w:rsidR="009018C6">
      <w:rPr>
        <w:noProof/>
      </w:rPr>
      <w:instrText>0,5</w:instrText>
    </w:r>
    <w:r w:rsidRPr="009018C6">
      <w:fldChar w:fldCharType="end"/>
    </w:r>
    <w:r w:rsidRPr="009018C6">
      <w:instrText xml:space="preserve"> - </w:instrText>
    </w:r>
    <w:r w:rsidRPr="009018C6">
      <w:fldChar w:fldCharType="begin" w:fldLock="1"/>
    </w:r>
    <w:r w:rsidRPr="009018C6">
      <w:instrText xml:space="preserve"> = int(</w:instrText>
    </w:r>
    <w:r w:rsidRPr="009018C6">
      <w:fldChar w:fldCharType="begin" w:fldLock="1"/>
    </w:r>
    <w:r w:rsidRPr="009018C6">
      <w:instrText xml:space="preserve"> page</w:instrText>
    </w:r>
    <w:r w:rsidRPr="009018C6">
      <w:fldChar w:fldCharType="separate"/>
    </w:r>
    <w:r w:rsidR="009018C6">
      <w:rPr>
        <w:noProof/>
      </w:rPr>
      <w:instrText>1</w:instrText>
    </w:r>
    <w:r w:rsidRPr="009018C6">
      <w:fldChar w:fldCharType="end"/>
    </w:r>
    <w:r w:rsidRPr="009018C6">
      <w:instrText xml:space="preserve">/2) </w:instrText>
    </w:r>
    <w:r w:rsidRPr="009018C6">
      <w:fldChar w:fldCharType="separate"/>
    </w:r>
    <w:r w:rsidR="009018C6">
      <w:rPr>
        <w:noProof/>
      </w:rPr>
      <w:instrText>0</w:instrText>
    </w:r>
    <w:r w:rsidRPr="009018C6">
      <w:fldChar w:fldCharType="end"/>
    </w:r>
    <w:r w:rsidRPr="009018C6">
      <w:fldChar w:fldCharType="separate"/>
    </w:r>
    <w:r w:rsidR="009018C6">
      <w:rPr>
        <w:noProof/>
      </w:rPr>
      <w:instrText>0,5</w:instrText>
    </w:r>
    <w:r w:rsidRPr="009018C6">
      <w:fldChar w:fldCharType="end"/>
    </w:r>
    <w:r w:rsidRPr="009018C6">
      <w:instrText xml:space="preserve"> = 0 "</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14</w:instrText>
    </w:r>
    <w:r w:rsidRPr="009018C6">
      <w:fldChar w:fldCharType="end"/>
    </w:r>
  </w:p>
  <w:p w:rsidR="003851BF" w:rsidRPr="009018C6" w:rsidRDefault="003851BF">
    <w:pPr>
      <w:pStyle w:val="SidfotH"/>
      <w:framePr w:w="8732" w:h="284" w:hRule="exact" w:hSpace="0" w:vSpace="0" w:wrap="around" w:xAlign="inside" w:y="13042" w:anchorLock="0"/>
    </w:pPr>
    <w:r w:rsidRPr="009018C6">
      <w:instrText>""</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009018C6">
      <w:rPr>
        <w:noProof/>
      </w:rPr>
      <w:instrText>1</w:instrText>
    </w:r>
    <w:r w:rsidRPr="009018C6">
      <w:fldChar w:fldCharType="end"/>
    </w:r>
    <w:r w:rsidRPr="009018C6">
      <w:instrText>"</w:instrText>
    </w:r>
    <w:r w:rsidRPr="009018C6">
      <w:fldChar w:fldCharType="separate"/>
    </w:r>
    <w:r w:rsidR="009018C6">
      <w:rPr>
        <w:noProof/>
      </w:rPr>
      <w:t>1</w:t>
    </w:r>
    <w:r w:rsidRPr="009018C6">
      <w:fldChar w:fldCharType="end"/>
    </w:r>
  </w:p>
  <w:p w:rsidR="003851BF" w:rsidRPr="009018C6" w:rsidRDefault="003851B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2</w:t>
    </w:r>
    <w:r w:rsidRPr="009018C6">
      <w:fldChar w:fldCharType="end"/>
    </w:r>
  </w:p>
  <w:p w:rsidR="003851BF" w:rsidRPr="009018C6" w:rsidRDefault="003851B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H"/>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3</w:t>
    </w:r>
    <w:r w:rsidRPr="009018C6">
      <w:fldChar w:fldCharType="end"/>
    </w:r>
  </w:p>
  <w:p w:rsidR="003851BF" w:rsidRPr="009018C6" w:rsidRDefault="003851B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if </w:instrText>
    </w:r>
    <w:r w:rsidRPr="009018C6">
      <w:fldChar w:fldCharType="begin" w:fldLock="1"/>
    </w:r>
    <w:r w:rsidRPr="009018C6">
      <w:instrText xml:space="preserve"> = </w:instrText>
    </w:r>
    <w:r w:rsidRPr="009018C6">
      <w:fldChar w:fldCharType="begin" w:fldLock="1"/>
    </w:r>
    <w:r w:rsidRPr="009018C6">
      <w:instrText xml:space="preserve"> = </w:instrText>
    </w:r>
    <w:r w:rsidRPr="009018C6">
      <w:fldChar w:fldCharType="begin" w:fldLock="1"/>
    </w:r>
    <w:r w:rsidRPr="009018C6">
      <w:instrText xml:space="preserve"> page</w:instrText>
    </w:r>
    <w:r w:rsidRPr="009018C6">
      <w:fldChar w:fldCharType="separate"/>
    </w:r>
    <w:r w:rsidRPr="009018C6">
      <w:instrText>2</w:instrText>
    </w:r>
    <w:r w:rsidRPr="009018C6">
      <w:fldChar w:fldCharType="end"/>
    </w:r>
    <w:r w:rsidRPr="009018C6">
      <w:instrText xml:space="preserve">/2 </w:instrText>
    </w:r>
    <w:r w:rsidRPr="009018C6">
      <w:fldChar w:fldCharType="separate"/>
    </w:r>
    <w:r w:rsidRPr="009018C6">
      <w:instrText>1</w:instrText>
    </w:r>
    <w:r w:rsidRPr="009018C6">
      <w:fldChar w:fldCharType="end"/>
    </w:r>
    <w:r w:rsidRPr="009018C6">
      <w:instrText xml:space="preserve"> - </w:instrText>
    </w:r>
    <w:r w:rsidRPr="009018C6">
      <w:fldChar w:fldCharType="begin" w:fldLock="1"/>
    </w:r>
    <w:r w:rsidRPr="009018C6">
      <w:instrText xml:space="preserve"> = int(</w:instrText>
    </w:r>
    <w:r w:rsidRPr="009018C6">
      <w:fldChar w:fldCharType="begin" w:fldLock="1"/>
    </w:r>
    <w:r w:rsidRPr="009018C6">
      <w:instrText xml:space="preserve"> page</w:instrText>
    </w:r>
    <w:r w:rsidRPr="009018C6">
      <w:fldChar w:fldCharType="separate"/>
    </w:r>
    <w:r w:rsidRPr="009018C6">
      <w:instrText>2</w:instrText>
    </w:r>
    <w:r w:rsidRPr="009018C6">
      <w:fldChar w:fldCharType="end"/>
    </w:r>
    <w:r w:rsidRPr="009018C6">
      <w:instrText xml:space="preserve">/2) </w:instrText>
    </w:r>
    <w:r w:rsidRPr="009018C6">
      <w:fldChar w:fldCharType="separate"/>
    </w:r>
    <w:r w:rsidRPr="009018C6">
      <w:instrText>1</w:instrText>
    </w:r>
    <w:r w:rsidRPr="009018C6">
      <w:fldChar w:fldCharType="end"/>
    </w:r>
    <w:r w:rsidRPr="009018C6">
      <w:fldChar w:fldCharType="separate"/>
    </w:r>
    <w:r w:rsidRPr="009018C6">
      <w:instrText>0</w:instrText>
    </w:r>
    <w:r w:rsidRPr="009018C6">
      <w:fldChar w:fldCharType="end"/>
    </w:r>
    <w:r w:rsidRPr="009018C6">
      <w:instrText xml:space="preserve"> = 0 "</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2</w:instrText>
    </w:r>
    <w:r w:rsidRPr="009018C6">
      <w:fldChar w:fldCharType="end"/>
    </w:r>
  </w:p>
  <w:p w:rsidR="003851BF" w:rsidRPr="009018C6" w:rsidRDefault="003851BF">
    <w:pPr>
      <w:pStyle w:val="SidfotV"/>
      <w:framePr w:w="8732" w:h="284" w:hRule="exact" w:hSpace="0" w:vSpace="0" w:wrap="around" w:xAlign="inside" w:y="13042" w:anchorLock="0"/>
    </w:pPr>
    <w:r w:rsidRPr="009018C6">
      <w:instrText>""</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1</w:instrText>
    </w:r>
    <w:r w:rsidRPr="009018C6">
      <w:fldChar w:fldCharType="end"/>
    </w:r>
    <w:r w:rsidRPr="009018C6">
      <w:instrText>"</w:instrText>
    </w:r>
    <w:r w:rsidRPr="009018C6">
      <w:fldChar w:fldCharType="separate"/>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2</w:t>
    </w:r>
    <w:r w:rsidRPr="009018C6">
      <w:fldChar w:fldCharType="end"/>
    </w:r>
  </w:p>
  <w:p w:rsidR="003851BF" w:rsidRPr="009018C6" w:rsidRDefault="003851BF">
    <w:pPr>
      <w:pStyle w:val="SidfotH"/>
      <w:framePr w:w="8732" w:h="284" w:hRule="exact" w:hSpace="0" w:vSpace="0" w:wrap="around" w:xAlign="inside" w:y="13042" w:anchorLock="0"/>
    </w:pPr>
    <w:r w:rsidRPr="009018C6">
      <w:fldChar w:fldCharType="end"/>
    </w:r>
  </w:p>
  <w:p w:rsidR="003851BF" w:rsidRPr="009018C6" w:rsidRDefault="003851B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4</w:t>
    </w:r>
    <w:r w:rsidRPr="009018C6">
      <w:fldChar w:fldCharType="end"/>
    </w:r>
  </w:p>
  <w:p w:rsidR="003851BF" w:rsidRPr="009018C6" w:rsidRDefault="003851B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H"/>
      <w:framePr w:w="8732" w:h="284" w:hRule="exact" w:hSpace="0" w:vSpace="0" w:wrap="around" w:xAlign="inside" w:y="13042" w:anchorLock="0"/>
    </w:pP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t>3</w:t>
    </w:r>
    <w:r w:rsidRPr="009018C6">
      <w:fldChar w:fldCharType="end"/>
    </w:r>
  </w:p>
  <w:p w:rsidR="003851BF" w:rsidRPr="009018C6" w:rsidRDefault="003851B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fotV"/>
      <w:framePr w:w="8732" w:h="284" w:hRule="exact" w:hSpace="0" w:vSpace="0" w:wrap="around" w:xAlign="inside" w:y="13042" w:anchorLock="0"/>
    </w:pPr>
    <w:r w:rsidRPr="009018C6">
      <w:fldChar w:fldCharType="begin" w:fldLock="1"/>
    </w:r>
    <w:r w:rsidRPr="009018C6">
      <w:instrText xml:space="preserve"> if </w:instrText>
    </w:r>
    <w:r w:rsidRPr="009018C6">
      <w:fldChar w:fldCharType="begin" w:fldLock="1"/>
    </w:r>
    <w:r w:rsidRPr="009018C6">
      <w:instrText xml:space="preserve"> = </w:instrText>
    </w:r>
    <w:r w:rsidRPr="009018C6">
      <w:fldChar w:fldCharType="begin" w:fldLock="1"/>
    </w:r>
    <w:r w:rsidRPr="009018C6">
      <w:instrText xml:space="preserve"> = </w:instrText>
    </w:r>
    <w:r w:rsidRPr="009018C6">
      <w:fldChar w:fldCharType="begin" w:fldLock="1"/>
    </w:r>
    <w:r w:rsidRPr="009018C6">
      <w:instrText xml:space="preserve"> page</w:instrText>
    </w:r>
    <w:r w:rsidRPr="009018C6">
      <w:fldChar w:fldCharType="separate"/>
    </w:r>
    <w:r w:rsidRPr="009018C6">
      <w:instrText>3</w:instrText>
    </w:r>
    <w:r w:rsidRPr="009018C6">
      <w:fldChar w:fldCharType="end"/>
    </w:r>
    <w:r w:rsidRPr="009018C6">
      <w:instrText xml:space="preserve">/2 </w:instrText>
    </w:r>
    <w:r w:rsidRPr="009018C6">
      <w:fldChar w:fldCharType="separate"/>
    </w:r>
    <w:r w:rsidRPr="009018C6">
      <w:instrText>1,5</w:instrText>
    </w:r>
    <w:r w:rsidRPr="009018C6">
      <w:fldChar w:fldCharType="end"/>
    </w:r>
    <w:r w:rsidRPr="009018C6">
      <w:instrText xml:space="preserve"> - </w:instrText>
    </w:r>
    <w:r w:rsidRPr="009018C6">
      <w:fldChar w:fldCharType="begin" w:fldLock="1"/>
    </w:r>
    <w:r w:rsidRPr="009018C6">
      <w:instrText xml:space="preserve"> = int(</w:instrText>
    </w:r>
    <w:r w:rsidRPr="009018C6">
      <w:fldChar w:fldCharType="begin" w:fldLock="1"/>
    </w:r>
    <w:r w:rsidRPr="009018C6">
      <w:instrText xml:space="preserve"> page</w:instrText>
    </w:r>
    <w:r w:rsidRPr="009018C6">
      <w:fldChar w:fldCharType="separate"/>
    </w:r>
    <w:r w:rsidRPr="009018C6">
      <w:instrText>3</w:instrText>
    </w:r>
    <w:r w:rsidRPr="009018C6">
      <w:fldChar w:fldCharType="end"/>
    </w:r>
    <w:r w:rsidRPr="009018C6">
      <w:instrText xml:space="preserve">/2) </w:instrText>
    </w:r>
    <w:r w:rsidRPr="009018C6">
      <w:fldChar w:fldCharType="separate"/>
    </w:r>
    <w:r w:rsidRPr="009018C6">
      <w:instrText>1</w:instrText>
    </w:r>
    <w:r w:rsidRPr="009018C6">
      <w:fldChar w:fldCharType="end"/>
    </w:r>
    <w:r w:rsidRPr="009018C6">
      <w:fldChar w:fldCharType="separate"/>
    </w:r>
    <w:r w:rsidRPr="009018C6">
      <w:instrText>0,5</w:instrText>
    </w:r>
    <w:r w:rsidRPr="009018C6">
      <w:fldChar w:fldCharType="end"/>
    </w:r>
    <w:r w:rsidRPr="009018C6">
      <w:instrText xml:space="preserve"> = 0 "</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2</w:instrText>
    </w:r>
    <w:r w:rsidRPr="009018C6">
      <w:fldChar w:fldCharType="end"/>
    </w:r>
  </w:p>
  <w:p w:rsidR="003851BF" w:rsidRPr="009018C6" w:rsidRDefault="003851BF">
    <w:pPr>
      <w:pStyle w:val="SidfotH"/>
      <w:framePr w:w="8732" w:h="284" w:hRule="exact" w:hSpace="0" w:vSpace="0" w:wrap="around" w:xAlign="inside" w:y="13042" w:anchorLock="0"/>
    </w:pPr>
    <w:r w:rsidRPr="009018C6">
      <w:instrText>""</w:instrText>
    </w:r>
    <w:r w:rsidRPr="009018C6">
      <w:fldChar w:fldCharType="begin" w:fldLock="1"/>
    </w:r>
    <w:r w:rsidRPr="009018C6">
      <w:instrText xml:space="preserve"> P</w:instrText>
    </w:r>
    <w:r w:rsidRPr="009018C6">
      <w:instrText>A</w:instrText>
    </w:r>
    <w:r w:rsidRPr="009018C6">
      <w:instrText xml:space="preserve">GE </w:instrText>
    </w:r>
    <w:r w:rsidRPr="009018C6">
      <w:fldChar w:fldCharType="separate"/>
    </w:r>
    <w:r w:rsidRPr="009018C6">
      <w:instrText>3</w:instrText>
    </w:r>
    <w:r w:rsidRPr="009018C6">
      <w:fldChar w:fldCharType="end"/>
    </w:r>
    <w:r w:rsidRPr="009018C6">
      <w:instrText>"</w:instrText>
    </w:r>
    <w:r w:rsidRPr="009018C6">
      <w:fldChar w:fldCharType="separate"/>
    </w:r>
    <w:r w:rsidRPr="009018C6">
      <w:t>3</w:t>
    </w:r>
    <w:r w:rsidRPr="009018C6">
      <w:fldChar w:fldCharType="end"/>
    </w:r>
  </w:p>
  <w:p w:rsidR="003851BF" w:rsidRPr="009018C6" w:rsidRDefault="00385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1BF" w:rsidRPr="009018C6" w:rsidRDefault="003851BF">
      <w:pPr>
        <w:pStyle w:val="Sidfot"/>
      </w:pPr>
    </w:p>
  </w:footnote>
  <w:footnote w:type="continuationSeparator" w:id="0">
    <w:p w:rsidR="003851BF" w:rsidRPr="009018C6" w:rsidRDefault="003851BF">
      <w:pPr>
        <w:spacing w:before="0" w:line="240" w:lineRule="auto"/>
      </w:pPr>
      <w:r w:rsidRPr="00901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Jmn"/>
      <w:framePr w:w="8732" w:h="567" w:hRule="exact" w:vSpace="0" w:wrap="around" w:vAnchor="page" w:y="341" w:anchorLock="0"/>
    </w:pPr>
    <w:r w:rsidRPr="009018C6">
      <w:rPr>
        <w:rStyle w:val="SidhuvudUtskott"/>
      </w:rPr>
      <w:fldChar w:fldCharType="begin" w:fldLock="1"/>
    </w:r>
    <w:r w:rsidRPr="009018C6">
      <w:rPr>
        <w:rStyle w:val="SidhuvudUtskott"/>
      </w:rPr>
      <w:instrText xml:space="preserve"> DOCPROPERTY BetänkandeÅr</w:instrText>
    </w:r>
    <w:r w:rsidRPr="009018C6">
      <w:rPr>
        <w:rStyle w:val="SidhuvudUtskott"/>
      </w:rPr>
      <w:fldChar w:fldCharType="separate"/>
    </w:r>
    <w:r w:rsidRPr="009018C6">
      <w:rPr>
        <w:rStyle w:val="SidhuvudUtskott"/>
      </w:rPr>
      <w:t>2001/02</w:t>
    </w:r>
    <w:r w:rsidRPr="009018C6">
      <w:rPr>
        <w:rStyle w:val="SidhuvudUtskott"/>
      </w:rPr>
      <w:fldChar w:fldCharType="end"/>
    </w:r>
    <w:r w:rsidRPr="009018C6">
      <w:rPr>
        <w:rStyle w:val="SidhuvudUtskott"/>
      </w:rPr>
      <w:t>:</w:t>
    </w:r>
    <w:r w:rsidRPr="009018C6">
      <w:rPr>
        <w:rStyle w:val="SidhuvudUtskott"/>
      </w:rPr>
      <w:fldChar w:fldCharType="begin" w:fldLock="1"/>
    </w:r>
    <w:r w:rsidRPr="009018C6">
      <w:rPr>
        <w:rStyle w:val="SidhuvudUtskott"/>
      </w:rPr>
      <w:instrText xml:space="preserve"> DOCPROPERTY Utskott</w:instrText>
    </w:r>
    <w:r w:rsidRPr="009018C6">
      <w:rPr>
        <w:rStyle w:val="SidhuvudUtskott"/>
      </w:rPr>
      <w:fldChar w:fldCharType="separate"/>
    </w:r>
    <w:r w:rsidRPr="009018C6">
      <w:rPr>
        <w:rStyle w:val="SidhuvudUtskott"/>
      </w:rPr>
      <w:t>UU</w: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DOCPROPERTY BetänkandeNr</w:instrText>
    </w:r>
    <w:r w:rsidRPr="009018C6">
      <w:rPr>
        <w:rStyle w:val="SidhuvudUtskott"/>
      </w:rPr>
      <w:fldChar w:fldCharType="separate"/>
    </w:r>
    <w:r w:rsidRPr="009018C6">
      <w:rPr>
        <w:rStyle w:val="SidhuvudUtskott"/>
      </w:rPr>
      <w:t>7</w:t>
    </w:r>
    <w:r w:rsidRPr="009018C6">
      <w:rPr>
        <w:rStyle w:val="SidhuvudUtskott"/>
      </w:rPr>
      <w:fldChar w:fldCharType="end"/>
    </w:r>
    <w:r w:rsidRPr="009018C6">
      <w:t xml:space="preserve">     </w:t>
    </w:r>
    <w:r w:rsidRPr="009018C6">
      <w:rPr>
        <w:rStyle w:val="SidhuvudBilaga"/>
      </w:rPr>
      <w:t xml:space="preserve"> </w:t>
    </w:r>
    <w:r w:rsidRPr="009018C6">
      <w:rPr>
        <w:rStyle w:val="SidhuvudRubrikReferens"/>
      </w:rPr>
      <w:fldChar w:fldCharType="begin" w:fldLock="1"/>
    </w:r>
    <w:r w:rsidRPr="009018C6">
      <w:rPr>
        <w:rStyle w:val="SidhuvudRubrikReferens"/>
      </w:rPr>
      <w:instrText xml:space="preserve"> StyleREF "Rubrik 1" </w:instrText>
    </w:r>
    <w:r w:rsidRPr="009018C6">
      <w:rPr>
        <w:rStyle w:val="SidhuvudRubrikReferens"/>
      </w:rPr>
      <w:fldChar w:fldCharType="end"/>
    </w:r>
  </w:p>
  <w:p w:rsidR="003851BF" w:rsidRPr="009018C6" w:rsidRDefault="003851BF">
    <w:pPr>
      <w:pStyle w:val="SidhuvudKantJmn"/>
      <w:framePr w:w="8732" w:h="567" w:hRule="exact" w:vSpace="0" w:wrap="around" w:vAnchor="page" w:y="341" w:anchorLock="0"/>
    </w:pPr>
    <w:r w:rsidRPr="009018C6">
      <w:rPr>
        <w:rStyle w:val="SidhuvudUtskott"/>
      </w:rPr>
      <w:fldChar w:fldCharType="begin" w:fldLock="1"/>
    </w:r>
    <w:r w:rsidRPr="009018C6">
      <w:rPr>
        <w:rStyle w:val="SidhuvudUtskott"/>
      </w:rPr>
      <w:instrText xml:space="preserve"> DOCPROPERTY Status</w:instrText>
    </w:r>
    <w:r w:rsidRPr="009018C6">
      <w:rPr>
        <w:rStyle w:val="SidhuvudUtskott"/>
      </w:rPr>
      <w:fldChar w:fldCharType="end"/>
    </w:r>
    <w:r w:rsidRPr="009018C6">
      <w:rPr>
        <w:rStyle w:val="SidhuvudUtskott"/>
      </w:rPr>
      <w:fldChar w:fldCharType="begin" w:fldLock="1"/>
    </w:r>
    <w:r w:rsidRPr="009018C6">
      <w:rPr>
        <w:rStyle w:val="SidhuvudUtskott"/>
      </w:rPr>
      <w:instrText xml:space="preserve"> if </w:instrText>
    </w:r>
    <w:r w:rsidRPr="009018C6">
      <w:rPr>
        <w:rStyle w:val="SidhuvudUtskott"/>
      </w:rPr>
      <w:fldChar w:fldCharType="begin" w:fldLock="1"/>
    </w:r>
    <w:r w:rsidRPr="009018C6">
      <w:rPr>
        <w:rStyle w:val="SidhuvudUtskott"/>
      </w:rPr>
      <w:instrText xml:space="preserve"> DOCPROPERTY "UtkastDatum"</w:instrText>
    </w:r>
    <w:r w:rsidRPr="009018C6">
      <w:rPr>
        <w:rStyle w:val="SidhuvudUtskott"/>
      </w:rPr>
      <w:fldChar w:fldCharType="separate"/>
    </w:r>
    <w:r w:rsidRPr="009018C6">
      <w:rPr>
        <w:rStyle w:val="SidhuvudUtskott"/>
      </w:rPr>
      <w:instrText>Nej</w:instrText>
    </w:r>
    <w:r w:rsidRPr="009018C6">
      <w:rPr>
        <w:rStyle w:val="SidhuvudUtskott"/>
      </w:rPr>
      <w:fldChar w:fldCharType="end"/>
    </w:r>
    <w:r w:rsidRPr="009018C6">
      <w:rPr>
        <w:rStyle w:val="SidhuvudUtskott"/>
      </w:rPr>
      <w:instrText xml:space="preserve"> = "Ja" "    </w:instrText>
    </w:r>
    <w:r w:rsidRPr="009018C6">
      <w:rPr>
        <w:rStyle w:val="SidhuvudUtskott"/>
      </w:rPr>
      <w:fldChar w:fldCharType="begin" w:fldLock="1"/>
    </w:r>
    <w:r w:rsidRPr="009018C6">
      <w:rPr>
        <w:rStyle w:val="SidhuvudUtskott"/>
      </w:rPr>
      <w:instrText xml:space="preserve"> PRINTDATE \@ "yyyy-MM-dd HH.mm" </w:instrText>
    </w:r>
    <w:r w:rsidRPr="009018C6">
      <w:rPr>
        <w:rStyle w:val="SidhuvudUtskott"/>
      </w:rPr>
      <w:fldChar w:fldCharType="separate"/>
    </w:r>
    <w:r w:rsidRPr="009018C6">
      <w:rPr>
        <w:rStyle w:val="SidhuvudUtskott"/>
      </w:rPr>
      <w:instrText>2000-08-11 16.42</w:instrText>
    </w:r>
    <w:r w:rsidRPr="009018C6">
      <w:rPr>
        <w:rStyle w:val="SidhuvudUtskott"/>
      </w:rPr>
      <w:fldChar w:fldCharType="end"/>
    </w:r>
    <w:r w:rsidRPr="009018C6">
      <w:rPr>
        <w:rStyle w:val="SidhuvudUtskott"/>
      </w:rPr>
      <w:instrText xml:space="preserve">" </w:instrText>
    </w:r>
    <w:r w:rsidRPr="009018C6">
      <w:rPr>
        <w:rStyle w:val="SidhuvudUtskott"/>
      </w:rPr>
      <w:fldChar w:fldCharType="end"/>
    </w:r>
  </w:p>
  <w:p w:rsidR="003851BF" w:rsidRPr="009018C6" w:rsidRDefault="003851B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Jmn"/>
      <w:framePr w:w="8732" w:h="567" w:hRule="exact" w:vSpace="0" w:wrap="around" w:vAnchor="page" w:y="341" w:anchorLock="0"/>
    </w:pPr>
    <w:r w:rsidRPr="009018C6">
      <w:rPr>
        <w:rStyle w:val="SidhuvudUtskott"/>
      </w:rPr>
      <w:t>2001/02:UU7</w:t>
    </w:r>
    <w:r w:rsidRPr="009018C6">
      <w:t xml:space="preserve">     </w:t>
    </w:r>
    <w:r w:rsidRPr="009018C6">
      <w:rPr>
        <w:rStyle w:val="SidhuvudBilaga"/>
      </w:rPr>
      <w:t xml:space="preserve"> </w:t>
    </w:r>
    <w:r w:rsidRPr="009018C6">
      <w:rPr>
        <w:rStyle w:val="SidhuvudRubrikReferens"/>
      </w:rPr>
      <w:t>Redogörelse för ärendet</w:t>
    </w:r>
  </w:p>
  <w:p w:rsidR="003851BF" w:rsidRPr="009018C6" w:rsidRDefault="003851BF">
    <w:pPr>
      <w:pStyle w:val="SidhuvudKantJmn"/>
      <w:framePr w:w="8732" w:h="567" w:hRule="exact" w:vSpace="0" w:wrap="around" w:vAnchor="page" w:y="341" w:anchorLock="0"/>
    </w:pPr>
  </w:p>
  <w:p w:rsidR="003851BF" w:rsidRPr="009018C6" w:rsidRDefault="003851B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pPr>
    <w:r w:rsidRPr="009018C6">
      <w:rPr>
        <w:rStyle w:val="SidhuvudRubrikReferens"/>
      </w:rPr>
      <w:t>Redogörelse för ärendet</w:t>
    </w:r>
    <w:r w:rsidRPr="009018C6">
      <w:t xml:space="preserve">     </w:t>
    </w:r>
    <w:r w:rsidRPr="009018C6">
      <w:rPr>
        <w:rStyle w:val="SidhuvudBilaga"/>
      </w:rPr>
      <w:t xml:space="preserve"> </w:t>
    </w:r>
    <w:r w:rsidRPr="009018C6">
      <w:rPr>
        <w:rStyle w:val="SidhuvudUtskott"/>
      </w:rPr>
      <w:t>2001/02:UU7</w:t>
    </w:r>
  </w:p>
  <w:p w:rsidR="003851BF" w:rsidRPr="009018C6" w:rsidRDefault="003851BF">
    <w:pPr>
      <w:pStyle w:val="SidhuvudKantUdda"/>
      <w:framePr w:w="8732" w:h="567" w:hRule="exact" w:vSpace="0" w:wrap="around" w:vAnchor="page" w:y="341" w:anchorLock="0"/>
    </w:pPr>
  </w:p>
  <w:p w:rsidR="003851BF" w:rsidRPr="009018C6" w:rsidRDefault="003851B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Jmn"/>
      <w:framePr w:w="8732" w:h="567" w:hRule="exact" w:vSpace="0" w:wrap="around" w:vAnchor="page" w:y="341" w:anchorLock="0"/>
    </w:pPr>
    <w:r w:rsidRPr="009018C6">
      <w:rPr>
        <w:rStyle w:val="SidhuvudUtskott"/>
      </w:rPr>
      <w:t>2001/02:UU7</w:t>
    </w:r>
    <w:r w:rsidRPr="009018C6">
      <w:t xml:space="preserve">    </w:t>
    </w:r>
  </w:p>
  <w:p w:rsidR="003851BF" w:rsidRPr="009018C6" w:rsidRDefault="003851BF">
    <w:pPr>
      <w:pStyle w:val="SidhuvudKantJmn"/>
      <w:framePr w:w="8732" w:h="567" w:hRule="exact" w:vSpace="0" w:wrap="around" w:vAnchor="page" w:y="341" w:anchorLock="0"/>
    </w:pPr>
  </w:p>
  <w:p w:rsidR="003851BF" w:rsidRPr="009018C6" w:rsidRDefault="003851BF">
    <w:pPr>
      <w:pStyle w:val="SidhuvudKantUdda"/>
      <w:framePr w:w="8732" w:h="567" w:hRule="exact" w:vSpace="0" w:wrap="around" w:vAnchor="page" w:y="341" w:anchorLock="0"/>
    </w:pPr>
    <w:r w:rsidRPr="009018C6">
      <w:rPr>
        <w:rStyle w:val="SidhuvudRubrikReferens"/>
        <w:smallCaps w:val="0"/>
        <w:spacing w:val="0"/>
        <w:sz w:val="19"/>
      </w:rPr>
      <w:t xml:space="preserve"> </w:t>
    </w:r>
  </w:p>
  <w:p w:rsidR="003851BF" w:rsidRPr="009018C6" w:rsidRDefault="003851B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Jmn"/>
      <w:framePr w:w="8732" w:h="567" w:hRule="exact" w:vSpace="0" w:wrap="around" w:vAnchor="page" w:y="341" w:anchorLock="0"/>
    </w:pPr>
    <w:r w:rsidRPr="009018C6">
      <w:rPr>
        <w:rStyle w:val="SidhuvudUtskott"/>
      </w:rPr>
      <w:fldChar w:fldCharType="begin" w:fldLock="1"/>
    </w:r>
    <w:r w:rsidRPr="009018C6">
      <w:rPr>
        <w:rStyle w:val="SidhuvudUtskott"/>
      </w:rPr>
      <w:instrText xml:space="preserve"> DOCPROPERTY BetänkandeÅr</w:instrText>
    </w:r>
    <w:r w:rsidRPr="009018C6">
      <w:rPr>
        <w:rStyle w:val="SidhuvudUtskott"/>
      </w:rPr>
      <w:fldChar w:fldCharType="separate"/>
    </w:r>
    <w:r w:rsidRPr="009018C6">
      <w:rPr>
        <w:rStyle w:val="SidhuvudUtskott"/>
      </w:rPr>
      <w:t>2001/02</w:t>
    </w:r>
    <w:r w:rsidRPr="009018C6">
      <w:rPr>
        <w:rStyle w:val="SidhuvudUtskott"/>
      </w:rPr>
      <w:fldChar w:fldCharType="end"/>
    </w:r>
    <w:r w:rsidRPr="009018C6">
      <w:rPr>
        <w:rStyle w:val="SidhuvudUtskott"/>
      </w:rPr>
      <w:t>:</w:t>
    </w:r>
    <w:r w:rsidRPr="009018C6">
      <w:rPr>
        <w:rStyle w:val="SidhuvudUtskott"/>
      </w:rPr>
      <w:fldChar w:fldCharType="begin" w:fldLock="1"/>
    </w:r>
    <w:r w:rsidRPr="009018C6">
      <w:rPr>
        <w:rStyle w:val="SidhuvudUtskott"/>
      </w:rPr>
      <w:instrText xml:space="preserve"> DOCPROPERTY Utskott</w:instrText>
    </w:r>
    <w:r w:rsidRPr="009018C6">
      <w:rPr>
        <w:rStyle w:val="SidhuvudUtskott"/>
      </w:rPr>
      <w:fldChar w:fldCharType="separate"/>
    </w:r>
    <w:r w:rsidRPr="009018C6">
      <w:rPr>
        <w:rStyle w:val="SidhuvudUtskott"/>
      </w:rPr>
      <w:t>UU</w: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DOCPROPERTY BetänkandeNr</w:instrText>
    </w:r>
    <w:r w:rsidRPr="009018C6">
      <w:rPr>
        <w:rStyle w:val="SidhuvudUtskott"/>
      </w:rPr>
      <w:fldChar w:fldCharType="separate"/>
    </w:r>
    <w:r w:rsidRPr="009018C6">
      <w:rPr>
        <w:rStyle w:val="SidhuvudUtskott"/>
      </w:rPr>
      <w:t>7</w:t>
    </w:r>
    <w:r w:rsidRPr="009018C6">
      <w:rPr>
        <w:rStyle w:val="SidhuvudUtskott"/>
      </w:rPr>
      <w:fldChar w:fldCharType="end"/>
    </w:r>
    <w:r w:rsidRPr="009018C6">
      <w:t xml:space="preserve">     </w:t>
    </w:r>
    <w:r w:rsidRPr="009018C6">
      <w:rPr>
        <w:rStyle w:val="SidhuvudBilaga"/>
      </w:rPr>
      <w:t xml:space="preserve"> </w:t>
    </w:r>
    <w:r w:rsidRPr="009018C6">
      <w:rPr>
        <w:rStyle w:val="SidhuvudRubrikReferens"/>
      </w:rPr>
      <w:fldChar w:fldCharType="begin" w:fldLock="1"/>
    </w:r>
    <w:r w:rsidRPr="009018C6">
      <w:rPr>
        <w:rStyle w:val="SidhuvudRubrikReferens"/>
      </w:rPr>
      <w:instrText xml:space="preserve"> StyleREF "Rubrik 1" </w:instrText>
    </w:r>
    <w:r w:rsidRPr="009018C6">
      <w:rPr>
        <w:rStyle w:val="SidhuvudRubrikReferens"/>
      </w:rPr>
      <w:fldChar w:fldCharType="separate"/>
    </w:r>
    <w:r w:rsidRPr="009018C6">
      <w:rPr>
        <w:rStyle w:val="SidhuvudRubrikReferens"/>
      </w:rPr>
      <w:t>Redogörelse för ärendet</w:t>
    </w:r>
    <w:r w:rsidRPr="009018C6">
      <w:rPr>
        <w:rStyle w:val="SidhuvudRubrikReferens"/>
      </w:rPr>
      <w:fldChar w:fldCharType="end"/>
    </w:r>
  </w:p>
  <w:p w:rsidR="003851BF" w:rsidRPr="009018C6" w:rsidRDefault="003851B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pPr>
    <w:r w:rsidRPr="009018C6">
      <w:rPr>
        <w:rStyle w:val="SidhuvudRubrikReferens"/>
      </w:rPr>
      <w:t>Utskottets överväganden</w:t>
    </w:r>
    <w:r w:rsidRPr="009018C6">
      <w:rPr>
        <w:rStyle w:val="SidhuvudBilaga"/>
      </w:rPr>
      <w:t xml:space="preserve">     </w:t>
    </w:r>
    <w:r w:rsidRPr="009018C6">
      <w:rPr>
        <w:rStyle w:val="SidhuvudUtskott"/>
      </w:rPr>
      <w:t>2001/02:UU7</w:t>
    </w:r>
  </w:p>
  <w:p w:rsidR="003851BF" w:rsidRPr="009018C6" w:rsidRDefault="003851BF">
    <w:pPr>
      <w:pStyle w:val="SidhuvudKantUdda"/>
      <w:framePr w:w="8732" w:h="567" w:hRule="exact" w:vSpace="0" w:wrap="around" w:vAnchor="page" w:y="341" w:anchorLock="0"/>
    </w:pPr>
  </w:p>
  <w:p w:rsidR="003851BF" w:rsidRPr="009018C6" w:rsidRDefault="003851B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jc w:val="left"/>
    </w:pPr>
    <w:r w:rsidRPr="009018C6">
      <w:rPr>
        <w:rStyle w:val="SidhuvudUtskott"/>
      </w:rPr>
      <w:t>2001/02:UU7</w:t>
    </w:r>
  </w:p>
  <w:p w:rsidR="003851BF" w:rsidRPr="009018C6" w:rsidRDefault="003851BF">
    <w:pPr>
      <w:pStyle w:val="SidhuvudKantUdda"/>
      <w:framePr w:w="8732" w:h="567" w:hRule="exact" w:vSpace="0" w:wrap="around" w:vAnchor="page" w:y="341" w:anchorLock="0"/>
    </w:pPr>
  </w:p>
  <w:p w:rsidR="003851BF" w:rsidRPr="009018C6" w:rsidRDefault="003851B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jc w:val="both"/>
    </w:pPr>
    <w:r w:rsidRPr="009018C6">
      <w:rPr>
        <w:rStyle w:val="SidhuvudUtskott"/>
      </w:rPr>
      <w:t>2001/02:UU7</w:t>
    </w:r>
  </w:p>
  <w:p w:rsidR="003851BF" w:rsidRPr="009018C6" w:rsidRDefault="003851BF">
    <w:pPr>
      <w:pStyle w:val="SidhuvudKantUdda"/>
      <w:framePr w:w="8732" w:h="567" w:hRule="exact" w:vSpace="0" w:wrap="around" w:vAnchor="page" w:y="341" w:anchorLock="0"/>
    </w:pPr>
  </w:p>
  <w:p w:rsidR="003851BF" w:rsidRPr="009018C6" w:rsidRDefault="003851B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pPr>
    <w:r w:rsidRPr="009018C6">
      <w:rPr>
        <w:rStyle w:val="SidhuvudUtskott"/>
      </w:rPr>
      <w:t>2001/02:UU7</w:t>
    </w:r>
  </w:p>
  <w:p w:rsidR="003851BF" w:rsidRPr="009018C6" w:rsidRDefault="003851BF">
    <w:pPr>
      <w:pStyle w:val="SidhuvudKantUdda"/>
      <w:framePr w:w="8732" w:h="567" w:hRule="exact" w:vSpace="0" w:wrap="around" w:vAnchor="page" w:y="341" w:anchorLock="0"/>
    </w:pPr>
  </w:p>
  <w:p w:rsidR="003851BF" w:rsidRPr="009018C6" w:rsidRDefault="003851B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pPr>
    <w:r w:rsidRPr="009018C6">
      <w:rPr>
        <w:rStyle w:val="SidhuvudRubrikReferens"/>
      </w:rPr>
      <w:fldChar w:fldCharType="begin" w:fldLock="1"/>
    </w:r>
    <w:r w:rsidRPr="009018C6">
      <w:rPr>
        <w:rStyle w:val="SidhuvudRubrikReferens"/>
      </w:rPr>
      <w:instrText xml:space="preserve"> StyleREF "Rubrik 1" </w:instrText>
    </w:r>
    <w:r w:rsidRPr="009018C6">
      <w:rPr>
        <w:rStyle w:val="SidhuvudRubrikReferens"/>
      </w:rPr>
      <w:fldChar w:fldCharType="end"/>
    </w:r>
    <w:r w:rsidRPr="009018C6">
      <w:rPr>
        <w:rStyle w:val="SidhuvudBilaga"/>
      </w:rPr>
      <w:t xml:space="preserve"> </w:t>
    </w:r>
    <w:r w:rsidRPr="009018C6">
      <w:t xml:space="preserve">     </w:t>
    </w:r>
    <w:r w:rsidRPr="009018C6">
      <w:rPr>
        <w:rStyle w:val="SidhuvudUtskott"/>
      </w:rPr>
      <w:fldChar w:fldCharType="begin" w:fldLock="1"/>
    </w:r>
    <w:r w:rsidRPr="009018C6">
      <w:rPr>
        <w:rStyle w:val="SidhuvudUtskott"/>
      </w:rPr>
      <w:instrText xml:space="preserve"> DOCPROPERTY BetänkandeÅr</w:instrText>
    </w:r>
    <w:r w:rsidRPr="009018C6">
      <w:rPr>
        <w:rStyle w:val="SidhuvudUtskott"/>
      </w:rPr>
      <w:fldChar w:fldCharType="separate"/>
    </w:r>
    <w:r w:rsidRPr="009018C6">
      <w:rPr>
        <w:rStyle w:val="SidhuvudUtskott"/>
      </w:rPr>
      <w:t>2001/02</w:t>
    </w:r>
    <w:r w:rsidRPr="009018C6">
      <w:rPr>
        <w:rStyle w:val="SidhuvudUtskott"/>
      </w:rPr>
      <w:fldChar w:fldCharType="end"/>
    </w:r>
    <w:r w:rsidRPr="009018C6">
      <w:rPr>
        <w:rStyle w:val="SidhuvudUtskott"/>
      </w:rPr>
      <w:t>:</w:t>
    </w:r>
    <w:r w:rsidRPr="009018C6">
      <w:rPr>
        <w:rStyle w:val="SidhuvudUtskott"/>
      </w:rPr>
      <w:fldChar w:fldCharType="begin" w:fldLock="1"/>
    </w:r>
    <w:r w:rsidRPr="009018C6">
      <w:rPr>
        <w:rStyle w:val="SidhuvudUtskott"/>
      </w:rPr>
      <w:instrText xml:space="preserve"> DOCPROPERTY</w:instrText>
    </w:r>
    <w:r w:rsidRPr="009018C6">
      <w:instrText xml:space="preserve"> </w:instrText>
    </w:r>
    <w:r w:rsidRPr="009018C6">
      <w:rPr>
        <w:rStyle w:val="SidhuvudUtskott"/>
      </w:rPr>
      <w:instrText>Utskott</w:instrText>
    </w:r>
    <w:r w:rsidRPr="009018C6">
      <w:rPr>
        <w:rStyle w:val="SidhuvudUtskott"/>
      </w:rPr>
      <w:fldChar w:fldCharType="separate"/>
    </w:r>
    <w:r w:rsidRPr="009018C6">
      <w:rPr>
        <w:rStyle w:val="SidhuvudUtskott"/>
      </w:rPr>
      <w:t>UU</w: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DOCPROPERTY Betä</w:instrText>
    </w:r>
    <w:r w:rsidRPr="009018C6">
      <w:rPr>
        <w:rStyle w:val="SidhuvudUtskott"/>
      </w:rPr>
      <w:instrText>n</w:instrText>
    </w:r>
    <w:r w:rsidRPr="009018C6">
      <w:rPr>
        <w:rStyle w:val="SidhuvudUtskott"/>
      </w:rPr>
      <w:instrText>kandeNr</w:instrText>
    </w:r>
    <w:r w:rsidRPr="009018C6">
      <w:rPr>
        <w:rStyle w:val="SidhuvudUtskott"/>
      </w:rPr>
      <w:fldChar w:fldCharType="separate"/>
    </w:r>
    <w:r w:rsidRPr="009018C6">
      <w:rPr>
        <w:rStyle w:val="SidhuvudUtskott"/>
      </w:rPr>
      <w:t>7</w:t>
    </w:r>
    <w:r w:rsidRPr="009018C6">
      <w:rPr>
        <w:rStyle w:val="SidhuvudUtskott"/>
      </w:rPr>
      <w:fldChar w:fldCharType="end"/>
    </w:r>
  </w:p>
  <w:p w:rsidR="003851BF" w:rsidRPr="009018C6" w:rsidRDefault="003851BF">
    <w:pPr>
      <w:pStyle w:val="SidhuvudKantUdda"/>
      <w:framePr w:w="8732" w:h="567" w:hRule="exact" w:vSpace="0" w:wrap="around" w:vAnchor="page" w:y="341" w:anchorLock="0"/>
    </w:pPr>
    <w:r w:rsidRPr="009018C6">
      <w:rPr>
        <w:rStyle w:val="SidhuvudUtskott"/>
      </w:rPr>
      <w:fldChar w:fldCharType="begin" w:fldLock="1"/>
    </w:r>
    <w:r w:rsidRPr="009018C6">
      <w:rPr>
        <w:rStyle w:val="SidhuvudUtskott"/>
      </w:rPr>
      <w:instrText xml:space="preserve"> if </w:instrText>
    </w:r>
    <w:r w:rsidRPr="009018C6">
      <w:rPr>
        <w:rStyle w:val="SidhuvudUtskott"/>
      </w:rPr>
      <w:fldChar w:fldCharType="begin" w:fldLock="1"/>
    </w:r>
    <w:r w:rsidRPr="009018C6">
      <w:rPr>
        <w:rStyle w:val="SidhuvudUtskott"/>
      </w:rPr>
      <w:instrText xml:space="preserve"> DOCPROPERTY "UtkastDatum"</w:instrText>
    </w:r>
    <w:r w:rsidRPr="009018C6">
      <w:rPr>
        <w:rStyle w:val="SidhuvudUtskott"/>
      </w:rPr>
      <w:fldChar w:fldCharType="separate"/>
    </w:r>
    <w:r w:rsidRPr="009018C6">
      <w:rPr>
        <w:rStyle w:val="SidhuvudUtskott"/>
      </w:rPr>
      <w:instrText>Nej</w:instrText>
    </w:r>
    <w:r w:rsidRPr="009018C6">
      <w:rPr>
        <w:rStyle w:val="SidhuvudUtskott"/>
      </w:rPr>
      <w:fldChar w:fldCharType="end"/>
    </w:r>
    <w:r w:rsidRPr="009018C6">
      <w:rPr>
        <w:rStyle w:val="SidhuvudUtskott"/>
      </w:rPr>
      <w:instrText xml:space="preserve"> = "Ja" "</w:instrText>
    </w:r>
    <w:r w:rsidRPr="009018C6">
      <w:rPr>
        <w:rStyle w:val="SidhuvudUtskott"/>
      </w:rPr>
      <w:fldChar w:fldCharType="begin" w:fldLock="1"/>
    </w:r>
    <w:r w:rsidRPr="009018C6">
      <w:rPr>
        <w:rStyle w:val="SidhuvudUtskott"/>
      </w:rPr>
      <w:instrText xml:space="preserve"> PRINTDATE \@ "yyyy-MM-dd HH.mm    " </w:instrText>
    </w:r>
    <w:r w:rsidRPr="009018C6">
      <w:rPr>
        <w:rStyle w:val="SidhuvudUtskott"/>
      </w:rPr>
      <w:fldChar w:fldCharType="separate"/>
    </w:r>
    <w:r w:rsidRPr="009018C6">
      <w:rPr>
        <w:rStyle w:val="SidhuvudUtskott"/>
      </w:rPr>
      <w:instrText>2000-08-11 16.42</w:instrText>
    </w:r>
    <w:r w:rsidRPr="009018C6">
      <w:rPr>
        <w:rStyle w:val="SidhuvudUtskott"/>
      </w:rPr>
      <w:fldChar w:fldCharType="end"/>
    </w:r>
    <w:r w:rsidRPr="009018C6">
      <w:rPr>
        <w:rStyle w:val="SidhuvudUtskott"/>
      </w:rPr>
      <w:instrText xml:space="preserve">" </w:instrTex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w:instrText>
    </w:r>
    <w:r w:rsidRPr="009018C6">
      <w:rPr>
        <w:rStyle w:val="SidhuvudUtskott"/>
      </w:rPr>
      <w:instrText>O</w:instrText>
    </w:r>
    <w:r w:rsidRPr="009018C6">
      <w:rPr>
        <w:rStyle w:val="SidhuvudUtskott"/>
      </w:rPr>
      <w:instrText>PERTY Status</w:instrText>
    </w:r>
    <w:r w:rsidRPr="009018C6">
      <w:rPr>
        <w:rStyle w:val="SidhuvudUtskott"/>
      </w:rPr>
      <w:fldChar w:fldCharType="end"/>
    </w:r>
  </w:p>
  <w:p w:rsidR="003851BF" w:rsidRPr="009018C6" w:rsidRDefault="003851B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pPr>
    <w:r w:rsidRPr="009018C6">
      <w:t xml:space="preserve"> </w:t>
    </w:r>
  </w:p>
  <w:p w:rsidR="003851BF" w:rsidRPr="009018C6" w:rsidRDefault="003851B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Jmn"/>
      <w:framePr w:w="8732" w:h="567" w:hRule="exact" w:vSpace="0" w:wrap="around" w:vAnchor="page" w:y="341" w:anchorLock="0"/>
    </w:pPr>
    <w:r w:rsidRPr="009018C6">
      <w:rPr>
        <w:rStyle w:val="SidhuvudUtskott"/>
      </w:rPr>
      <w:fldChar w:fldCharType="begin" w:fldLock="1"/>
    </w:r>
    <w:r w:rsidRPr="009018C6">
      <w:rPr>
        <w:rStyle w:val="SidhuvudUtskott"/>
      </w:rPr>
      <w:instrText xml:space="preserve"> DOCPROPERTY BetänkandeÅr</w:instrText>
    </w:r>
    <w:r w:rsidRPr="009018C6">
      <w:rPr>
        <w:rStyle w:val="SidhuvudUtskott"/>
      </w:rPr>
      <w:fldChar w:fldCharType="separate"/>
    </w:r>
    <w:r w:rsidRPr="009018C6">
      <w:rPr>
        <w:rStyle w:val="SidhuvudUtskott"/>
      </w:rPr>
      <w:t>2001/02</w:t>
    </w:r>
    <w:r w:rsidRPr="009018C6">
      <w:rPr>
        <w:rStyle w:val="SidhuvudUtskott"/>
      </w:rPr>
      <w:fldChar w:fldCharType="end"/>
    </w:r>
    <w:r w:rsidRPr="009018C6">
      <w:rPr>
        <w:rStyle w:val="SidhuvudUtskott"/>
      </w:rPr>
      <w:t>:</w:t>
    </w:r>
    <w:r w:rsidRPr="009018C6">
      <w:rPr>
        <w:rStyle w:val="SidhuvudUtskott"/>
      </w:rPr>
      <w:fldChar w:fldCharType="begin" w:fldLock="1"/>
    </w:r>
    <w:r w:rsidRPr="009018C6">
      <w:rPr>
        <w:rStyle w:val="SidhuvudUtskott"/>
      </w:rPr>
      <w:instrText xml:space="preserve"> DOCPROPERTY Utskott</w:instrText>
    </w:r>
    <w:r w:rsidRPr="009018C6">
      <w:rPr>
        <w:rStyle w:val="SidhuvudUtskott"/>
      </w:rPr>
      <w:fldChar w:fldCharType="separate"/>
    </w:r>
    <w:r w:rsidRPr="009018C6">
      <w:rPr>
        <w:rStyle w:val="SidhuvudUtskott"/>
      </w:rPr>
      <w:t>UU</w: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DOCPROPERTY BetänkandeNr</w:instrText>
    </w:r>
    <w:r w:rsidRPr="009018C6">
      <w:rPr>
        <w:rStyle w:val="SidhuvudUtskott"/>
      </w:rPr>
      <w:fldChar w:fldCharType="separate"/>
    </w:r>
    <w:r w:rsidRPr="009018C6">
      <w:rPr>
        <w:rStyle w:val="SidhuvudUtskott"/>
      </w:rPr>
      <w:t>7</w:t>
    </w:r>
    <w:r w:rsidRPr="009018C6">
      <w:rPr>
        <w:rStyle w:val="SidhuvudUtskott"/>
      </w:rPr>
      <w:fldChar w:fldCharType="end"/>
    </w:r>
    <w:r w:rsidRPr="009018C6">
      <w:t xml:space="preserve">     </w:t>
    </w:r>
    <w:r w:rsidRPr="009018C6">
      <w:rPr>
        <w:rStyle w:val="SidhuvudBilaga"/>
      </w:rPr>
      <w:t xml:space="preserve"> </w:t>
    </w:r>
    <w:r w:rsidRPr="009018C6">
      <w:rPr>
        <w:rStyle w:val="SidhuvudRubrikReferens"/>
      </w:rPr>
      <w:fldChar w:fldCharType="begin" w:fldLock="1"/>
    </w:r>
    <w:r w:rsidRPr="009018C6">
      <w:rPr>
        <w:rStyle w:val="SidhuvudRubrikReferens"/>
      </w:rPr>
      <w:instrText xml:space="preserve"> StyleREF "Rubrik 1" </w:instrText>
    </w:r>
    <w:r w:rsidRPr="009018C6">
      <w:rPr>
        <w:rStyle w:val="SidhuvudRubrikReferens"/>
      </w:rPr>
      <w:fldChar w:fldCharType="separate"/>
    </w:r>
    <w:r w:rsidRPr="009018C6">
      <w:rPr>
        <w:rStyle w:val="SidhuvudRubrikReferens"/>
      </w:rPr>
      <w:t>Sammanfattning</w:t>
    </w:r>
    <w:r w:rsidRPr="009018C6">
      <w:rPr>
        <w:rStyle w:val="SidhuvudRubrikReferens"/>
      </w:rPr>
      <w:fldChar w:fldCharType="end"/>
    </w:r>
  </w:p>
  <w:p w:rsidR="003851BF" w:rsidRPr="009018C6" w:rsidRDefault="003851BF">
    <w:pPr>
      <w:pStyle w:val="SidhuvudKantJmn"/>
      <w:framePr w:w="8732" w:h="567" w:hRule="exact" w:vSpace="0" w:wrap="around" w:vAnchor="page" w:y="341" w:anchorLock="0"/>
    </w:pPr>
    <w:r w:rsidRPr="009018C6">
      <w:rPr>
        <w:rStyle w:val="SidhuvudUtskott"/>
      </w:rPr>
      <w:fldChar w:fldCharType="begin" w:fldLock="1"/>
    </w:r>
    <w:r w:rsidRPr="009018C6">
      <w:rPr>
        <w:rStyle w:val="SidhuvudUtskott"/>
      </w:rPr>
      <w:instrText xml:space="preserve"> DOCPROPERTY Status</w:instrText>
    </w:r>
    <w:r w:rsidRPr="009018C6">
      <w:rPr>
        <w:rStyle w:val="SidhuvudUtskott"/>
      </w:rPr>
      <w:fldChar w:fldCharType="end"/>
    </w:r>
    <w:r w:rsidRPr="009018C6">
      <w:rPr>
        <w:rStyle w:val="SidhuvudUtskott"/>
      </w:rPr>
      <w:fldChar w:fldCharType="begin" w:fldLock="1"/>
    </w:r>
    <w:r w:rsidRPr="009018C6">
      <w:rPr>
        <w:rStyle w:val="SidhuvudUtskott"/>
      </w:rPr>
      <w:instrText xml:space="preserve"> if </w:instrText>
    </w:r>
    <w:r w:rsidRPr="009018C6">
      <w:rPr>
        <w:rStyle w:val="SidhuvudUtskott"/>
      </w:rPr>
      <w:fldChar w:fldCharType="begin" w:fldLock="1"/>
    </w:r>
    <w:r w:rsidRPr="009018C6">
      <w:rPr>
        <w:rStyle w:val="SidhuvudUtskott"/>
      </w:rPr>
      <w:instrText xml:space="preserve"> DOCPROPERTY "UtkastDatum"</w:instrText>
    </w:r>
    <w:r w:rsidRPr="009018C6">
      <w:rPr>
        <w:rStyle w:val="SidhuvudUtskott"/>
      </w:rPr>
      <w:fldChar w:fldCharType="separate"/>
    </w:r>
    <w:r w:rsidRPr="009018C6">
      <w:rPr>
        <w:rStyle w:val="SidhuvudUtskott"/>
      </w:rPr>
      <w:instrText>Nej</w:instrText>
    </w:r>
    <w:r w:rsidRPr="009018C6">
      <w:rPr>
        <w:rStyle w:val="SidhuvudUtskott"/>
      </w:rPr>
      <w:fldChar w:fldCharType="end"/>
    </w:r>
    <w:r w:rsidRPr="009018C6">
      <w:rPr>
        <w:rStyle w:val="SidhuvudUtskott"/>
      </w:rPr>
      <w:instrText xml:space="preserve"> = "Ja" "    </w:instrText>
    </w:r>
    <w:r w:rsidRPr="009018C6">
      <w:rPr>
        <w:rStyle w:val="SidhuvudUtskott"/>
      </w:rPr>
      <w:fldChar w:fldCharType="begin" w:fldLock="1"/>
    </w:r>
    <w:r w:rsidRPr="009018C6">
      <w:rPr>
        <w:rStyle w:val="SidhuvudUtskott"/>
      </w:rPr>
      <w:instrText xml:space="preserve"> PRINTDATE \@ "yyyy-MM-dd HH.mm" </w:instrText>
    </w:r>
    <w:r w:rsidRPr="009018C6">
      <w:rPr>
        <w:rStyle w:val="SidhuvudUtskott"/>
      </w:rPr>
      <w:fldChar w:fldCharType="separate"/>
    </w:r>
    <w:r w:rsidRPr="009018C6">
      <w:rPr>
        <w:rStyle w:val="SidhuvudUtskott"/>
      </w:rPr>
      <w:instrText>2000-08-11 16.42</w:instrText>
    </w:r>
    <w:r w:rsidRPr="009018C6">
      <w:rPr>
        <w:rStyle w:val="SidhuvudUtskott"/>
      </w:rPr>
      <w:fldChar w:fldCharType="end"/>
    </w:r>
    <w:r w:rsidRPr="009018C6">
      <w:rPr>
        <w:rStyle w:val="SidhuvudUtskott"/>
      </w:rPr>
      <w:instrText xml:space="preserve">" </w:instrText>
    </w:r>
    <w:r w:rsidRPr="009018C6">
      <w:rPr>
        <w:rStyle w:val="SidhuvudUtskott"/>
      </w:rPr>
      <w:fldChar w:fldCharType="end"/>
    </w:r>
  </w:p>
  <w:p w:rsidR="003851BF" w:rsidRPr="009018C6" w:rsidRDefault="003851B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pPr>
    <w:r w:rsidRPr="009018C6">
      <w:rPr>
        <w:rStyle w:val="SidhuvudRubrikReferens"/>
      </w:rPr>
      <w:fldChar w:fldCharType="begin" w:fldLock="1"/>
    </w:r>
    <w:r w:rsidRPr="009018C6">
      <w:rPr>
        <w:rStyle w:val="SidhuvudRubrikReferens"/>
      </w:rPr>
      <w:instrText xml:space="preserve"> StyleREF "Rubrik 1" </w:instrText>
    </w:r>
    <w:r w:rsidRPr="009018C6">
      <w:rPr>
        <w:rStyle w:val="SidhuvudRubrikReferens"/>
      </w:rPr>
      <w:fldChar w:fldCharType="separate"/>
    </w:r>
    <w:r w:rsidRPr="009018C6">
      <w:rPr>
        <w:rStyle w:val="SidhuvudRubrikReferens"/>
      </w:rPr>
      <w:t>Sammanfattning</w:t>
    </w:r>
    <w:r w:rsidRPr="009018C6">
      <w:rPr>
        <w:rStyle w:val="SidhuvudRubrikReferens"/>
      </w:rPr>
      <w:fldChar w:fldCharType="end"/>
    </w:r>
    <w:r w:rsidRPr="009018C6">
      <w:rPr>
        <w:rStyle w:val="SidhuvudBilaga"/>
      </w:rPr>
      <w:t xml:space="preserve"> </w:t>
    </w:r>
    <w:r w:rsidRPr="009018C6">
      <w:t xml:space="preserve">     </w:t>
    </w:r>
    <w:r w:rsidRPr="009018C6">
      <w:rPr>
        <w:rStyle w:val="SidhuvudUtskott"/>
      </w:rPr>
      <w:fldChar w:fldCharType="begin" w:fldLock="1"/>
    </w:r>
    <w:r w:rsidRPr="009018C6">
      <w:rPr>
        <w:rStyle w:val="SidhuvudUtskott"/>
      </w:rPr>
      <w:instrText xml:space="preserve"> DOCPROPERTY BetänkandeÅr</w:instrText>
    </w:r>
    <w:r w:rsidRPr="009018C6">
      <w:rPr>
        <w:rStyle w:val="SidhuvudUtskott"/>
      </w:rPr>
      <w:fldChar w:fldCharType="separate"/>
    </w:r>
    <w:r w:rsidRPr="009018C6">
      <w:rPr>
        <w:rStyle w:val="SidhuvudUtskott"/>
      </w:rPr>
      <w:t>2001/02</w:t>
    </w:r>
    <w:r w:rsidRPr="009018C6">
      <w:rPr>
        <w:rStyle w:val="SidhuvudUtskott"/>
      </w:rPr>
      <w:fldChar w:fldCharType="end"/>
    </w:r>
    <w:r w:rsidRPr="009018C6">
      <w:rPr>
        <w:rStyle w:val="SidhuvudUtskott"/>
      </w:rPr>
      <w:t>:</w:t>
    </w:r>
    <w:r w:rsidRPr="009018C6">
      <w:rPr>
        <w:rStyle w:val="SidhuvudUtskott"/>
      </w:rPr>
      <w:fldChar w:fldCharType="begin" w:fldLock="1"/>
    </w:r>
    <w:r w:rsidRPr="009018C6">
      <w:rPr>
        <w:rStyle w:val="SidhuvudUtskott"/>
      </w:rPr>
      <w:instrText xml:space="preserve"> DOCPROPERTY</w:instrText>
    </w:r>
    <w:r w:rsidRPr="009018C6">
      <w:instrText xml:space="preserve"> </w:instrText>
    </w:r>
    <w:r w:rsidRPr="009018C6">
      <w:rPr>
        <w:rStyle w:val="SidhuvudUtskott"/>
      </w:rPr>
      <w:instrText>Utskott</w:instrText>
    </w:r>
    <w:r w:rsidRPr="009018C6">
      <w:rPr>
        <w:rStyle w:val="SidhuvudUtskott"/>
      </w:rPr>
      <w:fldChar w:fldCharType="separate"/>
    </w:r>
    <w:r w:rsidRPr="009018C6">
      <w:rPr>
        <w:rStyle w:val="SidhuvudUtskott"/>
      </w:rPr>
      <w:t>UU</w: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DOCPROPERTY Betä</w:instrText>
    </w:r>
    <w:r w:rsidRPr="009018C6">
      <w:rPr>
        <w:rStyle w:val="SidhuvudUtskott"/>
      </w:rPr>
      <w:instrText>n</w:instrText>
    </w:r>
    <w:r w:rsidRPr="009018C6">
      <w:rPr>
        <w:rStyle w:val="SidhuvudUtskott"/>
      </w:rPr>
      <w:instrText>kandeNr</w:instrText>
    </w:r>
    <w:r w:rsidRPr="009018C6">
      <w:rPr>
        <w:rStyle w:val="SidhuvudUtskott"/>
      </w:rPr>
      <w:fldChar w:fldCharType="separate"/>
    </w:r>
    <w:r w:rsidRPr="009018C6">
      <w:rPr>
        <w:rStyle w:val="SidhuvudUtskott"/>
      </w:rPr>
      <w:t>7</w:t>
    </w:r>
    <w:r w:rsidRPr="009018C6">
      <w:rPr>
        <w:rStyle w:val="SidhuvudUtskott"/>
      </w:rPr>
      <w:fldChar w:fldCharType="end"/>
    </w:r>
  </w:p>
  <w:p w:rsidR="003851BF" w:rsidRPr="009018C6" w:rsidRDefault="003851BF">
    <w:pPr>
      <w:pStyle w:val="SidhuvudKantUdda"/>
      <w:framePr w:w="8732" w:h="567" w:hRule="exact" w:vSpace="0" w:wrap="around" w:vAnchor="page" w:y="341" w:anchorLock="0"/>
    </w:pPr>
    <w:r w:rsidRPr="009018C6">
      <w:rPr>
        <w:rStyle w:val="SidhuvudUtskott"/>
      </w:rPr>
      <w:fldChar w:fldCharType="begin" w:fldLock="1"/>
    </w:r>
    <w:r w:rsidRPr="009018C6">
      <w:rPr>
        <w:rStyle w:val="SidhuvudUtskott"/>
      </w:rPr>
      <w:instrText xml:space="preserve"> if </w:instrText>
    </w:r>
    <w:r w:rsidRPr="009018C6">
      <w:rPr>
        <w:rStyle w:val="SidhuvudUtskott"/>
      </w:rPr>
      <w:fldChar w:fldCharType="begin" w:fldLock="1"/>
    </w:r>
    <w:r w:rsidRPr="009018C6">
      <w:rPr>
        <w:rStyle w:val="SidhuvudUtskott"/>
      </w:rPr>
      <w:instrText xml:space="preserve"> DOCPROPERTY "UtkastDatum"</w:instrText>
    </w:r>
    <w:r w:rsidRPr="009018C6">
      <w:rPr>
        <w:rStyle w:val="SidhuvudUtskott"/>
      </w:rPr>
      <w:fldChar w:fldCharType="separate"/>
    </w:r>
    <w:r w:rsidRPr="009018C6">
      <w:rPr>
        <w:rStyle w:val="SidhuvudUtskott"/>
      </w:rPr>
      <w:instrText>Nej</w:instrText>
    </w:r>
    <w:r w:rsidRPr="009018C6">
      <w:rPr>
        <w:rStyle w:val="SidhuvudUtskott"/>
      </w:rPr>
      <w:fldChar w:fldCharType="end"/>
    </w:r>
    <w:r w:rsidRPr="009018C6">
      <w:rPr>
        <w:rStyle w:val="SidhuvudUtskott"/>
      </w:rPr>
      <w:instrText xml:space="preserve"> = "Ja" "</w:instrText>
    </w:r>
    <w:r w:rsidRPr="009018C6">
      <w:rPr>
        <w:rStyle w:val="SidhuvudUtskott"/>
      </w:rPr>
      <w:fldChar w:fldCharType="begin" w:fldLock="1"/>
    </w:r>
    <w:r w:rsidRPr="009018C6">
      <w:rPr>
        <w:rStyle w:val="SidhuvudUtskott"/>
      </w:rPr>
      <w:instrText xml:space="preserve"> PRINTDATE \@ "yyyy-MM-dd HH.mm    " </w:instrText>
    </w:r>
    <w:r w:rsidRPr="009018C6">
      <w:rPr>
        <w:rStyle w:val="SidhuvudUtskott"/>
      </w:rPr>
      <w:fldChar w:fldCharType="separate"/>
    </w:r>
    <w:r w:rsidRPr="009018C6">
      <w:rPr>
        <w:rStyle w:val="SidhuvudUtskott"/>
      </w:rPr>
      <w:instrText>2000-08-11 16.42</w:instrText>
    </w:r>
    <w:r w:rsidRPr="009018C6">
      <w:rPr>
        <w:rStyle w:val="SidhuvudUtskott"/>
      </w:rPr>
      <w:fldChar w:fldCharType="end"/>
    </w:r>
    <w:r w:rsidRPr="009018C6">
      <w:rPr>
        <w:rStyle w:val="SidhuvudUtskott"/>
      </w:rPr>
      <w:instrText xml:space="preserve">" </w:instrTex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w:instrText>
    </w:r>
    <w:r w:rsidRPr="009018C6">
      <w:rPr>
        <w:rStyle w:val="SidhuvudUtskott"/>
      </w:rPr>
      <w:instrText>O</w:instrText>
    </w:r>
    <w:r w:rsidRPr="009018C6">
      <w:rPr>
        <w:rStyle w:val="SidhuvudUtskott"/>
      </w:rPr>
      <w:instrText>PERTY Status</w:instrText>
    </w:r>
    <w:r w:rsidRPr="009018C6">
      <w:rPr>
        <w:rStyle w:val="SidhuvudUtskott"/>
      </w:rPr>
      <w:fldChar w:fldCharType="end"/>
    </w:r>
  </w:p>
  <w:p w:rsidR="003851BF" w:rsidRPr="009018C6" w:rsidRDefault="003851B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Jmn"/>
      <w:framePr w:w="8732" w:h="567" w:hRule="exact" w:vSpace="0" w:wrap="around" w:vAnchor="page" w:y="341" w:anchorLock="0"/>
    </w:pPr>
    <w:r w:rsidRPr="009018C6">
      <w:rPr>
        <w:rStyle w:val="SidhuvudUtskott"/>
      </w:rPr>
      <w:t>2001/02:UU7</w:t>
    </w:r>
    <w:r w:rsidRPr="009018C6">
      <w:t xml:space="preserve">    </w:t>
    </w:r>
  </w:p>
  <w:p w:rsidR="003851BF" w:rsidRPr="009018C6" w:rsidRDefault="003851BF">
    <w:pPr>
      <w:pStyle w:val="SidhuvudKantJmn"/>
      <w:framePr w:w="8732" w:h="567" w:hRule="exact" w:vSpace="0" w:wrap="around" w:vAnchor="page" w:y="341" w:anchorLock="0"/>
    </w:pPr>
  </w:p>
  <w:p w:rsidR="003851BF" w:rsidRPr="009018C6" w:rsidRDefault="003851BF">
    <w:pPr>
      <w:pStyle w:val="SidhuvudKantUdda"/>
      <w:framePr w:w="8732" w:h="567" w:hRule="exact" w:vSpace="0" w:wrap="around" w:vAnchor="page" w:y="341" w:anchorLock="0"/>
    </w:pPr>
    <w:r w:rsidRPr="009018C6">
      <w:rPr>
        <w:rStyle w:val="SidhuvudRubrikReferens"/>
        <w:smallCaps w:val="0"/>
        <w:spacing w:val="0"/>
        <w:sz w:val="19"/>
      </w:rPr>
      <w:t xml:space="preserve"> </w:t>
    </w:r>
  </w:p>
  <w:p w:rsidR="003851BF" w:rsidRPr="009018C6" w:rsidRDefault="003851B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Jmn"/>
      <w:framePr w:w="8732" w:h="567" w:hRule="exact" w:vSpace="0" w:wrap="around" w:vAnchor="page" w:y="341" w:anchorLock="0"/>
    </w:pPr>
    <w:r w:rsidRPr="009018C6">
      <w:rPr>
        <w:rStyle w:val="SidhuvudUtskott"/>
      </w:rPr>
      <w:fldChar w:fldCharType="begin" w:fldLock="1"/>
    </w:r>
    <w:r w:rsidRPr="009018C6">
      <w:rPr>
        <w:rStyle w:val="SidhuvudUtskott"/>
      </w:rPr>
      <w:instrText xml:space="preserve"> DOCPROPERTY BetänkandeÅr</w:instrText>
    </w:r>
    <w:r w:rsidRPr="009018C6">
      <w:rPr>
        <w:rStyle w:val="SidhuvudUtskott"/>
      </w:rPr>
      <w:fldChar w:fldCharType="separate"/>
    </w:r>
    <w:r w:rsidRPr="009018C6">
      <w:rPr>
        <w:rStyle w:val="SidhuvudUtskott"/>
      </w:rPr>
      <w:t>2001/02</w:t>
    </w:r>
    <w:r w:rsidRPr="009018C6">
      <w:rPr>
        <w:rStyle w:val="SidhuvudUtskott"/>
      </w:rPr>
      <w:fldChar w:fldCharType="end"/>
    </w:r>
    <w:r w:rsidRPr="009018C6">
      <w:rPr>
        <w:rStyle w:val="SidhuvudUtskott"/>
      </w:rPr>
      <w:t>:</w:t>
    </w:r>
    <w:r w:rsidRPr="009018C6">
      <w:rPr>
        <w:rStyle w:val="SidhuvudUtskott"/>
      </w:rPr>
      <w:fldChar w:fldCharType="begin" w:fldLock="1"/>
    </w:r>
    <w:r w:rsidRPr="009018C6">
      <w:rPr>
        <w:rStyle w:val="SidhuvudUtskott"/>
      </w:rPr>
      <w:instrText xml:space="preserve"> DOCPROPERTY Utskott</w:instrText>
    </w:r>
    <w:r w:rsidRPr="009018C6">
      <w:rPr>
        <w:rStyle w:val="SidhuvudUtskott"/>
      </w:rPr>
      <w:fldChar w:fldCharType="separate"/>
    </w:r>
    <w:r w:rsidRPr="009018C6">
      <w:rPr>
        <w:rStyle w:val="SidhuvudUtskott"/>
      </w:rPr>
      <w:t>UU</w: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DOCPROPERTY BetänkandeNr</w:instrText>
    </w:r>
    <w:r w:rsidRPr="009018C6">
      <w:rPr>
        <w:rStyle w:val="SidhuvudUtskott"/>
      </w:rPr>
      <w:fldChar w:fldCharType="separate"/>
    </w:r>
    <w:r w:rsidRPr="009018C6">
      <w:rPr>
        <w:rStyle w:val="SidhuvudUtskott"/>
      </w:rPr>
      <w:t>7</w:t>
    </w:r>
    <w:r w:rsidRPr="009018C6">
      <w:rPr>
        <w:rStyle w:val="SidhuvudUtskott"/>
      </w:rPr>
      <w:fldChar w:fldCharType="end"/>
    </w:r>
    <w:r w:rsidRPr="009018C6">
      <w:t xml:space="preserve">     </w:t>
    </w:r>
    <w:r w:rsidRPr="009018C6">
      <w:rPr>
        <w:rStyle w:val="SidhuvudBilaga"/>
      </w:rPr>
      <w:t xml:space="preserve"> </w:t>
    </w:r>
    <w:r w:rsidRPr="009018C6">
      <w:rPr>
        <w:rStyle w:val="SidhuvudRubrikReferens"/>
      </w:rPr>
      <w:fldChar w:fldCharType="begin" w:fldLock="1"/>
    </w:r>
    <w:r w:rsidRPr="009018C6">
      <w:rPr>
        <w:rStyle w:val="SidhuvudRubrikReferens"/>
      </w:rPr>
      <w:instrText xml:space="preserve"> StyleREF "Rubrik 1" </w:instrText>
    </w:r>
    <w:r w:rsidRPr="009018C6">
      <w:rPr>
        <w:rStyle w:val="SidhuvudRubrikReferens"/>
      </w:rPr>
      <w:fldChar w:fldCharType="separate"/>
    </w:r>
    <w:r w:rsidRPr="009018C6">
      <w:rPr>
        <w:rStyle w:val="SidhuvudRubrikReferens"/>
      </w:rPr>
      <w:t>Innehållsförteckning</w:t>
    </w:r>
    <w:r w:rsidRPr="009018C6">
      <w:rPr>
        <w:rStyle w:val="SidhuvudRubrikReferens"/>
      </w:rPr>
      <w:fldChar w:fldCharType="end"/>
    </w:r>
  </w:p>
  <w:p w:rsidR="003851BF" w:rsidRPr="009018C6" w:rsidRDefault="003851BF">
    <w:pPr>
      <w:pStyle w:val="SidhuvudKantJmn"/>
      <w:framePr w:w="8732" w:h="567" w:hRule="exact" w:vSpace="0" w:wrap="around" w:vAnchor="page" w:y="341" w:anchorLock="0"/>
    </w:pPr>
    <w:r w:rsidRPr="009018C6">
      <w:rPr>
        <w:rStyle w:val="SidhuvudUtskott"/>
      </w:rPr>
      <w:fldChar w:fldCharType="begin" w:fldLock="1"/>
    </w:r>
    <w:r w:rsidRPr="009018C6">
      <w:rPr>
        <w:rStyle w:val="SidhuvudUtskott"/>
      </w:rPr>
      <w:instrText xml:space="preserve"> DOCPROPERTY Status</w:instrText>
    </w:r>
    <w:r w:rsidRPr="009018C6">
      <w:rPr>
        <w:rStyle w:val="SidhuvudUtskott"/>
      </w:rPr>
      <w:fldChar w:fldCharType="end"/>
    </w:r>
    <w:r w:rsidRPr="009018C6">
      <w:rPr>
        <w:rStyle w:val="SidhuvudUtskott"/>
      </w:rPr>
      <w:fldChar w:fldCharType="begin" w:fldLock="1"/>
    </w:r>
    <w:r w:rsidRPr="009018C6">
      <w:rPr>
        <w:rStyle w:val="SidhuvudUtskott"/>
      </w:rPr>
      <w:instrText xml:space="preserve"> if </w:instrText>
    </w:r>
    <w:r w:rsidRPr="009018C6">
      <w:rPr>
        <w:rStyle w:val="SidhuvudUtskott"/>
      </w:rPr>
      <w:fldChar w:fldCharType="begin" w:fldLock="1"/>
    </w:r>
    <w:r w:rsidRPr="009018C6">
      <w:rPr>
        <w:rStyle w:val="SidhuvudUtskott"/>
      </w:rPr>
      <w:instrText xml:space="preserve"> DOCPROPERTY "UtkastDatum"</w:instrText>
    </w:r>
    <w:r w:rsidRPr="009018C6">
      <w:rPr>
        <w:rStyle w:val="SidhuvudUtskott"/>
      </w:rPr>
      <w:fldChar w:fldCharType="separate"/>
    </w:r>
    <w:r w:rsidRPr="009018C6">
      <w:rPr>
        <w:rStyle w:val="SidhuvudUtskott"/>
      </w:rPr>
      <w:instrText>Nej</w:instrText>
    </w:r>
    <w:r w:rsidRPr="009018C6">
      <w:rPr>
        <w:rStyle w:val="SidhuvudUtskott"/>
      </w:rPr>
      <w:fldChar w:fldCharType="end"/>
    </w:r>
    <w:r w:rsidRPr="009018C6">
      <w:rPr>
        <w:rStyle w:val="SidhuvudUtskott"/>
      </w:rPr>
      <w:instrText xml:space="preserve"> = "Ja" "    </w:instrText>
    </w:r>
    <w:r w:rsidRPr="009018C6">
      <w:rPr>
        <w:rStyle w:val="SidhuvudUtskott"/>
      </w:rPr>
      <w:fldChar w:fldCharType="begin" w:fldLock="1"/>
    </w:r>
    <w:r w:rsidRPr="009018C6">
      <w:rPr>
        <w:rStyle w:val="SidhuvudUtskott"/>
      </w:rPr>
      <w:instrText xml:space="preserve"> PRINTDATE \@ "yyyy-MM-dd HH.mm" </w:instrText>
    </w:r>
    <w:r w:rsidRPr="009018C6">
      <w:rPr>
        <w:rStyle w:val="SidhuvudUtskott"/>
      </w:rPr>
      <w:fldChar w:fldCharType="separate"/>
    </w:r>
    <w:r w:rsidRPr="009018C6">
      <w:rPr>
        <w:rStyle w:val="SidhuvudUtskott"/>
      </w:rPr>
      <w:instrText>2000-08-11 16.42</w:instrText>
    </w:r>
    <w:r w:rsidRPr="009018C6">
      <w:rPr>
        <w:rStyle w:val="SidhuvudUtskott"/>
      </w:rPr>
      <w:fldChar w:fldCharType="end"/>
    </w:r>
    <w:r w:rsidRPr="009018C6">
      <w:rPr>
        <w:rStyle w:val="SidhuvudUtskott"/>
      </w:rPr>
      <w:instrText xml:space="preserve">" </w:instrText>
    </w:r>
    <w:r w:rsidRPr="009018C6">
      <w:rPr>
        <w:rStyle w:val="SidhuvudUtskott"/>
      </w:rPr>
      <w:fldChar w:fldCharType="end"/>
    </w:r>
  </w:p>
  <w:p w:rsidR="003851BF" w:rsidRPr="009018C6" w:rsidRDefault="003851B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pPr>
    <w:r w:rsidRPr="009018C6">
      <w:rPr>
        <w:rStyle w:val="SidhuvudRubrikReferens"/>
      </w:rPr>
      <w:fldChar w:fldCharType="begin" w:fldLock="1"/>
    </w:r>
    <w:r w:rsidRPr="009018C6">
      <w:rPr>
        <w:rStyle w:val="SidhuvudRubrikReferens"/>
      </w:rPr>
      <w:instrText xml:space="preserve"> StyleREF "Rubrik 1" </w:instrText>
    </w:r>
    <w:r w:rsidRPr="009018C6">
      <w:rPr>
        <w:rStyle w:val="SidhuvudRubrikReferens"/>
      </w:rPr>
      <w:fldChar w:fldCharType="separate"/>
    </w:r>
    <w:r w:rsidRPr="009018C6">
      <w:rPr>
        <w:rStyle w:val="SidhuvudRubrikReferens"/>
      </w:rPr>
      <w:t>Innehållsförteckning</w:t>
    </w:r>
    <w:r w:rsidRPr="009018C6">
      <w:rPr>
        <w:rStyle w:val="SidhuvudRubrikReferens"/>
      </w:rPr>
      <w:fldChar w:fldCharType="end"/>
    </w:r>
    <w:r w:rsidRPr="009018C6">
      <w:rPr>
        <w:rStyle w:val="SidhuvudBilaga"/>
      </w:rPr>
      <w:t xml:space="preserve"> </w:t>
    </w:r>
    <w:r w:rsidRPr="009018C6">
      <w:t xml:space="preserve">     </w:t>
    </w:r>
    <w:r w:rsidRPr="009018C6">
      <w:rPr>
        <w:rStyle w:val="SidhuvudUtskott"/>
      </w:rPr>
      <w:fldChar w:fldCharType="begin" w:fldLock="1"/>
    </w:r>
    <w:r w:rsidRPr="009018C6">
      <w:rPr>
        <w:rStyle w:val="SidhuvudUtskott"/>
      </w:rPr>
      <w:instrText xml:space="preserve"> DOCPROPERTY BetänkandeÅr</w:instrText>
    </w:r>
    <w:r w:rsidRPr="009018C6">
      <w:rPr>
        <w:rStyle w:val="SidhuvudUtskott"/>
      </w:rPr>
      <w:fldChar w:fldCharType="separate"/>
    </w:r>
    <w:r w:rsidRPr="009018C6">
      <w:rPr>
        <w:rStyle w:val="SidhuvudUtskott"/>
      </w:rPr>
      <w:t>2001/02</w:t>
    </w:r>
    <w:r w:rsidRPr="009018C6">
      <w:rPr>
        <w:rStyle w:val="SidhuvudUtskott"/>
      </w:rPr>
      <w:fldChar w:fldCharType="end"/>
    </w:r>
    <w:r w:rsidRPr="009018C6">
      <w:rPr>
        <w:rStyle w:val="SidhuvudUtskott"/>
      </w:rPr>
      <w:t>:</w:t>
    </w:r>
    <w:r w:rsidRPr="009018C6">
      <w:rPr>
        <w:rStyle w:val="SidhuvudUtskott"/>
      </w:rPr>
      <w:fldChar w:fldCharType="begin" w:fldLock="1"/>
    </w:r>
    <w:r w:rsidRPr="009018C6">
      <w:rPr>
        <w:rStyle w:val="SidhuvudUtskott"/>
      </w:rPr>
      <w:instrText xml:space="preserve"> DOCPROPERTY</w:instrText>
    </w:r>
    <w:r w:rsidRPr="009018C6">
      <w:instrText xml:space="preserve"> </w:instrText>
    </w:r>
    <w:r w:rsidRPr="009018C6">
      <w:rPr>
        <w:rStyle w:val="SidhuvudUtskott"/>
      </w:rPr>
      <w:instrText>Utskott</w:instrText>
    </w:r>
    <w:r w:rsidRPr="009018C6">
      <w:rPr>
        <w:rStyle w:val="SidhuvudUtskott"/>
      </w:rPr>
      <w:fldChar w:fldCharType="separate"/>
    </w:r>
    <w:r w:rsidRPr="009018C6">
      <w:rPr>
        <w:rStyle w:val="SidhuvudUtskott"/>
      </w:rPr>
      <w:t>UU</w: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DOCPROPERTY Betä</w:instrText>
    </w:r>
    <w:r w:rsidRPr="009018C6">
      <w:rPr>
        <w:rStyle w:val="SidhuvudUtskott"/>
      </w:rPr>
      <w:instrText>n</w:instrText>
    </w:r>
    <w:r w:rsidRPr="009018C6">
      <w:rPr>
        <w:rStyle w:val="SidhuvudUtskott"/>
      </w:rPr>
      <w:instrText>kandeNr</w:instrText>
    </w:r>
    <w:r w:rsidRPr="009018C6">
      <w:rPr>
        <w:rStyle w:val="SidhuvudUtskott"/>
      </w:rPr>
      <w:fldChar w:fldCharType="separate"/>
    </w:r>
    <w:r w:rsidRPr="009018C6">
      <w:rPr>
        <w:rStyle w:val="SidhuvudUtskott"/>
      </w:rPr>
      <w:t>7</w:t>
    </w:r>
    <w:r w:rsidRPr="009018C6">
      <w:rPr>
        <w:rStyle w:val="SidhuvudUtskott"/>
      </w:rPr>
      <w:fldChar w:fldCharType="end"/>
    </w:r>
  </w:p>
  <w:p w:rsidR="003851BF" w:rsidRPr="009018C6" w:rsidRDefault="003851BF">
    <w:pPr>
      <w:pStyle w:val="SidhuvudKantUdda"/>
      <w:framePr w:w="8732" w:h="567" w:hRule="exact" w:vSpace="0" w:wrap="around" w:vAnchor="page" w:y="341" w:anchorLock="0"/>
    </w:pPr>
    <w:r w:rsidRPr="009018C6">
      <w:rPr>
        <w:rStyle w:val="SidhuvudUtskott"/>
      </w:rPr>
      <w:fldChar w:fldCharType="begin" w:fldLock="1"/>
    </w:r>
    <w:r w:rsidRPr="009018C6">
      <w:rPr>
        <w:rStyle w:val="SidhuvudUtskott"/>
      </w:rPr>
      <w:instrText xml:space="preserve"> if </w:instrText>
    </w:r>
    <w:r w:rsidRPr="009018C6">
      <w:rPr>
        <w:rStyle w:val="SidhuvudUtskott"/>
      </w:rPr>
      <w:fldChar w:fldCharType="begin" w:fldLock="1"/>
    </w:r>
    <w:r w:rsidRPr="009018C6">
      <w:rPr>
        <w:rStyle w:val="SidhuvudUtskott"/>
      </w:rPr>
      <w:instrText xml:space="preserve"> DOCPROPERTY "UtkastDatum"</w:instrText>
    </w:r>
    <w:r w:rsidRPr="009018C6">
      <w:rPr>
        <w:rStyle w:val="SidhuvudUtskott"/>
      </w:rPr>
      <w:fldChar w:fldCharType="separate"/>
    </w:r>
    <w:r w:rsidRPr="009018C6">
      <w:rPr>
        <w:rStyle w:val="SidhuvudUtskott"/>
      </w:rPr>
      <w:instrText>Nej</w:instrText>
    </w:r>
    <w:r w:rsidRPr="009018C6">
      <w:rPr>
        <w:rStyle w:val="SidhuvudUtskott"/>
      </w:rPr>
      <w:fldChar w:fldCharType="end"/>
    </w:r>
    <w:r w:rsidRPr="009018C6">
      <w:rPr>
        <w:rStyle w:val="SidhuvudUtskott"/>
      </w:rPr>
      <w:instrText xml:space="preserve"> = "Ja" "</w:instrText>
    </w:r>
    <w:r w:rsidRPr="009018C6">
      <w:rPr>
        <w:rStyle w:val="SidhuvudUtskott"/>
      </w:rPr>
      <w:fldChar w:fldCharType="begin" w:fldLock="1"/>
    </w:r>
    <w:r w:rsidRPr="009018C6">
      <w:rPr>
        <w:rStyle w:val="SidhuvudUtskott"/>
      </w:rPr>
      <w:instrText xml:space="preserve"> PRINTDATE \@ "yyyy-MM-dd HH.mm    " </w:instrText>
    </w:r>
    <w:r w:rsidRPr="009018C6">
      <w:rPr>
        <w:rStyle w:val="SidhuvudUtskott"/>
      </w:rPr>
      <w:fldChar w:fldCharType="separate"/>
    </w:r>
    <w:r w:rsidRPr="009018C6">
      <w:rPr>
        <w:rStyle w:val="SidhuvudUtskott"/>
      </w:rPr>
      <w:instrText>2000-08-11 16.42</w:instrText>
    </w:r>
    <w:r w:rsidRPr="009018C6">
      <w:rPr>
        <w:rStyle w:val="SidhuvudUtskott"/>
      </w:rPr>
      <w:fldChar w:fldCharType="end"/>
    </w:r>
    <w:r w:rsidRPr="009018C6">
      <w:rPr>
        <w:rStyle w:val="SidhuvudUtskott"/>
      </w:rPr>
      <w:instrText xml:space="preserve">" </w:instrText>
    </w:r>
    <w:r w:rsidRPr="009018C6">
      <w:rPr>
        <w:rStyle w:val="SidhuvudUtskott"/>
      </w:rPr>
      <w:fldChar w:fldCharType="end"/>
    </w:r>
    <w:r w:rsidRPr="009018C6">
      <w:rPr>
        <w:rStyle w:val="SidhuvudUtskott"/>
      </w:rPr>
      <w:fldChar w:fldCharType="begin" w:fldLock="1"/>
    </w:r>
    <w:r w:rsidRPr="009018C6">
      <w:rPr>
        <w:rStyle w:val="SidhuvudUtskott"/>
      </w:rPr>
      <w:instrText xml:space="preserve"> DOCPR</w:instrText>
    </w:r>
    <w:r w:rsidRPr="009018C6">
      <w:rPr>
        <w:rStyle w:val="SidhuvudUtskott"/>
      </w:rPr>
      <w:instrText>O</w:instrText>
    </w:r>
    <w:r w:rsidRPr="009018C6">
      <w:rPr>
        <w:rStyle w:val="SidhuvudUtskott"/>
      </w:rPr>
      <w:instrText>PERTY Status</w:instrText>
    </w:r>
    <w:r w:rsidRPr="009018C6">
      <w:rPr>
        <w:rStyle w:val="SidhuvudUtskott"/>
      </w:rPr>
      <w:fldChar w:fldCharType="end"/>
    </w:r>
  </w:p>
  <w:p w:rsidR="003851BF" w:rsidRPr="009018C6" w:rsidRDefault="003851B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BF" w:rsidRPr="009018C6" w:rsidRDefault="003851BF">
    <w:pPr>
      <w:pStyle w:val="SidhuvudKantUdda"/>
      <w:framePr w:w="8732" w:h="567" w:hRule="exact" w:vSpace="0" w:wrap="around" w:vAnchor="page" w:y="341" w:anchorLock="0"/>
    </w:pPr>
    <w:r w:rsidRPr="009018C6">
      <w:t xml:space="preserve">  </w:t>
    </w:r>
    <w:r w:rsidRPr="009018C6">
      <w:rPr>
        <w:rStyle w:val="SidhuvudUtskott"/>
      </w:rPr>
      <w:t>2001/02:UU7</w:t>
    </w:r>
  </w:p>
  <w:p w:rsidR="003851BF" w:rsidRPr="009018C6" w:rsidRDefault="003851BF">
    <w:pPr>
      <w:pStyle w:val="SidhuvudKantUdda"/>
      <w:framePr w:w="8732" w:h="567" w:hRule="exact" w:vSpace="0" w:wrap="around" w:vAnchor="page" w:y="341" w:anchorLock="0"/>
    </w:pPr>
  </w:p>
  <w:p w:rsidR="003851BF" w:rsidRPr="009018C6" w:rsidRDefault="003851B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14051956">
    <w:abstractNumId w:val="1"/>
  </w:num>
  <w:num w:numId="2" w16cid:durableId="7695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2759D4"/>
    <w:rsid w:val="002759D4"/>
    <w:rsid w:val="003851BF"/>
    <w:rsid w:val="009018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DAA9E-14C1-44EC-9B50-D3204F2C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spacing w:before="0" w:line="240" w:lineRule="auto"/>
    </w:pPr>
    <w:rPr>
      <w:rFonts w:ascii="Helv" w:hAnsi="Helv"/>
      <w:color w:val="000000"/>
      <w:sz w:val="25"/>
      <w:lang w:val="en-GB"/>
    </w:rPr>
  </w:style>
  <w:style w:type="paragraph" w:customStyle="1" w:styleId="Propmedindrag">
    <w:name w:val="Prop. med indrag"/>
    <w:basedOn w:val="Proputanindrag"/>
    <w:pPr>
      <w:ind w:firstLine="227"/>
    </w:pPr>
    <w:rPr>
      <w:rFonts w:ascii="TmsRmn" w:hAnsi="TmsRmn"/>
    </w:rPr>
  </w:style>
  <w:style w:type="paragraph" w:styleId="Brdtext">
    <w:name w:val="Body Text"/>
    <w:basedOn w:val="Normal"/>
    <w:semiHidden/>
    <w:pPr>
      <w:spacing w:before="0" w:line="320" w:lineRule="exact"/>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3250</Words>
  <Characters>20222</Characters>
  <Application>Microsoft Office Word</Application>
  <DocSecurity>4</DocSecurity>
  <Lines>674</Lines>
  <Paragraphs>397</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Utrikesutskottets betänkande</vt:lpstr>
      <vt:lpstr/>
      <vt:lpstr>Sammanfattning</vt:lpstr>
      <vt:lpstr>Innehållsförteckning</vt:lpstr>
      <vt:lpstr>Utskottets förslag till riksdagsbeslut</vt:lpstr>
      <vt:lpstr>Redogörelse för ärendet</vt:lpstr>
      <vt:lpstr>    Skrivelsens huvudsakliga innehåll</vt:lpstr>
      <vt:lpstr>        Verksamheten i ministerkommittén</vt:lpstr>
      <vt:lpstr>        Europakonventionen och dess övervakningsorgan</vt:lpstr>
      <vt:lpstr>        Arbetet inom ramen för verksamhetsprogrammen</vt:lpstr>
      <vt:lpstr>    Huvudsakliga innehållet i redogörelsen från Sveriges delegation vid Europarådets</vt:lpstr>
      <vt:lpstr>    Motionerna</vt:lpstr>
      <vt:lpstr>Utskottets överväganden</vt:lpstr>
      <vt:lpstr>Förteckning över behandlade förslag</vt:lpstr>
      <vt:lpstr>    Skrivelsen</vt:lpstr>
      <vt:lpstr>    Redogörelsen</vt:lpstr>
      <vt:lpstr>    Följdmotion</vt:lpstr>
      <vt:lpstr>    Motioner från allmänna motionstiden 2001/02</vt:lpstr>
      <vt:lpstr>Översikt av ratifikationsläget</vt:lpstr>
    </vt:vector>
  </TitlesOfParts>
  <Company>Riksdagen</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2002-03-01T09:08:00Z</cp:lastPrinted>
  <dcterms:created xsi:type="dcterms:W3CDTF">2025-12-16T00:46:00Z</dcterms:created>
  <dcterms:modified xsi:type="dcterms:W3CDTF">2025-12-16T00:46:00Z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