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92081D">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92081D" w:rsidTr="0092081D">
        <w:tc>
          <w:tcPr>
            <w:tcW w:w="5267" w:type="dxa"/>
            <w:gridSpan w:val="3"/>
          </w:tcPr>
          <w:p w:rsidR="0092081D" w:rsidRDefault="0092081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92081D">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92081D">
        <w:tc>
          <w:tcPr>
            <w:tcW w:w="2268" w:type="dxa"/>
          </w:tcPr>
          <w:p w:rsidR="006E4E11" w:rsidRDefault="008D1B52" w:rsidP="002E7693">
            <w:pPr>
              <w:framePr w:w="5035" w:h="1644" w:wrap="notBeside" w:vAnchor="page" w:hAnchor="page" w:x="6573" w:y="721"/>
            </w:pPr>
            <w:r>
              <w:t>2014-05-</w:t>
            </w:r>
            <w:r w:rsidR="002E7693">
              <w:t>2</w:t>
            </w:r>
            <w:r w:rsidR="009A2B2B">
              <w:t>8</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92081D">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17DF2">
            <w:pPr>
              <w:pStyle w:val="Avsndare"/>
              <w:framePr w:h="2483" w:wrap="notBeside" w:x="1504"/>
              <w:rPr>
                <w:b/>
                <w:i w:val="0"/>
                <w:sz w:val="22"/>
              </w:rPr>
            </w:pPr>
            <w:r>
              <w:rPr>
                <w:b/>
                <w:i w:val="0"/>
                <w:sz w:val="22"/>
              </w:rPr>
              <w:t>Miljödepartementet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C17DF2" w:rsidP="0092081D">
            <w:pPr>
              <w:pStyle w:val="Avsndare"/>
              <w:framePr w:h="2483" w:wrap="notBeside" w:x="1504"/>
              <w:rPr>
                <w:bCs/>
                <w:iCs/>
              </w:rPr>
            </w:pPr>
            <w:r>
              <w:rPr>
                <w:bCs/>
                <w:iCs/>
              </w:rPr>
              <w:t>Naturmiljöenheten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bookmarkStart w:id="0" w:name="_GoBack"/>
            <w:bookmarkEnd w:id="0"/>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92081D" w:rsidRDefault="006E4E11">
      <w:pPr>
        <w:framePr w:w="4400" w:h="2523" w:wrap="notBeside" w:vAnchor="page" w:hAnchor="page" w:x="6453" w:y="2445"/>
        <w:ind w:left="142"/>
        <w:rPr>
          <w:b/>
        </w:rPr>
      </w:pPr>
    </w:p>
    <w:p w:rsidR="0092081D" w:rsidRPr="00EB5BA3" w:rsidRDefault="00EB5BA3">
      <w:pPr>
        <w:pStyle w:val="RKnormal"/>
        <w:rPr>
          <w:rFonts w:ascii="TradeGothic Bold" w:hAnsi="TradeGothic Bold"/>
          <w:b/>
          <w:sz w:val="22"/>
        </w:rPr>
      </w:pPr>
      <w:bookmarkStart w:id="1" w:name="bRubrik"/>
      <w:bookmarkEnd w:id="1"/>
      <w:r w:rsidRPr="00EB5BA3">
        <w:rPr>
          <w:rFonts w:ascii="TradeGothic Bold" w:hAnsi="TradeGothic Bold"/>
          <w:u w:val="single"/>
        </w:rPr>
        <w:t>Rådets möte (miljö) den 12 juni 2014</w:t>
      </w:r>
      <w:r>
        <w:rPr>
          <w:rFonts w:ascii="TradeGothic Bold" w:hAnsi="TradeGothic Bold"/>
          <w:u w:val="single"/>
        </w:rPr>
        <w:t xml:space="preserve">                                     </w:t>
      </w:r>
    </w:p>
    <w:p w:rsidR="00EB5BA3" w:rsidRDefault="00EB5BA3">
      <w:pPr>
        <w:pStyle w:val="RKnormal"/>
      </w:pPr>
    </w:p>
    <w:p w:rsidR="0092081D" w:rsidRDefault="00EA6A71">
      <w:pPr>
        <w:pStyle w:val="RKnormal"/>
      </w:pPr>
      <w:r>
        <w:t>Dagordningspunkt 6</w:t>
      </w:r>
    </w:p>
    <w:p w:rsidR="0092081D" w:rsidRDefault="0092081D">
      <w:pPr>
        <w:pStyle w:val="RKnormal"/>
      </w:pPr>
    </w:p>
    <w:p w:rsidR="0092081D" w:rsidRDefault="0092081D">
      <w:pPr>
        <w:pStyle w:val="RKnormal"/>
      </w:pPr>
      <w:r>
        <w:t>Rubrik:</w:t>
      </w:r>
      <w:r w:rsidR="00EA6A71">
        <w:t xml:space="preserve"> </w:t>
      </w:r>
      <w:r w:rsidR="00185CC0">
        <w:t>Utkast till rådsslutsatser om konventionen om biologisk mångfald (</w:t>
      </w:r>
      <w:r w:rsidR="00EA6A71" w:rsidRPr="00EA6A71">
        <w:t>CBD)</w:t>
      </w:r>
    </w:p>
    <w:p w:rsidR="0092081D" w:rsidRDefault="0092081D">
      <w:pPr>
        <w:pStyle w:val="RKnormal"/>
      </w:pPr>
    </w:p>
    <w:p w:rsidR="0092081D" w:rsidRDefault="0092081D">
      <w:pPr>
        <w:pStyle w:val="RKnormal"/>
      </w:pPr>
      <w:r>
        <w:t>Dokument:</w:t>
      </w:r>
      <w:r w:rsidR="00C17DF2">
        <w:t xml:space="preserve"> 9411/1/14</w:t>
      </w:r>
    </w:p>
    <w:p w:rsidR="0092081D" w:rsidRDefault="0092081D">
      <w:pPr>
        <w:pStyle w:val="RKnormal"/>
      </w:pPr>
    </w:p>
    <w:p w:rsidR="0092081D" w:rsidRDefault="0092081D">
      <w:pPr>
        <w:pStyle w:val="RKnormal"/>
      </w:pPr>
      <w:r>
        <w:t>Tidigare dokument</w:t>
      </w:r>
      <w:r w:rsidR="00B951A1">
        <w:t xml:space="preserve">: - </w:t>
      </w:r>
    </w:p>
    <w:p w:rsidR="0092081D" w:rsidRDefault="0092081D">
      <w:pPr>
        <w:pStyle w:val="RKnormal"/>
      </w:pPr>
    </w:p>
    <w:p w:rsidR="0092081D" w:rsidRDefault="0092081D">
      <w:pPr>
        <w:pStyle w:val="RKnormal"/>
      </w:pPr>
      <w:r>
        <w:t xml:space="preserve">Tidigare behandlad vid samråd med EU-nämnden: </w:t>
      </w:r>
      <w:r w:rsidR="00185CC0">
        <w:t>Nej</w:t>
      </w:r>
    </w:p>
    <w:p w:rsidR="0092081D" w:rsidRDefault="0092081D">
      <w:pPr>
        <w:pStyle w:val="RKnormal"/>
      </w:pPr>
    </w:p>
    <w:p w:rsidR="0092081D" w:rsidRDefault="0092081D">
      <w:pPr>
        <w:pStyle w:val="RKrubrik"/>
      </w:pPr>
      <w:r>
        <w:t>Bakgrund</w:t>
      </w:r>
    </w:p>
    <w:p w:rsidR="001A786B" w:rsidRDefault="00F7490C" w:rsidP="00C35B90">
      <w:pPr>
        <w:pStyle w:val="RKnormal"/>
      </w:pPr>
      <w:r>
        <w:t>Konventionen om biologisk mångfald trädde i</w:t>
      </w:r>
      <w:r w:rsidR="0056518F">
        <w:t xml:space="preserve"> </w:t>
      </w:r>
      <w:r>
        <w:t xml:space="preserve">kraft </w:t>
      </w:r>
      <w:r w:rsidR="004603E9">
        <w:t>1</w:t>
      </w:r>
      <w:r>
        <w:t xml:space="preserve">993. </w:t>
      </w:r>
      <w:r w:rsidR="00185CC0" w:rsidRPr="00FF22D0">
        <w:t xml:space="preserve">Inför höstens </w:t>
      </w:r>
      <w:r w:rsidR="00185CC0">
        <w:t xml:space="preserve">partsmöte (CBD COP 12, 6-17 oktober, Sydkorea) avser det grekiska ordförandeskapet att miljörådet ska anta rådsslutsatser med inriktning på dels COP 12 (avsnitt I), dels sjunde partsmötet med Cartagenaprotokollet om biosäkerhet (MOP 7) som äger rum 29 september till 3 oktober (avsnitt II). </w:t>
      </w:r>
      <w:r w:rsidR="001A786B">
        <w:t>Dessutom föreslå</w:t>
      </w:r>
      <w:r>
        <w:t>r ordförandeskapet att anta</w:t>
      </w:r>
      <w:r w:rsidR="001A786B">
        <w:t xml:space="preserve"> slutsatser med inriktning mot ett första partsmöte</w:t>
      </w:r>
      <w:r w:rsidR="00C35B90">
        <w:t xml:space="preserve"> för </w:t>
      </w:r>
      <w:r w:rsidR="001A786B">
        <w:t xml:space="preserve">Nagoyaprotokollet </w:t>
      </w:r>
      <w:r w:rsidR="00C35B90">
        <w:t>om tillträde till genetiska resurser och tillhörande traditionell kunskap samt en skälig och rättvis fördelning av den nytta som uppstår vid deras användning</w:t>
      </w:r>
      <w:r>
        <w:t>. Detta partsmöte kommer</w:t>
      </w:r>
      <w:r w:rsidR="001A786B">
        <w:t xml:space="preserve"> </w:t>
      </w:r>
      <w:r>
        <w:t>eventuellt</w:t>
      </w:r>
      <w:r w:rsidR="001A786B">
        <w:t xml:space="preserve"> att äga rum samtidigt </w:t>
      </w:r>
      <w:r w:rsidR="00B63E77">
        <w:t xml:space="preserve">som </w:t>
      </w:r>
      <w:r w:rsidR="001A786B">
        <w:t>COP 12 (avsnitt III). Det är</w:t>
      </w:r>
      <w:r w:rsidR="00BD6330">
        <w:t xml:space="preserve"> dock</w:t>
      </w:r>
      <w:r>
        <w:t xml:space="preserve"> ännu</w:t>
      </w:r>
      <w:r w:rsidR="001A786B">
        <w:t xml:space="preserve"> oklart om protokollet kommer att hinna träda i kraft i tid för att ett partsmöte ska kunna äga rum. Om så inte sker förväntas frågor om protokollets genomförande diskuteras inom ramen för COP 12.</w:t>
      </w:r>
    </w:p>
    <w:p w:rsidR="002E7693" w:rsidRDefault="002E7693" w:rsidP="001A786B">
      <w:pPr>
        <w:pStyle w:val="RKnormal"/>
      </w:pPr>
    </w:p>
    <w:p w:rsidR="00003252" w:rsidRDefault="00003252" w:rsidP="001A786B">
      <w:pPr>
        <w:pStyle w:val="RKnormal"/>
      </w:pPr>
      <w:r>
        <w:t xml:space="preserve">Vid COP 12 ska en andra genomgång göras av arbetet med att genomföra den strategiska planen för biologisk mångfald 2011-2020 (antagen vid partsmötet i Nagoya 2010). </w:t>
      </w:r>
      <w:r w:rsidR="00BD6330">
        <w:t xml:space="preserve">I </w:t>
      </w:r>
      <w:r w:rsidR="00826205">
        <w:t xml:space="preserve">utkastet till </w:t>
      </w:r>
      <w:r w:rsidR="00BD6330">
        <w:t>rådsslutsatser läggs s</w:t>
      </w:r>
      <w:r>
        <w:t>ärskild tonvikt på att följa framsteg i konventionsparternas nationella strategier och planer för biologisk mångfald med utgångspunkt i de 20 s.k. Aichimålen för biologisk mångfald. Sverige har i april 2014 rapporterat om hur miljömålssystemet bidrar till genomförande av den strategiska planen, bl.a. genom de etappmål som besluta</w:t>
      </w:r>
      <w:r w:rsidR="00AA213A">
        <w:t>de</w:t>
      </w:r>
      <w:r>
        <w:t xml:space="preserve">s 2012 och 2014 samt de bedömningar som gjordes i prop. 2013/14:141 </w:t>
      </w:r>
      <w:r w:rsidR="00826205">
        <w:t xml:space="preserve"> - </w:t>
      </w:r>
      <w:r>
        <w:t>En svensk strategi för biologisk mångfald och ekosystemtjänster.</w:t>
      </w:r>
    </w:p>
    <w:p w:rsidR="002E7693" w:rsidRDefault="002E7693" w:rsidP="001A786B">
      <w:pPr>
        <w:pStyle w:val="RKnormal"/>
      </w:pPr>
    </w:p>
    <w:p w:rsidR="00383B55" w:rsidRDefault="00F7490C">
      <w:pPr>
        <w:pStyle w:val="RKnormal"/>
      </w:pPr>
      <w:r>
        <w:t>Inför COP 12 ses f</w:t>
      </w:r>
      <w:r w:rsidR="001A786B" w:rsidRPr="00FF22D0">
        <w:t xml:space="preserve">rågan om mobilisering av resurser </w:t>
      </w:r>
      <w:r w:rsidR="001A786B">
        <w:t xml:space="preserve">för att genomföra den strategiska planen </w:t>
      </w:r>
      <w:r w:rsidR="00826205">
        <w:t>som</w:t>
      </w:r>
      <w:r w:rsidR="00826205" w:rsidRPr="00FF22D0">
        <w:t xml:space="preserve"> en nyckelfråga</w:t>
      </w:r>
      <w:r w:rsidR="00826205">
        <w:t xml:space="preserve"> </w:t>
      </w:r>
      <w:r w:rsidR="001A786B">
        <w:t>av många parter</w:t>
      </w:r>
      <w:r w:rsidR="001A786B" w:rsidRPr="00FF22D0">
        <w:t>. Vid senaste partsmötet (Hyderabad, oktober 2012) beslutades</w:t>
      </w:r>
      <w:r>
        <w:t xml:space="preserve"> om</w:t>
      </w:r>
      <w:r w:rsidR="001A786B" w:rsidRPr="00FF22D0">
        <w:t xml:space="preserve"> ett preliminärt mål</w:t>
      </w:r>
      <w:r w:rsidR="00013E52">
        <w:t xml:space="preserve"> om</w:t>
      </w:r>
      <w:r w:rsidR="001A786B" w:rsidRPr="00FF22D0">
        <w:t xml:space="preserve"> att de finansiella flödena för biologisk mångfald till utvecklingsländer och övergångsländer ska fördubblas till 2015 jämfört med nivån 2006-10, samtidigt betona</w:t>
      </w:r>
      <w:r w:rsidR="00B63E77">
        <w:t>de</w:t>
      </w:r>
      <w:r w:rsidR="001A786B" w:rsidRPr="00FF22D0">
        <w:t xml:space="preserve">s mottagarländernas medansvar för att nå målet. Vid </w:t>
      </w:r>
      <w:r w:rsidR="001A786B">
        <w:t xml:space="preserve">COP 12 </w:t>
      </w:r>
      <w:r w:rsidR="001A786B" w:rsidRPr="00FF22D0">
        <w:t>ska ett skarpt mål beslutas.</w:t>
      </w:r>
      <w:r w:rsidR="001A786B">
        <w:t xml:space="preserve"> </w:t>
      </w:r>
      <w:r w:rsidR="00BD6330">
        <w:t>Rådsslutsatserna hänvisar till att r</w:t>
      </w:r>
      <w:r w:rsidR="001A786B">
        <w:t>ådet för utrikesfrågor</w:t>
      </w:r>
      <w:r w:rsidR="00BD6330">
        <w:t xml:space="preserve"> i</w:t>
      </w:r>
      <w:r w:rsidR="001A786B">
        <w:t xml:space="preserve"> </w:t>
      </w:r>
      <w:r w:rsidR="00BD6330">
        <w:t xml:space="preserve">december 2013 </w:t>
      </w:r>
      <w:r w:rsidR="001A786B">
        <w:t>bekräftade att EU har ett åtagande att bidra till att förverkliga det preliminära målet.</w:t>
      </w:r>
      <w:r w:rsidR="00006A81">
        <w:t xml:space="preserve"> </w:t>
      </w:r>
    </w:p>
    <w:p w:rsidR="002E7693" w:rsidRDefault="002E7693" w:rsidP="006D7E73">
      <w:pPr>
        <w:pStyle w:val="RKnormal"/>
      </w:pPr>
    </w:p>
    <w:p w:rsidR="006D7E73" w:rsidRDefault="00BD6330" w:rsidP="006D7E73">
      <w:pPr>
        <w:pStyle w:val="RKnormal"/>
      </w:pPr>
      <w:r>
        <w:lastRenderedPageBreak/>
        <w:t>Rådsslutsatserna understryker att e</w:t>
      </w:r>
      <w:r w:rsidR="00003252">
        <w:t>n effektiv organisation och samverkan m</w:t>
      </w:r>
      <w:r w:rsidR="00826205">
        <w:t>ellan</w:t>
      </w:r>
      <w:r w:rsidR="00003252">
        <w:t xml:space="preserve"> konventioner, avtal och organisationer som kan bidra till att genomföra konventionen är viktig</w:t>
      </w:r>
      <w:r w:rsidR="00AA213A">
        <w:t>a</w:t>
      </w:r>
      <w:r w:rsidR="00003252">
        <w:t xml:space="preserve"> för att nå framgång. </w:t>
      </w:r>
      <w:r>
        <w:t>Vidare pekar rådsslutsatser</w:t>
      </w:r>
      <w:r w:rsidR="00AA213A">
        <w:t>na</w:t>
      </w:r>
      <w:r>
        <w:t xml:space="preserve"> på en rad </w:t>
      </w:r>
      <w:r w:rsidR="00006A81">
        <w:t>tekniska frågor</w:t>
      </w:r>
      <w:r>
        <w:t xml:space="preserve"> där</w:t>
      </w:r>
      <w:r w:rsidR="00006A81">
        <w:t xml:space="preserve"> särskilt arbetet med att identifiera ekologiskt viktiga områden på djuphaven</w:t>
      </w:r>
      <w:r>
        <w:t xml:space="preserve"> lyfts fram</w:t>
      </w:r>
      <w:r w:rsidR="00006A81">
        <w:t>, där COP 12 förväntas besluta att listor över sådana områden</w:t>
      </w:r>
      <w:r>
        <w:t xml:space="preserve"> ska ställas </w:t>
      </w:r>
      <w:r w:rsidR="00006A81">
        <w:t xml:space="preserve">till förfogande för de organisationer som hanterar områden utanför nationell jurisdiktion. </w:t>
      </w:r>
      <w:r>
        <w:t>Slutligen</w:t>
      </w:r>
      <w:r w:rsidR="006D7E73">
        <w:t xml:space="preserve"> behandlar rådslutssatserna</w:t>
      </w:r>
      <w:r>
        <w:t xml:space="preserve"> </w:t>
      </w:r>
      <w:r w:rsidR="006D7E73">
        <w:t>frågan om att ändra i konventionens terminologi så att urfolk i framtida beslut benämns som sådana (eng: Indigenous peoples). Denna fråga är viktig ur ett folkrättsligt perspektiv och väcktes vid partsmötet i Hyderabad</w:t>
      </w:r>
      <w:r w:rsidR="004603E9">
        <w:t xml:space="preserve">. </w:t>
      </w:r>
      <w:r w:rsidR="006D7E73">
        <w:t xml:space="preserve">CBD-sekretariatet förbereder en konsekvensanalys som bl.a. </w:t>
      </w:r>
      <w:r w:rsidR="004603E9">
        <w:t xml:space="preserve">ska </w:t>
      </w:r>
      <w:r w:rsidR="006D7E73">
        <w:t>klargör</w:t>
      </w:r>
      <w:r w:rsidR="004603E9">
        <w:t>a de</w:t>
      </w:r>
      <w:r w:rsidR="006D7E73">
        <w:t xml:space="preserve"> rättsliga aspekter</w:t>
      </w:r>
      <w:r w:rsidR="004603E9">
        <w:t>na av detta förslag</w:t>
      </w:r>
      <w:r w:rsidR="006D7E73">
        <w:t>.</w:t>
      </w:r>
    </w:p>
    <w:p w:rsidR="00E03D32" w:rsidRDefault="00E03D32" w:rsidP="006D7E73">
      <w:pPr>
        <w:pStyle w:val="RKnormal"/>
      </w:pPr>
    </w:p>
    <w:p w:rsidR="00E03D32" w:rsidRDefault="00E03D32" w:rsidP="00E03D32">
      <w:pPr>
        <w:pStyle w:val="RKnormal"/>
      </w:pPr>
      <w:r>
        <w:t xml:space="preserve">Cartagenaprotokollet är ett protokoll under konventionen om biologisk mångfald. Protokollet trädde i kraft den 11 september 2003. Protokollet reglerar gränsöverskridande förflyttningar av genetiskt modifierade organismer (GMO). Reglerna ger parter möjligheter att kräva information om export av GMO och neka import om GMO bedöms kunna skada den biologiska mångfalden. Protokollet reglerar även dokumentationskrav och utväxling av information. </w:t>
      </w:r>
    </w:p>
    <w:p w:rsidR="00E03D32" w:rsidRDefault="00E03D32" w:rsidP="00E03D32">
      <w:pPr>
        <w:pStyle w:val="RKnormal"/>
      </w:pPr>
    </w:p>
    <w:p w:rsidR="00E03D32" w:rsidRDefault="00E03D32" w:rsidP="00E03D32">
      <w:pPr>
        <w:pStyle w:val="RKnormal"/>
      </w:pPr>
      <w:r>
        <w:t>Rådsslutsatserna välkomnar det arbete som gjorts i de arbetsgrupper som verkar under Cartagenaprotokollet. Rådet uppmanar COP-MOP 7 att ta steg framåt vad gäller frågor om bl.a. den strategiska planen för 2011-2020, socioekonomi, implementering av riskhantering och riskbedömning, samt verka för att uppnå en realistisk budget för protokollet.</w:t>
      </w:r>
    </w:p>
    <w:p w:rsidR="00E03D32" w:rsidRDefault="00E03D32" w:rsidP="00E03D32">
      <w:pPr>
        <w:pStyle w:val="RKnormal"/>
      </w:pPr>
    </w:p>
    <w:p w:rsidR="006D7E73" w:rsidRDefault="006D7E73" w:rsidP="006D7E73">
      <w:pPr>
        <w:pStyle w:val="RKrubrik"/>
      </w:pPr>
      <w:r>
        <w:t>Rättslig grund och beslutsförfarande</w:t>
      </w:r>
    </w:p>
    <w:p w:rsidR="0092081D" w:rsidRDefault="0092081D" w:rsidP="008D1B52">
      <w:pPr>
        <w:pStyle w:val="RKnormal"/>
      </w:pPr>
    </w:p>
    <w:p w:rsidR="00B951A1" w:rsidRDefault="00B951A1" w:rsidP="00B951A1">
      <w:pPr>
        <w:pStyle w:val="RKnormal"/>
      </w:pPr>
      <w:bookmarkStart w:id="2" w:name="Text8"/>
      <w:r w:rsidRPr="00971AB9">
        <w:t>Ej lagstiftningsärende varför r</w:t>
      </w:r>
      <w:r>
        <w:t>ättslig grund inte är relevant.</w:t>
      </w:r>
    </w:p>
    <w:p w:rsidR="0092081D" w:rsidRDefault="00B951A1">
      <w:pPr>
        <w:pStyle w:val="RKnormal"/>
      </w:pPr>
      <w:r>
        <w:t>Rådsslutsatser antas i samförstånd.</w:t>
      </w:r>
      <w:bookmarkEnd w:id="2"/>
    </w:p>
    <w:p w:rsidR="0092081D" w:rsidRDefault="0092081D">
      <w:pPr>
        <w:pStyle w:val="RKrubrik"/>
        <w:rPr>
          <w:i/>
          <w:iCs/>
        </w:rPr>
      </w:pPr>
      <w:r>
        <w:rPr>
          <w:i/>
          <w:iCs/>
        </w:rPr>
        <w:t>Svensk ståndpunkt</w:t>
      </w:r>
    </w:p>
    <w:p w:rsidR="00826205" w:rsidRDefault="00006A81" w:rsidP="00C35B90">
      <w:pPr>
        <w:pStyle w:val="RKnormal"/>
      </w:pPr>
      <w:r>
        <w:t xml:space="preserve">Regeringen stöder ordförandeskapets förslag till </w:t>
      </w:r>
      <w:r w:rsidRPr="00826205">
        <w:t>rådslutsatser</w:t>
      </w:r>
    </w:p>
    <w:p w:rsidR="00B24F14" w:rsidRPr="00826205" w:rsidRDefault="00B24F14" w:rsidP="00C35B90">
      <w:pPr>
        <w:pStyle w:val="RKnormal"/>
        <w:rPr>
          <w:i/>
        </w:rPr>
      </w:pPr>
    </w:p>
    <w:p w:rsidR="0092081D" w:rsidRPr="00C35B90" w:rsidRDefault="00C35B90" w:rsidP="00C35B90">
      <w:pPr>
        <w:pStyle w:val="RKnormal"/>
      </w:pPr>
      <w:r>
        <w:t>Regeringen anser att stärkta ekosystem och minimerad negativ påverkan är viktig</w:t>
      </w:r>
      <w:r w:rsidR="00201C09">
        <w:t>a faktorer</w:t>
      </w:r>
      <w:r>
        <w:t xml:space="preserve"> </w:t>
      </w:r>
      <w:r w:rsidR="004606DD">
        <w:t>som</w:t>
      </w:r>
      <w:r>
        <w:t xml:space="preserve"> bidra</w:t>
      </w:r>
      <w:r w:rsidR="004606DD">
        <w:t>r</w:t>
      </w:r>
      <w:r>
        <w:t xml:space="preserve"> till omställningen till en grön ekonomi</w:t>
      </w:r>
      <w:r w:rsidR="00201C09">
        <w:t xml:space="preserve">. </w:t>
      </w:r>
      <w:r w:rsidR="00013E52">
        <w:t xml:space="preserve">Regeringen </w:t>
      </w:r>
      <w:r>
        <w:t>verkar bl.a. för att det internationella arbetet med nya hållbarhetsmål ska integrera ekosystemtjänsters värde</w:t>
      </w:r>
      <w:r w:rsidR="00751DAB">
        <w:t xml:space="preserve"> och att hållbarhetsmålen </w:t>
      </w:r>
      <w:r w:rsidR="000855D1">
        <w:t xml:space="preserve">ska </w:t>
      </w:r>
      <w:r w:rsidR="00751DAB">
        <w:t>återspegla den strategiska planen för biologisk mångfald 2011-2020</w:t>
      </w:r>
      <w:r>
        <w:t>.</w:t>
      </w:r>
      <w:r w:rsidR="00751DAB">
        <w:t xml:space="preserve"> </w:t>
      </w:r>
      <w:r w:rsidR="003342FE" w:rsidRPr="009D7AB0">
        <w:t>Denna princip återspeglas väl i rådsslutsatserna.</w:t>
      </w:r>
      <w:r w:rsidR="003342FE">
        <w:t xml:space="preserve"> </w:t>
      </w:r>
      <w:r w:rsidR="00003252">
        <w:t xml:space="preserve">Regeringen </w:t>
      </w:r>
      <w:r w:rsidR="00003252" w:rsidRPr="00A665F4">
        <w:rPr>
          <w:rFonts w:hAnsi="Times New Roman"/>
        </w:rPr>
        <w:t>verka</w:t>
      </w:r>
      <w:r w:rsidR="00751DAB">
        <w:rPr>
          <w:rFonts w:hAnsi="Times New Roman"/>
        </w:rPr>
        <w:t>r ocks</w:t>
      </w:r>
      <w:r w:rsidR="00751DAB">
        <w:rPr>
          <w:rFonts w:hAnsi="Times New Roman"/>
        </w:rPr>
        <w:t>å</w:t>
      </w:r>
      <w:r w:rsidR="00003252" w:rsidRPr="00A665F4">
        <w:rPr>
          <w:rFonts w:hAnsi="Times New Roman"/>
        </w:rPr>
        <w:t xml:space="preserve"> f</w:t>
      </w:r>
      <w:r w:rsidR="00003252" w:rsidRPr="00A665F4">
        <w:rPr>
          <w:rFonts w:hAnsi="Times New Roman"/>
        </w:rPr>
        <w:t>ö</w:t>
      </w:r>
      <w:r w:rsidR="00003252" w:rsidRPr="00A665F4">
        <w:rPr>
          <w:rFonts w:hAnsi="Times New Roman"/>
        </w:rPr>
        <w:t>r att EU fortsatt driver p</w:t>
      </w:r>
      <w:r w:rsidR="00003252" w:rsidRPr="00A665F4">
        <w:rPr>
          <w:rFonts w:hAnsi="Times New Roman"/>
        </w:rPr>
        <w:t>å</w:t>
      </w:r>
      <w:r w:rsidR="00003252" w:rsidRPr="00A665F4">
        <w:rPr>
          <w:rFonts w:hAnsi="Times New Roman"/>
        </w:rPr>
        <w:t xml:space="preserve"> f</w:t>
      </w:r>
      <w:r w:rsidR="00003252" w:rsidRPr="00A665F4">
        <w:rPr>
          <w:rFonts w:hAnsi="Times New Roman"/>
        </w:rPr>
        <w:t>ö</w:t>
      </w:r>
      <w:r w:rsidR="00003252" w:rsidRPr="00A665F4">
        <w:rPr>
          <w:rFonts w:hAnsi="Times New Roman"/>
        </w:rPr>
        <w:t>r att Aichim</w:t>
      </w:r>
      <w:r w:rsidR="00003252" w:rsidRPr="00A665F4">
        <w:rPr>
          <w:rFonts w:hAnsi="Times New Roman"/>
        </w:rPr>
        <w:t>å</w:t>
      </w:r>
      <w:r w:rsidR="00003252" w:rsidRPr="00A665F4">
        <w:rPr>
          <w:rFonts w:hAnsi="Times New Roman"/>
        </w:rPr>
        <w:t>len f</w:t>
      </w:r>
      <w:r w:rsidR="00003252" w:rsidRPr="00A665F4">
        <w:rPr>
          <w:rFonts w:hAnsi="Times New Roman"/>
        </w:rPr>
        <w:t>ö</w:t>
      </w:r>
      <w:r w:rsidR="00003252" w:rsidRPr="00A665F4">
        <w:rPr>
          <w:rFonts w:hAnsi="Times New Roman"/>
        </w:rPr>
        <w:t>ljs upp och inf</w:t>
      </w:r>
      <w:r w:rsidR="00003252" w:rsidRPr="00A665F4">
        <w:rPr>
          <w:rFonts w:hAnsi="Times New Roman"/>
        </w:rPr>
        <w:t>ö</w:t>
      </w:r>
      <w:r w:rsidR="00003252" w:rsidRPr="00A665F4">
        <w:rPr>
          <w:rFonts w:hAnsi="Times New Roman"/>
        </w:rPr>
        <w:t>rlivas i nationella strategier och planer i syfte att s</w:t>
      </w:r>
      <w:r w:rsidR="00003252" w:rsidRPr="00A665F4">
        <w:rPr>
          <w:rFonts w:hAnsi="Times New Roman"/>
        </w:rPr>
        <w:t>ä</w:t>
      </w:r>
      <w:r w:rsidR="00003252" w:rsidRPr="00A665F4">
        <w:rPr>
          <w:rFonts w:hAnsi="Times New Roman"/>
        </w:rPr>
        <w:t>kra resilienta ekosystem och ekosystemtj</w:t>
      </w:r>
      <w:r w:rsidR="00003252" w:rsidRPr="00A665F4">
        <w:rPr>
          <w:rFonts w:hAnsi="Times New Roman"/>
        </w:rPr>
        <w:t>ä</w:t>
      </w:r>
      <w:r w:rsidR="00003252" w:rsidRPr="00A665F4">
        <w:rPr>
          <w:rFonts w:hAnsi="Times New Roman"/>
        </w:rPr>
        <w:t>nster</w:t>
      </w:r>
      <w:r w:rsidR="00003252">
        <w:rPr>
          <w:rFonts w:hAnsi="Times New Roman"/>
        </w:rPr>
        <w:t xml:space="preserve"> i linje med den strategiska planen</w:t>
      </w:r>
      <w:r w:rsidR="00003252" w:rsidRPr="00A665F4">
        <w:rPr>
          <w:rFonts w:hAnsi="Times New Roman"/>
        </w:rPr>
        <w:t>.</w:t>
      </w:r>
    </w:p>
    <w:p w:rsidR="00697D3F" w:rsidRDefault="00697D3F">
      <w:pPr>
        <w:pStyle w:val="RKnormal"/>
        <w:rPr>
          <w:rFonts w:hAnsi="Times New Roman"/>
        </w:rPr>
      </w:pPr>
    </w:p>
    <w:p w:rsidR="00697D3F" w:rsidRDefault="00697D3F" w:rsidP="00697D3F">
      <w:pPr>
        <w:pStyle w:val="RKnormal"/>
      </w:pPr>
      <w:r>
        <w:t xml:space="preserve">Regeringen </w:t>
      </w:r>
      <w:r w:rsidR="00751DAB">
        <w:t xml:space="preserve">stöder särskilt </w:t>
      </w:r>
      <w:r>
        <w:t>en fortsatt progressiv och balanserad EU-position i frågan om mobilisering av resurser. När det gäller</w:t>
      </w:r>
      <w:r w:rsidR="005A7D49">
        <w:t xml:space="preserve"> mål för finansiella flöden till utvecklingsländer</w:t>
      </w:r>
      <w:r w:rsidR="005A7D49" w:rsidRPr="005A7D49">
        <w:t xml:space="preserve"> </w:t>
      </w:r>
      <w:r w:rsidR="005A7D49">
        <w:t xml:space="preserve">har regeringen med framgång verkat för att rådslutsatserna tydligt ska ange att EU är redo att besluta om ett mål </w:t>
      </w:r>
      <w:r>
        <w:t xml:space="preserve">om </w:t>
      </w:r>
      <w:r w:rsidR="005A7D49">
        <w:t xml:space="preserve">en </w:t>
      </w:r>
      <w:r>
        <w:t>fördubbl</w:t>
      </w:r>
      <w:r w:rsidR="005A7D49">
        <w:t>ing i enlighet med det tidigare preliminära målet från Hyderabad.</w:t>
      </w:r>
      <w:r w:rsidR="00201C09">
        <w:t xml:space="preserve"> </w:t>
      </w:r>
      <w:r>
        <w:t xml:space="preserve">Det är </w:t>
      </w:r>
      <w:r w:rsidR="005A7D49">
        <w:t xml:space="preserve">samtidigt </w:t>
      </w:r>
      <w:r>
        <w:t>viktigt att</w:t>
      </w:r>
      <w:r w:rsidR="005A7D49">
        <w:t xml:space="preserve"> EU:s</w:t>
      </w:r>
      <w:r>
        <w:t xml:space="preserve"> åtagande inte innebär en bördefördelning mellan MS</w:t>
      </w:r>
      <w:r w:rsidR="00B24F14">
        <w:t xml:space="preserve">, bl.a. </w:t>
      </w:r>
      <w:r w:rsidR="00185CC0">
        <w:t>då utvecklingssamarbete</w:t>
      </w:r>
      <w:r w:rsidR="00B24F14">
        <w:t xml:space="preserve"> inte omfattas av </w:t>
      </w:r>
      <w:r w:rsidR="009D7AB0">
        <w:t>unions</w:t>
      </w:r>
      <w:r w:rsidR="00B24F14">
        <w:t>kompetens</w:t>
      </w:r>
      <w:r>
        <w:t xml:space="preserve">. </w:t>
      </w:r>
      <w:r w:rsidR="009D7AB0">
        <w:t>M</w:t>
      </w:r>
      <w:r>
        <w:t>ål</w:t>
      </w:r>
      <w:r w:rsidR="009D7AB0">
        <w:t xml:space="preserve"> för resursmobilisering </w:t>
      </w:r>
      <w:r w:rsidR="005A7D49">
        <w:t>behöver</w:t>
      </w:r>
      <w:r>
        <w:t xml:space="preserve"> </w:t>
      </w:r>
      <w:r w:rsidR="005A7D49">
        <w:t>utformas</w:t>
      </w:r>
      <w:r>
        <w:t xml:space="preserve"> så att de understöder att mottagarländerna prioriterar åtgärder på ett ändamålsenligt sätt. Regeringen anser att diskussionen om finansieringskällor behöver konkretiseras ytterligare, och att praktiska lärdomar </w:t>
      </w:r>
      <w:r w:rsidR="00147A22">
        <w:t xml:space="preserve">bör </w:t>
      </w:r>
      <w:r>
        <w:t xml:space="preserve">fortsatt tas tillvara. För att komma framåt behövs bland annat vägledning om lämpliga understödjande aktiviteter för </w:t>
      </w:r>
      <w:r w:rsidR="00B24F14">
        <w:t>att</w:t>
      </w:r>
      <w:r w:rsidR="006E5962">
        <w:t xml:space="preserve"> </w:t>
      </w:r>
      <w:r>
        <w:t>mobiliser</w:t>
      </w:r>
      <w:r w:rsidR="00B24F14">
        <w:t xml:space="preserve">a resurser från ett större antal källor, samtidigt som miljömässig och social hänsyn </w:t>
      </w:r>
      <w:r w:rsidR="004263F1">
        <w:t xml:space="preserve">bör </w:t>
      </w:r>
      <w:r w:rsidR="00B24F14">
        <w:t>tas</w:t>
      </w:r>
      <w:r>
        <w:t xml:space="preserve">. </w:t>
      </w:r>
      <w:r w:rsidR="004C15CF">
        <w:t xml:space="preserve">Regeringen har också med framgång öppnat upp EU:s position så att tidigare fokusering på att uteslutande utveckla privata finansieringskällor har tonats ned. </w:t>
      </w:r>
      <w:r>
        <w:t xml:space="preserve">Värdet av ekosystemtjänster behöver synliggöras och integreras bättre i planer för utveckling och fattigdomsbekämpning, liksom i </w:t>
      </w:r>
      <w:r w:rsidR="00825642">
        <w:t xml:space="preserve">den </w:t>
      </w:r>
      <w:r>
        <w:t>privata sektorn.</w:t>
      </w:r>
      <w:r w:rsidR="002E7693">
        <w:t xml:space="preserve"> Detta synsätt genomsyrar de föreslagna rådslutsatserna.</w:t>
      </w:r>
    </w:p>
    <w:p w:rsidR="006E5962" w:rsidRDefault="006E5962" w:rsidP="00697D3F">
      <w:pPr>
        <w:pStyle w:val="RKnormal"/>
      </w:pPr>
    </w:p>
    <w:p w:rsidR="006E5962" w:rsidRDefault="006E5962" w:rsidP="006E5962">
      <w:pPr>
        <w:pStyle w:val="RKnormal"/>
        <w:rPr>
          <w:rFonts w:hAnsi="Times New Roman"/>
        </w:rPr>
      </w:pPr>
      <w:r>
        <w:t xml:space="preserve">Vad gäller marinbiologisk mångfald anser regeringen att CBD:s bidrag till </w:t>
      </w:r>
      <w:r w:rsidRPr="00A665F4">
        <w:rPr>
          <w:rFonts w:hAnsi="Times New Roman"/>
        </w:rPr>
        <w:t>skydd</w:t>
      </w:r>
      <w:r>
        <w:rPr>
          <w:rFonts w:hAnsi="Times New Roman"/>
        </w:rPr>
        <w:t xml:space="preserve"> av omr</w:t>
      </w:r>
      <w:r>
        <w:rPr>
          <w:rFonts w:hAnsi="Times New Roman"/>
        </w:rPr>
        <w:t>å</w:t>
      </w:r>
      <w:r>
        <w:rPr>
          <w:rFonts w:hAnsi="Times New Roman"/>
        </w:rPr>
        <w:t>den</w:t>
      </w:r>
      <w:r w:rsidRPr="00A665F4">
        <w:rPr>
          <w:rFonts w:hAnsi="Times New Roman"/>
        </w:rPr>
        <w:t xml:space="preserve"> p</w:t>
      </w:r>
      <w:r w:rsidRPr="00A665F4">
        <w:rPr>
          <w:rFonts w:hAnsi="Times New Roman"/>
        </w:rPr>
        <w:t>å</w:t>
      </w:r>
      <w:r w:rsidRPr="00A665F4">
        <w:rPr>
          <w:rFonts w:hAnsi="Times New Roman"/>
        </w:rPr>
        <w:t xml:space="preserve"> djuphaven </w:t>
      </w:r>
      <w:r w:rsidRPr="00A665F4">
        <w:rPr>
          <w:rFonts w:hAnsi="Times New Roman"/>
        </w:rPr>
        <w:t>ä</w:t>
      </w:r>
      <w:r w:rsidRPr="00A665F4">
        <w:rPr>
          <w:rFonts w:hAnsi="Times New Roman"/>
        </w:rPr>
        <w:t>r fortsatt angel</w:t>
      </w:r>
      <w:r w:rsidRPr="00A665F4">
        <w:rPr>
          <w:rFonts w:hAnsi="Times New Roman"/>
        </w:rPr>
        <w:t>ä</w:t>
      </w:r>
      <w:r w:rsidRPr="00A665F4">
        <w:rPr>
          <w:rFonts w:hAnsi="Times New Roman"/>
        </w:rPr>
        <w:t>get</w:t>
      </w:r>
      <w:r>
        <w:rPr>
          <w:rFonts w:hAnsi="Times New Roman"/>
        </w:rPr>
        <w:t xml:space="preserve">. Regeringen </w:t>
      </w:r>
      <w:r w:rsidRPr="006E5962">
        <w:rPr>
          <w:rFonts w:hAnsi="Times New Roman"/>
        </w:rPr>
        <w:t>framh</w:t>
      </w:r>
      <w:r w:rsidRPr="006E5962">
        <w:rPr>
          <w:rFonts w:hAnsi="Times New Roman"/>
        </w:rPr>
        <w:t>å</w:t>
      </w:r>
      <w:r w:rsidRPr="006E5962">
        <w:rPr>
          <w:rFonts w:hAnsi="Times New Roman"/>
        </w:rPr>
        <w:t>ll</w:t>
      </w:r>
      <w:r>
        <w:rPr>
          <w:rFonts w:hAnsi="Times New Roman"/>
        </w:rPr>
        <w:t>er</w:t>
      </w:r>
      <w:r w:rsidRPr="006E5962">
        <w:rPr>
          <w:rFonts w:hAnsi="Times New Roman"/>
        </w:rPr>
        <w:t xml:space="preserve"> vikten av att EU-l</w:t>
      </w:r>
      <w:r w:rsidRPr="006E5962">
        <w:rPr>
          <w:rFonts w:hAnsi="Times New Roman"/>
        </w:rPr>
        <w:t>ä</w:t>
      </w:r>
      <w:r w:rsidRPr="006E5962">
        <w:rPr>
          <w:rFonts w:hAnsi="Times New Roman"/>
        </w:rPr>
        <w:t>nderna, s</w:t>
      </w:r>
      <w:r w:rsidRPr="006E5962">
        <w:rPr>
          <w:rFonts w:hAnsi="Times New Roman"/>
        </w:rPr>
        <w:t>ä</w:t>
      </w:r>
      <w:r w:rsidRPr="006E5962">
        <w:rPr>
          <w:rFonts w:hAnsi="Times New Roman"/>
        </w:rPr>
        <w:t>rskilt inom</w:t>
      </w:r>
      <w:r w:rsidR="00E03D32">
        <w:rPr>
          <w:rFonts w:hAnsi="Times New Roman"/>
        </w:rPr>
        <w:t xml:space="preserve"> de</w:t>
      </w:r>
      <w:r w:rsidRPr="006E5962">
        <w:rPr>
          <w:rFonts w:hAnsi="Times New Roman"/>
        </w:rPr>
        <w:t xml:space="preserve"> regionala </w:t>
      </w:r>
      <w:r w:rsidR="004C15CF">
        <w:rPr>
          <w:rFonts w:hAnsi="Times New Roman"/>
        </w:rPr>
        <w:t>samarbetsorganisationer</w:t>
      </w:r>
      <w:r w:rsidR="00E03D32">
        <w:rPr>
          <w:rFonts w:hAnsi="Times New Roman"/>
        </w:rPr>
        <w:t>na</w:t>
      </w:r>
      <w:r w:rsidRPr="006E5962">
        <w:rPr>
          <w:rFonts w:hAnsi="Times New Roman"/>
        </w:rPr>
        <w:t>, verkar f</w:t>
      </w:r>
      <w:r w:rsidRPr="006E5962">
        <w:rPr>
          <w:rFonts w:hAnsi="Times New Roman"/>
        </w:rPr>
        <w:t>ö</w:t>
      </w:r>
      <w:r w:rsidRPr="006E5962">
        <w:rPr>
          <w:rFonts w:hAnsi="Times New Roman"/>
        </w:rPr>
        <w:t>r att fortsatt fr</w:t>
      </w:r>
      <w:r w:rsidRPr="006E5962">
        <w:rPr>
          <w:rFonts w:hAnsi="Times New Roman"/>
        </w:rPr>
        <w:t>ä</w:t>
      </w:r>
      <w:r w:rsidRPr="006E5962">
        <w:rPr>
          <w:rFonts w:hAnsi="Times New Roman"/>
        </w:rPr>
        <w:t xml:space="preserve">mja processerna med att arbeta fram </w:t>
      </w:r>
      <w:r>
        <w:rPr>
          <w:rFonts w:hAnsi="Times New Roman"/>
        </w:rPr>
        <w:t>underlag om ekologiskt viktiga omr</w:t>
      </w:r>
      <w:r>
        <w:rPr>
          <w:rFonts w:hAnsi="Times New Roman"/>
        </w:rPr>
        <w:t>å</w:t>
      </w:r>
      <w:r>
        <w:rPr>
          <w:rFonts w:hAnsi="Times New Roman"/>
        </w:rPr>
        <w:t>den. Regeringen framh</w:t>
      </w:r>
      <w:r>
        <w:rPr>
          <w:rFonts w:hAnsi="Times New Roman"/>
        </w:rPr>
        <w:t>å</w:t>
      </w:r>
      <w:r>
        <w:rPr>
          <w:rFonts w:hAnsi="Times New Roman"/>
        </w:rPr>
        <w:t>ller vidare att</w:t>
      </w:r>
      <w:r w:rsidRPr="006E5962">
        <w:rPr>
          <w:rFonts w:hAnsi="Times New Roman"/>
        </w:rPr>
        <w:t xml:space="preserve"> den nyligen</w:t>
      </w:r>
      <w:r>
        <w:rPr>
          <w:rFonts w:hAnsi="Times New Roman"/>
        </w:rPr>
        <w:t xml:space="preserve"> reviderade fiskeripolitiken</w:t>
      </w:r>
      <w:r w:rsidRPr="006E5962">
        <w:rPr>
          <w:rFonts w:hAnsi="Times New Roman"/>
        </w:rPr>
        <w:t xml:space="preserve"> </w:t>
      </w:r>
      <w:r>
        <w:rPr>
          <w:rFonts w:hAnsi="Times New Roman"/>
        </w:rPr>
        <w:t>bidrar till uppfyllandet av</w:t>
      </w:r>
      <w:r w:rsidRPr="006E5962">
        <w:rPr>
          <w:rFonts w:hAnsi="Times New Roman"/>
        </w:rPr>
        <w:t xml:space="preserve"> Aichim</w:t>
      </w:r>
      <w:r w:rsidRPr="006E5962">
        <w:rPr>
          <w:rFonts w:hAnsi="Times New Roman"/>
        </w:rPr>
        <w:t>å</w:t>
      </w:r>
      <w:r w:rsidRPr="006E5962">
        <w:rPr>
          <w:rFonts w:hAnsi="Times New Roman"/>
        </w:rPr>
        <w:t>l</w:t>
      </w:r>
      <w:r w:rsidR="00461F27">
        <w:rPr>
          <w:rFonts w:hAnsi="Times New Roman"/>
        </w:rPr>
        <w:t xml:space="preserve"> 6</w:t>
      </w:r>
      <w:r>
        <w:rPr>
          <w:rFonts w:hAnsi="Times New Roman"/>
        </w:rPr>
        <w:t xml:space="preserve"> om</w:t>
      </w:r>
      <w:r w:rsidRPr="006E5962">
        <w:rPr>
          <w:rFonts w:hAnsi="Times New Roman"/>
        </w:rPr>
        <w:t xml:space="preserve"> h</w:t>
      </w:r>
      <w:r w:rsidRPr="006E5962">
        <w:rPr>
          <w:rFonts w:hAnsi="Times New Roman"/>
        </w:rPr>
        <w:t>å</w:t>
      </w:r>
      <w:r w:rsidRPr="006E5962">
        <w:rPr>
          <w:rFonts w:hAnsi="Times New Roman"/>
        </w:rPr>
        <w:t>llbart fiske</w:t>
      </w:r>
      <w:r w:rsidR="00384690">
        <w:rPr>
          <w:rFonts w:hAnsi="Times New Roman"/>
        </w:rPr>
        <w:t xml:space="preserve">. </w:t>
      </w:r>
      <w:r w:rsidR="00384690" w:rsidRPr="002E7693">
        <w:rPr>
          <w:rFonts w:hAnsi="Times New Roman"/>
        </w:rPr>
        <w:t>Regeringen har f</w:t>
      </w:r>
      <w:r w:rsidR="00384690" w:rsidRPr="002E7693">
        <w:rPr>
          <w:rFonts w:hAnsi="Times New Roman"/>
        </w:rPr>
        <w:t>å</w:t>
      </w:r>
      <w:r w:rsidR="00384690" w:rsidRPr="002E7693">
        <w:rPr>
          <w:rFonts w:hAnsi="Times New Roman"/>
        </w:rPr>
        <w:t>tt genomslag f</w:t>
      </w:r>
      <w:r w:rsidR="00384690" w:rsidRPr="002E7693">
        <w:rPr>
          <w:rFonts w:hAnsi="Times New Roman"/>
        </w:rPr>
        <w:t>ö</w:t>
      </w:r>
      <w:r w:rsidR="00384690" w:rsidRPr="002E7693">
        <w:rPr>
          <w:rFonts w:hAnsi="Times New Roman"/>
        </w:rPr>
        <w:t>r detta i r</w:t>
      </w:r>
      <w:r w:rsidR="00384690" w:rsidRPr="002E7693">
        <w:rPr>
          <w:rFonts w:hAnsi="Times New Roman"/>
        </w:rPr>
        <w:t>å</w:t>
      </w:r>
      <w:r w:rsidR="00384690" w:rsidRPr="002E7693">
        <w:rPr>
          <w:rFonts w:hAnsi="Times New Roman"/>
        </w:rPr>
        <w:t>dsslutsatserna</w:t>
      </w:r>
    </w:p>
    <w:p w:rsidR="005D656D" w:rsidRDefault="005D656D" w:rsidP="006E5962">
      <w:pPr>
        <w:pStyle w:val="RKnormal"/>
        <w:rPr>
          <w:rFonts w:hAnsi="Times New Roman"/>
        </w:rPr>
      </w:pPr>
    </w:p>
    <w:p w:rsidR="005D656D" w:rsidRDefault="005D656D" w:rsidP="006E5962">
      <w:pPr>
        <w:pStyle w:val="RKnormal"/>
        <w:rPr>
          <w:rFonts w:hAnsi="Times New Roman"/>
        </w:rPr>
      </w:pPr>
      <w:r>
        <w:rPr>
          <w:rFonts w:hAnsi="Times New Roman"/>
        </w:rPr>
        <w:t>Vad g</w:t>
      </w:r>
      <w:r>
        <w:rPr>
          <w:rFonts w:hAnsi="Times New Roman"/>
        </w:rPr>
        <w:t>ä</w:t>
      </w:r>
      <w:r>
        <w:rPr>
          <w:rFonts w:hAnsi="Times New Roman"/>
        </w:rPr>
        <w:t>ller urfolksfr</w:t>
      </w:r>
      <w:r>
        <w:rPr>
          <w:rFonts w:hAnsi="Times New Roman"/>
        </w:rPr>
        <w:t>å</w:t>
      </w:r>
      <w:r>
        <w:rPr>
          <w:rFonts w:hAnsi="Times New Roman"/>
        </w:rPr>
        <w:t xml:space="preserve">gan </w:t>
      </w:r>
      <w:r w:rsidR="00401F84">
        <w:rPr>
          <w:rFonts w:hAnsi="Times New Roman"/>
        </w:rPr>
        <w:t>inst</w:t>
      </w:r>
      <w:r w:rsidR="00401F84">
        <w:rPr>
          <w:rFonts w:hAnsi="Times New Roman"/>
        </w:rPr>
        <w:t>ä</w:t>
      </w:r>
      <w:r w:rsidR="00401F84">
        <w:rPr>
          <w:rFonts w:hAnsi="Times New Roman"/>
        </w:rPr>
        <w:t xml:space="preserve">mmer regeringen i att det inte </w:t>
      </w:r>
      <w:r w:rsidR="00401F84">
        <w:rPr>
          <w:rFonts w:hAnsi="Times New Roman"/>
        </w:rPr>
        <w:t>ä</w:t>
      </w:r>
      <w:r w:rsidR="00401F84">
        <w:rPr>
          <w:rFonts w:hAnsi="Times New Roman"/>
        </w:rPr>
        <w:t xml:space="preserve">r aktuellt att </w:t>
      </w:r>
      <w:r w:rsidR="00401F84">
        <w:rPr>
          <w:rFonts w:hAnsi="Times New Roman"/>
        </w:rPr>
        <w:t>ö</w:t>
      </w:r>
      <w:r w:rsidR="00401F84">
        <w:rPr>
          <w:rFonts w:hAnsi="Times New Roman"/>
        </w:rPr>
        <w:t>ppna upp konventionen f</w:t>
      </w:r>
      <w:r w:rsidR="00401F84">
        <w:rPr>
          <w:rFonts w:hAnsi="Times New Roman"/>
        </w:rPr>
        <w:t>ö</w:t>
      </w:r>
      <w:r w:rsidR="00401F84">
        <w:rPr>
          <w:rFonts w:hAnsi="Times New Roman"/>
        </w:rPr>
        <w:t>r omf</w:t>
      </w:r>
      <w:r w:rsidR="00401F84">
        <w:rPr>
          <w:rFonts w:hAnsi="Times New Roman"/>
        </w:rPr>
        <w:t>ö</w:t>
      </w:r>
      <w:r w:rsidR="00401F84">
        <w:rPr>
          <w:rFonts w:hAnsi="Times New Roman"/>
        </w:rPr>
        <w:t>rhandling. Regeringen st</w:t>
      </w:r>
      <w:r w:rsidR="00401F84">
        <w:rPr>
          <w:rFonts w:hAnsi="Times New Roman"/>
        </w:rPr>
        <w:t>ö</w:t>
      </w:r>
      <w:r w:rsidR="00401F84">
        <w:rPr>
          <w:rFonts w:hAnsi="Times New Roman"/>
        </w:rPr>
        <w:t xml:space="preserve">der att termen </w:t>
      </w:r>
      <w:r w:rsidR="00401F84" w:rsidRPr="002E7693">
        <w:rPr>
          <w:rFonts w:hAnsi="Times New Roman"/>
          <w:i/>
        </w:rPr>
        <w:t>Indigenous peoples</w:t>
      </w:r>
      <w:r w:rsidR="00401F84">
        <w:rPr>
          <w:rFonts w:hAnsi="Times New Roman"/>
        </w:rPr>
        <w:t xml:space="preserve"> (urfolk) i forts</w:t>
      </w:r>
      <w:r w:rsidR="00401F84">
        <w:rPr>
          <w:rFonts w:hAnsi="Times New Roman"/>
        </w:rPr>
        <w:t>ä</w:t>
      </w:r>
      <w:r w:rsidR="00401F84">
        <w:rPr>
          <w:rFonts w:hAnsi="Times New Roman"/>
        </w:rPr>
        <w:t>ttningen anv</w:t>
      </w:r>
      <w:r w:rsidR="00401F84">
        <w:rPr>
          <w:rFonts w:hAnsi="Times New Roman"/>
        </w:rPr>
        <w:t>ä</w:t>
      </w:r>
      <w:r w:rsidR="00401F84">
        <w:rPr>
          <w:rFonts w:hAnsi="Times New Roman"/>
        </w:rPr>
        <w:t>nds i CBD-sammanhang</w:t>
      </w:r>
      <w:r w:rsidR="00C35B90">
        <w:rPr>
          <w:rFonts w:hAnsi="Times New Roman"/>
        </w:rPr>
        <w:t xml:space="preserve">, </w:t>
      </w:r>
      <w:r w:rsidR="00185CC0">
        <w:rPr>
          <w:rFonts w:hAnsi="Times New Roman"/>
        </w:rPr>
        <w:t>s</w:t>
      </w:r>
      <w:r w:rsidR="00185CC0">
        <w:rPr>
          <w:rFonts w:hAnsi="Times New Roman"/>
        </w:rPr>
        <w:t>å</w:t>
      </w:r>
      <w:r w:rsidR="00185CC0">
        <w:rPr>
          <w:rFonts w:hAnsi="Times New Roman"/>
        </w:rPr>
        <w:t>som i</w:t>
      </w:r>
      <w:r w:rsidR="00C35B90">
        <w:rPr>
          <w:rFonts w:hAnsi="Times New Roman"/>
        </w:rPr>
        <w:t xml:space="preserve"> t.ex. FN:s deklaration om urfolks r</w:t>
      </w:r>
      <w:r w:rsidR="00C35B90">
        <w:rPr>
          <w:rFonts w:hAnsi="Times New Roman"/>
        </w:rPr>
        <w:t>ä</w:t>
      </w:r>
      <w:r w:rsidR="00C35B90">
        <w:rPr>
          <w:rFonts w:hAnsi="Times New Roman"/>
        </w:rPr>
        <w:t>ttigheter och i deklarationen fr</w:t>
      </w:r>
      <w:r w:rsidR="00C35B90">
        <w:rPr>
          <w:rFonts w:hAnsi="Times New Roman"/>
        </w:rPr>
        <w:t>å</w:t>
      </w:r>
      <w:r w:rsidR="00C35B90">
        <w:rPr>
          <w:rFonts w:hAnsi="Times New Roman"/>
        </w:rPr>
        <w:t>n FN-toppm</w:t>
      </w:r>
      <w:r w:rsidR="00C35B90">
        <w:rPr>
          <w:rFonts w:hAnsi="Times New Roman"/>
        </w:rPr>
        <w:t>ö</w:t>
      </w:r>
      <w:r w:rsidR="00C35B90">
        <w:rPr>
          <w:rFonts w:hAnsi="Times New Roman"/>
        </w:rPr>
        <w:t>tet om h</w:t>
      </w:r>
      <w:r w:rsidR="00C35B90">
        <w:rPr>
          <w:rFonts w:hAnsi="Times New Roman"/>
        </w:rPr>
        <w:t>å</w:t>
      </w:r>
      <w:r w:rsidR="00C35B90">
        <w:rPr>
          <w:rFonts w:hAnsi="Times New Roman"/>
        </w:rPr>
        <w:t>llbar utveckling 2012</w:t>
      </w:r>
      <w:r w:rsidR="00401F84">
        <w:rPr>
          <w:rFonts w:hAnsi="Times New Roman"/>
        </w:rPr>
        <w:t>. Eftersom fr</w:t>
      </w:r>
      <w:r w:rsidR="00401F84">
        <w:rPr>
          <w:rFonts w:hAnsi="Times New Roman"/>
        </w:rPr>
        <w:t>å</w:t>
      </w:r>
      <w:r w:rsidR="00401F84">
        <w:rPr>
          <w:rFonts w:hAnsi="Times New Roman"/>
        </w:rPr>
        <w:t xml:space="preserve">gan inte </w:t>
      </w:r>
      <w:r w:rsidR="00401F84">
        <w:rPr>
          <w:rFonts w:hAnsi="Times New Roman"/>
        </w:rPr>
        <w:t>ä</w:t>
      </w:r>
      <w:r w:rsidR="00401F84">
        <w:rPr>
          <w:rFonts w:hAnsi="Times New Roman"/>
        </w:rPr>
        <w:t>r f</w:t>
      </w:r>
      <w:r w:rsidR="00401F84">
        <w:rPr>
          <w:rFonts w:hAnsi="Times New Roman"/>
        </w:rPr>
        <w:t>ö</w:t>
      </w:r>
      <w:r w:rsidR="00401F84">
        <w:rPr>
          <w:rFonts w:hAnsi="Times New Roman"/>
        </w:rPr>
        <w:t>rem</w:t>
      </w:r>
      <w:r w:rsidR="00401F84">
        <w:rPr>
          <w:rFonts w:hAnsi="Times New Roman"/>
        </w:rPr>
        <w:t>å</w:t>
      </w:r>
      <w:r w:rsidR="00401F84">
        <w:rPr>
          <w:rFonts w:hAnsi="Times New Roman"/>
        </w:rPr>
        <w:t>l f</w:t>
      </w:r>
      <w:r w:rsidR="00401F84">
        <w:rPr>
          <w:rFonts w:hAnsi="Times New Roman"/>
        </w:rPr>
        <w:t>ö</w:t>
      </w:r>
      <w:r w:rsidR="002A199E">
        <w:rPr>
          <w:rFonts w:hAnsi="Times New Roman"/>
        </w:rPr>
        <w:t>r unions</w:t>
      </w:r>
      <w:r w:rsidR="00401F84">
        <w:rPr>
          <w:rFonts w:hAnsi="Times New Roman"/>
        </w:rPr>
        <w:t xml:space="preserve">kompetens </w:t>
      </w:r>
      <w:r w:rsidR="00401F84">
        <w:rPr>
          <w:rFonts w:hAnsi="Times New Roman"/>
        </w:rPr>
        <w:t>ä</w:t>
      </w:r>
      <w:r w:rsidR="00401F84">
        <w:rPr>
          <w:rFonts w:hAnsi="Times New Roman"/>
        </w:rPr>
        <w:t xml:space="preserve">r det </w:t>
      </w:r>
      <w:r w:rsidR="00C35B90">
        <w:rPr>
          <w:rFonts w:hAnsi="Times New Roman"/>
        </w:rPr>
        <w:t xml:space="preserve">dock </w:t>
      </w:r>
      <w:r w:rsidR="00401F84">
        <w:rPr>
          <w:rFonts w:hAnsi="Times New Roman"/>
        </w:rPr>
        <w:t>enligt regeringens uppfattning inte n</w:t>
      </w:r>
      <w:r w:rsidR="00401F84">
        <w:rPr>
          <w:rFonts w:hAnsi="Times New Roman"/>
        </w:rPr>
        <w:t>ö</w:t>
      </w:r>
      <w:r w:rsidR="00401F84">
        <w:rPr>
          <w:rFonts w:hAnsi="Times New Roman"/>
        </w:rPr>
        <w:t>dv</w:t>
      </w:r>
      <w:r w:rsidR="00401F84">
        <w:rPr>
          <w:rFonts w:hAnsi="Times New Roman"/>
        </w:rPr>
        <w:t>ä</w:t>
      </w:r>
      <w:r w:rsidR="00401F84">
        <w:rPr>
          <w:rFonts w:hAnsi="Times New Roman"/>
        </w:rPr>
        <w:t>ndigt att EU intar en gemensam st</w:t>
      </w:r>
      <w:r w:rsidR="00401F84">
        <w:rPr>
          <w:rFonts w:hAnsi="Times New Roman"/>
        </w:rPr>
        <w:t>å</w:t>
      </w:r>
      <w:r w:rsidR="00401F84">
        <w:rPr>
          <w:rFonts w:hAnsi="Times New Roman"/>
        </w:rPr>
        <w:t>ndpunkt i sakfr</w:t>
      </w:r>
      <w:r w:rsidR="00401F84">
        <w:rPr>
          <w:rFonts w:hAnsi="Times New Roman"/>
        </w:rPr>
        <w:t>å</w:t>
      </w:r>
      <w:r w:rsidR="00401F84">
        <w:rPr>
          <w:rFonts w:hAnsi="Times New Roman"/>
        </w:rPr>
        <w:t xml:space="preserve">gan. </w:t>
      </w:r>
    </w:p>
    <w:p w:rsidR="00401F84" w:rsidRDefault="00401F84" w:rsidP="006E5962">
      <w:pPr>
        <w:pStyle w:val="RKnormal"/>
        <w:rPr>
          <w:rFonts w:hAnsi="Times New Roman"/>
        </w:rPr>
      </w:pPr>
    </w:p>
    <w:p w:rsidR="00401F84" w:rsidRDefault="00401F84" w:rsidP="006E5962">
      <w:pPr>
        <w:pStyle w:val="RKnormal"/>
        <w:rPr>
          <w:rFonts w:hAnsi="Times New Roman"/>
        </w:rPr>
      </w:pPr>
      <w:r>
        <w:rPr>
          <w:rFonts w:hAnsi="Times New Roman"/>
        </w:rPr>
        <w:t>Vad g</w:t>
      </w:r>
      <w:r>
        <w:rPr>
          <w:rFonts w:hAnsi="Times New Roman"/>
        </w:rPr>
        <w:t>ä</w:t>
      </w:r>
      <w:r>
        <w:rPr>
          <w:rFonts w:hAnsi="Times New Roman"/>
        </w:rPr>
        <w:t xml:space="preserve">ller Nagoyaprotokollet anser regeringen att det </w:t>
      </w:r>
      <w:r>
        <w:rPr>
          <w:rFonts w:hAnsi="Times New Roman"/>
        </w:rPr>
        <w:t>ä</w:t>
      </w:r>
      <w:r>
        <w:rPr>
          <w:rFonts w:hAnsi="Times New Roman"/>
        </w:rPr>
        <w:t>r mycket viktigt att EU ratificerar detsamma och avser att snarast m</w:t>
      </w:r>
      <w:r>
        <w:rPr>
          <w:rFonts w:hAnsi="Times New Roman"/>
        </w:rPr>
        <w:t>ö</w:t>
      </w:r>
      <w:r>
        <w:rPr>
          <w:rFonts w:hAnsi="Times New Roman"/>
        </w:rPr>
        <w:t>jligt d</w:t>
      </w:r>
      <w:r>
        <w:rPr>
          <w:rFonts w:hAnsi="Times New Roman"/>
        </w:rPr>
        <w:t>ä</w:t>
      </w:r>
      <w:r>
        <w:rPr>
          <w:rFonts w:hAnsi="Times New Roman"/>
        </w:rPr>
        <w:t>refter l</w:t>
      </w:r>
      <w:r>
        <w:rPr>
          <w:rFonts w:hAnsi="Times New Roman"/>
        </w:rPr>
        <w:t>ä</w:t>
      </w:r>
      <w:r>
        <w:rPr>
          <w:rFonts w:hAnsi="Times New Roman"/>
        </w:rPr>
        <w:t>gga fram ett f</w:t>
      </w:r>
      <w:r>
        <w:rPr>
          <w:rFonts w:hAnsi="Times New Roman"/>
        </w:rPr>
        <w:t>ö</w:t>
      </w:r>
      <w:r>
        <w:rPr>
          <w:rFonts w:hAnsi="Times New Roman"/>
        </w:rPr>
        <w:t>rslag om Sveriges ratificering.</w:t>
      </w:r>
    </w:p>
    <w:p w:rsidR="003342FE" w:rsidRPr="006E5962" w:rsidRDefault="003342FE" w:rsidP="006E5962">
      <w:pPr>
        <w:pStyle w:val="RKnormal"/>
        <w:rPr>
          <w:rFonts w:hAnsi="Times New Roman"/>
        </w:rPr>
      </w:pPr>
    </w:p>
    <w:p w:rsidR="000A1AB5" w:rsidRDefault="000A1AB5" w:rsidP="000A1AB5">
      <w:pPr>
        <w:pStyle w:val="RKrubrik"/>
      </w:pPr>
      <w:r>
        <w:t>Europaparlamentets inställning</w:t>
      </w:r>
    </w:p>
    <w:p w:rsidR="000A1AB5" w:rsidRDefault="000A1AB5" w:rsidP="000A1AB5">
      <w:pPr>
        <w:pStyle w:val="RKnormal"/>
      </w:pPr>
      <w:r>
        <w:t xml:space="preserve">Europaparlamentet har ingen roll vid antagande av rådslutsatser. </w:t>
      </w:r>
    </w:p>
    <w:p w:rsidR="0092081D" w:rsidRDefault="0092081D">
      <w:pPr>
        <w:pStyle w:val="RKrubrik"/>
        <w:rPr>
          <w:i/>
          <w:iCs/>
        </w:rPr>
      </w:pPr>
      <w:r>
        <w:rPr>
          <w:i/>
          <w:iCs/>
        </w:rPr>
        <w:t>Förslaget</w:t>
      </w:r>
    </w:p>
    <w:p w:rsidR="006D50E5" w:rsidRDefault="00C35B90" w:rsidP="00C35B90">
      <w:pPr>
        <w:pStyle w:val="RKnormal"/>
      </w:pPr>
      <w:r>
        <w:t xml:space="preserve">I de inledande styckena föreslås att EU befäster sitt engagemang i CBD-processen. I förslaget bekräftas särskilt EU:s åtagande att ratificera Nagoyaprotokollet. Slutsatserna erinrar om </w:t>
      </w:r>
      <w:r w:rsidR="00013E52">
        <w:t>man vid Rio+20</w:t>
      </w:r>
      <w:r>
        <w:t xml:space="preserve"> </w:t>
      </w:r>
      <w:r w:rsidR="00185CC0">
        <w:t>bekräftade värdet</w:t>
      </w:r>
      <w:r>
        <w:t xml:space="preserve"> av biologisk mångfald samt välkomnar inkommande COP-ordföranden Sydkoreas ini</w:t>
      </w:r>
      <w:r w:rsidR="00461F27">
        <w:t>ti</w:t>
      </w:r>
      <w:r>
        <w:t xml:space="preserve">ativ om ett högnivåsegment om betydelsen av biologisk mångfald för hållbar utveckling under COP 12. </w:t>
      </w:r>
      <w:r w:rsidR="00B34F36">
        <w:t>Vidare föreslås att FN:s hållbarhetsmål ska återspegla CBD:s mål och den strategiska planen för biologisk mångfald 2011-2020.</w:t>
      </w:r>
    </w:p>
    <w:p w:rsidR="006D50E5" w:rsidRDefault="006D50E5" w:rsidP="006D50E5">
      <w:pPr>
        <w:pStyle w:val="Rubrik1"/>
      </w:pPr>
      <w:r>
        <w:t>Avsnitt I (CBD COP 12)</w:t>
      </w:r>
    </w:p>
    <w:p w:rsidR="006D50E5" w:rsidRDefault="00C35B90" w:rsidP="00C35B90">
      <w:pPr>
        <w:pStyle w:val="RKnormal"/>
      </w:pPr>
      <w:r>
        <w:t>Vikten av att anta nationella strategier och planer för att bidra till uppfyllandet av CBD:s strategiska plan och Aichimålen lyfts fram. EU:s strategi för biologisk mångfald 2011-2020 utgör EU:s svar på Aichimålen, varför framsteg i genomförandet av strategin nämns särskilt. Rådet föreslås även lyfta fram den ekonomiska och sociala nyttan med att bevara och hållbart nyttja biologisk mångfald och ekosystemtjänster och understryka vikten av att inkorporera deras fulla värde i relevanta beslut, i linje med tidigare rådslutsatser. Rådet föreslås också lyfta fram behovet av effektiv samverkan mellan biodiversitetsrelaterade konventioner och överenskommelser.</w:t>
      </w:r>
    </w:p>
    <w:p w:rsidR="006D50E5" w:rsidRDefault="006D50E5" w:rsidP="006D50E5">
      <w:pPr>
        <w:pStyle w:val="RKnormal"/>
      </w:pPr>
      <w:r>
        <w:t xml:space="preserve"> </w:t>
      </w:r>
    </w:p>
    <w:p w:rsidR="00C35B90" w:rsidRDefault="00C35B90" w:rsidP="00C35B90">
      <w:pPr>
        <w:pStyle w:val="RKnormal"/>
      </w:pPr>
      <w:r>
        <w:t>EU:s positiva inställning till att genomföra CBD:s strategi för resursmobilisering i linje med överenskommelsen vid COP 10 i Nagoya upprepas från rådslutsatserna 11 juni 2012</w:t>
      </w:r>
      <w:r w:rsidR="006D50E5">
        <w:t>. Särskilt betonas vikten</w:t>
      </w:r>
      <w:r>
        <w:t xml:space="preserve"> av att bredda finansierin</w:t>
      </w:r>
      <w:r w:rsidR="00825642">
        <w:t>g</w:t>
      </w:r>
      <w:r>
        <w:t>skällorna och motivera mottagarländer att prioritera biologisk mångfald och utveckla nationella finansieringsmekanismer. EU:s åtagande att fördubbla sin internationella finansiering av biologisk mångfald, som gjordes vid COP 11 (oktober 2012) och bekräftades av utrikesrådet 12 december 2013 upprepas</w:t>
      </w:r>
      <w:r w:rsidR="006D50E5">
        <w:t xml:space="preserve">. </w:t>
      </w:r>
      <w:r>
        <w:t>Inför förhandling om slutgiltiga mål för resursmobilisering vid COP 12 understryks vikten av samtliga preliminära mål som beslutades vid COP 11, dvs. inklusive mål för att inkludera biologisk mångfald i länders utvecklingsplaner och att underbygga dessa med kunskap om värdet av ekosystemtjänster. Det preliminära fördubblingsmålet föreslå</w:t>
      </w:r>
      <w:r w:rsidR="009A2B2B">
        <w:t>r man ska</w:t>
      </w:r>
      <w:r>
        <w:t xml:space="preserve"> bekräftas av COP 12 och betydelsen av att anta en robust baseline understryks fortsatt med hänvisning till beslutet vid COP 10.</w:t>
      </w:r>
    </w:p>
    <w:p w:rsidR="00C35B90" w:rsidRDefault="00C35B90" w:rsidP="00C35B90">
      <w:pPr>
        <w:pStyle w:val="RKnormal"/>
      </w:pPr>
    </w:p>
    <w:p w:rsidR="00C35B90" w:rsidRDefault="006D50E5" w:rsidP="00C35B90">
      <w:pPr>
        <w:pStyle w:val="RKnormal"/>
      </w:pPr>
      <w:r>
        <w:t>Rådet f</w:t>
      </w:r>
      <w:r w:rsidR="00C35B90">
        <w:t>ör</w:t>
      </w:r>
      <w:r>
        <w:t>e</w:t>
      </w:r>
      <w:r w:rsidR="00C35B90">
        <w:t>sl</w:t>
      </w:r>
      <w:r>
        <w:t>ås fokusera</w:t>
      </w:r>
      <w:r w:rsidR="00C35B90">
        <w:t xml:space="preserve"> på CBD:s möjlighet att bidra till förhandlingen under UNCLOS om att utveckla skyddet av djuphaven, genom att identifiera särskilt skyddsvärda områden (EBSA</w:t>
      </w:r>
      <w:r w:rsidR="00461F27">
        <w:t>s</w:t>
      </w:r>
      <w:r w:rsidR="00C35B90">
        <w:t xml:space="preserve">). </w:t>
      </w:r>
      <w:r w:rsidR="00EC5B51">
        <w:t xml:space="preserve">Detta kopplas </w:t>
      </w:r>
      <w:r w:rsidR="00461F27">
        <w:t>till åtagandet</w:t>
      </w:r>
      <w:r>
        <w:t xml:space="preserve"> i Aichimål 11 för att unde</w:t>
      </w:r>
      <w:r w:rsidR="00EC5B51">
        <w:t>r</w:t>
      </w:r>
      <w:r>
        <w:t xml:space="preserve">stryka </w:t>
      </w:r>
      <w:r w:rsidR="00C35B90">
        <w:t xml:space="preserve">att </w:t>
      </w:r>
      <w:r>
        <w:t>målet</w:t>
      </w:r>
      <w:r w:rsidR="00C35B90">
        <w:t xml:space="preserve"> innebär ett mandat för CBD att verka för skyddsåtgärder utanför nationell jurisdiktion. Förslaget tar även upp aktuella frågor på CBD-agendan såsom marint skräp, destruktiva fiskemetoder, havsförsurning, korallblekning och antropogent undervattensljud. Även kopplingen till klimatförändringen lyfts särskilt</w:t>
      </w:r>
      <w:r w:rsidR="009A2B2B" w:rsidRPr="009A2B2B">
        <w:t xml:space="preserve"> </w:t>
      </w:r>
      <w:r w:rsidR="009A2B2B">
        <w:t>fram</w:t>
      </w:r>
      <w:r w:rsidR="00C35B90">
        <w:t xml:space="preserve">, med hänvisning till Klimatpanelens rapport om </w:t>
      </w:r>
      <w:r w:rsidR="00C35B90" w:rsidRPr="009A2B2B">
        <w:rPr>
          <w:i/>
        </w:rPr>
        <w:t>Impacts, adaptation and vulnerability</w:t>
      </w:r>
      <w:r w:rsidR="00C35B90">
        <w:t>.</w:t>
      </w:r>
      <w:r>
        <w:t xml:space="preserve"> Vidare nämns att </w:t>
      </w:r>
      <w:r w:rsidR="00C35B90">
        <w:t xml:space="preserve">EU:s reformerade fiskeripolitik </w:t>
      </w:r>
      <w:r>
        <w:t>är före</w:t>
      </w:r>
      <w:r w:rsidR="00EC5B51">
        <w:t>n</w:t>
      </w:r>
      <w:r>
        <w:t>lig med Aichimålet om hållbart fiske</w:t>
      </w:r>
      <w:r w:rsidR="00C35B90">
        <w:t>.</w:t>
      </w:r>
    </w:p>
    <w:p w:rsidR="00C35B90" w:rsidRDefault="00C35B90" w:rsidP="00C35B90">
      <w:pPr>
        <w:pStyle w:val="RKnormal"/>
      </w:pPr>
    </w:p>
    <w:p w:rsidR="00C35B90" w:rsidRDefault="00013E52" w:rsidP="00C35B90">
      <w:pPr>
        <w:pStyle w:val="RKnormal"/>
      </w:pPr>
      <w:r>
        <w:t>EU</w:t>
      </w:r>
      <w:r w:rsidR="009A2B2B">
        <w:t xml:space="preserve"> </w:t>
      </w:r>
      <w:r w:rsidR="00C35B90">
        <w:t xml:space="preserve">föreslås dela med sig av erfarenheter från genomförandet av den lagstiftning om </w:t>
      </w:r>
      <w:r w:rsidR="006D50E5">
        <w:t xml:space="preserve">invasiva främmande arter </w:t>
      </w:r>
      <w:r w:rsidR="00C35B90">
        <w:t>som</w:t>
      </w:r>
      <w:r w:rsidR="009A2B2B">
        <w:t xml:space="preserve"> nyligen antagits</w:t>
      </w:r>
      <w:r w:rsidR="00C35B90">
        <w:t xml:space="preserve">. Dessutom föreslås att EU ska upprepa begäran till CBD-sekretariatet att ta fram en rapport om de viktigaste spridningsvägarna för </w:t>
      </w:r>
      <w:r w:rsidR="008D1B52">
        <w:t>invasiva främmande arter</w:t>
      </w:r>
      <w:r w:rsidR="00C35B90">
        <w:t>.</w:t>
      </w:r>
    </w:p>
    <w:p w:rsidR="00C35B90" w:rsidRDefault="00C35B90" w:rsidP="00C35B90">
      <w:pPr>
        <w:pStyle w:val="RKnormal"/>
      </w:pPr>
    </w:p>
    <w:p w:rsidR="00C35B90" w:rsidRDefault="00C35B90" w:rsidP="00C35B90">
      <w:pPr>
        <w:pStyle w:val="RKnormal"/>
      </w:pPr>
      <w:r>
        <w:t xml:space="preserve">EU:s mångåriga önskan om att öka effektiviteten i arbetet under konventionen reflekteras i linje med tidigare EU-positioner. Samverkan med utförare och med andra relevanta konventioner understryks, med fokus på dels Riokonventionerna, dels </w:t>
      </w:r>
      <w:r w:rsidR="00013E52">
        <w:t xml:space="preserve">konventioner om biologisk mångfald </w:t>
      </w:r>
      <w:r>
        <w:t xml:space="preserve">r och FN:s skogsforum. </w:t>
      </w:r>
      <w:r w:rsidR="003342FE">
        <w:t>EU</w:t>
      </w:r>
      <w:r>
        <w:t xml:space="preserve"> uttryck</w:t>
      </w:r>
      <w:r w:rsidR="009A2B2B">
        <w:t>er</w:t>
      </w:r>
      <w:r>
        <w:t xml:space="preserve"> djup oro över </w:t>
      </w:r>
      <w:r w:rsidR="009A2B2B">
        <w:t>k</w:t>
      </w:r>
      <w:r>
        <w:t xml:space="preserve">limatpanelens femte rapport om anpassning och sårbarhet och uppmana CBD:s parter att vidta åtgärder för att stärka synergier med </w:t>
      </w:r>
      <w:r w:rsidR="009A2B2B">
        <w:t>k</w:t>
      </w:r>
      <w:r>
        <w:t>limatkonventionen inklusive CBD:s rådgivning om sociala och miljömässiga säkerhetsåtgärder (safeguards) från COP 11.</w:t>
      </w:r>
    </w:p>
    <w:p w:rsidR="00C35B90" w:rsidRDefault="003342FE" w:rsidP="00C35B90">
      <w:pPr>
        <w:pStyle w:val="RKnormal"/>
      </w:pPr>
      <w:r>
        <w:t xml:space="preserve">Rådsslutsatserna </w:t>
      </w:r>
      <w:r w:rsidR="00C35B90">
        <w:t>ta</w:t>
      </w:r>
      <w:r>
        <w:t>r</w:t>
      </w:r>
      <w:r w:rsidR="00C35B90">
        <w:t xml:space="preserve"> särskild notis om förslaget från FN:s urfolksforum om att CBD bör ändra terminologin vid omnämnande av </w:t>
      </w:r>
      <w:r w:rsidR="00C35B90" w:rsidRPr="009A2B2B">
        <w:rPr>
          <w:i/>
        </w:rPr>
        <w:t>”Indigenous and local communities</w:t>
      </w:r>
      <w:r w:rsidR="00C35B90">
        <w:t>”, och istället använda termen</w:t>
      </w:r>
      <w:r w:rsidR="00C35B90" w:rsidRPr="009A2B2B">
        <w:rPr>
          <w:i/>
        </w:rPr>
        <w:t xml:space="preserve"> ”Indigenous peoples and local communities”,</w:t>
      </w:r>
      <w:r w:rsidR="00C35B90">
        <w:t xml:space="preserve"> något som bl.a. förekom vid </w:t>
      </w:r>
      <w:r w:rsidR="006D50E5">
        <w:t>toppmötet i</w:t>
      </w:r>
      <w:r w:rsidR="00C35B90">
        <w:t xml:space="preserve"> Rio</w:t>
      </w:r>
      <w:r w:rsidR="006D50E5">
        <w:t xml:space="preserve"> de Janeiro</w:t>
      </w:r>
      <w:r w:rsidR="00C35B90">
        <w:t xml:space="preserve"> 2012. </w:t>
      </w:r>
      <w:r w:rsidR="006D50E5">
        <w:t>Rådet</w:t>
      </w:r>
      <w:r w:rsidR="00C35B90">
        <w:t xml:space="preserve"> föreslås</w:t>
      </w:r>
      <w:r w:rsidR="006D50E5">
        <w:t xml:space="preserve"> </w:t>
      </w:r>
      <w:r w:rsidR="00C35B90">
        <w:t xml:space="preserve">betona att avsikten inte är att omförhandla konventionen eller dess protokoll och att EU ser fram emot den juridiska analys som </w:t>
      </w:r>
      <w:r w:rsidR="00B34F9D">
        <w:t>pågår</w:t>
      </w:r>
      <w:r w:rsidR="00C35B90">
        <w:t>.</w:t>
      </w:r>
    </w:p>
    <w:p w:rsidR="00C35B90" w:rsidRDefault="00C35B90" w:rsidP="00C35B90">
      <w:pPr>
        <w:pStyle w:val="RKnormal"/>
      </w:pPr>
    </w:p>
    <w:p w:rsidR="00B34F9D" w:rsidRDefault="00C35B90" w:rsidP="00C35B90">
      <w:pPr>
        <w:pStyle w:val="RKnormal"/>
      </w:pPr>
      <w:r>
        <w:t>Rådet föreslås välkomna arbetsprogram</w:t>
      </w:r>
      <w:r w:rsidR="00B34F9D">
        <w:t>met för Intergovernmental Platform on Biodiversity and Ecosystem Services</w:t>
      </w:r>
      <w:r>
        <w:t xml:space="preserve"> </w:t>
      </w:r>
      <w:r w:rsidR="00B34F9D">
        <w:t xml:space="preserve">(IPBES) </w:t>
      </w:r>
      <w:r>
        <w:t xml:space="preserve">och de utfästelser om finansiella stöd som gjorts samt uppmuntra ytterligare bidrag. </w:t>
      </w:r>
      <w:r w:rsidR="003342FE">
        <w:t xml:space="preserve">Enlig rådsslutsatserna </w:t>
      </w:r>
      <w:r>
        <w:t xml:space="preserve">föreslås </w:t>
      </w:r>
      <w:r w:rsidR="003342FE">
        <w:t xml:space="preserve">miljörådet </w:t>
      </w:r>
      <w:r>
        <w:t xml:space="preserve">även </w:t>
      </w:r>
      <w:r w:rsidR="005442D7">
        <w:t>uppmärksamma</w:t>
      </w:r>
      <w:r>
        <w:t xml:space="preserve"> IPBES möjlighet att understödja genomförandet av Aichimålen</w:t>
      </w:r>
      <w:r w:rsidR="00B34F9D">
        <w:t xml:space="preserve"> genom samverkan med CBD m.fl.</w:t>
      </w:r>
    </w:p>
    <w:p w:rsidR="00B34F9D" w:rsidRDefault="00B34F9D" w:rsidP="00B34F9D">
      <w:pPr>
        <w:pStyle w:val="Rubrik1"/>
      </w:pPr>
      <w:r>
        <w:t>Avsnitt II (Cartagenaprotokollet)</w:t>
      </w:r>
    </w:p>
    <w:p w:rsidR="009A2B2B" w:rsidRDefault="00185CC0" w:rsidP="009A2B2B">
      <w:pPr>
        <w:pStyle w:val="RKnormal"/>
      </w:pPr>
      <w:r>
        <w:t xml:space="preserve">Cartagenaprotokollet är ett protokoll under konventionen om biologisk mångfald. Protokollet trädde i kraft den 11 september 2003. Protokollet reglerar gränsöverskridande förflyttningar av genetiskt modifierade organismer (GMO). Reglerna ger parter möjligheter att kräva information om GMO som en annan part vill exportera till dem och säga nej till import om GMO bedöms kunna skada den biologiska mångfalden. </w:t>
      </w:r>
      <w:r w:rsidR="009A2B2B">
        <w:t xml:space="preserve">Protokollet reglerar även dokumentationskrav och utväxling av information. </w:t>
      </w:r>
    </w:p>
    <w:p w:rsidR="009A2B2B" w:rsidRDefault="009A2B2B" w:rsidP="009A2B2B">
      <w:pPr>
        <w:pStyle w:val="RKnormal"/>
      </w:pPr>
    </w:p>
    <w:p w:rsidR="00185CC0" w:rsidRDefault="00185CC0" w:rsidP="00185CC0">
      <w:pPr>
        <w:pStyle w:val="RKnormal"/>
      </w:pPr>
      <w:r>
        <w:t>Det femte partsmötet för Cartagenaprotokollet ägde rum den 11-15 oktober i Nagoya, Japan. Vid det mötet</w:t>
      </w:r>
      <w:r w:rsidR="009A2B2B">
        <w:t xml:space="preserve"> beslutade</w:t>
      </w:r>
      <w:r>
        <w:t xml:space="preserve"> parterna om en skadeståndsordning för protokollet (Kuala Lumpur Nagoya Protocol on Liability and Redress to the Cartagenaprotocol on Biosafety). Vidare antogs en strategisk plan för protokollet</w:t>
      </w:r>
      <w:r w:rsidR="009A2B2B">
        <w:t>s</w:t>
      </w:r>
      <w:r>
        <w:t xml:space="preserve"> arbete </w:t>
      </w:r>
      <w:r w:rsidR="009A2B2B">
        <w:t xml:space="preserve">för perioden </w:t>
      </w:r>
      <w:r>
        <w:t>2010-2020.</w:t>
      </w:r>
    </w:p>
    <w:p w:rsidR="00185CC0" w:rsidRDefault="00185CC0" w:rsidP="00185CC0">
      <w:pPr>
        <w:pStyle w:val="RKnormal"/>
      </w:pPr>
    </w:p>
    <w:p w:rsidR="00185CC0" w:rsidRDefault="00185CC0" w:rsidP="00185CC0">
      <w:pPr>
        <w:pStyle w:val="RKnormal"/>
      </w:pPr>
      <w:r>
        <w:t xml:space="preserve">Det sjunde partsmötet för Cartagenaprotokollet kommer äga rum i Peyongchang, Korea den 6 </w:t>
      </w:r>
      <w:r w:rsidR="009A2B2B">
        <w:t xml:space="preserve">- </w:t>
      </w:r>
      <w:r>
        <w:t xml:space="preserve">17 oktober 2014. Partsmötet kommer hantera frågor om kapacitetsbyggnad aktiviteter och socioekonomiska effekter av GMO. </w:t>
      </w:r>
    </w:p>
    <w:p w:rsidR="00185CC0" w:rsidRDefault="00185CC0" w:rsidP="00185CC0">
      <w:pPr>
        <w:pStyle w:val="RKnormal"/>
      </w:pPr>
    </w:p>
    <w:p w:rsidR="00185CC0" w:rsidRPr="00C93CD6" w:rsidRDefault="00185CC0" w:rsidP="00185CC0">
      <w:pPr>
        <w:pStyle w:val="RKnormal"/>
        <w:rPr>
          <w:b/>
          <w:i/>
        </w:rPr>
      </w:pPr>
      <w:r w:rsidRPr="00C93CD6">
        <w:rPr>
          <w:b/>
          <w:i/>
        </w:rPr>
        <w:t>Biosafety</w:t>
      </w:r>
    </w:p>
    <w:p w:rsidR="00185CC0" w:rsidRDefault="00185CC0" w:rsidP="00185CC0">
      <w:pPr>
        <w:pStyle w:val="RKnormal"/>
      </w:pPr>
      <w:r>
        <w:t>Rådslutsatserna välkomnar det arbete som gjort i de arbetsgrupper som verkar under Cartagenaprotokollet. Rådet uppmanar COP-MOP 7 att ta steg framåt vad gäller frågor om bl.a. den strategiska planen för 2011-2020, socioekonomi, implementering av riskhantering och riskbedömning, samt uppnå en realistisk budget för protokollet.</w:t>
      </w:r>
    </w:p>
    <w:p w:rsidR="00185CC0" w:rsidRDefault="00185CC0" w:rsidP="00185CC0">
      <w:pPr>
        <w:pStyle w:val="RKnormal"/>
      </w:pPr>
    </w:p>
    <w:p w:rsidR="00185CC0" w:rsidRDefault="00185CC0" w:rsidP="00185CC0">
      <w:pPr>
        <w:pStyle w:val="RKnormal"/>
      </w:pPr>
      <w:r>
        <w:t>Sverige har verkat för att rådslutsatserna är balanserade vad gäller frågan om kapacitetsbyggande aktiviteter och socioekonomiska effekter.</w:t>
      </w:r>
    </w:p>
    <w:p w:rsidR="00C35B90" w:rsidRDefault="00C35B90" w:rsidP="00B34F9D">
      <w:pPr>
        <w:pStyle w:val="Rubrik1"/>
      </w:pPr>
      <w:r>
        <w:t>Avsnitt III</w:t>
      </w:r>
      <w:r w:rsidR="00B34F9D">
        <w:t xml:space="preserve"> (Nagoyaprotokollet)</w:t>
      </w:r>
    </w:p>
    <w:p w:rsidR="0092081D" w:rsidRDefault="00B34F9D" w:rsidP="00C35B90">
      <w:pPr>
        <w:pStyle w:val="RKnormal"/>
      </w:pPr>
      <w:r>
        <w:t>Rå</w:t>
      </w:r>
      <w:r w:rsidR="003342FE">
        <w:t>dsslutsatserna</w:t>
      </w:r>
      <w:r>
        <w:t xml:space="preserve"> upprepa</w:t>
      </w:r>
      <w:r w:rsidR="003342FE">
        <w:t>r</w:t>
      </w:r>
      <w:r w:rsidR="00C35B90">
        <w:t xml:space="preserve"> EU:s åtagande att ratificera protokollet och bidra till förhandlingen om dess genomförande. Förslaget lyfter fram EU:s lagstiftning på området samt </w:t>
      </w:r>
      <w:r w:rsidR="003342FE">
        <w:t>medlemsstaterna</w:t>
      </w:r>
      <w:r w:rsidR="00C35B90">
        <w:t xml:space="preserve"> genomförandeåtgärder</w:t>
      </w:r>
      <w:r w:rsidR="003342FE">
        <w:t>. Medlemsstaterna</w:t>
      </w:r>
      <w:r w:rsidR="00C35B90">
        <w:t xml:space="preserve"> uppmanas att fortsätta sina ansträngningar för att ratificera protokollet. </w:t>
      </w:r>
    </w:p>
    <w:p w:rsidR="0092081D" w:rsidRDefault="0092081D">
      <w:pPr>
        <w:pStyle w:val="RKrubrik"/>
        <w:rPr>
          <w:i/>
          <w:iCs/>
        </w:rPr>
      </w:pPr>
      <w:r>
        <w:rPr>
          <w:i/>
          <w:iCs/>
        </w:rPr>
        <w:t>Gällande svenska regler och förslagets effekter på dessa</w:t>
      </w:r>
    </w:p>
    <w:p w:rsidR="00B34F9D" w:rsidRPr="00293AA8" w:rsidRDefault="00B34F9D" w:rsidP="00B34F9D">
      <w:pPr>
        <w:tabs>
          <w:tab w:val="left" w:pos="2835"/>
        </w:tabs>
        <w:spacing w:line="240" w:lineRule="atLeast"/>
      </w:pPr>
      <w:r w:rsidRPr="00293AA8">
        <w:t xml:space="preserve">Rådsslutsatser är inte rättsligt bindande. </w:t>
      </w:r>
    </w:p>
    <w:p w:rsidR="00B34F9D" w:rsidRDefault="00B34F9D" w:rsidP="00B34F9D">
      <w:pPr>
        <w:pStyle w:val="RKnormal"/>
      </w:pPr>
      <w:r w:rsidRPr="00521B56">
        <w:t xml:space="preserve">Förslaget </w:t>
      </w:r>
      <w:r w:rsidR="005442D7">
        <w:t xml:space="preserve">överensstämmer </w:t>
      </w:r>
      <w:r w:rsidRPr="00521B56">
        <w:t>med gällande svenska regler</w:t>
      </w:r>
      <w:r>
        <w:t xml:space="preserve"> som finns </w:t>
      </w:r>
      <w:r w:rsidRPr="00F72E66">
        <w:t>främst i Miljöbalken.</w:t>
      </w:r>
      <w:r>
        <w:t xml:space="preserve"> </w:t>
      </w:r>
    </w:p>
    <w:p w:rsidR="0092081D" w:rsidRDefault="0092081D">
      <w:pPr>
        <w:pStyle w:val="RKnormal"/>
      </w:pPr>
    </w:p>
    <w:p w:rsidR="0092081D" w:rsidRDefault="0092081D">
      <w:pPr>
        <w:pStyle w:val="RKrubrik"/>
      </w:pPr>
      <w:r>
        <w:lastRenderedPageBreak/>
        <w:t>Ekonomiska konsekvenser</w:t>
      </w:r>
    </w:p>
    <w:p w:rsidR="0092081D" w:rsidRDefault="003342FE">
      <w:pPr>
        <w:pStyle w:val="RKnormal"/>
      </w:pPr>
      <w:r>
        <w:t>Rådsslutsatserna</w:t>
      </w:r>
      <w:r w:rsidR="00B34F9D">
        <w:t xml:space="preserve"> upprepar</w:t>
      </w:r>
      <w:r w:rsidR="00B34F9D" w:rsidRPr="00521B56">
        <w:t xml:space="preserve"> </w:t>
      </w:r>
      <w:r w:rsidR="00B34F9D">
        <w:t>bland annat tidigare</w:t>
      </w:r>
      <w:r w:rsidR="00B34F9D" w:rsidRPr="00521B56">
        <w:t xml:space="preserve"> utfästelser om mobilisering</w:t>
      </w:r>
      <w:r w:rsidR="00B34F9D">
        <w:t xml:space="preserve"> av finansiella resurser</w:t>
      </w:r>
      <w:r w:rsidR="00B34F9D" w:rsidRPr="00521B56">
        <w:t xml:space="preserve">. Detta kan appliceras såväl på internationella finansiella flöden som på EU:s och Sveriges budget, men gäller även åtgärder för att underlätta flöden från privata </w:t>
      </w:r>
      <w:r w:rsidR="00B34F9D" w:rsidRPr="000C55AD">
        <w:t>källor samt att förbättra effektiviteten i användandet av tillgängliga resurser.</w:t>
      </w:r>
      <w:r w:rsidR="00B34F9D">
        <w:t xml:space="preserve"> </w:t>
      </w:r>
      <w:r w:rsidR="00B34F9D" w:rsidRPr="00521B56">
        <w:t>Utgångspunkten är att eventuella budgetära konsekvenser till följd av förslaget ska finansieras inom befintliga anslagsramar på statsbudgeten inom relevanta utgiftsområden, respektive EU:s budget.</w:t>
      </w:r>
    </w:p>
    <w:p w:rsidR="0092081D" w:rsidRDefault="0092081D">
      <w:pPr>
        <w:pStyle w:val="RKrubrik"/>
      </w:pPr>
      <w:r>
        <w:t>Övrigt</w:t>
      </w:r>
    </w:p>
    <w:p w:rsidR="000A1AB5" w:rsidRPr="000A1AB5" w:rsidRDefault="000A1AB5" w:rsidP="000A1AB5">
      <w:pPr>
        <w:pStyle w:val="RKnormal"/>
      </w:pPr>
      <w:r>
        <w:t>-</w:t>
      </w:r>
    </w:p>
    <w:p w:rsidR="0092081D" w:rsidRDefault="0092081D">
      <w:pPr>
        <w:pStyle w:val="RKnormal"/>
      </w:pPr>
    </w:p>
    <w:p w:rsidR="0092081D" w:rsidRDefault="0092081D">
      <w:pPr>
        <w:pStyle w:val="RKnormal"/>
        <w:rPr>
          <w:i/>
          <w:iCs/>
        </w:rPr>
      </w:pPr>
    </w:p>
    <w:p w:rsidR="0092081D" w:rsidRDefault="0092081D">
      <w:pPr>
        <w:pStyle w:val="RKnormal"/>
        <w:ind w:left="-1134"/>
      </w:pPr>
    </w:p>
    <w:p w:rsidR="006E4E11" w:rsidRDefault="006E4E11">
      <w:pPr>
        <w:pStyle w:val="RKrubrik"/>
        <w:spacing w:before="0" w:after="0"/>
      </w:pPr>
    </w:p>
    <w:p w:rsidR="006E4E11" w:rsidRDefault="006E4E11">
      <w:pPr>
        <w:pStyle w:val="RKnormal"/>
      </w:pP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F6C" w:rsidRDefault="00137F6C">
      <w:r>
        <w:separator/>
      </w:r>
    </w:p>
  </w:endnote>
  <w:endnote w:type="continuationSeparator" w:id="0">
    <w:p w:rsidR="00137F6C" w:rsidRDefault="0013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F6C" w:rsidRDefault="00137F6C">
      <w:r>
        <w:separator/>
      </w:r>
    </w:p>
  </w:footnote>
  <w:footnote w:type="continuationSeparator" w:id="0">
    <w:p w:rsidR="00137F6C" w:rsidRDefault="00137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83B59">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83B59">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81D" w:rsidRDefault="0092081D">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C17DF2"/>
    <w:rsid w:val="00003252"/>
    <w:rsid w:val="00006A81"/>
    <w:rsid w:val="00013E52"/>
    <w:rsid w:val="000855D1"/>
    <w:rsid w:val="000A1AB5"/>
    <w:rsid w:val="00137F6C"/>
    <w:rsid w:val="00147A22"/>
    <w:rsid w:val="00150384"/>
    <w:rsid w:val="00160901"/>
    <w:rsid w:val="001805B7"/>
    <w:rsid w:val="00185CC0"/>
    <w:rsid w:val="001A3B21"/>
    <w:rsid w:val="001A786B"/>
    <w:rsid w:val="00201C09"/>
    <w:rsid w:val="002A199E"/>
    <w:rsid w:val="002E7693"/>
    <w:rsid w:val="003342FE"/>
    <w:rsid w:val="00341FB2"/>
    <w:rsid w:val="00367B1C"/>
    <w:rsid w:val="00383B55"/>
    <w:rsid w:val="00384690"/>
    <w:rsid w:val="00401F84"/>
    <w:rsid w:val="004263F1"/>
    <w:rsid w:val="004603E9"/>
    <w:rsid w:val="004606DD"/>
    <w:rsid w:val="00461F27"/>
    <w:rsid w:val="00483B59"/>
    <w:rsid w:val="004A328D"/>
    <w:rsid w:val="004B28CC"/>
    <w:rsid w:val="004C15CF"/>
    <w:rsid w:val="00524EE7"/>
    <w:rsid w:val="005442D7"/>
    <w:rsid w:val="0056518F"/>
    <w:rsid w:val="0058762B"/>
    <w:rsid w:val="005A7D49"/>
    <w:rsid w:val="005C6F5A"/>
    <w:rsid w:val="005D656D"/>
    <w:rsid w:val="00665F29"/>
    <w:rsid w:val="00697D3F"/>
    <w:rsid w:val="006D50E5"/>
    <w:rsid w:val="006D7E73"/>
    <w:rsid w:val="006E4E11"/>
    <w:rsid w:val="006E50CD"/>
    <w:rsid w:val="006E5962"/>
    <w:rsid w:val="007242A3"/>
    <w:rsid w:val="00751DAB"/>
    <w:rsid w:val="007A6855"/>
    <w:rsid w:val="00825642"/>
    <w:rsid w:val="00826205"/>
    <w:rsid w:val="008D1B52"/>
    <w:rsid w:val="0092027A"/>
    <w:rsid w:val="0092081D"/>
    <w:rsid w:val="00955E31"/>
    <w:rsid w:val="00992E72"/>
    <w:rsid w:val="009A2B2B"/>
    <w:rsid w:val="009D7AB0"/>
    <w:rsid w:val="00A436F1"/>
    <w:rsid w:val="00AA213A"/>
    <w:rsid w:val="00AF26D1"/>
    <w:rsid w:val="00B06613"/>
    <w:rsid w:val="00B24F14"/>
    <w:rsid w:val="00B34F36"/>
    <w:rsid w:val="00B34F9D"/>
    <w:rsid w:val="00B63E77"/>
    <w:rsid w:val="00B746B6"/>
    <w:rsid w:val="00B951A1"/>
    <w:rsid w:val="00BD6330"/>
    <w:rsid w:val="00C17DF2"/>
    <w:rsid w:val="00C35B90"/>
    <w:rsid w:val="00D133D7"/>
    <w:rsid w:val="00D74BAC"/>
    <w:rsid w:val="00D837DB"/>
    <w:rsid w:val="00E03D32"/>
    <w:rsid w:val="00E80146"/>
    <w:rsid w:val="00E904D0"/>
    <w:rsid w:val="00EA6A71"/>
    <w:rsid w:val="00EB5BA3"/>
    <w:rsid w:val="00EC25F9"/>
    <w:rsid w:val="00EC5B51"/>
    <w:rsid w:val="00ED583F"/>
    <w:rsid w:val="00F74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7D7C6B-0E52-4170-921E-153BC652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7DF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7DF2"/>
    <w:rPr>
      <w:rFonts w:ascii="Tahoma" w:hAnsi="Tahoma" w:cs="Tahoma"/>
      <w:sz w:val="16"/>
      <w:szCs w:val="16"/>
      <w:lang w:eastAsia="en-US"/>
    </w:rPr>
  </w:style>
  <w:style w:type="character" w:customStyle="1" w:styleId="RKnormalChar">
    <w:name w:val="RKnormal Char"/>
    <w:link w:val="RKnormal"/>
    <w:rsid w:val="00B951A1"/>
    <w:rPr>
      <w:rFonts w:ascii="OrigGarmnd BT" w:hAnsi="OrigGarmnd BT"/>
      <w:sz w:val="24"/>
      <w:lang w:eastAsia="en-US"/>
    </w:rPr>
  </w:style>
  <w:style w:type="character" w:styleId="Kommentarsreferens">
    <w:name w:val="annotation reference"/>
    <w:basedOn w:val="Standardstycketeckensnitt"/>
    <w:rsid w:val="00F7490C"/>
    <w:rPr>
      <w:sz w:val="16"/>
      <w:szCs w:val="16"/>
    </w:rPr>
  </w:style>
  <w:style w:type="paragraph" w:styleId="Kommentarer">
    <w:name w:val="annotation text"/>
    <w:basedOn w:val="Normal"/>
    <w:link w:val="KommentarerChar"/>
    <w:rsid w:val="00F7490C"/>
    <w:pPr>
      <w:spacing w:line="240" w:lineRule="auto"/>
    </w:pPr>
    <w:rPr>
      <w:sz w:val="20"/>
    </w:rPr>
  </w:style>
  <w:style w:type="character" w:customStyle="1" w:styleId="KommentarerChar">
    <w:name w:val="Kommentarer Char"/>
    <w:basedOn w:val="Standardstycketeckensnitt"/>
    <w:link w:val="Kommentarer"/>
    <w:rsid w:val="00F7490C"/>
    <w:rPr>
      <w:rFonts w:ascii="OrigGarmnd BT" w:hAnsi="OrigGarmnd BT"/>
      <w:lang w:eastAsia="en-US"/>
    </w:rPr>
  </w:style>
  <w:style w:type="paragraph" w:styleId="Kommentarsmne">
    <w:name w:val="annotation subject"/>
    <w:basedOn w:val="Kommentarer"/>
    <w:next w:val="Kommentarer"/>
    <w:link w:val="KommentarsmneChar"/>
    <w:rsid w:val="00F7490C"/>
    <w:rPr>
      <w:b/>
      <w:bCs/>
    </w:rPr>
  </w:style>
  <w:style w:type="character" w:customStyle="1" w:styleId="KommentarsmneChar">
    <w:name w:val="Kommentarsämne Char"/>
    <w:basedOn w:val="KommentarerChar"/>
    <w:link w:val="Kommentarsmne"/>
    <w:rsid w:val="00F7490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ådspromemoria" ma:contentTypeID="0x01010053E1D612BA3F4E21AA250ECD751942B300289078A260FA4585B9F140A0D6A77E2900D9D99C3FB6AB5F45B949461393DB3D35" ma:contentTypeVersion="0" ma:contentTypeDescription="Dokumentmall för rådspromemoria." ma:contentTypeScope="" ma:versionID="a9d2b08c697c7ef4e460b31775b28dad">
  <xsd:schema xmlns:xsd="http://www.w3.org/2001/XMLSchema" xmlns:xs="http://www.w3.org/2001/XMLSchema" xmlns:p="http://schemas.microsoft.com/office/2006/metadata/properties" xmlns:ns2="891e5bf4-858d-4a4e-9b41-f5a045561a26" targetNamespace="http://schemas.microsoft.com/office/2006/metadata/properties" ma:root="true" ma:fieldsID="b9fe5172c5ac71456a0bd0cbaee48295" ns2:_="">
    <xsd:import namespace="891e5bf4-858d-4a4e-9b41-f5a045561a26"/>
    <xsd:element name="properties">
      <xsd:complexType>
        <xsd:sequence>
          <xsd:element name="documentManagement">
            <xsd:complexType>
              <xsd:all>
                <xsd:element ref="ns2:DepartementsenhetId" minOccurs="0"/>
                <xsd:element ref="ns2:AktivitetskategoriId"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e5bf4-858d-4a4e-9b41-f5a045561a26"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från RKDokument" ma:internalName="DepartementsenhetId">
      <xsd:simpleType>
        <xsd:restriction base="dms:Text"/>
      </xsd:simpleType>
    </xsd:element>
    <xsd:element name="AktivitetskategoriId" ma:index="9" nillable="true" ma:displayName="AktivitetskategoriId" ma:description="AktivitetskategoriId från RKDokument" ma:internalName="AktivitetskategoriId">
      <xsd:simpleType>
        <xsd:restriction base="dms:Text"/>
      </xsd:simpleType>
    </xsd:element>
    <xsd:element name="Status" ma:index="10" nillable="true" ma:displayName="Status på dokumentet" ma:description="Status på dokumentet" ma:internalName="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891e5bf4-858d-4a4e-9b41-f5a045561a26">Utkast</Status>
    <AktivitetskategoriId xmlns="891e5bf4-858d-4a4e-9b41-f5a045561a26">4.1. Europeiska unionen</AktivitetskategoriId>
    <DepartementsenhetId xmlns="891e5bf4-858d-4a4e-9b41-f5a045561a26">EU-representationen</Departementsenhe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704A-4AE1-4788-A177-D88C53E1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e5bf4-858d-4a4e-9b41-f5a045561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5CE1C-6CEA-4299-BD24-965ACD36FA8C}">
  <ds:schemaRefs>
    <ds:schemaRef ds:uri="http://schemas.microsoft.com/office/2006/metadata/properties"/>
    <ds:schemaRef ds:uri="http://schemas.microsoft.com/office/infopath/2007/PartnerControls"/>
    <ds:schemaRef ds:uri="891e5bf4-858d-4a4e-9b41-f5a045561a26"/>
  </ds:schemaRefs>
</ds:datastoreItem>
</file>

<file path=customXml/itemProps3.xml><?xml version="1.0" encoding="utf-8"?>
<ds:datastoreItem xmlns:ds="http://schemas.openxmlformats.org/officeDocument/2006/customXml" ds:itemID="{0909DADA-3604-433E-85A2-50615132A164}">
  <ds:schemaRefs>
    <ds:schemaRef ds:uri="http://schemas.microsoft.com/sharepoint/v3/contenttype/forms"/>
  </ds:schemaRefs>
</ds:datastoreItem>
</file>

<file path=customXml/itemProps4.xml><?xml version="1.0" encoding="utf-8"?>
<ds:datastoreItem xmlns:ds="http://schemas.openxmlformats.org/officeDocument/2006/customXml" ds:itemID="{9A792E40-695F-4C42-A21C-E2DB8A35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2045</Words>
  <Characters>13070</Characters>
  <Application>Microsoft Office Word</Application>
  <DocSecurity>4</DocSecurity>
  <Lines>311</Lines>
  <Paragraphs>64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Berg</dc:creator>
  <cp:lastModifiedBy>Johan Eriksson</cp:lastModifiedBy>
  <cp:revision>2</cp:revision>
  <cp:lastPrinted>2014-06-02T07:19:00Z</cp:lastPrinted>
  <dcterms:created xsi:type="dcterms:W3CDTF">2014-06-02T07:20:00Z</dcterms:created>
  <dcterms:modified xsi:type="dcterms:W3CDTF">2014-06-02T07:20:00Z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0x01010053E1D612BA3F4E21AA250ECD751942B300289078A260FA4585B9F140A0D6A77E2900D9D99C3FB6AB5F45B949461393DB3D35</vt:lpwstr>
  </property>
</Properties>
</file>