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A7" w:rsidRPr="002777FA" w:rsidRDefault="00361CA7" w:rsidP="002777FA">
      <w:pPr>
        <w:framePr w:w="3119" w:h="1406" w:hRule="exact" w:wrap="around" w:vAnchor="page" w:hAnchor="page" w:x="1305" w:y="511"/>
        <w:tabs>
          <w:tab w:val="left" w:pos="142"/>
        </w:tabs>
        <w:spacing w:before="360"/>
        <w:ind w:left="113"/>
        <w:rPr>
          <w:rFonts w:ascii="TradeGothic" w:hAnsi="TradeGothic"/>
          <w:b/>
          <w:sz w:val="22"/>
        </w:rPr>
      </w:pPr>
      <w:bookmarkStart w:id="0" w:name="logo"/>
      <w:bookmarkEnd w:id="0"/>
      <w:r w:rsidRPr="002777FA">
        <w:rPr>
          <w:rFonts w:ascii="TradeGothic" w:hAnsi="TradeGothic"/>
          <w:b/>
          <w:sz w:val="22"/>
        </w:rPr>
        <w:t>REGERINGSKANSLIET</w:t>
      </w:r>
    </w:p>
    <w:p w:rsidR="00361CA7" w:rsidRPr="002777FA" w:rsidRDefault="00361CA7" w:rsidP="002777FA">
      <w:pPr>
        <w:framePr w:w="3119" w:h="1406" w:hRule="exact" w:wrap="around" w:vAnchor="page" w:hAnchor="page" w:x="1305" w:y="511"/>
        <w:tabs>
          <w:tab w:val="left" w:pos="142"/>
        </w:tabs>
        <w:ind w:left="113"/>
        <w:rPr>
          <w:rFonts w:ascii="TradeGothic" w:hAnsi="TradeGothic"/>
          <w:b/>
          <w:sz w:val="22"/>
        </w:rPr>
      </w:pPr>
      <w:r w:rsidRPr="002777FA">
        <w:rPr>
          <w:rFonts w:ascii="TradeGothic" w:hAnsi="TradeGothic"/>
          <w:b/>
          <w:sz w:val="22"/>
        </w:rPr>
        <w:t>Utrikesdepartementet</w:t>
      </w:r>
    </w:p>
    <w:tbl>
      <w:tblPr>
        <w:tblW w:w="5245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15"/>
        <w:gridCol w:w="3230"/>
      </w:tblGrid>
      <w:tr w:rsidR="00361CA7" w:rsidRPr="002777FA" w:rsidTr="00AA727E">
        <w:tc>
          <w:tcPr>
            <w:tcW w:w="1871" w:type="dxa"/>
          </w:tcPr>
          <w:p w:rsidR="00361CA7" w:rsidRPr="002777FA" w:rsidRDefault="00361CA7" w:rsidP="007D3248">
            <w:pPr>
              <w:pStyle w:val="Brdtexthuvud"/>
              <w:framePr w:w="0" w:hRule="auto" w:hSpace="0" w:wrap="around" w:x="6601" w:y="568"/>
            </w:pPr>
            <w:bookmarkStart w:id="1" w:name="UDkoncept"/>
            <w:bookmarkEnd w:id="1"/>
          </w:p>
        </w:tc>
        <w:tc>
          <w:tcPr>
            <w:tcW w:w="2999" w:type="dxa"/>
          </w:tcPr>
          <w:p w:rsidR="00361CA7" w:rsidRPr="002777FA" w:rsidRDefault="00361CA7" w:rsidP="007D3248">
            <w:pPr>
              <w:pStyle w:val="Brdtexthuvud"/>
              <w:framePr w:w="0" w:hRule="auto" w:hSpace="0" w:wrap="around" w:x="6601" w:y="568"/>
            </w:pPr>
            <w:bookmarkStart w:id="2" w:name="UDsidan"/>
            <w:bookmarkEnd w:id="2"/>
          </w:p>
        </w:tc>
      </w:tr>
      <w:tr w:rsidR="00361CA7" w:rsidRPr="002777FA" w:rsidTr="00AA727E">
        <w:tc>
          <w:tcPr>
            <w:tcW w:w="1871" w:type="dxa"/>
          </w:tcPr>
          <w:p w:rsidR="00361CA7" w:rsidRPr="002777FA" w:rsidRDefault="00361CA7" w:rsidP="007D3248">
            <w:pPr>
              <w:pStyle w:val="Brdtexthuvud"/>
              <w:framePr w:w="0" w:hRule="auto" w:hSpace="0" w:wrap="around" w:x="6601" w:y="568"/>
              <w:rPr>
                <w:rFonts w:ascii="TradeGothic" w:hAnsi="TradeGothic"/>
                <w:b/>
                <w:sz w:val="22"/>
              </w:rPr>
            </w:pPr>
            <w:bookmarkStart w:id="3" w:name="UDdokname"/>
            <w:bookmarkEnd w:id="3"/>
            <w:r w:rsidRPr="002777FA">
              <w:rPr>
                <w:rFonts w:ascii="TradeGothic" w:hAnsi="TradeGothic"/>
                <w:b/>
                <w:sz w:val="22"/>
              </w:rPr>
              <w:t>Arbetspapper</w:t>
            </w:r>
          </w:p>
        </w:tc>
        <w:tc>
          <w:tcPr>
            <w:tcW w:w="2999" w:type="dxa"/>
          </w:tcPr>
          <w:p w:rsidR="00361CA7" w:rsidRPr="002777FA" w:rsidRDefault="00361CA7" w:rsidP="007D3248">
            <w:pPr>
              <w:pStyle w:val="Brdtexthuvud"/>
              <w:framePr w:w="0" w:hRule="auto" w:hSpace="0" w:wrap="around" w:x="6601" w:y="568"/>
            </w:pPr>
            <w:bookmarkStart w:id="4" w:name="UDnr"/>
            <w:bookmarkEnd w:id="4"/>
          </w:p>
        </w:tc>
      </w:tr>
      <w:tr w:rsidR="00361CA7" w:rsidRPr="002777FA" w:rsidTr="00AA727E">
        <w:tc>
          <w:tcPr>
            <w:tcW w:w="1871" w:type="dxa"/>
          </w:tcPr>
          <w:p w:rsidR="00361CA7" w:rsidRPr="002777FA" w:rsidRDefault="00361CA7" w:rsidP="007D3248">
            <w:pPr>
              <w:pStyle w:val="Brdtexthuvud"/>
              <w:framePr w:w="0" w:hRule="auto" w:hSpace="0" w:wrap="around" w:x="6601" w:y="568"/>
            </w:pPr>
          </w:p>
        </w:tc>
        <w:tc>
          <w:tcPr>
            <w:tcW w:w="2999" w:type="dxa"/>
          </w:tcPr>
          <w:p w:rsidR="00361CA7" w:rsidRPr="002777FA" w:rsidRDefault="00361CA7" w:rsidP="007D3248">
            <w:pPr>
              <w:pStyle w:val="Brdtexthuvud"/>
              <w:framePr w:w="0" w:hRule="auto" w:hSpace="0" w:wrap="around" w:x="6601" w:y="568"/>
            </w:pPr>
          </w:p>
        </w:tc>
      </w:tr>
      <w:tr w:rsidR="00361CA7" w:rsidRPr="002777FA" w:rsidTr="00AA727E">
        <w:tc>
          <w:tcPr>
            <w:tcW w:w="1871" w:type="dxa"/>
          </w:tcPr>
          <w:p w:rsidR="00361CA7" w:rsidRPr="002777FA" w:rsidRDefault="00361CA7" w:rsidP="007D3248">
            <w:pPr>
              <w:pStyle w:val="Brdtexthuvud"/>
              <w:framePr w:w="0" w:hRule="auto" w:hSpace="0" w:wrap="around" w:x="6601" w:y="568"/>
            </w:pPr>
            <w:bookmarkStart w:id="5" w:name="UDdatum"/>
            <w:r w:rsidRPr="002777FA">
              <w:t>2012-11-16</w:t>
            </w:r>
            <w:bookmarkEnd w:id="5"/>
          </w:p>
        </w:tc>
        <w:tc>
          <w:tcPr>
            <w:tcW w:w="2999" w:type="dxa"/>
          </w:tcPr>
          <w:p w:rsidR="00361CA7" w:rsidRPr="002777FA" w:rsidRDefault="00361CA7" w:rsidP="007D3248">
            <w:pPr>
              <w:pStyle w:val="Brdtexthuvud"/>
              <w:framePr w:w="0" w:hRule="auto" w:hSpace="0" w:wrap="around" w:x="6601" w:y="568"/>
              <w:rPr>
                <w:sz w:val="20"/>
              </w:rPr>
            </w:pPr>
            <w:bookmarkStart w:id="6" w:name="UDdnr"/>
            <w:bookmarkEnd w:id="6"/>
          </w:p>
          <w:p w:rsidR="00361CA7" w:rsidRPr="002777FA" w:rsidRDefault="00361CA7" w:rsidP="007D3248">
            <w:pPr>
              <w:pStyle w:val="Brdtexthuvud"/>
              <w:framePr w:w="0" w:hRule="auto" w:hSpace="0" w:wrap="around" w:x="6601" w:y="568"/>
              <w:rPr>
                <w:sz w:val="20"/>
              </w:rPr>
            </w:pPr>
            <w:bookmarkStart w:id="7" w:name="UDskrivnr"/>
            <w:bookmarkEnd w:id="7"/>
          </w:p>
          <w:p w:rsidR="00361CA7" w:rsidRPr="002777FA" w:rsidRDefault="00361CA7" w:rsidP="007D3248">
            <w:pPr>
              <w:pStyle w:val="Brdtexthuvud"/>
              <w:framePr w:w="0" w:hRule="auto" w:hSpace="0" w:wrap="around" w:x="6601" w:y="568"/>
            </w:pPr>
          </w:p>
        </w:tc>
      </w:tr>
    </w:tbl>
    <w:p w:rsidR="00361CA7" w:rsidRPr="002777FA" w:rsidRDefault="00361CA7">
      <w:pPr>
        <w:pStyle w:val="Brdtext1"/>
        <w:spacing w:line="120" w:lineRule="exact"/>
        <w:ind w:firstLine="2127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60"/>
        <w:gridCol w:w="4763"/>
      </w:tblGrid>
      <w:tr w:rsidR="00361CA7" w:rsidRPr="002777FA">
        <w:tc>
          <w:tcPr>
            <w:tcW w:w="5160" w:type="dxa"/>
          </w:tcPr>
          <w:p w:rsidR="00361CA7" w:rsidRPr="002777FA" w:rsidRDefault="00361CA7" w:rsidP="00B92149">
            <w:pPr>
              <w:pStyle w:val="Namnenhet"/>
              <w:framePr w:wrap="notBeside" w:vAnchor="page" w:y="2382"/>
            </w:pPr>
            <w:bookmarkStart w:id="8" w:name="UDdepartement"/>
            <w:bookmarkStart w:id="9" w:name="UDminister"/>
            <w:bookmarkStart w:id="10" w:name="UDland"/>
            <w:bookmarkStart w:id="11" w:name="UDenhet"/>
            <w:bookmarkStart w:id="12" w:name="UDchefenhet"/>
            <w:bookmarkEnd w:id="8"/>
            <w:bookmarkEnd w:id="9"/>
            <w:bookmarkEnd w:id="10"/>
            <w:bookmarkEnd w:id="11"/>
            <w:bookmarkEnd w:id="12"/>
            <w:r w:rsidRPr="002777FA">
              <w:t>Mellanöstern- och Nordafrikaenheten (UD MENA)</w:t>
            </w:r>
          </w:p>
          <w:p w:rsidR="00361CA7" w:rsidRPr="002777FA" w:rsidRDefault="00361CA7" w:rsidP="00B92149">
            <w:pPr>
              <w:pStyle w:val="Namnenhet"/>
              <w:framePr w:wrap="notBeside" w:vAnchor="page" w:y="2382"/>
            </w:pPr>
            <w:bookmarkStart w:id="13" w:name="UDnamn"/>
            <w:bookmarkEnd w:id="13"/>
            <w:r w:rsidRPr="002777FA">
              <w:t>Sahar Arfazadeh Roudsari</w:t>
            </w:r>
          </w:p>
          <w:p w:rsidR="00361CA7" w:rsidRPr="002777FA" w:rsidRDefault="00361CA7" w:rsidP="00B92149">
            <w:pPr>
              <w:pStyle w:val="Namnenhet"/>
              <w:framePr w:wrap="notBeside" w:vAnchor="page" w:y="2382"/>
              <w:rPr>
                <w:rFonts w:ascii="OrigGarmnd BT" w:hAnsi="OrigGarmnd BT"/>
                <w:i w:val="0"/>
                <w:sz w:val="20"/>
              </w:rPr>
            </w:pPr>
            <w:bookmarkStart w:id="14" w:name="UDtelefon"/>
            <w:bookmarkStart w:id="15" w:name="UDdelges"/>
            <w:bookmarkEnd w:id="14"/>
            <w:bookmarkEnd w:id="15"/>
          </w:p>
          <w:p w:rsidR="00361CA7" w:rsidRPr="002777FA" w:rsidRDefault="00361CA7" w:rsidP="00B92149">
            <w:pPr>
              <w:pStyle w:val="Namnenhet"/>
              <w:framePr w:wrap="notBeside" w:vAnchor="page" w:y="2382"/>
              <w:rPr>
                <w:rFonts w:ascii="OrigGarmnd BT" w:hAnsi="OrigGarmnd BT"/>
                <w:i w:val="0"/>
                <w:sz w:val="20"/>
              </w:rPr>
            </w:pPr>
          </w:p>
          <w:p w:rsidR="00361CA7" w:rsidRPr="002777FA" w:rsidRDefault="00361CA7" w:rsidP="00B92149">
            <w:pPr>
              <w:pStyle w:val="Depnamn"/>
              <w:framePr w:h="2183" w:wrap="notBeside" w:vAnchor="page" w:hAnchor="page" w:x="1447" w:y="2382"/>
            </w:pPr>
            <w:bookmarkStart w:id="16" w:name="UDendruta"/>
            <w:bookmarkEnd w:id="16"/>
          </w:p>
        </w:tc>
        <w:tc>
          <w:tcPr>
            <w:tcW w:w="4763" w:type="dxa"/>
          </w:tcPr>
          <w:p w:rsidR="00361CA7" w:rsidRPr="002777FA" w:rsidRDefault="00361CA7" w:rsidP="00B92149">
            <w:pPr>
              <w:pStyle w:val="Brdtext1"/>
              <w:framePr w:h="2183" w:wrap="notBeside" w:vAnchor="page" w:hAnchor="page" w:x="1447" w:y="2382"/>
            </w:pPr>
            <w:bookmarkStart w:id="17" w:name="UDmottagare"/>
            <w:bookmarkEnd w:id="17"/>
          </w:p>
          <w:p w:rsidR="00361CA7" w:rsidRPr="002777FA" w:rsidRDefault="00361CA7" w:rsidP="00B92149">
            <w:pPr>
              <w:pStyle w:val="Brdtext1"/>
              <w:framePr w:h="2183" w:wrap="notBeside" w:vAnchor="page" w:hAnchor="page" w:x="1447" w:y="2382"/>
              <w:ind w:right="-425"/>
            </w:pPr>
          </w:p>
        </w:tc>
      </w:tr>
    </w:tbl>
    <w:p w:rsidR="00361CA7" w:rsidRPr="002777FA" w:rsidRDefault="00361CA7">
      <w:pPr>
        <w:pStyle w:val="Brdtext1"/>
      </w:pPr>
      <w:bookmarkStart w:id="18" w:name="UDfaxmottagare"/>
      <w:bookmarkStart w:id="19" w:name="UDtext"/>
      <w:bookmarkEnd w:id="18"/>
      <w:bookmarkEnd w:id="19"/>
    </w:p>
    <w:p w:rsidR="00361CA7" w:rsidRPr="002777FA" w:rsidRDefault="00361CA7" w:rsidP="002777FA">
      <w:pPr>
        <w:pStyle w:val="UDrubrik"/>
        <w:pBdr>
          <w:bottom w:val="single" w:sz="6" w:space="1" w:color="auto"/>
        </w:pBdr>
      </w:pPr>
      <w:bookmarkStart w:id="20" w:name="UDrubrik"/>
      <w:bookmarkEnd w:id="20"/>
      <w:r w:rsidRPr="002777FA">
        <w:t>EU-Israel ACAA: Agreement on Conformity Assessment and Acceptance of Industrial Products</w:t>
      </w:r>
    </w:p>
    <w:p w:rsidR="00361CA7" w:rsidRDefault="00361CA7">
      <w:pPr>
        <w:pStyle w:val="Brdtext1"/>
        <w:rPr>
          <w:b/>
        </w:rPr>
      </w:pPr>
      <w:bookmarkStart w:id="21" w:name="UDbilaga"/>
      <w:bookmarkEnd w:id="21"/>
    </w:p>
    <w:p w:rsidR="00361CA7" w:rsidRDefault="00361CA7">
      <w:pPr>
        <w:pStyle w:val="Brdtext1"/>
        <w:rPr>
          <w:b/>
        </w:rPr>
      </w:pPr>
      <w:r>
        <w:rPr>
          <w:b/>
        </w:rPr>
        <w:t>Ärendet</w:t>
      </w:r>
    </w:p>
    <w:p w:rsidR="00361CA7" w:rsidRDefault="00361CA7" w:rsidP="002777FA">
      <w:pPr>
        <w:pStyle w:val="Brdtext1"/>
      </w:pPr>
      <w:r>
        <w:t>Avtalet med Israel om industrivaror (</w:t>
      </w:r>
      <w:r w:rsidRPr="00F16303">
        <w:t>Agreement on Conformity Assessment and Acceptance of products</w:t>
      </w:r>
      <w:r>
        <w:t>) skrevs under av rådet den 6 maj 2010 och godkändes av Europaparlamentet den 23 oktober 2012. Enligt etablerad procedur ska nu avtalet tas upp i COREPER inför rådets beslut om ingående av avtal</w:t>
      </w:r>
      <w:bookmarkStart w:id="22" w:name="_GoBack"/>
      <w:bookmarkEnd w:id="22"/>
      <w:r>
        <w:t>.</w:t>
      </w:r>
    </w:p>
    <w:p w:rsidR="00361CA7" w:rsidRPr="002777FA" w:rsidRDefault="00361CA7">
      <w:pPr>
        <w:pStyle w:val="Brdtext1"/>
      </w:pPr>
    </w:p>
    <w:p w:rsidR="00361CA7" w:rsidRPr="002777FA" w:rsidRDefault="00361CA7">
      <w:pPr>
        <w:pStyle w:val="Brdtext1"/>
        <w:rPr>
          <w:b/>
        </w:rPr>
      </w:pPr>
      <w:r w:rsidRPr="002777FA">
        <w:rPr>
          <w:b/>
        </w:rPr>
        <w:t>Bakgrund</w:t>
      </w:r>
    </w:p>
    <w:p w:rsidR="00361CA7" w:rsidRDefault="00361CA7" w:rsidP="002777FA">
      <w:pPr>
        <w:pStyle w:val="Brdtext1"/>
      </w:pPr>
      <w:r>
        <w:t xml:space="preserve">Avtalet utgör ett tilläggsprotokoll till associeringsavtalet mellan EU och Israel och är en del av den gemensamma grannskapspolitiken (ENP). Avtalet ingår i den nuvarande handlingsplanen som fastställdes 2005 och utgör således inte någon uppgradering av EU:s relationer med Israel. </w:t>
      </w:r>
    </w:p>
    <w:p w:rsidR="00361CA7" w:rsidRDefault="00361CA7" w:rsidP="002777FA">
      <w:pPr>
        <w:pStyle w:val="Brdtext1"/>
      </w:pPr>
    </w:p>
    <w:p w:rsidR="00361CA7" w:rsidRDefault="00361CA7" w:rsidP="002777FA">
      <w:pPr>
        <w:pStyle w:val="Brdtext1"/>
      </w:pPr>
      <w:r>
        <w:t xml:space="preserve">Avtalet innebär att Israel sektorsvis ska anpassa sig till EG-lagstiftningen och få rätt att godkänna varor för EG:s marknad. I  nuläget ingår en bilaga i form av ett läkemedelsavtal. </w:t>
      </w:r>
    </w:p>
    <w:p w:rsidR="00361CA7" w:rsidRDefault="00361CA7">
      <w:pPr>
        <w:pStyle w:val="Brdtext1"/>
      </w:pPr>
    </w:p>
    <w:p w:rsidR="00361CA7" w:rsidRDefault="00361CA7" w:rsidP="002777FA">
      <w:pPr>
        <w:pStyle w:val="Brdtext1"/>
      </w:pPr>
      <w:r>
        <w:t xml:space="preserve">Avtalet innehåller ett ramavtal om erkännande av produktgodkännanden i två olika utformningar, den ena inom harmoniserat område, den andra inom icke harmoniserat område (ett slags EES-lösning sektor för sektor). Dessutom ingår en bilaga i form av ett läkemedelsavtal (harmoniserat område). </w:t>
      </w:r>
    </w:p>
    <w:p w:rsidR="00361CA7" w:rsidRDefault="00361CA7" w:rsidP="002777FA">
      <w:pPr>
        <w:pStyle w:val="Brdtext1"/>
      </w:pPr>
    </w:p>
    <w:p w:rsidR="00361CA7" w:rsidRPr="002777FA" w:rsidRDefault="00361CA7">
      <w:pPr>
        <w:pStyle w:val="Brdtext1"/>
      </w:pPr>
    </w:p>
    <w:sectPr w:rsidR="00361CA7" w:rsidRPr="002777FA" w:rsidSect="00A156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529" w:right="1797" w:bottom="1418" w:left="2835" w:header="851" w:footer="11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CA7" w:rsidRDefault="00361CA7">
      <w:r>
        <w:separator/>
      </w:r>
    </w:p>
  </w:endnote>
  <w:endnote w:type="continuationSeparator" w:id="0">
    <w:p w:rsidR="00361CA7" w:rsidRDefault="00361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A7" w:rsidRDefault="00361C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A7" w:rsidRDefault="00361CA7">
    <w:pPr>
      <w:pStyle w:val="Footer"/>
      <w:spacing w:line="160" w:lineRule="exact"/>
      <w:rPr>
        <w:rFonts w:ascii="TradeGothic" w:hAnsi="TradeGothic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A7" w:rsidRPr="002777FA" w:rsidRDefault="00361CA7">
    <w:pPr>
      <w:pStyle w:val="Footer"/>
      <w:spacing w:line="20" w:lineRule="exac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CA7" w:rsidRDefault="00361CA7">
      <w:r>
        <w:separator/>
      </w:r>
    </w:p>
  </w:footnote>
  <w:footnote w:type="continuationSeparator" w:id="0">
    <w:p w:rsidR="00361CA7" w:rsidRDefault="00361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A7" w:rsidRDefault="00361C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A7" w:rsidRDefault="00361CA7">
    <w:pPr>
      <w:pStyle w:val="Header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1656"/>
      <w:rPr>
        <w:sz w:val="22"/>
      </w:rPr>
    </w:pPr>
    <w:bookmarkStart w:id="23" w:name="UDsidan2"/>
    <w:bookmarkEnd w:id="23"/>
    <w:r>
      <w:rPr>
        <w:rFonts w:ascii="TradeGothic" w:hAnsi="TradeGothic"/>
        <w:b/>
        <w:sz w:val="22"/>
      </w:rPr>
      <w:t>Utrikesdepartementet</w:t>
    </w:r>
    <w:r>
      <w:tab/>
    </w:r>
    <w:bookmarkStart w:id="24" w:name="UDsidan2doknamn"/>
    <w:bookmarkEnd w:id="24"/>
    <w:r>
      <w:rPr>
        <w:rFonts w:ascii="TradeGothic" w:hAnsi="TradeGothic"/>
        <w:b/>
        <w:sz w:val="22"/>
      </w:rPr>
      <w:t>Arbetspapper</w:t>
    </w:r>
    <w:r>
      <w:rPr>
        <w:sz w:val="22"/>
      </w:rPr>
      <w:tab/>
    </w:r>
    <w:r>
      <w:rPr>
        <w:sz w:val="22"/>
      </w:rPr>
      <w:tab/>
    </w:r>
    <w:r>
      <w:rPr>
        <w:sz w:val="22"/>
      </w:rPr>
      <w:fldChar w:fldCharType="begin"/>
    </w:r>
    <w:r>
      <w:rPr>
        <w:sz w:val="22"/>
      </w:rPr>
      <w:instrText xml:space="preserve"> PAGE  \* MERGEFORMAT </w:instrText>
    </w:r>
    <w:r>
      <w:rPr>
        <w:sz w:val="22"/>
      </w:rPr>
      <w:fldChar w:fldCharType="separate"/>
    </w:r>
    <w:r>
      <w:rPr>
        <w:noProof/>
        <w:sz w:val="22"/>
      </w:rPr>
      <w:t>2</w:t>
    </w:r>
    <w:r>
      <w:rPr>
        <w:sz w:val="22"/>
      </w:rPr>
      <w:fldChar w:fldCharType="end"/>
    </w:r>
    <w:r>
      <w:rPr>
        <w:sz w:val="22"/>
      </w:rPr>
      <w:t>(</w:t>
    </w:r>
    <w:fldSimple w:instr=" NUMPAGES  \* MERGEFORMAT ">
      <w:r>
        <w:rPr>
          <w:noProof/>
          <w:sz w:val="22"/>
        </w:rPr>
        <w:t>1</w:t>
      </w:r>
    </w:fldSimple>
    <w:r>
      <w:rPr>
        <w:sz w:val="22"/>
      </w:rPr>
      <w:t>)</w:t>
    </w:r>
  </w:p>
  <w:p w:rsidR="00361CA7" w:rsidRDefault="00361CA7">
    <w:pPr>
      <w:pStyle w:val="Header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1656"/>
      <w:rPr>
        <w:sz w:val="22"/>
      </w:rPr>
    </w:pPr>
    <w:bookmarkStart w:id="25" w:name="UDsidan22"/>
    <w:bookmarkEnd w:id="25"/>
    <w:r>
      <w:rPr>
        <w:sz w:val="22"/>
      </w:rPr>
      <w:tab/>
    </w:r>
    <w:r>
      <w:rPr>
        <w:sz w:val="22"/>
      </w:rPr>
      <w:tab/>
    </w:r>
  </w:p>
  <w:p w:rsidR="00361CA7" w:rsidRPr="002777FA" w:rsidRDefault="00361CA7">
    <w:pPr>
      <w:pStyle w:val="Header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1656"/>
      <w:rPr>
        <w:sz w:val="22"/>
      </w:rPr>
    </w:pPr>
    <w:r>
      <w:rPr>
        <w:noProof/>
        <w:lang w:eastAsia="sv-SE"/>
      </w:rPr>
      <w:pict>
        <v:line id="Line 1" o:spid="_x0000_s2049" style="position:absolute;left:0;text-align:left;z-index:251660288;visibility:visible;mso-position-horizontal-relative:page" from="70.9pt,17.45pt" to="561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" o:allowincell="f" strokeweight=".25pt">
          <v:stroke startarrowwidth="narrow" startarrowlength="short" endarrowwidth="narrow" endarrowlength="short"/>
          <w10:wrap anchorx="page"/>
        </v:line>
      </w:pict>
    </w:r>
    <w:r>
      <w:rPr>
        <w:sz w:val="22"/>
      </w:rPr>
      <w:tab/>
    </w:r>
    <w:bookmarkStart w:id="26" w:name="UDsidan2datum"/>
    <w:bookmarkEnd w:id="26"/>
    <w:r w:rsidRPr="002777FA">
      <w:rPr>
        <w:sz w:val="22"/>
      </w:rPr>
      <w:fldChar w:fldCharType="begin"/>
    </w:r>
    <w:r w:rsidRPr="002777FA">
      <w:rPr>
        <w:sz w:val="22"/>
      </w:rPr>
      <w:instrText xml:space="preserve"> REF UDdatum \* MERGEFORMAT </w:instrText>
    </w:r>
    <w:r w:rsidRPr="002777FA">
      <w:rPr>
        <w:sz w:val="22"/>
      </w:rPr>
      <w:fldChar w:fldCharType="separate"/>
    </w:r>
    <w:r w:rsidRPr="002777FA">
      <w:rPr>
        <w:sz w:val="22"/>
      </w:rPr>
      <w:t>2012-11-16</w:t>
    </w:r>
    <w:r w:rsidRPr="002777FA">
      <w:rPr>
        <w:sz w:val="22"/>
      </w:rPr>
      <w:fldChar w:fldCharType="end"/>
    </w:r>
    <w:r w:rsidRPr="002777FA">
      <w:rPr>
        <w:sz w:val="22"/>
      </w:rPr>
      <w:tab/>
    </w:r>
    <w:bookmarkStart w:id="27" w:name="UDsidan2doss"/>
    <w:bookmarkEnd w:id="27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CA7" w:rsidRPr="002777FA" w:rsidRDefault="00361C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7FA"/>
    <w:rsid w:val="0006464A"/>
    <w:rsid w:val="000A1EF3"/>
    <w:rsid w:val="002375E8"/>
    <w:rsid w:val="002777FA"/>
    <w:rsid w:val="00295E2C"/>
    <w:rsid w:val="002A0AC3"/>
    <w:rsid w:val="00361CA7"/>
    <w:rsid w:val="00435E68"/>
    <w:rsid w:val="00461440"/>
    <w:rsid w:val="00540600"/>
    <w:rsid w:val="00633B2F"/>
    <w:rsid w:val="006E2672"/>
    <w:rsid w:val="006E43E7"/>
    <w:rsid w:val="006F23DB"/>
    <w:rsid w:val="0075557A"/>
    <w:rsid w:val="007D3248"/>
    <w:rsid w:val="008A3E97"/>
    <w:rsid w:val="00A15687"/>
    <w:rsid w:val="00AA727E"/>
    <w:rsid w:val="00AB26F5"/>
    <w:rsid w:val="00AE269A"/>
    <w:rsid w:val="00B92149"/>
    <w:rsid w:val="00BA3085"/>
    <w:rsid w:val="00D23639"/>
    <w:rsid w:val="00E22207"/>
    <w:rsid w:val="00E45107"/>
    <w:rsid w:val="00EF2ABA"/>
    <w:rsid w:val="00F01C78"/>
    <w:rsid w:val="00F1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87"/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269A"/>
    <w:pPr>
      <w:keepNext/>
      <w:spacing w:before="240" w:after="60"/>
      <w:outlineLvl w:val="0"/>
    </w:pPr>
    <w:rPr>
      <w:rFonts w:ascii="TradeGothic" w:hAnsi="TradeGothic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E269A"/>
    <w:pPr>
      <w:keepNext/>
      <w:spacing w:before="240" w:after="60"/>
      <w:outlineLvl w:val="1"/>
    </w:pPr>
    <w:rPr>
      <w:rFonts w:ascii="TradeGothic" w:hAnsi="TradeGothic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269A"/>
    <w:pPr>
      <w:keepNext/>
      <w:spacing w:before="240" w:after="60"/>
      <w:outlineLvl w:val="2"/>
    </w:pPr>
    <w:rPr>
      <w:rFonts w:ascii="TradeGothic" w:hAnsi="TradeGothic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37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37C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37C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A156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37C"/>
    <w:rPr>
      <w:rFonts w:ascii="OrigGarmnd BT" w:hAnsi="OrigGarmnd BT"/>
      <w:sz w:val="24"/>
      <w:szCs w:val="20"/>
      <w:lang w:eastAsia="en-US"/>
    </w:rPr>
  </w:style>
  <w:style w:type="paragraph" w:customStyle="1" w:styleId="Depnamn">
    <w:name w:val="Depnamn"/>
    <w:basedOn w:val="Normal"/>
    <w:uiPriority w:val="99"/>
    <w:rsid w:val="00A15687"/>
    <w:pPr>
      <w:spacing w:line="260" w:lineRule="exact"/>
    </w:pPr>
    <w:rPr>
      <w:rFonts w:ascii="TradeGothic" w:hAnsi="TradeGothic"/>
      <w:b/>
      <w:sz w:val="22"/>
    </w:rPr>
  </w:style>
  <w:style w:type="paragraph" w:customStyle="1" w:styleId="Enhetnamn">
    <w:name w:val="Enhetnamn"/>
    <w:basedOn w:val="Normal"/>
    <w:uiPriority w:val="99"/>
    <w:rsid w:val="00A15687"/>
    <w:pPr>
      <w:spacing w:after="260"/>
    </w:pPr>
    <w:rPr>
      <w:rFonts w:ascii="TradeGothic" w:hAnsi="TradeGothic"/>
      <w:i/>
      <w:sz w:val="18"/>
    </w:rPr>
  </w:style>
  <w:style w:type="paragraph" w:customStyle="1" w:styleId="Brdtext1">
    <w:name w:val="Brödtext1"/>
    <w:basedOn w:val="Normal"/>
    <w:uiPriority w:val="99"/>
    <w:rsid w:val="00A15687"/>
    <w:pPr>
      <w:spacing w:line="320" w:lineRule="exact"/>
    </w:pPr>
  </w:style>
  <w:style w:type="paragraph" w:styleId="Footer">
    <w:name w:val="footer"/>
    <w:basedOn w:val="Normal"/>
    <w:link w:val="FooterChar"/>
    <w:uiPriority w:val="99"/>
    <w:rsid w:val="00A15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37C"/>
    <w:rPr>
      <w:rFonts w:ascii="OrigGarmnd BT" w:hAnsi="OrigGarmnd BT"/>
      <w:sz w:val="24"/>
      <w:szCs w:val="20"/>
      <w:lang w:eastAsia="en-US"/>
    </w:rPr>
  </w:style>
  <w:style w:type="paragraph" w:customStyle="1" w:styleId="Namnenhet">
    <w:name w:val="Namnenhet"/>
    <w:basedOn w:val="Depnamn"/>
    <w:uiPriority w:val="99"/>
    <w:rsid w:val="00A15687"/>
    <w:pPr>
      <w:framePr w:h="2183" w:wrap="notBeside" w:vAnchor="text" w:hAnchor="page" w:x="1447" w:y="1"/>
    </w:pPr>
    <w:rPr>
      <w:b w:val="0"/>
      <w:i/>
      <w:sz w:val="18"/>
    </w:rPr>
  </w:style>
  <w:style w:type="paragraph" w:styleId="BodyText">
    <w:name w:val="Body Text"/>
    <w:basedOn w:val="Normal"/>
    <w:link w:val="BodyTextChar"/>
    <w:uiPriority w:val="99"/>
    <w:rsid w:val="002777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2777FA"/>
    <w:rPr>
      <w:rFonts w:ascii="OrigGarmnd BT" w:hAnsi="OrigGarmnd BT" w:cs="Times New Roman"/>
      <w:sz w:val="24"/>
      <w:lang w:eastAsia="en-US"/>
    </w:rPr>
  </w:style>
  <w:style w:type="paragraph" w:customStyle="1" w:styleId="Brdtexthuvud">
    <w:name w:val="Brödtext huvud"/>
    <w:basedOn w:val="Brdtext1"/>
    <w:uiPriority w:val="99"/>
    <w:rsid w:val="00A15687"/>
    <w:pPr>
      <w:framePr w:w="4570" w:h="1701" w:hRule="exact" w:hSpace="181" w:wrap="around" w:vAnchor="page" w:hAnchor="page" w:x="6697" w:y="681"/>
    </w:pPr>
  </w:style>
  <w:style w:type="paragraph" w:customStyle="1" w:styleId="UDrubrik">
    <w:name w:val="UDrubrik"/>
    <w:basedOn w:val="Normal"/>
    <w:next w:val="Brdtext1"/>
    <w:uiPriority w:val="99"/>
    <w:rsid w:val="00A15687"/>
    <w:pPr>
      <w:spacing w:line="320" w:lineRule="exact"/>
    </w:pPr>
    <w:rPr>
      <w:rFonts w:ascii="TradeGothic" w:hAnsi="TradeGothic"/>
      <w:b/>
      <w:sz w:val="22"/>
    </w:rPr>
  </w:style>
  <w:style w:type="paragraph" w:customStyle="1" w:styleId="Mellanrubrik">
    <w:name w:val="Mellanrubrik"/>
    <w:basedOn w:val="Brdtext1"/>
    <w:next w:val="Brdtext1"/>
    <w:uiPriority w:val="99"/>
    <w:rsid w:val="00A15687"/>
    <w:rPr>
      <w:rFonts w:ascii="TradeGothic" w:hAnsi="TradeGothic"/>
      <w:b/>
      <w:sz w:val="22"/>
    </w:rPr>
  </w:style>
  <w:style w:type="paragraph" w:styleId="BalloonText">
    <w:name w:val="Balloon Text"/>
    <w:basedOn w:val="Normal"/>
    <w:link w:val="BalloonTextChar"/>
    <w:uiPriority w:val="99"/>
    <w:rsid w:val="00277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777F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179</Words>
  <Characters>1110</Characters>
  <Application>Microsoft Office Outlook</Application>
  <DocSecurity>0</DocSecurity>
  <Lines>0</Lines>
  <Paragraphs>0</Paragraphs>
  <ScaleCrop>false</ScaleCrop>
  <Company>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Arbetspapper</dc:title>
  <dc:subject/>
  <dc:creator>Sahar Arfazadeh Roudsari</dc:creator>
  <cp:keywords/>
  <dc:description/>
  <cp:lastModifiedBy>jb0525aa</cp:lastModifiedBy>
  <cp:revision>2</cp:revision>
  <cp:lastPrinted>2012-11-16T12:57:00Z</cp:lastPrinted>
  <dcterms:created xsi:type="dcterms:W3CDTF">2012-11-16T13:10:00Z</dcterms:created>
  <dcterms:modified xsi:type="dcterms:W3CDTF">2012-11-16T13:10:00Z</dcterms:modified>
  <cp:category>Arbetspapper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92</vt:i4>
  </property>
  <property fmtid="{D5CDD505-2E9C-101B-9397-08002B2CF9AE}" pid="5" name="ContentTypeId">
    <vt:lpwstr>0x01010053E1D612BA3F4E21AA250ECD751942B3003183BEE0224B6C46B93F722FEFC6264A</vt:lpwstr>
  </property>
  <property fmtid="{D5CDD505-2E9C-101B-9397-08002B2CF9AE}" pid="6" name="_dlc_DocIdItemGuid">
    <vt:lpwstr>1378bd85-9b7d-4697-b3e3-3650b7a6aa16</vt:lpwstr>
  </property>
  <property fmtid="{D5CDD505-2E9C-101B-9397-08002B2CF9AE}" pid="7" name="k46d94c0acf84ab9a79866a9d8b1905f">
    <vt:lpwstr/>
  </property>
  <property fmtid="{D5CDD505-2E9C-101B-9397-08002B2CF9AE}" pid="8" name="Nyckelord">
    <vt:lpwstr/>
  </property>
  <property fmtid="{D5CDD505-2E9C-101B-9397-08002B2CF9AE}" pid="9" name="c9cd366cc722410295b9eacffbd73909">
    <vt:lpwstr/>
  </property>
  <property fmtid="{D5CDD505-2E9C-101B-9397-08002B2CF9AE}" pid="10" name="Diarienummer">
    <vt:lpwstr/>
  </property>
  <property fmtid="{D5CDD505-2E9C-101B-9397-08002B2CF9AE}" pid="11" name="Sekretess">
    <vt:lpwstr/>
  </property>
  <property fmtid="{D5CDD505-2E9C-101B-9397-08002B2CF9AE}" pid="12" name="TaxCatchAll">
    <vt:lpwstr/>
  </property>
  <property fmtid="{D5CDD505-2E9C-101B-9397-08002B2CF9AE}" pid="13" name="_dlc_DocId">
    <vt:lpwstr>P2J6YPHFFJ2F-2-115</vt:lpwstr>
  </property>
  <property fmtid="{D5CDD505-2E9C-101B-9397-08002B2CF9AE}" pid="14" name="_dlc_DocIdUrl">
    <vt:lpwstr>http://rkdhs/personal/sah0729a/_layouts/DocIdRedir.aspx?ID=P2J6YPHFFJ2F-2-115, P2J6YPHFFJ2F-2-115</vt:lpwstr>
  </property>
</Properties>
</file>