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194" w:rsidRDefault="00D40194">
      <w:pPr>
        <w:pStyle w:val="Rubrik1"/>
        <w:spacing w:before="0"/>
      </w:pPr>
      <w:r>
        <w:rPr>
          <w:vanish/>
        </w:rPr>
        <w:t>&lt;1</w:t>
      </w:r>
      <w:bookmarkStart w:id="0" w:name="_Toc349974217"/>
      <w:r>
        <w:t>Till konstitutionsutskottet</w:t>
      </w:r>
      <w:bookmarkEnd w:id="0"/>
    </w:p>
    <w:p w:rsidR="00D40194" w:rsidRDefault="00D40194">
      <w:pPr>
        <w:spacing w:before="240"/>
      </w:pPr>
      <w:r>
        <w:t>Konstitutionsutskottet har beslutat bereda kulturutskottet tillfälle att yttra sig över regeringens skrivelse 1995/96:15 Redogörelse för behandlingen av riksdagens skrivelser till regeringen i de delar som har samband med kultu</w:t>
      </w:r>
      <w:r>
        <w:t>r</w:t>
      </w:r>
      <w:r>
        <w:t>utskottets bere</w:t>
      </w:r>
      <w:r>
        <w:t>d</w:t>
      </w:r>
      <w:r>
        <w:t>ningsområde.</w:t>
      </w:r>
    </w:p>
    <w:p w:rsidR="00D40194" w:rsidRDefault="00D40194">
      <w:pPr>
        <w:pStyle w:val="Rubrik2"/>
      </w:pPr>
      <w:bookmarkStart w:id="1" w:name="_Toc349974218"/>
      <w:r>
        <w:t>Utskottet</w:t>
      </w:r>
      <w:bookmarkEnd w:id="1"/>
    </w:p>
    <w:p w:rsidR="00D40194" w:rsidRDefault="00D40194">
      <w:pPr>
        <w:spacing w:before="123"/>
      </w:pPr>
      <w:r>
        <w:t>Kulturutskottet har kunnat konstatera att regeringens redogörelse för b</w:t>
      </w:r>
      <w:r>
        <w:t>e</w:t>
      </w:r>
      <w:r>
        <w:t>handlingen av riksdagens skrivelser under de senaste åren blivit mera lättläst och begriplig. Därigenom har värdet av att en årlig redogörelse avges ökat och riksdagens uppföljnings- och utvärderingsarbete underlättats. I den nu föreliggande redogörelsen för tiden den 1 juli 1994 – den 30 juni 1995 har regeringen – i enlighet med önskemål föregående år från konstitutions- och näringsutskotten – särskilt markerat tillkännagivanden. Detta underlättar ytterligare up</w:t>
      </w:r>
      <w:r>
        <w:t>p</w:t>
      </w:r>
      <w:r>
        <w:t>följningsarbetet.</w:t>
      </w:r>
    </w:p>
    <w:p w:rsidR="00D40194" w:rsidRDefault="00D40194">
      <w:pPr>
        <w:spacing w:before="240"/>
      </w:pPr>
      <w:r>
        <w:t>Kulturutskottet har i anslutning till granskningen av regeringens åtgärder med anledning av riksdagens skrivelse 1994/95:251, såvitt avser anslag till sysselsättningsinsatser inom kulturområdet, funnit anledning att i vissa avs</w:t>
      </w:r>
      <w:r>
        <w:t>e</w:t>
      </w:r>
      <w:r>
        <w:t>enden diskutera frågan om den lämpligaste utformningen av hemställan i betänkanden som rör medelsanvisning. Detta gäller sådana ärenden där u</w:t>
      </w:r>
      <w:r>
        <w:t>t</w:t>
      </w:r>
      <w:r>
        <w:t>skottet – utan att föreslå någon ändring i regeringens förslag i fråga om sto</w:t>
      </w:r>
      <w:r>
        <w:t>r</w:t>
      </w:r>
      <w:r>
        <w:t xml:space="preserve">leken av  medelsanvisningen – föreslår en annan medelsanvändning än vad regeringen föreslagit eller föreslår ändring, komplettering eller precisering av regeringens förslag. </w:t>
      </w:r>
    </w:p>
    <w:p w:rsidR="00D40194" w:rsidRDefault="00D40194">
      <w:pPr>
        <w:pStyle w:val="Normaltindrag"/>
      </w:pPr>
      <w:r>
        <w:t>I de fall då ett utskott godtar regeringens förslag då det gäller såväl ett a</w:t>
      </w:r>
      <w:r>
        <w:t>n</w:t>
      </w:r>
      <w:r>
        <w:t>slags storlek som användningen av anvisade medel ges hemställan i allmä</w:t>
      </w:r>
      <w:r>
        <w:t>n</w:t>
      </w:r>
      <w:r>
        <w:t xml:space="preserve">het följande lydelse: "att riksdagen med bifall till regeringens förslag ... anvisar ...". I förekommande fall avstyrks i hemställan motionsyrkanden om ändrat anslagsbelopp eller ändrad medelsanvändning. </w:t>
      </w:r>
    </w:p>
    <w:p w:rsidR="00D40194" w:rsidRDefault="00D40194">
      <w:pPr>
        <w:pStyle w:val="Normaltindrag"/>
      </w:pPr>
      <w:r>
        <w:t>När ett utskott i förslag till medelsanvisning vill föreslå ändring, komple</w:t>
      </w:r>
      <w:r>
        <w:t>t</w:t>
      </w:r>
      <w:r>
        <w:t xml:space="preserve">tering eller precisering då det gäller medelsanvändningen hemställer utskottet i vissa fall under ett särskilt moment att riksdagen som sin mening skall </w:t>
      </w:r>
      <w:r>
        <w:lastRenderedPageBreak/>
        <w:t>ge regeringen till känna vissa synpunkter om medelsanvändningen. De av reg</w:t>
      </w:r>
      <w:r>
        <w:t>e</w:t>
      </w:r>
      <w:r>
        <w:t>ringen begärda medlen föreslås anvisade under ett annat moment i hemstä</w:t>
      </w:r>
      <w:r>
        <w:t>l</w:t>
      </w:r>
      <w:r>
        <w:t>lan.  I andra fall markerar utskott att det finns skillnad mellan vad regeringen föreslagit om medelsanvändningen och vad utskottet –  i sin motivering till medelsanvisningen – föreslår om denna användning genom att i hemställan yrka "att riksdagen med anledning av regeringens förslag ... anvisar ...". I de fall då den av utskottet föreslagna medelsanvändningen har sin grund i m</w:t>
      </w:r>
      <w:r>
        <w:t>o</w:t>
      </w:r>
      <w:r>
        <w:t xml:space="preserve">tionskrav anges därutöver att medlen anvisas "med anledning av" eller "med bifall till" viss eller vissa motioner (motionsyrkanden). </w:t>
      </w:r>
    </w:p>
    <w:p w:rsidR="00D40194" w:rsidRDefault="00D40194">
      <w:pPr>
        <w:pStyle w:val="Normaltindrag"/>
      </w:pPr>
      <w:r>
        <w:t>I samband med omläggningen av budgetåret kommer nya principer för budgetbehandlingen i riksdagen att gälla. Självfallet skulle det vara av värde om det i samband med övergången till den nya budgetprocessen kunde sk</w:t>
      </w:r>
      <w:r>
        <w:t>a</w:t>
      </w:r>
      <w:r>
        <w:t>pas en enhetlig ordning då det gäller utformningen av riksdagens beslut i budgetfrågor i sådana fall som behandlats i det föregående. Den nuvarande ordningen med två olika metoder för att markera att ett utskott – utan att ändra på regeringens förslag till storleken av medelsanvisningen – föreslår en ändrad medelsanvändning i förhållande till den av regeringen föreslagna kan leda till missförstånd. En konsekvent tillämpning av metoden med tillkä</w:t>
      </w:r>
      <w:r>
        <w:t>n</w:t>
      </w:r>
      <w:r>
        <w:t>nagivanden kräver nämligen att ett utskott föreslår tillkännagivanden i sam</w:t>
      </w:r>
      <w:r>
        <w:t>t</w:t>
      </w:r>
      <w:r>
        <w:t>liga fall där utskottet anför några – om än aldrig så marginella – synpunkter på medelsanvändningen. Såvitt kulturutskottet kan finna förekommer det emellertid inte sällan att utskott begränsar sig till att föreslå tillkännagiva</w:t>
      </w:r>
      <w:r>
        <w:t>n</w:t>
      </w:r>
      <w:r>
        <w:t>den i sådana fall där utskottet vill att de medel som anslås skall få en a</w:t>
      </w:r>
      <w:r>
        <w:t>n</w:t>
      </w:r>
      <w:r>
        <w:t>vändning som mera väsentligt avviker från regeringens förslag. Mot denna bakgrund anser kulturutskottet för sin del att metoden med särskilda tillkä</w:t>
      </w:r>
      <w:r>
        <w:t>n</w:t>
      </w:r>
      <w:r>
        <w:t>nagivanden bör överges då det är fråga om medelsanvisning. När utskott föreslår ändring eller komplettering av regeringens förslag till medelsa</w:t>
      </w:r>
      <w:r>
        <w:t>n</w:t>
      </w:r>
      <w:r>
        <w:t>vändning bör detta markeras med formuleringen ”att riksdagen med anle</w:t>
      </w:r>
      <w:r>
        <w:t>d</w:t>
      </w:r>
      <w:r>
        <w:t>ning av regeringens förslag ... anvisar ...”.</w:t>
      </w:r>
    </w:p>
    <w:p w:rsidR="00D40194" w:rsidRDefault="00D40194">
      <w:pPr>
        <w:spacing w:before="240"/>
      </w:pPr>
      <w:r>
        <w:t>Som berörts i det föregående har kulturutskottet vid genomgången av reg</w:t>
      </w:r>
      <w:r>
        <w:t>e</w:t>
      </w:r>
      <w:r>
        <w:t>ringens skrivelse 1995/96:15 funnit anledning att ta upp till diskussion reg</w:t>
      </w:r>
      <w:r>
        <w:t>e</w:t>
      </w:r>
      <w:r>
        <w:t>ringens åtgärder med anledning av ett riksdagsbeslut som innefattade en komplettering av vad regeringen anfört om medelsanvändningen under ett anslag till sysselsättning inom kulturområdet (rskr. 1994/95:251). I detta fall har utskottet inte föreslagit något särskilt tillkännagivande om medelsanvi</w:t>
      </w:r>
      <w:r>
        <w:t>s</w:t>
      </w:r>
      <w:r>
        <w:t>ningen utan markerat sitt ställningstagande med formuleringen ”att riksdagen med a</w:t>
      </w:r>
      <w:r>
        <w:t>n</w:t>
      </w:r>
      <w:r>
        <w:t xml:space="preserve">ledning av regeringens förslag samt motionerna ... anvisar ... ”. </w:t>
      </w:r>
    </w:p>
    <w:p w:rsidR="00D40194" w:rsidRDefault="00D40194">
      <w:pPr>
        <w:pStyle w:val="Normaltindrag"/>
      </w:pPr>
      <w:r>
        <w:t>Regeringen föreslog i 1995 års budgetproposition att 235 miljoner kronor skulle anvisas för sysselsättningsinsatser på kulturområdet (prop.1994/95: 100 bil. 12 s. 49). Medlen avsåg huvudsakligen en engångsinsats för en räddningsaktion för registrering, dokumentation, gallring, konservering och magasinering av föremålssamlingar vid främst de statligt stödda museerna. Aktionen borde också – menade regeringen – kunna omfatta andra samlin</w:t>
      </w:r>
      <w:r>
        <w:t>g</w:t>
      </w:r>
      <w:r>
        <w:t>ar, exempelvis arkivalier vid de statligt stödda arkiven eller föremål, up</w:t>
      </w:r>
      <w:r>
        <w:t>p</w:t>
      </w:r>
      <w:r>
        <w:t xml:space="preserve">teckningar och ritningar inom hemslöjdens område. Medlen skulle också kunna användas för andra angelägna sysselsättningsinsatser inom kultur- och kulturmiljöområdet. </w:t>
      </w:r>
    </w:p>
    <w:p w:rsidR="00D40194" w:rsidRDefault="00D40194">
      <w:pPr>
        <w:pStyle w:val="Normaltindrag"/>
      </w:pPr>
      <w:r>
        <w:t>Kulturutskottet underströk i sitt betänkande 1994/95:KrU18 (s. 12–16)  behovet av en räddningsaktion rörande föremålssamlingarna vid olika kultu</w:t>
      </w:r>
      <w:r>
        <w:t>r</w:t>
      </w:r>
      <w:r>
        <w:t>institutioner och accepterade utgångspunkten för regeringens förslag, näml</w:t>
      </w:r>
      <w:r>
        <w:t>i</w:t>
      </w:r>
      <w:r>
        <w:t>gen att bevarandeinsatserna skulle göras av sysselsättningsskäl. Ett flertal motioner hade väckts med anledning av regeringens förslag. I två av mo-tionsyrkandena föreslogs att en del av medlen under anslaget skulle användas för restaurering av svenska långfilmer. Det ena yrkandet avsåg filmer som producerats under perioden 1953–1979.</w:t>
      </w:r>
    </w:p>
    <w:p w:rsidR="00D40194" w:rsidRDefault="00D40194">
      <w:pPr>
        <w:pStyle w:val="Normaltindrag"/>
      </w:pPr>
      <w:r>
        <w:t>Med anledning av motionsyrkandena framhöll utskottet att det ankommer på Svenska Filminstitutet att bevara filmer av kulturhistoriskt intresse. U</w:t>
      </w:r>
      <w:r>
        <w:t>t</w:t>
      </w:r>
      <w:r>
        <w:t>skottet anförde vidare bl.a. följande.</w:t>
      </w:r>
    </w:p>
    <w:p w:rsidR="00D40194" w:rsidRDefault="00D40194">
      <w:pPr>
        <w:pStyle w:val="Citat"/>
        <w:spacing w:before="123"/>
      </w:pPr>
      <w:r>
        <w:t>Utskottet anser att det är av stort kulturhistoriskt intresse att film som prod</w:t>
      </w:r>
      <w:r>
        <w:t>u</w:t>
      </w:r>
      <w:r>
        <w:t>cerats i Sverige kan bevaras. Det bör därför inom anslaget skapas utrymme för åtgärder som avser restaurering av äldre svensk film, i första hand från den angivna tidsperioden. Enligt utskottets uppfattning bör det ankomma på regeringen att göra en samlad bedömning av de behov som finns och att därefter avgöra hur stort belopp som skall avsättas för nämnda ändamål.</w:t>
      </w:r>
    </w:p>
    <w:p w:rsidR="00D40194" w:rsidRDefault="00D40194">
      <w:pPr>
        <w:spacing w:before="240"/>
      </w:pPr>
      <w:r>
        <w:t>Med anledning av regeringens förslag – således inte med bifall till – och en rad motionsyrkanden, däribland de två yrkanden som tog upp frågan om restaurering av  film,  beslutade utskottet föreslå riksdagen att det belopp som regeringen föreslagit, 235 miljoner kronor,  skulle anvisas under ett nytt anslag benämnt Sysselsättningsinsatser inom kulturområdet. Riksdagen beslutade i enlighet med utskottets förslag (rskr. 1994/95:251).</w:t>
      </w:r>
    </w:p>
    <w:p w:rsidR="00D40194" w:rsidRDefault="00D40194">
      <w:pPr>
        <w:pStyle w:val="Normaltindrag"/>
      </w:pPr>
      <w:r>
        <w:t>Regeringen utfärdade den 15 juni 1995 regleringsbrev för det aktuella</w:t>
      </w:r>
      <w:r>
        <w:br/>
        <w:t>anslaget. Vidare utfärdade regeringen den 20 juli 1995 förordningen (1995:1035) om sysselsättningsinsatser inom kulturområdet. Enligt 2 § i förordningen lämnas bidrag till statliga eller statsunderstödda museer, ko</w:t>
      </w:r>
      <w:r>
        <w:t>m</w:t>
      </w:r>
      <w:r>
        <w:t>munala museer, arkiv, hembygdsföreningar och hemslöjdsföreningar. Enligt 3 § i förordningen kan bidrag lämnas för registrering, dokumentation, gal</w:t>
      </w:r>
      <w:r>
        <w:t>l</w:t>
      </w:r>
      <w:r>
        <w:t>ring, vård, konservering och magasinering av föremålssamlingar och arkiv</w:t>
      </w:r>
      <w:r>
        <w:t>a</w:t>
      </w:r>
      <w:r>
        <w:t xml:space="preserve">lier. I särskilda fall kan bidrag lämnas även för andra angelägna åtgärder inom kulturområdet.   </w:t>
      </w:r>
    </w:p>
    <w:p w:rsidR="00D40194" w:rsidRDefault="00D40194">
      <w:pPr>
        <w:pStyle w:val="Normaltindrag"/>
      </w:pPr>
      <w:r>
        <w:t>Som angetts i det föregående är det en uppgift för Svenska Filminstitutet att bevara äldre kulturhistoriskt värdefull film. Det bör tilläggas att sedan år 1979 pliktexemplar av film som gjorts tillgänglig för allmänheten här i la</w:t>
      </w:r>
      <w:r>
        <w:t>n</w:t>
      </w:r>
      <w:r>
        <w:t>det skall lämnas till Arkivet för ljud och bild (ALB). Sådana pliktexemplar skall enligt lagen (1993:1392) om pliktexemplar av dokument bevaras och tillhandahållas för forskning och studier (1 §). Enligt förordningen om sy</w:t>
      </w:r>
      <w:r>
        <w:t>s</w:t>
      </w:r>
      <w:r>
        <w:t>selsättningsinsatser inom kulturområdet kan som ovan angetts arkiv erhålla bidrag. Däremot synes det vid en formell tolkning av 2 § i förordningen inte finnas utrymme för att Svenska Filminstitutet skulle kunna bli bidragsmott</w:t>
      </w:r>
      <w:r>
        <w:t>a</w:t>
      </w:r>
      <w:r>
        <w:t>g</w:t>
      </w:r>
      <w:r>
        <w:t>a</w:t>
      </w:r>
      <w:r>
        <w:t xml:space="preserve">re.  </w:t>
      </w:r>
    </w:p>
    <w:p w:rsidR="00D40194" w:rsidRDefault="00D40194">
      <w:pPr>
        <w:pStyle w:val="Normaltindrag"/>
      </w:pPr>
      <w:r>
        <w:t>Med hänvisning till vad som här har anförts och till att kulturutskottet i sitt  av riksdagen godkända betänkande lade stor vikt vid det aktuella stödänd</w:t>
      </w:r>
      <w:r>
        <w:t>a</w:t>
      </w:r>
      <w:r>
        <w:t>målet, anser kulturutskottet att det kan ifrågasättas om riksdagens beslut fått en tillräckligt klar utformning på verkställighetsstadiet. Kulturutskottet vill – mot den angivna bakgrunden – föreslå att konstitutionsutskottet starkt u</w:t>
      </w:r>
      <w:r>
        <w:t>n</w:t>
      </w:r>
      <w:r>
        <w:t>derstryker betydelsen av att regeringen i regleringsbrev och förordningar uttrycker sig tydligt för att riksdagens beslut i fråga om medelsanvändningen skall kunna verkställas i enlighet med riksdagens ön</w:t>
      </w:r>
      <w:r>
        <w:t>s</w:t>
      </w:r>
      <w:r>
        <w:t xml:space="preserve">kemål. </w:t>
      </w:r>
    </w:p>
    <w:p w:rsidR="00D40194" w:rsidRDefault="00D40194">
      <w:pPr>
        <w:spacing w:before="240"/>
      </w:pPr>
      <w:r>
        <w:t>Utöver det nu redovisade ärendet har kulturutskottet endast funnit ett fåtal smärre brister och felaktigheter i regeringens redovisning av vidtagna åtgä</w:t>
      </w:r>
      <w:r>
        <w:t>r</w:t>
      </w:r>
      <w:r>
        <w:t>der. Vid underhandskontakter har resp. departement uppmärksammats på iakttagelserna samtidigt som kulturutskottet informerat sig om vad som i de åsyftade ärendena rätteligen skulle ha redovisats i regeringens skrivelse 1995/96:15. Utskottet anser att det finns skäl att särskilt nämna att regerin</w:t>
      </w:r>
      <w:r>
        <w:t>g</w:t>
      </w:r>
      <w:r>
        <w:t>en beträffande riksdagens skrivelse 1994/95:395 om turistpolitiken inte redovisat att förordningen (1995:950) med instruktion för Turistdelegationen utfärdats.</w:t>
      </w:r>
    </w:p>
    <w:p w:rsidR="00D40194" w:rsidRDefault="00D40194">
      <w:pPr>
        <w:pStyle w:val="Normaltindrag"/>
      </w:pPr>
      <w:r>
        <w:t>Slutligen har vid genomgången av skrivelse 1995/96:15 noterats att vissa regeringsbeslut som fattats efter den 30 juni 1995 har redovisats i skrivelsen. Att en sådan redovisning sker kan naturligtvis vara av värde. Detta belyses av det ovan behandlade ärendet om sysselsättningsinsatser inom kulturområdet, där förordningen om medelsanvisningen utfärdades först efter budgetårets ingång den 1 juli 1995. Regeringsbeslut fattade efter den 30 juni 1995 bör – enligt kulturutskottets mening – redovisas även i reger</w:t>
      </w:r>
      <w:r>
        <w:t>ingens nästa redovi</w:t>
      </w:r>
      <w:r>
        <w:t>s</w:t>
      </w:r>
      <w:r>
        <w:t>ning till riksdagen. Den som söker regeringsbesluten i den redovisning där de rätteligen hör hemma bör nämligen också finna dem där även om de redov</w:t>
      </w:r>
      <w:r>
        <w:t>i</w:t>
      </w:r>
      <w:r>
        <w:t>sats i tidigare samma</w:t>
      </w:r>
      <w:r>
        <w:t>n</w:t>
      </w:r>
      <w:r>
        <w:t>hang.</w:t>
      </w:r>
    </w:p>
    <w:p w:rsidR="00D40194" w:rsidRDefault="00D40194">
      <w:r>
        <w:rPr>
          <w:vanish/>
        </w:rPr>
        <w:t>&lt;A</w:t>
      </w:r>
      <w:r>
        <w:t>Stockholm den 5 mars 1996</w:t>
      </w:r>
    </w:p>
    <w:p w:rsidR="00D40194" w:rsidRDefault="00D40194">
      <w:r>
        <w:t>På kulturutskottets vägnar</w:t>
      </w:r>
    </w:p>
    <w:p w:rsidR="00D40194" w:rsidRDefault="00D40194">
      <w:pPr>
        <w:pStyle w:val="Ordfnamn"/>
      </w:pPr>
      <w:bookmarkStart w:id="2" w:name="Ordförande"/>
      <w:bookmarkEnd w:id="2"/>
      <w:r>
        <w:t>Åke Gustavsson</w:t>
      </w:r>
    </w:p>
    <w:p w:rsidR="00D40194" w:rsidRDefault="00D40194">
      <w:pPr>
        <w:pStyle w:val="Normaltindrag"/>
      </w:pPr>
    </w:p>
    <w:p w:rsidR="00D40194" w:rsidRDefault="00D40194">
      <w:pPr>
        <w:pStyle w:val="Citat"/>
      </w:pPr>
      <w:bookmarkStart w:id="3" w:name="Deltagare"/>
      <w:bookmarkEnd w:id="3"/>
      <w:r>
        <w:t>I beslutet har deltagit: Åke Gustavsson (s), Anders Nilsson (s), Leo Persson (s), Björn Kaaling (s), Marianne Andersson (c), Monica Widnemark (s), Lennart Fridén (m), Carl-Johan Wilson (fp), Agneta Ringman (s), Charlotta L Bjälkebring (v), Annika Nilsson (s), Jan Backman (m), Ewa Larsson (mp), Fanny Rizell (kds), Nils-Erik Söderqvist (s), Lars Lilja (s) och Elizabeth Nyström (m).</w:t>
      </w:r>
    </w:p>
    <w:p w:rsidR="00D40194" w:rsidRDefault="00D40194"/>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Normaltindrag"/>
      </w:pPr>
    </w:p>
    <w:p w:rsidR="00D40194" w:rsidRDefault="00D40194">
      <w:pPr>
        <w:pStyle w:val="Tryckort"/>
      </w:pPr>
      <w:r>
        <w:t>Gotab, Stockholm  1996</w:t>
      </w:r>
    </w:p>
    <w:sectPr w:rsidR="00D4019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194" w:rsidRDefault="00D40194">
      <w:pPr>
        <w:spacing w:before="0" w:line="240" w:lineRule="auto"/>
      </w:pPr>
      <w:r>
        <w:separator/>
      </w:r>
    </w:p>
  </w:endnote>
  <w:endnote w:type="continuationSeparator" w:id="0">
    <w:p w:rsidR="00D40194" w:rsidRDefault="00D401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194" w:rsidRDefault="00D40194">
      <w:pPr>
        <w:spacing w:before="0" w:line="240" w:lineRule="auto"/>
      </w:pPr>
      <w:r>
        <w:separator/>
      </w:r>
    </w:p>
  </w:footnote>
  <w:footnote w:type="continuationSeparator" w:id="0">
    <w:p w:rsidR="00D40194" w:rsidRDefault="00D4019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1995/96:KrU5y</w:t>
    </w:r>
    <w:r>
      <w:fldChar w:fldCharType="end"/>
    </w:r>
  </w:p>
  <w:p w:rsidR="00D40194" w:rsidRDefault="00D4019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40194" w:rsidRDefault="00D40194">
    <w:pPr>
      <w:pStyle w:val="SidhuvudV"/>
      <w:framePr w:w="2302" w:h="1928" w:hRule="exact" w:wrap="notBeside"/>
    </w:pPr>
    <w:r>
      <w:fldChar w:fldCharType="end"/>
    </w:r>
  </w:p>
  <w:p w:rsidR="00D40194" w:rsidRDefault="00D401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pStyle w:val="SidhuvudKant"/>
      <w:framePr w:wrap="notBeside"/>
    </w:pPr>
    <w:r>
      <w:rPr>
        <w:sz w:val="21"/>
      </w:rPr>
      <w:t>1995/96:KrU5y</w:t>
    </w:r>
  </w:p>
  <w:p w:rsidR="00D40194" w:rsidRDefault="00D40194">
    <w:pPr>
      <w:pStyle w:val="SidhuvudKant"/>
      <w:framePr w:wrap="notBeside"/>
      <w:rPr>
        <w:vanish/>
      </w:rPr>
    </w:pPr>
    <w:r>
      <w:rPr>
        <w:vanish/>
      </w:rPr>
      <w:t>&gt;B</w:t>
    </w:r>
  </w:p>
  <w:p w:rsidR="00D40194" w:rsidRDefault="00D4019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94" w:rsidRDefault="00D4019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09" r:id="rId2"/>
      </w:object>
    </w:r>
  </w:p>
  <w:p w:rsidR="00D40194" w:rsidRDefault="00D40194">
    <w:pPr>
      <w:pStyle w:val="SidhuvudFVapen"/>
      <w:framePr w:wrap="notBeside" w:x="6969" w:y="3460"/>
      <w:spacing w:line="230" w:lineRule="auto"/>
    </w:pPr>
    <w:bookmarkStart w:id="4" w:name="BnrVapen"/>
    <w:r>
      <w:t>1995/96</w:t>
    </w:r>
  </w:p>
  <w:p w:rsidR="00D40194" w:rsidRDefault="00D40194">
    <w:pPr>
      <w:pStyle w:val="SidhuvudFVapen"/>
      <w:framePr w:wrap="notBeside" w:x="6969" w:y="3460"/>
      <w:spacing w:line="230" w:lineRule="auto"/>
    </w:pPr>
    <w:r>
      <w:t xml:space="preserve">KrU5y </w:t>
    </w:r>
    <w:bookmarkEnd w:id="4"/>
    <w:r w:rsidR="0071372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9527750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8188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D40194" w:rsidRDefault="00D40194">
    <w:pPr>
      <w:pStyle w:val="SidhuvudFText"/>
      <w:framePr w:w="5727" w:h="2722" w:hRule="exact" w:wrap="notBeside" w:hAnchor="page" w:x="852" w:y="3834"/>
      <w:suppressAutoHyphens/>
      <w:spacing w:line="400" w:lineRule="exact"/>
      <w:ind w:right="629"/>
      <w:rPr>
        <w:sz w:val="36"/>
      </w:rPr>
    </w:pPr>
    <w:bookmarkStart w:id="5" w:name="DokumentTyp"/>
    <w:r>
      <w:rPr>
        <w:sz w:val="36"/>
      </w:rPr>
      <w:t xml:space="preserve">Kulturutskottets yttrande </w:t>
    </w:r>
    <w:bookmarkEnd w:id="5"/>
  </w:p>
  <w:p w:rsidR="00D40194" w:rsidRDefault="00D40194">
    <w:pPr>
      <w:pStyle w:val="SidhuvudFText"/>
      <w:framePr w:w="5727" w:h="2722" w:hRule="exact" w:wrap="notBeside" w:hAnchor="page" w:x="852" w:y="3834"/>
      <w:spacing w:line="400" w:lineRule="exact"/>
      <w:ind w:right="629"/>
      <w:rPr>
        <w:sz w:val="36"/>
      </w:rPr>
    </w:pPr>
    <w:bookmarkStart w:id="6" w:name="Betänkandenummer"/>
    <w:r>
      <w:rPr>
        <w:sz w:val="36"/>
      </w:rPr>
      <w:t xml:space="preserve">1995/96:KrU5y </w:t>
    </w:r>
    <w:bookmarkEnd w:id="6"/>
    <w:r>
      <w:rPr>
        <w:sz w:val="36"/>
      </w:rPr>
      <w:t xml:space="preserve">       </w:t>
    </w:r>
    <w:bookmarkStart w:id="7" w:name="Utkast"/>
    <w:r>
      <w:rPr>
        <w:sz w:val="36"/>
      </w:rPr>
      <w:t xml:space="preserve"> </w:t>
    </w:r>
  </w:p>
  <w:p w:rsidR="00D40194" w:rsidRDefault="00D40194">
    <w:pPr>
      <w:pStyle w:val="SidhuvudFText"/>
      <w:framePr w:w="5727" w:h="2722" w:hRule="exact" w:wrap="notBeside" w:hAnchor="page" w:x="852" w:y="3834"/>
      <w:spacing w:before="40" w:after="900" w:line="280" w:lineRule="exact"/>
      <w:ind w:right="629"/>
      <w:rPr>
        <w:sz w:val="26"/>
      </w:rPr>
    </w:pPr>
    <w:bookmarkStart w:id="8" w:name="Rubrik"/>
    <w:bookmarkEnd w:id="7"/>
    <w:r>
      <w:rPr>
        <w:sz w:val="26"/>
      </w:rPr>
      <w:t xml:space="preserve">Redogörelse för behandlingen av riksdagens skrivelser till regeringen </w:t>
    </w:r>
    <w:bookmarkEnd w:id="8"/>
    <w:r>
      <w:rPr>
        <w:sz w:val="26"/>
      </w:rPr>
      <w:t xml:space="preserve"> </w:t>
    </w:r>
  </w:p>
  <w:p w:rsidR="00D40194" w:rsidRDefault="00D40194">
    <w:pPr>
      <w:pStyle w:val="SidhuvudFText"/>
      <w:framePr w:w="5727" w:h="2722" w:hRule="exact" w:wrap="notBeside" w:hAnchor="page" w:x="852" w:y="3834"/>
      <w:spacing w:before="40" w:after="900" w:line="300" w:lineRule="exact"/>
      <w:ind w:right="629"/>
      <w:rPr>
        <w:sz w:val="26"/>
      </w:rPr>
    </w:pPr>
    <w:r>
      <w:rPr>
        <w:sz w:val="26"/>
      </w:rPr>
      <w:t xml:space="preserve"> </w:t>
    </w:r>
  </w:p>
  <w:p w:rsidR="00D40194" w:rsidRDefault="00D4019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5y"/>
    <w:docVar w:name="Flyttförsök" w:val="JA"/>
    <w:docVar w:name="HelaNamnet" w:val="1995/96:KrU5y"/>
    <w:docVar w:name="NR" w:val="5y"/>
    <w:docVar w:name="RUBRIK" w:val="Redogörelse för behandlingen av riksdagens skrivelser till regeringen"/>
    <w:docVar w:name="SkapVERSION" w:val="V 5.42p, 960215"/>
    <w:docVar w:name="USK" w:val="KrU"/>
    <w:docVar w:name="USKKORT" w:val="KrU"/>
    <w:docVar w:name="USKNAMN" w:val="Kulturutskottets"/>
    <w:docVar w:name="ÅR" w:val="1995/96"/>
  </w:docVars>
  <w:rsids>
    <w:rsidRoot w:val="00887A53"/>
    <w:rsid w:val="0071372F"/>
    <w:rsid w:val="00887A53"/>
    <w:rsid w:val="00D401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31D64-C43D-4C5A-BC77-A44C5DF5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1453</Words>
  <Characters>9331</Characters>
  <Application>Microsoft Office Word</Application>
  <DocSecurity>4</DocSecurity>
  <Lines>169</Lines>
  <Paragraphs>27</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5y</dc:title>
  <dc:subject>Kulturutskottets betänkande nr 5y</dc:subject>
  <dc:creator>Riksdagen</dc:creator>
  <cp:keywords>Riksdagen</cp:keywords>
  <cp:lastModifiedBy>Lars Brink</cp:lastModifiedBy>
  <cp:revision>2</cp:revision>
  <cp:lastPrinted>1996-03-08T09:21:00Z</cp:lastPrinted>
  <dcterms:created xsi:type="dcterms:W3CDTF">2025-12-15T18:34:00Z</dcterms:created>
  <dcterms:modified xsi:type="dcterms:W3CDTF">2025-12-15T18:34:00Z</dcterms:modified>
</cp:coreProperties>
</file>