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Locked"/>
        <w:placeholder>
          <w:docPart w:val="4BD8178D3FB248A59F99ADCC241622CC"/>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65DD3475" w14:textId="77777777" w:rsidTr="003A6A66">
            <w:trPr>
              <w:cantSplit/>
            </w:trPr>
            <w:tc>
              <w:tcPr>
                <w:tcW w:w="5954" w:type="dxa"/>
                <w:tcMar>
                  <w:left w:w="0" w:type="dxa"/>
                  <w:right w:w="0" w:type="dxa"/>
                </w:tcMar>
              </w:tcPr>
              <w:p w14:paraId="227D1B39" w14:textId="77777777" w:rsidR="006F2BA6" w:rsidRPr="00BA4BC3" w:rsidRDefault="003B7F02" w:rsidP="000E7DFF">
                <w:pPr>
                  <w:pStyle w:val="Titelrubrik"/>
                </w:pPr>
                <w:r>
                  <w:fldChar w:fldCharType="begin"/>
                </w:r>
                <w:r>
                  <w:instrText xml:space="preserve"> DOCPROPERTY  Typrubrik  \* MERGEFORMAT </w:instrText>
                </w:r>
                <w:r>
                  <w:fldChar w:fldCharType="separate"/>
                </w:r>
                <w:r w:rsidR="00045032">
                  <w:t xml:space="preserve">EU-nämndens yttrande </w:t>
                </w:r>
                <w:r>
                  <w:fldChar w:fldCharType="end"/>
                </w:r>
              </w:p>
              <w:p w14:paraId="348A2563" w14:textId="77777777" w:rsidR="006F2BA6" w:rsidRPr="00BA4BC3" w:rsidRDefault="003B7F02" w:rsidP="0039664C">
                <w:pPr>
                  <w:pStyle w:val="Titelrubrik"/>
                </w:pPr>
                <w:r>
                  <w:fldChar w:fldCharType="begin"/>
                </w:r>
                <w:r>
                  <w:instrText xml:space="preserve"> DOCPROPERTY  Dokbeteckning  \* MERGEFORMAT </w:instrText>
                </w:r>
                <w:r>
                  <w:fldChar w:fldCharType="separate"/>
                </w:r>
                <w:r w:rsidR="00045032">
                  <w:t>2016/17:EUN1y</w:t>
                </w:r>
                <w:r>
                  <w:fldChar w:fldCharType="end"/>
                </w:r>
              </w:p>
            </w:tc>
            <w:tc>
              <w:tcPr>
                <w:tcW w:w="1134" w:type="dxa"/>
                <w:tcMar>
                  <w:left w:w="0" w:type="dxa"/>
                  <w:right w:w="0" w:type="dxa"/>
                </w:tcMar>
              </w:tcPr>
              <w:p w14:paraId="32C90BFA" w14:textId="77777777" w:rsidR="006F2BA6" w:rsidRPr="00045032" w:rsidRDefault="006F2BA6" w:rsidP="000E7DFF">
                <w:pPr>
                  <w:pStyle w:val="Kronor"/>
                  <w:rPr>
                    <w:lang w:val="sv-SE"/>
                  </w:rPr>
                </w:pPr>
                <w:r w:rsidRPr="000E7DFF">
                  <w:rPr>
                    <w:lang w:val="sv-SE" w:eastAsia="sv-SE"/>
                  </w:rPr>
                  <w:drawing>
                    <wp:inline distT="0" distB="0" distL="0" distR="0" wp14:anchorId="7B2D9272" wp14:editId="1E5813A1">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20D11873" w14:textId="77777777" w:rsidTr="006850BF">
            <w:trPr>
              <w:cantSplit/>
              <w:trHeight w:hRule="exact" w:val="1134"/>
            </w:trPr>
            <w:tc>
              <w:tcPr>
                <w:tcW w:w="5954" w:type="dxa"/>
                <w:tcMar>
                  <w:left w:w="0" w:type="dxa"/>
                  <w:right w:w="0" w:type="dxa"/>
                </w:tcMar>
              </w:tcPr>
              <w:p w14:paraId="72326702" w14:textId="77777777" w:rsidR="006F2BA6" w:rsidRPr="00BA4BC3" w:rsidRDefault="006F2BA6" w:rsidP="00853EFB">
                <w:pPr>
                  <w:pStyle w:val="Titelrubrik"/>
                </w:pPr>
              </w:p>
            </w:tc>
            <w:tc>
              <w:tcPr>
                <w:tcW w:w="1134" w:type="dxa"/>
                <w:tcMar>
                  <w:left w:w="0" w:type="dxa"/>
                  <w:right w:w="0" w:type="dxa"/>
                </w:tcMar>
              </w:tcPr>
              <w:p w14:paraId="12A6B742" w14:textId="77777777" w:rsidR="006F2BA6" w:rsidRPr="00FA0C03" w:rsidRDefault="006F2BA6" w:rsidP="00FB49C0">
                <w:pPr>
                  <w:pStyle w:val="Dokumentbeteckning"/>
                  <w:rPr>
                    <w:color w:val="FFFFFF" w:themeColor="background1"/>
                    <w:szCs w:val="24"/>
                  </w:rPr>
                </w:pPr>
              </w:p>
            </w:tc>
          </w:tr>
          <w:tr w:rsidR="006F2BA6" w14:paraId="7E224815" w14:textId="77777777" w:rsidTr="009D1CD1">
            <w:trPr>
              <w:cantSplit/>
            </w:trPr>
            <w:tc>
              <w:tcPr>
                <w:tcW w:w="5954" w:type="dxa"/>
                <w:tcBorders>
                  <w:bottom w:val="single" w:sz="4" w:space="0" w:color="auto"/>
                </w:tcBorders>
                <w:tcMar>
                  <w:left w:w="0" w:type="dxa"/>
                  <w:right w:w="0" w:type="dxa"/>
                </w:tcMar>
              </w:tcPr>
              <w:p w14:paraId="10A3B378" w14:textId="55252D85" w:rsidR="006F2BA6" w:rsidRPr="00853EFB" w:rsidRDefault="00302F60" w:rsidP="00BA0DAA">
                <w:pPr>
                  <w:pStyle w:val="Titelrubrik2"/>
                </w:pPr>
                <w:fldSimple w:instr=" DOCPROPERTY  Dokrubrik  \* MERGEFORMAT ">
                  <w:r w:rsidR="00045032">
                    <w:t>Verksamheten i Europeiska unio</w:t>
                  </w:r>
                  <w:r w:rsidR="00BA0DAA">
                    <w:t xml:space="preserve">nen under 2016 </w:t>
                  </w:r>
                </w:fldSimple>
              </w:p>
            </w:tc>
            <w:tc>
              <w:tcPr>
                <w:tcW w:w="1134" w:type="dxa"/>
                <w:tcMar>
                  <w:left w:w="0" w:type="dxa"/>
                  <w:right w:w="0" w:type="dxa"/>
                </w:tcMar>
              </w:tcPr>
              <w:p w14:paraId="7328C534" w14:textId="77777777" w:rsidR="006F2BA6" w:rsidRPr="00BA4BC3" w:rsidRDefault="006F2BA6" w:rsidP="0039664C">
                <w:pPr>
                  <w:pStyle w:val="Titelrubrik2"/>
                </w:pPr>
              </w:p>
            </w:tc>
          </w:tr>
          <w:tr w:rsidR="006F2BA6" w14:paraId="3BFF01CD" w14:textId="77777777" w:rsidTr="009D1CD1">
            <w:trPr>
              <w:cantSplit/>
            </w:trPr>
            <w:tc>
              <w:tcPr>
                <w:tcW w:w="5954" w:type="dxa"/>
                <w:tcBorders>
                  <w:top w:val="single" w:sz="4" w:space="0" w:color="auto"/>
                </w:tcBorders>
                <w:tcMar>
                  <w:left w:w="0" w:type="dxa"/>
                  <w:right w:w="0" w:type="dxa"/>
                </w:tcMar>
              </w:tcPr>
              <w:p w14:paraId="043458ED" w14:textId="77777777" w:rsidR="006F2BA6" w:rsidRPr="00853EFB" w:rsidRDefault="006F2BA6" w:rsidP="00853EFB">
                <w:pPr>
                  <w:pStyle w:val="Titelrubrik"/>
                </w:pPr>
              </w:p>
            </w:tc>
            <w:tc>
              <w:tcPr>
                <w:tcW w:w="1134" w:type="dxa"/>
                <w:tcMar>
                  <w:left w:w="0" w:type="dxa"/>
                  <w:right w:w="0" w:type="dxa"/>
                </w:tcMar>
              </w:tcPr>
              <w:p w14:paraId="674422FC" w14:textId="77777777" w:rsidR="006F2BA6" w:rsidRPr="00BA4BC3" w:rsidRDefault="006F2BA6" w:rsidP="000E7DFF">
                <w:pPr>
                  <w:pStyle w:val="Titelrubrik"/>
                </w:pPr>
              </w:p>
            </w:tc>
          </w:tr>
        </w:tbl>
        <w:p w14:paraId="40F4F0A9" w14:textId="77777777" w:rsidR="00DC511B" w:rsidRPr="006F2BA6" w:rsidRDefault="003B7F02" w:rsidP="00440DE9">
          <w:pPr>
            <w:pStyle w:val="Tabell-Radrubrik"/>
          </w:pPr>
        </w:p>
      </w:sdtContent>
    </w:sdt>
    <w:p w14:paraId="0FC15F69"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0875F4B9" w14:textId="77777777" w:rsidR="00045032" w:rsidRDefault="00045032" w:rsidP="00045032">
      <w:pPr>
        <w:pStyle w:val="Rubrik1"/>
        <w:rPr>
          <w:rStyle w:val="Kapitelrubrik"/>
        </w:rPr>
      </w:pPr>
      <w:r>
        <w:rPr>
          <w:rStyle w:val="Kapitelrubrik"/>
        </w:rPr>
        <w:t>Till utrikesutskottet</w:t>
      </w:r>
    </w:p>
    <w:p w14:paraId="3DE403A7" w14:textId="341F0B5B" w:rsidR="00045032" w:rsidRDefault="00045032" w:rsidP="00045032">
      <w:r>
        <w:t xml:space="preserve">Utrikesutskottet beslutade </w:t>
      </w:r>
      <w:r w:rsidRPr="00647C25">
        <w:t>den 30 mars 2017</w:t>
      </w:r>
      <w:r>
        <w:t xml:space="preserve"> att ge EU-nämnden </w:t>
      </w:r>
      <w:r w:rsidR="004B19D5">
        <w:t xml:space="preserve">och utskotten </w:t>
      </w:r>
      <w:r>
        <w:t>tillfälle att yttra sig över regeringens skrivelse 2016/17:115 Verksamheten i Europeiska unionen under 2016.</w:t>
      </w:r>
    </w:p>
    <w:p w14:paraId="59627656" w14:textId="26037A8D" w:rsidR="00EA3B1C" w:rsidRDefault="00EA3B1C" w:rsidP="00EA3B1C">
      <w:pPr>
        <w:pStyle w:val="Normaltindrag"/>
      </w:pPr>
      <w:r>
        <w:t xml:space="preserve">EU-nämnden lyfter i yttrandet fram frågor som har präglat EU-nämndens verksamhet under 2016. </w:t>
      </w:r>
    </w:p>
    <w:p w14:paraId="7B72DFA7" w14:textId="22615A29" w:rsidR="00EC2906" w:rsidRDefault="00EC2906" w:rsidP="00EC2906">
      <w:pPr>
        <w:rPr>
          <w:sz w:val="24"/>
          <w:szCs w:val="24"/>
        </w:rPr>
      </w:pPr>
      <w:r>
        <w:t>E</w:t>
      </w:r>
      <w:r w:rsidR="00EA3B1C" w:rsidRPr="00472129">
        <w:t xml:space="preserve">n avvikande mening </w:t>
      </w:r>
      <w:r>
        <w:t xml:space="preserve">har anmälts av SD. </w:t>
      </w:r>
    </w:p>
    <w:p w14:paraId="4234E9D7" w14:textId="77777777" w:rsidR="00045032" w:rsidRPr="005207AD" w:rsidRDefault="00045032" w:rsidP="00045032">
      <w:pPr>
        <w:pStyle w:val="Rubrik2"/>
        <w:rPr>
          <w:b/>
          <w:i/>
          <w:szCs w:val="27"/>
        </w:rPr>
      </w:pPr>
      <w:r w:rsidRPr="005207AD">
        <w:rPr>
          <w:szCs w:val="27"/>
        </w:rPr>
        <w:t>Regeringens skrivelse</w:t>
      </w:r>
    </w:p>
    <w:p w14:paraId="02FBA7AA" w14:textId="51CCC7B5" w:rsidR="00045032" w:rsidRDefault="00045032" w:rsidP="00045032">
      <w:r>
        <w:t>I skrivelse</w:t>
      </w:r>
      <w:r w:rsidR="000B3F95">
        <w:t>n om verksamheten i Europeiska u</w:t>
      </w:r>
      <w:r>
        <w:t>nionen 2016 behandlas övergripande ett stort antal politikområden. I bilagorna redogör regeringen för mål av svenskt intresse vid EU-domstolen under 2016, avslutade och pågående överträdelseärenden samt beslut i rådet under 2016 som Sverige inte har stött.</w:t>
      </w:r>
    </w:p>
    <w:p w14:paraId="0B5BCDF9" w14:textId="77777777" w:rsidR="00045032" w:rsidRPr="005207AD" w:rsidRDefault="00045032" w:rsidP="00045032">
      <w:pPr>
        <w:pStyle w:val="R3"/>
        <w:rPr>
          <w:b w:val="0"/>
          <w:sz w:val="27"/>
          <w:szCs w:val="27"/>
        </w:rPr>
      </w:pPr>
      <w:r w:rsidRPr="005207AD">
        <w:rPr>
          <w:b w:val="0"/>
          <w:sz w:val="27"/>
          <w:szCs w:val="27"/>
        </w:rPr>
        <w:t>EU-nämnden</w:t>
      </w:r>
    </w:p>
    <w:p w14:paraId="5BF97930" w14:textId="77777777" w:rsidR="00045032" w:rsidRPr="005207AD" w:rsidRDefault="00045032" w:rsidP="00302F60">
      <w:pPr>
        <w:spacing w:before="126"/>
        <w:rPr>
          <w:sz w:val="21"/>
          <w:szCs w:val="21"/>
        </w:rPr>
      </w:pPr>
      <w:r w:rsidRPr="005207AD">
        <w:rPr>
          <w:b/>
          <w:sz w:val="21"/>
          <w:szCs w:val="21"/>
        </w:rPr>
        <w:t>Synpunkter av övergripande karaktär</w:t>
      </w:r>
    </w:p>
    <w:p w14:paraId="0CAB0BF6" w14:textId="2EA112F6" w:rsidR="00045032" w:rsidRDefault="00045032" w:rsidP="00302F60">
      <w:pPr>
        <w:rPr>
          <w:sz w:val="20"/>
          <w:szCs w:val="20"/>
        </w:rPr>
      </w:pPr>
      <w:r>
        <w:t xml:space="preserve">EU-nämnden vill liksom tidigare år uttrycka sin uppskattning över skrivelsen som ger en bred översikt över verksamheten i EU 2016. </w:t>
      </w:r>
      <w:r w:rsidR="00875F6A">
        <w:t>Nämnden</w:t>
      </w:r>
      <w:r w:rsidRPr="00E57490">
        <w:t xml:space="preserve"> noterar skrivelsens nya utformning och välkomnar en löpande utveckling av årsboken.</w:t>
      </w:r>
      <w:r>
        <w:t xml:space="preserve"> </w:t>
      </w:r>
    </w:p>
    <w:p w14:paraId="18F68548" w14:textId="0FDE5714" w:rsidR="00045032" w:rsidRDefault="00045032" w:rsidP="00045032">
      <w:pPr>
        <w:pStyle w:val="Normaltindrag"/>
      </w:pPr>
      <w:r>
        <w:t>Relationerna mellan regeringen och riksdag</w:t>
      </w:r>
      <w:r w:rsidR="000B3F95">
        <w:t>en</w:t>
      </w:r>
      <w:r>
        <w:t xml:space="preserve"> behandlas övergripande i skrivelsen. Kontakterna mellan EU-nämnden och regeringen och på tjänstemannanivå har liksom tidigare år fungerat väl. Samarbetet har även fortsatt </w:t>
      </w:r>
      <w:r w:rsidR="000B3F95">
        <w:t>prägla</w:t>
      </w:r>
      <w:r w:rsidR="00875F6A">
        <w:t>t</w:t>
      </w:r>
      <w:r w:rsidR="000B3F95">
        <w:t>s</w:t>
      </w:r>
      <w:r>
        <w:t xml:space="preserve"> av god samarbetsanda, effektiv handläggning och beredskap för nödvändig flexibilitet. </w:t>
      </w:r>
      <w:r w:rsidRPr="00E57490">
        <w:t>Det bör dock understrykas</w:t>
      </w:r>
      <w:r w:rsidR="000B3F95">
        <w:t xml:space="preserve"> att det är viktigt att nämnden</w:t>
      </w:r>
      <w:r w:rsidRPr="00E57490">
        <w:t xml:space="preserve"> inför samråde</w:t>
      </w:r>
      <w:r>
        <w:t>n</w:t>
      </w:r>
      <w:r w:rsidRPr="00E57490">
        <w:t xml:space="preserve"> får regeringens </w:t>
      </w:r>
      <w:r>
        <w:t xml:space="preserve">förslag till </w:t>
      </w:r>
      <w:r w:rsidRPr="00E57490">
        <w:t>senaste ståndpunkt för att därmed underlätta mandatgivning i nämnden</w:t>
      </w:r>
      <w:r>
        <w:t xml:space="preserve">.  </w:t>
      </w:r>
    </w:p>
    <w:p w14:paraId="4463D560" w14:textId="6BF2ACFC" w:rsidR="00045032" w:rsidRPr="00323C57" w:rsidRDefault="00045032" w:rsidP="00045032">
      <w:pPr>
        <w:pStyle w:val="Normaltindrag"/>
        <w:rPr>
          <w:sz w:val="20"/>
          <w:szCs w:val="20"/>
        </w:rPr>
      </w:pPr>
      <w:r w:rsidRPr="00323C57">
        <w:lastRenderedPageBreak/>
        <w:t>Det löpande arbetet i nämnden följer rådets dagordning och tidsrama</w:t>
      </w:r>
      <w:r>
        <w:t xml:space="preserve">r. Under året har </w:t>
      </w:r>
      <w:r w:rsidRPr="00323C57">
        <w:t xml:space="preserve">händelser såsom </w:t>
      </w:r>
      <w:r>
        <w:t>fortsatta migrations</w:t>
      </w:r>
      <w:r w:rsidRPr="00323C57">
        <w:t xml:space="preserve">strömmar, folkomröstningen i Storbritannien och kuppförsöket i Turkiet medfört extrainsatta möten i rådet och Europeiska rådet och därmed extrainsatta samråd i nämnden med kort varsel. </w:t>
      </w:r>
      <w:r w:rsidRPr="00A8530C">
        <w:t xml:space="preserve">Det kan </w:t>
      </w:r>
      <w:r>
        <w:t xml:space="preserve">dock </w:t>
      </w:r>
      <w:r w:rsidRPr="00A8530C">
        <w:t xml:space="preserve">konstateras att antalet </w:t>
      </w:r>
      <w:r w:rsidRPr="009853C4">
        <w:t>extra rådsmöten</w:t>
      </w:r>
      <w:r w:rsidR="000B3F95">
        <w:t xml:space="preserve"> med kort varsel var</w:t>
      </w:r>
      <w:r w:rsidRPr="00A8530C">
        <w:t xml:space="preserve"> lägre under 2016 än året före. Planeringen av möten har därmed inte varit lika ryckig och svår att förutse</w:t>
      </w:r>
      <w:r>
        <w:t>.</w:t>
      </w:r>
    </w:p>
    <w:p w14:paraId="44FDA2E2" w14:textId="7BE46081" w:rsidR="00045032" w:rsidRPr="009853C4" w:rsidRDefault="00045032" w:rsidP="00045032">
      <w:pPr>
        <w:pStyle w:val="Normaltindrag"/>
        <w:rPr>
          <w:highlight w:val="yellow"/>
        </w:rPr>
      </w:pPr>
      <w:r w:rsidRPr="00797277">
        <w:t xml:space="preserve">Totalt har </w:t>
      </w:r>
      <w:r>
        <w:t>sju</w:t>
      </w:r>
      <w:r w:rsidRPr="009853C4">
        <w:rPr>
          <w:color w:val="FF3399"/>
        </w:rPr>
        <w:t xml:space="preserve"> </w:t>
      </w:r>
      <w:r w:rsidRPr="00221F1B">
        <w:rPr>
          <w:color w:val="000000"/>
        </w:rPr>
        <w:t xml:space="preserve">möten i Europeiska rådet och informella möten mellan </w:t>
      </w:r>
      <w:r w:rsidRPr="009853C4">
        <w:rPr>
          <w:color w:val="000000"/>
        </w:rPr>
        <w:t xml:space="preserve">EU:s </w:t>
      </w:r>
      <w:r w:rsidRPr="00797277">
        <w:rPr>
          <w:color w:val="000000"/>
        </w:rPr>
        <w:t>stats- och regeringschefer</w:t>
      </w:r>
      <w:r w:rsidRPr="00221F1B">
        <w:rPr>
          <w:color w:val="000000"/>
        </w:rPr>
        <w:t xml:space="preserve"> ägt ru</w:t>
      </w:r>
      <w:r w:rsidRPr="00221F1B">
        <w:t>m, inklusive extra möten</w:t>
      </w:r>
      <w:r w:rsidR="000B3F95">
        <w:rPr>
          <w:color w:val="000000"/>
        </w:rPr>
        <w:t>. Nämnden har sammanträtt elva</w:t>
      </w:r>
      <w:r>
        <w:rPr>
          <w:color w:val="000000"/>
        </w:rPr>
        <w:t xml:space="preserve"> gånger i samband med dessa möten</w:t>
      </w:r>
      <w:r w:rsidRPr="00E80E17">
        <w:rPr>
          <w:color w:val="000000"/>
        </w:rPr>
        <w:t xml:space="preserve">. </w:t>
      </w:r>
      <w:r w:rsidRPr="00E80E17">
        <w:t xml:space="preserve">Statsministern har informerat och samrått med nämnden inför samtliga sju möten. </w:t>
      </w:r>
      <w:r w:rsidRPr="00680FCE">
        <w:t xml:space="preserve">Vid </w:t>
      </w:r>
      <w:r>
        <w:t>fyra</w:t>
      </w:r>
      <w:r w:rsidRPr="00680FCE">
        <w:t xml:space="preserve"> tillfällen har samråd </w:t>
      </w:r>
      <w:r>
        <w:t>med statssekreterare eller kabinett</w:t>
      </w:r>
      <w:r w:rsidR="000B3F95">
        <w:t>s</w:t>
      </w:r>
      <w:r>
        <w:t xml:space="preserve">sekreteraren </w:t>
      </w:r>
      <w:r w:rsidRPr="00680FCE">
        <w:t xml:space="preserve">ägt rum via telefon </w:t>
      </w:r>
      <w:r>
        <w:t>inför eller under</w:t>
      </w:r>
      <w:r w:rsidRPr="00680FCE">
        <w:t xml:space="preserve"> pågående möte.</w:t>
      </w:r>
      <w:r>
        <w:t xml:space="preserve"> </w:t>
      </w:r>
      <w:r w:rsidRPr="00E57490">
        <w:rPr>
          <w:color w:val="000000"/>
        </w:rPr>
        <w:t>Stats-</w:t>
      </w:r>
      <w:r w:rsidR="000B3F95">
        <w:rPr>
          <w:color w:val="000000"/>
        </w:rPr>
        <w:t xml:space="preserve"> </w:t>
      </w:r>
      <w:r w:rsidRPr="00E57490">
        <w:rPr>
          <w:color w:val="000000"/>
        </w:rPr>
        <w:t>och regeringscheferna sammanträdde redan några dagar efter folkomröstningen i Storbritannien i kretsen av EU</w:t>
      </w:r>
      <w:r w:rsidR="000B3F95">
        <w:rPr>
          <w:color w:val="000000"/>
        </w:rPr>
        <w:t>-</w:t>
      </w:r>
      <w:r w:rsidRPr="00E57490">
        <w:rPr>
          <w:color w:val="000000"/>
        </w:rPr>
        <w:t>27.</w:t>
      </w:r>
      <w:r>
        <w:rPr>
          <w:color w:val="000000"/>
        </w:rPr>
        <w:t xml:space="preserve"> </w:t>
      </w:r>
      <w:r w:rsidRPr="00E57490">
        <w:rPr>
          <w:color w:val="000000"/>
        </w:rPr>
        <w:t xml:space="preserve">Samråd </w:t>
      </w:r>
      <w:r w:rsidR="000B3F95">
        <w:rPr>
          <w:color w:val="000000"/>
        </w:rPr>
        <w:t xml:space="preserve">hölls och </w:t>
      </w:r>
      <w:r w:rsidRPr="00E57490">
        <w:rPr>
          <w:color w:val="000000"/>
        </w:rPr>
        <w:t xml:space="preserve">information </w:t>
      </w:r>
      <w:r w:rsidR="000B3F95">
        <w:rPr>
          <w:color w:val="000000"/>
        </w:rPr>
        <w:t>delades</w:t>
      </w:r>
      <w:r w:rsidRPr="00E57490">
        <w:rPr>
          <w:color w:val="000000"/>
        </w:rPr>
        <w:t xml:space="preserve"> med nämnden inför de</w:t>
      </w:r>
      <w:r>
        <w:rPr>
          <w:color w:val="000000"/>
        </w:rPr>
        <w:t>tt</w:t>
      </w:r>
      <w:r w:rsidRPr="00E57490">
        <w:rPr>
          <w:color w:val="000000"/>
        </w:rPr>
        <w:t>a möte</w:t>
      </w:r>
      <w:r>
        <w:rPr>
          <w:color w:val="000000"/>
        </w:rPr>
        <w:t xml:space="preserve">. </w:t>
      </w:r>
    </w:p>
    <w:p w14:paraId="515E9E3A" w14:textId="77777777" w:rsidR="00045032" w:rsidRDefault="00045032" w:rsidP="00045032">
      <w:pPr>
        <w:pStyle w:val="Normaltindrag"/>
      </w:pPr>
      <w:r>
        <w:t>Statsministern återrapporterade till EU-nämnden från Europeiska rådets möte i juni.</w:t>
      </w:r>
      <w:r w:rsidRPr="00680FCE">
        <w:rPr>
          <w:color w:val="FF3399"/>
        </w:rPr>
        <w:t xml:space="preserve"> </w:t>
      </w:r>
      <w:r>
        <w:t>Övriga återrapporteringar ägde rum i kammaren</w:t>
      </w:r>
      <w:r w:rsidRPr="00797277">
        <w:t xml:space="preserve">. </w:t>
      </w:r>
    </w:p>
    <w:p w14:paraId="35E90704" w14:textId="213F51D8" w:rsidR="00045032" w:rsidRPr="00E62DCA" w:rsidRDefault="00045032" w:rsidP="00045032">
      <w:pPr>
        <w:pStyle w:val="Normaltindrag"/>
      </w:pPr>
      <w:r w:rsidRPr="009853C4">
        <w:t xml:space="preserve">Utgångspunkten är att regeringens samråd med EU-nämnden ska ske i närvaro av statsråd och ledamöter vid sammanträden. När nämnden inte sammanträder sker samråd skriftligen. </w:t>
      </w:r>
      <w:r>
        <w:t xml:space="preserve">Ett stort antal skriftliga samråd </w:t>
      </w:r>
      <w:r w:rsidRPr="009853C4">
        <w:t>genomförs löpande varje vecka och ibland inom korta tidsramar.</w:t>
      </w:r>
      <w:r>
        <w:t xml:space="preserve"> </w:t>
      </w:r>
      <w:r w:rsidR="000B3F95">
        <w:t xml:space="preserve">Ledamöter i nämnden begärde </w:t>
      </w:r>
      <w:r w:rsidRPr="009853C4">
        <w:t xml:space="preserve">under året vid ett antal tillfällen att få kompletterande information i samband med skriftliga samråd. </w:t>
      </w:r>
    </w:p>
    <w:p w14:paraId="47BEE62A" w14:textId="77777777" w:rsidR="00045032" w:rsidRDefault="00045032" w:rsidP="00045032">
      <w:pPr>
        <w:pStyle w:val="Normaltindrag"/>
      </w:pPr>
      <w:r w:rsidRPr="009853C4">
        <w:t>Sammantaget fick regeringen under året stöd för sina ståndpunkter av en majoritet i nämnden, såväl vid sammanträden som vid skriftliga samråd</w:t>
      </w:r>
      <w:r>
        <w:t>. Vid några tillfällen fick regeringen stöd efter att ha reviderat sin ståndpunkt.</w:t>
      </w:r>
    </w:p>
    <w:p w14:paraId="28EB63F8" w14:textId="77777777" w:rsidR="00045032" w:rsidRPr="0045472D" w:rsidRDefault="00045032" w:rsidP="00426626">
      <w:pPr>
        <w:pStyle w:val="Rubrik3"/>
      </w:pPr>
      <w:r w:rsidRPr="0045472D">
        <w:rPr>
          <w:rFonts w:eastAsiaTheme="minorHAnsi"/>
        </w:rPr>
        <w:t>Synpunkter med anledning av skrivelsens olika delar</w:t>
      </w:r>
    </w:p>
    <w:p w14:paraId="65A7EED7" w14:textId="77777777" w:rsidR="00BA0DAA" w:rsidRDefault="000B3F95" w:rsidP="00302F60">
      <w:r>
        <w:t>I</w:t>
      </w:r>
      <w:r w:rsidR="00045032">
        <w:t xml:space="preserve"> det följande lyfter EU-nämnden fram några frågor som är av intresse för att belysa regeringens samråd med nämnden.</w:t>
      </w:r>
    </w:p>
    <w:p w14:paraId="5EFF88C0" w14:textId="7682A4DD" w:rsidR="00045032" w:rsidRPr="00C7029F" w:rsidRDefault="00BA0DAA" w:rsidP="00BA0DAA">
      <w:pPr>
        <w:pStyle w:val="Normaltindrag"/>
      </w:pPr>
      <w:r>
        <w:t xml:space="preserve">Inom ramen för </w:t>
      </w:r>
      <w:r w:rsidRPr="00BA0DAA">
        <w:rPr>
          <w:i/>
        </w:rPr>
        <w:t>allmänna rådet (horisontella frågor)</w:t>
      </w:r>
      <w:r>
        <w:t xml:space="preserve"> </w:t>
      </w:r>
      <w:r w:rsidR="00045032" w:rsidRPr="00C7029F">
        <w:t>nådde</w:t>
      </w:r>
      <w:r>
        <w:t xml:space="preserve"> rådet</w:t>
      </w:r>
      <w:r w:rsidR="00045032" w:rsidRPr="00C7029F">
        <w:t xml:space="preserve"> en principöverenskommelse den 15 november om översynen av EU:s fleråriga budgetram för perioden 2014</w:t>
      </w:r>
      <w:r w:rsidR="00BF2A73">
        <w:t xml:space="preserve"> – </w:t>
      </w:r>
      <w:r w:rsidR="00045032" w:rsidRPr="00C7029F">
        <w:t>2020</w:t>
      </w:r>
      <w:r w:rsidR="00BF2A73">
        <w:t>,</w:t>
      </w:r>
      <w:r w:rsidR="00045032" w:rsidRPr="00C7029F">
        <w:t xml:space="preserve"> och regeringen samrådde med nämnden vid ett telefonsammanträde tidigare samma dag. Det fanns majoritet för regering</w:t>
      </w:r>
      <w:r w:rsidR="00BF2A73">
        <w:t>en</w:t>
      </w:r>
      <w:r w:rsidR="00045032" w:rsidRPr="00C7029F">
        <w:t>s ståndpunkt efte</w:t>
      </w:r>
      <w:r w:rsidR="00BF2A73">
        <w:t>r en ingående diskussion om</w:t>
      </w:r>
      <w:r w:rsidR="00045032" w:rsidRPr="00C7029F">
        <w:t xml:space="preserve"> bl.a. budgetrestriktivitet. Regeringen förtydligade sin ståndpunkt i fråga om den svenska medlemsavgiften.</w:t>
      </w:r>
    </w:p>
    <w:p w14:paraId="0C2E09FD" w14:textId="77777777" w:rsidR="00045032" w:rsidRPr="00171F98" w:rsidRDefault="00045032" w:rsidP="00045032">
      <w:pPr>
        <w:pStyle w:val="Normaltindrag"/>
        <w:ind w:firstLine="0"/>
      </w:pPr>
      <w:r w:rsidRPr="00C7029F">
        <w:t xml:space="preserve">Det interinstitutionella avtalet om bättre lagstiftning (IIA) trädde i kraft den 13 april. För första gången har, i enlighet med avtalet, kommissionens årliga arbetsprogram (2017) arbetats fram i dialog med rådet och Europaparlamentet. Nämnden har behandlat </w:t>
      </w:r>
      <w:r>
        <w:t>frågan</w:t>
      </w:r>
      <w:r w:rsidRPr="00C7029F">
        <w:t xml:space="preserve"> vid ett flertal tillfällen under året inför rådets möten.</w:t>
      </w:r>
    </w:p>
    <w:p w14:paraId="470939EF" w14:textId="5FBF4D11" w:rsidR="00045032" w:rsidRPr="00B743FF" w:rsidRDefault="00DA6200" w:rsidP="00BA0DAA">
      <w:pPr>
        <w:pStyle w:val="Normaltindrag"/>
      </w:pPr>
      <w:r>
        <w:t>Även under 2016 satte</w:t>
      </w:r>
      <w:r w:rsidR="00875F6A">
        <w:t xml:space="preserve"> frågor som berör</w:t>
      </w:r>
      <w:r w:rsidR="00045032" w:rsidRPr="00B743FF">
        <w:t xml:space="preserve"> </w:t>
      </w:r>
      <w:r w:rsidR="00BA0DAA" w:rsidRPr="00BA0DAA">
        <w:rPr>
          <w:i/>
        </w:rPr>
        <w:t>EU:s förbindelser med omvärlden samt rättsliga och inrikes frågor</w:t>
      </w:r>
      <w:r w:rsidR="00BA0DAA">
        <w:t xml:space="preserve"> </w:t>
      </w:r>
      <w:r w:rsidR="00045032" w:rsidRPr="00B743FF">
        <w:t xml:space="preserve">sin prägel på samråden i EU-nämnden. </w:t>
      </w:r>
    </w:p>
    <w:p w14:paraId="09E24E99" w14:textId="77777777" w:rsidR="00233A22" w:rsidRDefault="00045032" w:rsidP="00233A22">
      <w:pPr>
        <w:pStyle w:val="Normaltindrag"/>
      </w:pPr>
      <w:r w:rsidRPr="00B743FF">
        <w:lastRenderedPageBreak/>
        <w:t xml:space="preserve">Många av de ämnen som hanterats inför möten i </w:t>
      </w:r>
      <w:r w:rsidRPr="00B743FF">
        <w:rPr>
          <w:i/>
        </w:rPr>
        <w:t xml:space="preserve">utrikesrådet </w:t>
      </w:r>
      <w:r w:rsidRPr="00B743FF">
        <w:t>har på olika sätt haft beröring med pågående migrationsströmmar, vars ursprung och konsekvenser fortsatt varit i fokus. Situationen i Syrien har återkommande diskuterats, liksom</w:t>
      </w:r>
      <w:r>
        <w:t xml:space="preserve"> utvecklingen i Libyen.</w:t>
      </w:r>
    </w:p>
    <w:p w14:paraId="51712DC8" w14:textId="1717E399" w:rsidR="00045032" w:rsidRPr="00B743FF" w:rsidRDefault="00045032" w:rsidP="00233A22">
      <w:pPr>
        <w:pStyle w:val="Normaltindrag"/>
      </w:pPr>
      <w:r>
        <w:t>Med anledning av d</w:t>
      </w:r>
      <w:r w:rsidRPr="00B743FF">
        <w:t xml:space="preserve">et stora antal </w:t>
      </w:r>
      <w:r>
        <w:t>migranter</w:t>
      </w:r>
      <w:r w:rsidRPr="00B743FF">
        <w:t xml:space="preserve"> som sökt sig till EU via Medelhavet </w:t>
      </w:r>
      <w:r>
        <w:t>kallades</w:t>
      </w:r>
      <w:r w:rsidRPr="00B743FF">
        <w:t xml:space="preserve"> till ett gemensamt möte den 7 mars mellan stats- och regeringscheferna i EU och Turkiet. I samband med Europeiska rådets möte den 18 mars gjorde EU och Turkiet ett uttalande enligt vilket parterna träffade en överenskommelse om att stoppa den irreguljära migrationen från Turkiet till EU. </w:t>
      </w:r>
      <w:r w:rsidR="00482516" w:rsidRPr="00482516">
        <w:rPr>
          <w:color w:val="000000"/>
        </w:rPr>
        <w:t>Ett parti har lämnat en avvikande mening på denna överenskommelse.</w:t>
      </w:r>
      <w:r w:rsidR="00482516">
        <w:rPr>
          <w:color w:val="000000"/>
        </w:rPr>
        <w:t xml:space="preserve"> </w:t>
      </w:r>
      <w:r w:rsidRPr="00B743FF">
        <w:t>Vid statsministerns samråd i EU-nämnden inför dessa möten framfördes synpunkter bl.a. om att all hantering ska ske i enlighet med internationell rätt och folkrättens regler</w:t>
      </w:r>
      <w:r w:rsidR="00B85BE9">
        <w:t>,</w:t>
      </w:r>
      <w:r w:rsidRPr="00B743FF">
        <w:t xml:space="preserve"> </w:t>
      </w:r>
      <w:r w:rsidR="00B85BE9">
        <w:t xml:space="preserve">om </w:t>
      </w:r>
      <w:r w:rsidRPr="00B743FF">
        <w:t>vikten av</w:t>
      </w:r>
      <w:r w:rsidR="00DA6200">
        <w:t xml:space="preserve"> att</w:t>
      </w:r>
      <w:r w:rsidRPr="00B743FF">
        <w:t xml:space="preserve"> värna asylrätten och</w:t>
      </w:r>
      <w:r w:rsidR="00B85BE9">
        <w:t xml:space="preserve"> av</w:t>
      </w:r>
      <w:r w:rsidRPr="00B743FF">
        <w:t xml:space="preserve"> att skapa lagliga vägar in i EU. Flera telefonsamråd hölls inför båda toppmötena. </w:t>
      </w:r>
      <w:r>
        <w:t>F</w:t>
      </w:r>
      <w:r w:rsidRPr="00B743FF">
        <w:t>rågan huruvida Turkiet är att anse som ett säkert land i samband med återsändande av migranter</w:t>
      </w:r>
      <w:r>
        <w:t xml:space="preserve"> har </w:t>
      </w:r>
      <w:r w:rsidR="00DA6200">
        <w:t>tagits upp</w:t>
      </w:r>
      <w:r w:rsidRPr="00B743FF">
        <w:t xml:space="preserve"> i </w:t>
      </w:r>
      <w:r>
        <w:t xml:space="preserve">nämndens </w:t>
      </w:r>
      <w:r w:rsidRPr="00B743FF">
        <w:t>diskussione</w:t>
      </w:r>
      <w:r>
        <w:t>r</w:t>
      </w:r>
      <w:r w:rsidRPr="00B743FF">
        <w:t xml:space="preserve"> vid ett flertal tillfällen. Andra synpunkter som framförts i nämnden vid samråd som aktualiserat</w:t>
      </w:r>
      <w:r>
        <w:t xml:space="preserve"> </w:t>
      </w:r>
      <w:r w:rsidRPr="00B743FF">
        <w:t>förhållande</w:t>
      </w:r>
      <w:r>
        <w:t>t i och</w:t>
      </w:r>
      <w:r w:rsidRPr="00B743FF">
        <w:t xml:space="preserve"> till Turkiet har </w:t>
      </w:r>
      <w:r>
        <w:t xml:space="preserve">bl.a. </w:t>
      </w:r>
      <w:r w:rsidRPr="00B743FF">
        <w:t xml:space="preserve">gällt den demokratiska utvecklingen i landet, yttrandefriheten och arresteringar av journalister, riksdagsledamöter och oppositionella. </w:t>
      </w:r>
    </w:p>
    <w:p w14:paraId="7DF63CCD" w14:textId="77777777" w:rsidR="00045032" w:rsidRPr="00B743FF" w:rsidRDefault="00045032" w:rsidP="00045032">
      <w:pPr>
        <w:pStyle w:val="Normaltindrag"/>
      </w:pPr>
      <w:r w:rsidRPr="00B743FF">
        <w:t>EU:s strategiska förhållande till Ryssland, landets agerande till stöd för regimen i Syrien och i Ukraina och i sammanhanget EU:s sanktionsregim har diskuterats under året. En enig nämnd har stått bakom fortsatta sanktioner mot Ryssland i fråga om Ukraina. Diskussionen har också rört möjliga sanktioner mot Ryssland för agerandet i Syrien.</w:t>
      </w:r>
    </w:p>
    <w:p w14:paraId="6A877AEF" w14:textId="2B6DBC57" w:rsidR="00045032" w:rsidRPr="00B743FF" w:rsidRDefault="00045032" w:rsidP="00045032">
      <w:pPr>
        <w:pStyle w:val="Normaltindrag"/>
      </w:pPr>
      <w:r w:rsidRPr="00B743FF">
        <w:t>Frågor som har samb</w:t>
      </w:r>
      <w:r w:rsidR="00DA6200">
        <w:t xml:space="preserve">and med migration har även </w:t>
      </w:r>
      <w:r w:rsidRPr="00B743FF">
        <w:t xml:space="preserve">hanterats inför </w:t>
      </w:r>
      <w:r w:rsidRPr="00B743FF">
        <w:rPr>
          <w:i/>
        </w:rPr>
        <w:t>rådet för rättsliga och inrikes frågor</w:t>
      </w:r>
      <w:r w:rsidR="00DA6200">
        <w:rPr>
          <w:i/>
        </w:rPr>
        <w:t xml:space="preserve"> (RIF-rådet)</w:t>
      </w:r>
      <w:r w:rsidRPr="00B743FF">
        <w:t xml:space="preserve">. Det har återkommande gällt genomförande av beslutade åtgärder, framför allt omfördelning och vidarebosättning, liksom återsändande. En majoritet i nämnden har delat regeringens uppfattning att EU:s medlemsländer solidariskt ska fullfölja sina åtaganden för att lösa den uppkomna situationen. Även frågor om gräns- och kustbevakning har frekvent hanterats i nämnden under året. </w:t>
      </w:r>
    </w:p>
    <w:p w14:paraId="6A840368" w14:textId="1BEB64BD" w:rsidR="00045032" w:rsidRPr="00B743FF" w:rsidRDefault="00045032" w:rsidP="00045032">
      <w:pPr>
        <w:pStyle w:val="Normaltindrag"/>
      </w:pPr>
      <w:r w:rsidRPr="00B743FF">
        <w:t xml:space="preserve">En av de stora frågorna på </w:t>
      </w:r>
      <w:r w:rsidRPr="00DA6200">
        <w:rPr>
          <w:i/>
        </w:rPr>
        <w:t>RIF-rådets</w:t>
      </w:r>
      <w:r w:rsidRPr="00B743FF">
        <w:t xml:space="preserve"> dagordning har varit reformen av det gemensamma europeiska asylsystemet, som har väckt diskussion i nämnden vid upprepade tillfällen.</w:t>
      </w:r>
      <w:r>
        <w:t xml:space="preserve"> Sju lagstiftningsförslag förhandlas och</w:t>
      </w:r>
      <w:r w:rsidRPr="00B743FF">
        <w:t xml:space="preserve"> </w:t>
      </w:r>
      <w:r w:rsidR="00B85BE9">
        <w:t xml:space="preserve">partierna har anmält </w:t>
      </w:r>
      <w:r w:rsidRPr="00367805">
        <w:t>avvikande meningar</w:t>
      </w:r>
      <w:r w:rsidR="00B85BE9">
        <w:t xml:space="preserve"> i paketets olika delar, i förhållande till regeringens ståndpunkter. </w:t>
      </w:r>
      <w:r w:rsidRPr="00367805">
        <w:t xml:space="preserve">Vid flera tillfällen har reformen tagits upp </w:t>
      </w:r>
      <w:r>
        <w:t>i</w:t>
      </w:r>
      <w:r w:rsidRPr="00367805">
        <w:t xml:space="preserve"> rådet som en lägesrapportering om förhandlingsläget. </w:t>
      </w:r>
    </w:p>
    <w:p w14:paraId="65838BCA" w14:textId="01711D10" w:rsidR="00045032" w:rsidRPr="00B743FF" w:rsidRDefault="00045032" w:rsidP="00045032">
      <w:pPr>
        <w:pStyle w:val="Normaltindrag"/>
      </w:pPr>
      <w:r w:rsidRPr="00B743FF">
        <w:t>Terrorism har återkommande stått på rådets dagordning under året. EU:s inrikesministrar enades vid ett extra ministermöte den 24 mars efter terrorattentatet i Bryssel om ett uttalande</w:t>
      </w:r>
      <w:r w:rsidR="00B37CE1">
        <w:t xml:space="preserve"> i vilket ministrarna</w:t>
      </w:r>
      <w:r w:rsidRPr="00B743FF">
        <w:t xml:space="preserve"> uttryckte solidaritet med Belgien och dess folk. Nämnden </w:t>
      </w:r>
      <w:r w:rsidR="00B37CE1">
        <w:t>hade informerats om och diskuterat</w:t>
      </w:r>
      <w:r w:rsidRPr="00B743FF">
        <w:t xml:space="preserve"> ett utkast till uttalande vid ett telefonsammanträde med ministern tidigare samma dag.</w:t>
      </w:r>
    </w:p>
    <w:p w14:paraId="69182D2B" w14:textId="3084745D" w:rsidR="00045032" w:rsidRPr="00B743FF" w:rsidRDefault="00045032" w:rsidP="00045032">
      <w:pPr>
        <w:pStyle w:val="Normaltindrag"/>
      </w:pPr>
      <w:r w:rsidRPr="00B743FF">
        <w:lastRenderedPageBreak/>
        <w:t xml:space="preserve">Vid rådets möte i december förklarade Sverige att man avser att stå utanför samarbetet om den europeiska åklagarmyndigheten. En majoritet i EU-nämnden </w:t>
      </w:r>
      <w:r>
        <w:t xml:space="preserve">hade </w:t>
      </w:r>
      <w:r w:rsidRPr="00B743FF">
        <w:t>ställ</w:t>
      </w:r>
      <w:r>
        <w:t>t</w:t>
      </w:r>
      <w:r w:rsidRPr="00B743FF">
        <w:t xml:space="preserve"> sig bakom denna ståndpunkt.</w:t>
      </w:r>
    </w:p>
    <w:p w14:paraId="5F89B2B2" w14:textId="6432783A" w:rsidR="00045032" w:rsidRPr="00BA10EA" w:rsidRDefault="00045032" w:rsidP="00045032">
      <w:pPr>
        <w:pStyle w:val="Normaltindrag"/>
      </w:pPr>
      <w:r>
        <w:t xml:space="preserve">När det gäller samråden om </w:t>
      </w:r>
      <w:r w:rsidRPr="00BA10EA">
        <w:rPr>
          <w:i/>
        </w:rPr>
        <w:t xml:space="preserve">ekonomiska och finansiella frågor </w:t>
      </w:r>
      <w:r>
        <w:t>samrådde regeringen ett antal gån</w:t>
      </w:r>
      <w:r w:rsidR="00163EC2">
        <w:t>ger under året med nämnden om</w:t>
      </w:r>
      <w:r>
        <w:t xml:space="preserve"> kommissionens paket om bekämpning av skatteflykt. Kommissionen presenterade sitt meddelande om åtgärdspaketet i januari</w:t>
      </w:r>
      <w:r w:rsidR="00163EC2">
        <w:t>,</w:t>
      </w:r>
      <w:r>
        <w:t xml:space="preserve"> och paketet består i sin tur av olika typer av åtgärder, bl.a. ett direktivförslag om skatteundandraganden. </w:t>
      </w:r>
      <w:r w:rsidRPr="0098434F">
        <w:t xml:space="preserve">Regeringen fick i februari stöd av </w:t>
      </w:r>
      <w:r>
        <w:t xml:space="preserve">en majoritet av </w:t>
      </w:r>
      <w:r w:rsidRPr="0098434F">
        <w:t xml:space="preserve">nämnden för sin inriktning </w:t>
      </w:r>
      <w:r w:rsidR="00163EC2">
        <w:t>inför en första diskussion om</w:t>
      </w:r>
      <w:r w:rsidRPr="0098434F">
        <w:t xml:space="preserve"> åt</w:t>
      </w:r>
      <w:r>
        <w:t>gärdspaketet</w:t>
      </w:r>
      <w:r w:rsidRPr="0098434F">
        <w:t>. I maj fick re</w:t>
      </w:r>
      <w:r>
        <w:t>geringen stöd för sin linje</w:t>
      </w:r>
      <w:r w:rsidRPr="0098434F">
        <w:t xml:space="preserve"> </w:t>
      </w:r>
      <w:r w:rsidR="00163EC2">
        <w:t>när det gäller</w:t>
      </w:r>
      <w:r w:rsidRPr="0098434F">
        <w:t xml:space="preserve"> </w:t>
      </w:r>
      <w:r>
        <w:t xml:space="preserve">en del i paketet, </w:t>
      </w:r>
      <w:r w:rsidRPr="0098434F">
        <w:t>direktivet mot skatteundandragande</w:t>
      </w:r>
      <w:r>
        <w:t>,</w:t>
      </w:r>
      <w:r w:rsidRPr="0098434F">
        <w:t xml:space="preserve"> med </w:t>
      </w:r>
      <w:r w:rsidR="00B64010">
        <w:t xml:space="preserve">en </w:t>
      </w:r>
      <w:r w:rsidRPr="0098434F">
        <w:t>avvikande menin</w:t>
      </w:r>
      <w:r>
        <w:t>g från ett oppositionsparti</w:t>
      </w:r>
      <w:r w:rsidRPr="0098434F">
        <w:t>.</w:t>
      </w:r>
      <w:r>
        <w:rPr>
          <w:color w:val="FF3399"/>
        </w:rPr>
        <w:t xml:space="preserve"> </w:t>
      </w:r>
      <w:r w:rsidRPr="0098434F">
        <w:t>Direktivet om skatteundandragande</w:t>
      </w:r>
      <w:r>
        <w:t>n</w:t>
      </w:r>
      <w:r w:rsidRPr="0098434F">
        <w:t xml:space="preserve"> antogs i juli</w:t>
      </w:r>
      <w:r w:rsidR="00163EC2">
        <w:t>,</w:t>
      </w:r>
      <w:r w:rsidRPr="0098434F">
        <w:t xml:space="preserve"> men redan i oktober överlämnade kommissionen ett försla</w:t>
      </w:r>
      <w:r w:rsidR="00163EC2">
        <w:t>g till ändringsdirektiv om</w:t>
      </w:r>
      <w:r w:rsidRPr="0098434F">
        <w:t xml:space="preserve"> hyb</w:t>
      </w:r>
      <w:r w:rsidR="00163EC2">
        <w:t>rida missmatchningar med tredje</w:t>
      </w:r>
      <w:r w:rsidRPr="0098434F">
        <w:t xml:space="preserve">länder. Regeringen fick stöd för sin </w:t>
      </w:r>
      <w:r>
        <w:t xml:space="preserve">hållning </w:t>
      </w:r>
      <w:r w:rsidR="00163EC2">
        <w:t>när det gäller</w:t>
      </w:r>
      <w:r w:rsidRPr="0098434F">
        <w:t xml:space="preserve"> ändringsdirektivet</w:t>
      </w:r>
      <w:r>
        <w:t xml:space="preserve">. </w:t>
      </w:r>
    </w:p>
    <w:p w14:paraId="409952F8" w14:textId="7F5AC40F" w:rsidR="00045032" w:rsidRPr="0098434F" w:rsidRDefault="00045032" w:rsidP="00045032">
      <w:pPr>
        <w:pStyle w:val="Normaltindrag"/>
      </w:pPr>
      <w:r>
        <w:t xml:space="preserve">Nämnden diskuterade även vid ett par tillfällen under 2016 det arbete som </w:t>
      </w:r>
      <w:r w:rsidR="00163EC2">
        <w:t xml:space="preserve">hade </w:t>
      </w:r>
      <w:r>
        <w:t xml:space="preserve">inletts under 2014 med den europeiska investeringsfonden (Efsi). </w:t>
      </w:r>
      <w:r w:rsidRPr="00F4202B">
        <w:t xml:space="preserve">Regeringen fick stöd </w:t>
      </w:r>
      <w:r>
        <w:t xml:space="preserve">för sin linje. </w:t>
      </w:r>
    </w:p>
    <w:p w14:paraId="5510DB0B" w14:textId="579F0898" w:rsidR="00045032" w:rsidRDefault="00045032" w:rsidP="00045032">
      <w:pPr>
        <w:pStyle w:val="Normaltindrag"/>
      </w:pPr>
      <w:r w:rsidRPr="00F4202B">
        <w:t>Frågan om kampen mot terro</w:t>
      </w:r>
      <w:r w:rsidR="00163EC2">
        <w:t xml:space="preserve">rismfinansiering har också </w:t>
      </w:r>
      <w:r w:rsidRPr="00F4202B">
        <w:t>lett</w:t>
      </w:r>
      <w:r w:rsidR="00163EC2">
        <w:t xml:space="preserve"> till</w:t>
      </w:r>
      <w:r w:rsidRPr="00F4202B">
        <w:t xml:space="preserve"> diskussion i nämnden. </w:t>
      </w:r>
      <w:r>
        <w:t>I början av 2016 antogs råd</w:t>
      </w:r>
      <w:r w:rsidR="00163EC2">
        <w:t>s</w:t>
      </w:r>
      <w:r>
        <w:t>slutsatser</w:t>
      </w:r>
      <w:r w:rsidR="00163EC2">
        <w:t xml:space="preserve"> om</w:t>
      </w:r>
      <w:r>
        <w:t xml:space="preserve"> kommissionens åtgärdsplan om kampen mot terrorismfinansiering. Det fanns stöd</w:t>
      </w:r>
      <w:r w:rsidR="00163EC2">
        <w:t xml:space="preserve"> för regeringens ståndpunkt. S</w:t>
      </w:r>
      <w:r>
        <w:t xml:space="preserve">om aviserats i kommissionens åtgärdsplan </w:t>
      </w:r>
      <w:r w:rsidRPr="00F4202B">
        <w:t>presenterade</w:t>
      </w:r>
      <w:r>
        <w:t xml:space="preserve">s därefter ett förslag </w:t>
      </w:r>
      <w:r w:rsidR="00163EC2">
        <w:t>om</w:t>
      </w:r>
      <w:r w:rsidRPr="00F4202B">
        <w:t xml:space="preserve"> en revidering av fjärde penningtvättsdirektivet</w:t>
      </w:r>
      <w:r w:rsidR="00163EC2">
        <w:t>,</w:t>
      </w:r>
      <w:r>
        <w:t xml:space="preserve"> och förslaget</w:t>
      </w:r>
      <w:r w:rsidRPr="00F4202B">
        <w:t xml:space="preserve"> </w:t>
      </w:r>
      <w:r>
        <w:t>behandlades</w:t>
      </w:r>
      <w:r w:rsidRPr="00F4202B">
        <w:t xml:space="preserve"> </w:t>
      </w:r>
      <w:r>
        <w:t xml:space="preserve">i nämnden </w:t>
      </w:r>
      <w:r w:rsidRPr="00F4202B">
        <w:t>under hösten</w:t>
      </w:r>
      <w:r>
        <w:t xml:space="preserve"> 2016. Regeringen fick stöd för sin hållning i nämnden. </w:t>
      </w:r>
    </w:p>
    <w:p w14:paraId="02B024DE" w14:textId="41F362A6" w:rsidR="00045032" w:rsidRPr="009C372E" w:rsidRDefault="00045032" w:rsidP="00045032">
      <w:pPr>
        <w:pStyle w:val="Normaltindrag"/>
      </w:pPr>
      <w:r>
        <w:t xml:space="preserve">Inom områdena </w:t>
      </w:r>
      <w:r>
        <w:rPr>
          <w:i/>
        </w:rPr>
        <w:t>sysselsättning</w:t>
      </w:r>
      <w:r w:rsidRPr="009A3010">
        <w:rPr>
          <w:i/>
        </w:rPr>
        <w:t xml:space="preserve"> och social</w:t>
      </w:r>
      <w:r w:rsidR="00163EC2">
        <w:rPr>
          <w:i/>
        </w:rPr>
        <w:t>politik samt</w:t>
      </w:r>
      <w:r>
        <w:rPr>
          <w:i/>
        </w:rPr>
        <w:t xml:space="preserve"> hälso- och sjukvård </w:t>
      </w:r>
      <w:r w:rsidRPr="00055CA4">
        <w:t>har</w:t>
      </w:r>
      <w:r w:rsidRPr="009A3010">
        <w:rPr>
          <w:i/>
        </w:rPr>
        <w:t xml:space="preserve"> </w:t>
      </w:r>
      <w:r>
        <w:t>r</w:t>
      </w:r>
      <w:r w:rsidRPr="008152A6">
        <w:t>egeringen vid flera tillfällen samrått med nämnden inom ramen för den europeiska planeringsterminen</w:t>
      </w:r>
      <w:r>
        <w:t xml:space="preserve">. </w:t>
      </w:r>
      <w:r w:rsidRPr="008152A6">
        <w:t>Regeringen fick vid dessa tillfällen stöd för sin</w:t>
      </w:r>
      <w:r>
        <w:t xml:space="preserve"> ståndpunkt</w:t>
      </w:r>
      <w:r w:rsidRPr="008152A6">
        <w:t xml:space="preserve"> i nämnden. Vid samråd den </w:t>
      </w:r>
      <w:r>
        <w:t>10 juni</w:t>
      </w:r>
      <w:r w:rsidRPr="008152A6">
        <w:t xml:space="preserve"> lämnade samtliga oppositionspartier avvikande</w:t>
      </w:r>
      <w:r>
        <w:t xml:space="preserve"> meningar,</w:t>
      </w:r>
      <w:r w:rsidRPr="008152A6">
        <w:t xml:space="preserve"> </w:t>
      </w:r>
      <w:r>
        <w:t xml:space="preserve">dock oliklydande </w:t>
      </w:r>
      <w:r w:rsidRPr="009C372E">
        <w:t xml:space="preserve">varmed regeringen fick stöd för </w:t>
      </w:r>
      <w:r w:rsidRPr="004B5081">
        <w:t xml:space="preserve">sin </w:t>
      </w:r>
      <w:r>
        <w:t>linje</w:t>
      </w:r>
      <w:r w:rsidRPr="004B5081">
        <w:t>.</w:t>
      </w:r>
      <w:r w:rsidRPr="009C372E">
        <w:t xml:space="preserve"> </w:t>
      </w:r>
      <w:r>
        <w:t>Diskussionen rörde bl.a.</w:t>
      </w:r>
      <w:r w:rsidR="00163EC2">
        <w:t xml:space="preserve"> en</w:t>
      </w:r>
      <w:r>
        <w:t xml:space="preserve"> fråga om lägre trösklar in på arbetsmarknaden.</w:t>
      </w:r>
    </w:p>
    <w:p w14:paraId="3A831365" w14:textId="2E8D47A4" w:rsidR="00045032" w:rsidRDefault="00045032" w:rsidP="00045032">
      <w:pPr>
        <w:pStyle w:val="Normaltindrag"/>
      </w:pPr>
      <w:r>
        <w:t xml:space="preserve">Vidare har nämnden </w:t>
      </w:r>
      <w:r w:rsidRPr="007A6C1F">
        <w:t xml:space="preserve">vid två tillfällen behandlat frågan om en </w:t>
      </w:r>
      <w:r>
        <w:t xml:space="preserve">s.k. </w:t>
      </w:r>
      <w:r w:rsidRPr="007A6C1F">
        <w:t>europeisk</w:t>
      </w:r>
      <w:r>
        <w:t xml:space="preserve"> pelare för sociala rättigheter. Regeringen fick stöd för sin ståndpunkt i nämnden. Vid båda tillfällena hade dock</w:t>
      </w:r>
      <w:r w:rsidRPr="001964D5">
        <w:t xml:space="preserve"> flera partier</w:t>
      </w:r>
      <w:r>
        <w:t xml:space="preserve"> </w:t>
      </w:r>
      <w:r w:rsidRPr="001964D5">
        <w:t>oliklydande avvikande meningar.</w:t>
      </w:r>
      <w:r>
        <w:t xml:space="preserve"> Diskussionen kretsade bl.a. kring fråga</w:t>
      </w:r>
      <w:r w:rsidR="00163EC2">
        <w:t>n</w:t>
      </w:r>
      <w:r>
        <w:t xml:space="preserve"> om </w:t>
      </w:r>
      <w:r w:rsidR="00163EC2">
        <w:t xml:space="preserve">att inrätta </w:t>
      </w:r>
      <w:r w:rsidR="005601FF">
        <w:t>en sådan pelare</w:t>
      </w:r>
      <w:r>
        <w:t>.</w:t>
      </w:r>
    </w:p>
    <w:p w14:paraId="518BCCC1" w14:textId="10B845DD" w:rsidR="00045032" w:rsidRPr="001964D5" w:rsidRDefault="00045032" w:rsidP="00045032">
      <w:pPr>
        <w:pStyle w:val="Normaltindrag"/>
      </w:pPr>
      <w:r>
        <w:t>Nämnden har också fått löpande infor</w:t>
      </w:r>
      <w:r w:rsidR="00163EC2">
        <w:t>mation om och diskuterat kommis-s</w:t>
      </w:r>
      <w:r>
        <w:t xml:space="preserve">ionens förslag till ändring av direktiv om utstationering av arbetstagare i samband med tillhandahållande av tjänster. Regeringen fick stöd för sin linje i nämnden. </w:t>
      </w:r>
      <w:r w:rsidRPr="007A6C1F">
        <w:t>Flera partier hade dock</w:t>
      </w:r>
      <w:r>
        <w:t xml:space="preserve"> </w:t>
      </w:r>
      <w:r w:rsidR="00163EC2">
        <w:t xml:space="preserve">en </w:t>
      </w:r>
      <w:r>
        <w:t xml:space="preserve">avvikande mening. Diskussionen rörde bl.a. </w:t>
      </w:r>
      <w:r w:rsidR="00163EC2">
        <w:t>b</w:t>
      </w:r>
      <w:r>
        <w:t>ehov</w:t>
      </w:r>
      <w:r w:rsidR="00163EC2">
        <w:t>et</w:t>
      </w:r>
      <w:r>
        <w:t xml:space="preserve"> av </w:t>
      </w:r>
      <w:r w:rsidR="00163EC2">
        <w:t>att utvärdera genomförandet</w:t>
      </w:r>
      <w:r>
        <w:t xml:space="preserve"> av andra regler innan </w:t>
      </w:r>
      <w:r w:rsidR="00163EC2">
        <w:t>man ändrar</w:t>
      </w:r>
      <w:r>
        <w:t xml:space="preserve"> utstationeringsdirektivet. </w:t>
      </w:r>
    </w:p>
    <w:p w14:paraId="7B3AE865" w14:textId="77777777" w:rsidR="00045032" w:rsidRDefault="00045032" w:rsidP="00045032">
      <w:pPr>
        <w:pStyle w:val="Normaltindrag"/>
      </w:pPr>
      <w:r w:rsidRPr="007A6C1F">
        <w:t xml:space="preserve">Under året har regeringen vidare samrått med nämnden om rådsslutsatser om lika möjligheter för hbti-personer. Det fanns stöd </w:t>
      </w:r>
      <w:r>
        <w:t xml:space="preserve">i nämnden </w:t>
      </w:r>
      <w:r w:rsidRPr="007A6C1F">
        <w:t>för regeringens ståndpunkt.</w:t>
      </w:r>
    </w:p>
    <w:p w14:paraId="1DF25431" w14:textId="085CE1B7" w:rsidR="00045032" w:rsidRDefault="00045032" w:rsidP="00045032">
      <w:pPr>
        <w:pStyle w:val="Normaltindrag"/>
      </w:pPr>
      <w:r w:rsidRPr="003F6E22">
        <w:lastRenderedPageBreak/>
        <w:t xml:space="preserve">På </w:t>
      </w:r>
      <w:r w:rsidRPr="009A3010">
        <w:rPr>
          <w:i/>
        </w:rPr>
        <w:t>energiområdet</w:t>
      </w:r>
      <w:r w:rsidRPr="003F6E22">
        <w:rPr>
          <w:i/>
        </w:rPr>
        <w:t xml:space="preserve"> </w:t>
      </w:r>
      <w:r w:rsidRPr="003F6E22">
        <w:t xml:space="preserve">har nämnden ett flertal gånger behandlat </w:t>
      </w:r>
      <w:r>
        <w:t xml:space="preserve">EU:s energiunion, bl.a. en </w:t>
      </w:r>
      <w:r w:rsidRPr="003F6E22">
        <w:t>strategi för energitrygghet samt</w:t>
      </w:r>
      <w:r>
        <w:t xml:space="preserve"> energiunionens externa dimen</w:t>
      </w:r>
      <w:r w:rsidR="00163EC2">
        <w:t>-</w:t>
      </w:r>
      <w:r>
        <w:t>sion</w:t>
      </w:r>
      <w:r w:rsidRPr="003F6E22">
        <w:t>. Vid samtliga tillfällen har nämnden gett sitt stöd till regeringens ståndpunkt.</w:t>
      </w:r>
    </w:p>
    <w:p w14:paraId="7494AC0C" w14:textId="45E81AAA" w:rsidR="00045032" w:rsidRDefault="00045032" w:rsidP="00045032">
      <w:pPr>
        <w:pStyle w:val="Normaltindrag"/>
      </w:pPr>
      <w:r>
        <w:t xml:space="preserve">På </w:t>
      </w:r>
      <w:r w:rsidRPr="009A3010">
        <w:rPr>
          <w:i/>
        </w:rPr>
        <w:t>telekommunikationsområdet</w:t>
      </w:r>
      <w:r>
        <w:t xml:space="preserve"> har n</w:t>
      </w:r>
      <w:r w:rsidR="00482516">
        <w:t>ämnden behandlat frågan om</w:t>
      </w:r>
      <w:r>
        <w:t xml:space="preserve"> bestämmelser om grossistledet på roamingmarknader. Vid samråd</w:t>
      </w:r>
      <w:r w:rsidR="00482516">
        <w:t>et</w:t>
      </w:r>
      <w:r>
        <w:t xml:space="preserve"> den 25 november fick regeringen enhälligt stöd för sin ståndpunkt. </w:t>
      </w:r>
    </w:p>
    <w:p w14:paraId="069936CF" w14:textId="77777777" w:rsidR="00045032" w:rsidRPr="008A4100" w:rsidRDefault="00045032" w:rsidP="00045032">
      <w:pPr>
        <w:pStyle w:val="Normaltindrag"/>
      </w:pPr>
      <w:r>
        <w:t xml:space="preserve">När det gäller området </w:t>
      </w:r>
      <w:r w:rsidRPr="000D4606">
        <w:rPr>
          <w:i/>
        </w:rPr>
        <w:t>jordbruk, fiske och livsmedel</w:t>
      </w:r>
      <w:r w:rsidRPr="007F4729">
        <w:t xml:space="preserve"> </w:t>
      </w:r>
      <w:r>
        <w:t xml:space="preserve">har nämndens ledamöter vid flera tillfällen behandlat kommissionens stödåtgärder med anledning av den svåra marknadssituationen </w:t>
      </w:r>
      <w:r w:rsidRPr="00790CA7">
        <w:t>för EU:s mejerisektor</w:t>
      </w:r>
      <w:r>
        <w:t xml:space="preserve">. Vid samtliga tillfällen gav </w:t>
      </w:r>
      <w:r w:rsidRPr="009A1D16">
        <w:t xml:space="preserve">nämnden </w:t>
      </w:r>
      <w:r>
        <w:t>stöd för regeringens linje. Några partier anmälde oliklydande avvikande meningar.</w:t>
      </w:r>
    </w:p>
    <w:p w14:paraId="3ED84CC9" w14:textId="3E604384" w:rsidR="00045032" w:rsidRDefault="00045032" w:rsidP="00045032">
      <w:pPr>
        <w:pStyle w:val="Normaltindrag"/>
        <w:rPr>
          <w:sz w:val="17"/>
        </w:rPr>
      </w:pPr>
      <w:r>
        <w:t xml:space="preserve">Nämnden har vidare behandlat förslaget till kommissionen från Sverige, Danmark, Nederländerna och Tyskland om </w:t>
      </w:r>
      <w:r w:rsidR="00482516">
        <w:t>att inrätta</w:t>
      </w:r>
      <w:r>
        <w:t xml:space="preserve"> en EU-plattform för djurskydd. Regeringen fick stöd i nämnden för sin linje.</w:t>
      </w:r>
    </w:p>
    <w:p w14:paraId="0B068D98" w14:textId="65AF5796" w:rsidR="00045032" w:rsidRDefault="00045032" w:rsidP="00045032">
      <w:pPr>
        <w:pStyle w:val="Normaltindrag"/>
      </w:pPr>
      <w:r>
        <w:t xml:space="preserve">På </w:t>
      </w:r>
      <w:r w:rsidRPr="007F4729">
        <w:rPr>
          <w:i/>
        </w:rPr>
        <w:t xml:space="preserve">miljö- och </w:t>
      </w:r>
      <w:r w:rsidRPr="009608B1">
        <w:rPr>
          <w:i/>
        </w:rPr>
        <w:t>klimatområdet</w:t>
      </w:r>
      <w:r>
        <w:t xml:space="preserve"> behandlade nämnden bl.a. EU:s ratificering av Parisavtalet. Vid nämndens samråd inför det extrainsatta miljörådet i september fick regeringen stöd för sin ståndpunkt om </w:t>
      </w:r>
      <w:r w:rsidR="00482516">
        <w:t>att</w:t>
      </w:r>
      <w:r>
        <w:t xml:space="preserve"> anta beslut om EU:s ratificering av Parisavtalet.</w:t>
      </w:r>
    </w:p>
    <w:p w14:paraId="1572BA24" w14:textId="77777777" w:rsidR="00045032" w:rsidRDefault="00045032" w:rsidP="00045032">
      <w:pPr>
        <w:pStyle w:val="Normaltindrag"/>
      </w:pPr>
      <w:r>
        <w:t>Vidare har nämnden vid två tillfällen behandlat kommissionens förslag om ett reviderat system för handel med utsläppsrätter (EU ETS). Vid båda tillfällena fanns stöd för regeringens ståndpunkt. Flera partier lämnade dock, vid ett eller båda tillfällena, oliklydande avvikande meningar. Frågor som var föremål för diskussion handlade bl.a. om reduktionsfaktorn och marknadsstabiliseringsmekanismer.</w:t>
      </w:r>
    </w:p>
    <w:p w14:paraId="6D5BBA36" w14:textId="109E74AD" w:rsidR="00045032" w:rsidRDefault="00045032" w:rsidP="00045032">
      <w:pPr>
        <w:pStyle w:val="Normaltindrag"/>
      </w:pPr>
      <w:r>
        <w:t xml:space="preserve">Nämnden har även behandlat kommissionens förslag till förordning om ansvarsfördelning mellan medlemsländerna för utsläppsminskningar (ESR) och förslag till förordning som inkluderar utsläpp och upptag av växthusgaser från markanvändning, förändrad markanvändning och skogsbruk (LULUCF) inom ramen för klimat- och energipolitiken fram till 2030. Regeringen fick, </w:t>
      </w:r>
      <w:r w:rsidRPr="009853C4">
        <w:t xml:space="preserve">efter </w:t>
      </w:r>
      <w:r>
        <w:t xml:space="preserve">ajournering av sammanträdet och revidering av </w:t>
      </w:r>
      <w:r w:rsidR="00482516">
        <w:t xml:space="preserve">sin </w:t>
      </w:r>
      <w:r>
        <w:t>ståndpunkt</w:t>
      </w:r>
      <w:r w:rsidRPr="009853C4">
        <w:t>,</w:t>
      </w:r>
      <w:r w:rsidRPr="007A6C1F">
        <w:t xml:space="preserve"> </w:t>
      </w:r>
      <w:r>
        <w:t>stöd för sin ståndpunkt av en majoritet i nämnden. Några partier anmälde oliklydande avvikande meningar. Dis</w:t>
      </w:r>
      <w:r w:rsidR="00482516">
        <w:t xml:space="preserve">kussionen rörde bl.a. </w:t>
      </w:r>
      <w:r>
        <w:t>ambitionsnivåer för minskade utsläpp och nati</w:t>
      </w:r>
      <w:r w:rsidR="00482516">
        <w:t>onellt självbestämmande i</w:t>
      </w:r>
      <w:r>
        <w:t xml:space="preserve"> skogsfrågor.</w:t>
      </w:r>
    </w:p>
    <w:p w14:paraId="4355174F" w14:textId="7950B4EC" w:rsidR="001C0B47" w:rsidRDefault="001C0B47" w:rsidP="00575853">
      <w:pPr>
        <w:pStyle w:val="Normaltindrag"/>
        <w:spacing w:before="240"/>
        <w:ind w:firstLine="0"/>
      </w:pPr>
      <w:r>
        <w:t>Stockholm den 28 april 2017</w:t>
      </w:r>
    </w:p>
    <w:p w14:paraId="2839CCBA" w14:textId="790A726F" w:rsidR="001C0B47" w:rsidRDefault="001C0B47" w:rsidP="00575853">
      <w:pPr>
        <w:pStyle w:val="Normaltindrag"/>
        <w:spacing w:before="240"/>
        <w:ind w:firstLine="0"/>
      </w:pPr>
      <w:r>
        <w:t>På EU-nämndens vägnar</w:t>
      </w:r>
    </w:p>
    <w:p w14:paraId="20D50C61" w14:textId="2848A90D" w:rsidR="001C0B47" w:rsidRDefault="001C0B47" w:rsidP="00575853">
      <w:pPr>
        <w:pStyle w:val="Normaltindrag"/>
        <w:spacing w:before="720"/>
        <w:ind w:firstLine="0"/>
        <w:rPr>
          <w:i/>
        </w:rPr>
      </w:pPr>
      <w:r w:rsidRPr="001C0B47">
        <w:rPr>
          <w:i/>
        </w:rPr>
        <w:t>Åsa Romson</w:t>
      </w:r>
    </w:p>
    <w:p w14:paraId="068A19F7" w14:textId="77777777" w:rsidR="001C0B47" w:rsidRDefault="001C0B47" w:rsidP="00B77D36">
      <w:pPr>
        <w:pStyle w:val="Normaltindrag"/>
        <w:ind w:firstLine="0"/>
        <w:rPr>
          <w:i/>
        </w:rPr>
      </w:pPr>
    </w:p>
    <w:p w14:paraId="0DD6A8B9" w14:textId="3CABCDC1" w:rsidR="002A6F9D" w:rsidRDefault="001C0B47" w:rsidP="00575853">
      <w:pPr>
        <w:pStyle w:val="Normaltindrag"/>
        <w:suppressAutoHyphens/>
        <w:spacing w:line="200" w:lineRule="atLeast"/>
        <w:ind w:firstLine="0"/>
      </w:pPr>
      <w:r w:rsidRPr="001C0B47">
        <w:t>Följande ledamöter har deltagit i beslutet:</w:t>
      </w:r>
      <w:r w:rsidR="002A6F9D">
        <w:t xml:space="preserve"> Åsa Romson (MP), Eskil Erlandsson (C), Marie Granlund (S), Börje Vestlund (S), Johan Büser (S), </w:t>
      </w:r>
      <w:r w:rsidR="002A6F9D">
        <w:lastRenderedPageBreak/>
        <w:t xml:space="preserve">Johnny Skalin (SD), Lawen Redar (S), Johan Hultberg (M), Pavel Gamov (SD), Désirée Pethrus (KD), Mathias Tegnér (S), Emanuel Öz (S), Olof Lavesson (M), Maria Abrahamsson (M), Jonas Sjöstedt (V), Maria Weimer (L) och Helena Bouveng (M).  </w:t>
      </w:r>
    </w:p>
    <w:p w14:paraId="7B12BBB8" w14:textId="047880DC" w:rsidR="001C0B47" w:rsidRPr="001C0B47" w:rsidRDefault="001C0B47" w:rsidP="00575853">
      <w:pPr>
        <w:pStyle w:val="Normaltindrag"/>
        <w:spacing w:line="200" w:lineRule="atLeast"/>
      </w:pPr>
    </w:p>
    <w:p w14:paraId="0290DAB4" w14:textId="77777777" w:rsidR="000F149C" w:rsidRDefault="000F149C" w:rsidP="000F149C"/>
    <w:p w14:paraId="0A22CC96"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14:paraId="740F5BE0" w14:textId="77777777" w:rsidR="00FB5EC9" w:rsidRPr="00045032" w:rsidRDefault="00FB5EC9" w:rsidP="00045032">
      <w:pPr>
        <w:jc w:val="center"/>
      </w:pPr>
    </w:p>
    <w:p w14:paraId="0E844F0F" w14:textId="150BB3FF" w:rsidR="001C0B47" w:rsidRPr="00876355" w:rsidRDefault="00876355" w:rsidP="00426626">
      <w:pPr>
        <w:pStyle w:val="Rubrik3"/>
        <w:spacing w:before="240"/>
      </w:pPr>
      <w:r w:rsidRPr="00876355">
        <w:t xml:space="preserve">Avvikande mening </w:t>
      </w:r>
    </w:p>
    <w:p w14:paraId="697B8974" w14:textId="47542010" w:rsidR="001C0B47" w:rsidRDefault="001C0B47" w:rsidP="001C0B47">
      <w:pPr>
        <w:rPr>
          <w:sz w:val="22"/>
          <w:szCs w:val="22"/>
          <w:lang w:eastAsia="sv-SE"/>
        </w:rPr>
      </w:pPr>
      <w:r>
        <w:t>Angående årsboken anmäler Sverigedemokraterna avvikande mening och hänvisar till det yrkande som kommer framföras till Utrikesutskottet genom följdmotion på regeringens skrivelse om verksamheten i den Europeiska unionen 2016 (</w:t>
      </w:r>
      <w:r>
        <w:rPr>
          <w:color w:val="000000"/>
          <w:shd w:val="clear" w:color="auto" w:fill="FFFFFF"/>
        </w:rPr>
        <w:t>Skr. 2016/17:115</w:t>
      </w:r>
      <w:r>
        <w:t xml:space="preserve">). </w:t>
      </w:r>
    </w:p>
    <w:p w14:paraId="04D9A481" w14:textId="35C3189D" w:rsidR="001C0B47" w:rsidRPr="001C0B47" w:rsidRDefault="00BC649E" w:rsidP="001C0B47">
      <w:pPr>
        <w:pStyle w:val="Normaltindrag"/>
      </w:pPr>
      <w:r>
        <w:rPr>
          <w:noProof/>
          <w:lang w:eastAsia="sv-SE"/>
        </w:rPr>
        <mc:AlternateContent>
          <mc:Choice Requires="wps">
            <w:drawing>
              <wp:anchor distT="0" distB="0" distL="114300" distR="114300" simplePos="0" relativeHeight="251659264" behindDoc="0" locked="0" layoutInCell="1" allowOverlap="1" wp14:anchorId="189415E1" wp14:editId="4596B6B3">
                <wp:simplePos x="0" y="0"/>
                <wp:positionH relativeFrom="page">
                  <wp:posOffset>3240405</wp:posOffset>
                </wp:positionH>
                <wp:positionV relativeFrom="page">
                  <wp:posOffset>8204200</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1D16D0" w14:textId="41EBCEFD" w:rsidR="00BC649E" w:rsidRDefault="00BC649E" w:rsidP="00BC649E">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89415E1"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" filled="f" stroked="f" strokeweight=".5pt">
                <v:fill o:detectmouseclick="t"/>
                <v:textbox inset="0,0,0,0">
                  <w:txbxContent>
                    <w:p w14:paraId="4A1D16D0" w14:textId="41EBCEFD" w:rsidR="00BC649E" w:rsidRDefault="00BC649E" w:rsidP="00BC649E">
                      <w:pPr>
                        <w:pStyle w:val="Fotnotstext"/>
                        <w:jc w:val="right"/>
                      </w:pPr>
                      <w:r>
                        <w:t>Tryck: Elanders, Vällingby 2017</w:t>
                      </w:r>
                    </w:p>
                  </w:txbxContent>
                </v:textbox>
                <w10:wrap anchorx="page" anchory="page"/>
              </v:shape>
            </w:pict>
          </mc:Fallback>
        </mc:AlternateContent>
      </w:r>
    </w:p>
    <w:sectPr w:rsidR="001C0B47" w:rsidRPr="001C0B47" w:rsidSect="0039664C">
      <w:headerReference w:type="even" r:id="rId14"/>
      <w:headerReference w:type="default" r:id="rId15"/>
      <w:headerReference w:type="first" r:id="rId16"/>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1D8D9" w14:textId="77777777" w:rsidR="00112CC4" w:rsidRDefault="00112CC4" w:rsidP="00A82541">
      <w:pPr>
        <w:spacing w:line="240" w:lineRule="auto"/>
      </w:pPr>
      <w:r>
        <w:separator/>
      </w:r>
    </w:p>
  </w:endnote>
  <w:endnote w:type="continuationSeparator" w:id="0">
    <w:p w14:paraId="64E0C1FB" w14:textId="77777777" w:rsidR="00112CC4" w:rsidRDefault="00112CC4"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39C6A92B"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3B7F02">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6C5BB80A"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157C93">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B239"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157C9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89F63" w14:textId="77777777" w:rsidR="00112CC4" w:rsidRDefault="00112CC4" w:rsidP="00A82541">
      <w:pPr>
        <w:spacing w:line="240" w:lineRule="auto"/>
      </w:pPr>
      <w:r>
        <w:separator/>
      </w:r>
    </w:p>
  </w:footnote>
  <w:footnote w:type="continuationSeparator" w:id="0">
    <w:p w14:paraId="1D4D4F55" w14:textId="77777777" w:rsidR="00112CC4" w:rsidRDefault="00112CC4"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F9CC4"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28CD3B6E" wp14:editId="646DA507">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C0800"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02F60" w:rsidRPr="00302F60">
                            <w:rPr>
                              <w:bCs/>
                            </w:rPr>
                            <w:t>2016/17:EUN1y</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D3B6E"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424C0800"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02F60" w:rsidRPr="00302F60">
                      <w:rPr>
                        <w:bCs/>
                      </w:rPr>
                      <w:t>2016/17:EUN1y</w:t>
                    </w:r>
                    <w:r w:rsidRPr="00766722">
                      <w:rPr>
                        <w:noProof/>
                      </w:rPr>
                      <w:fldChar w:fldCharType="end"/>
                    </w:r>
                  </w:p>
                </w:txbxContent>
              </v:textbox>
            </v:shape>
          </w:pict>
        </mc:Fallback>
      </mc:AlternateContent>
    </w:r>
    <w:r w:rsidR="00045032" w:rsidRPr="00FA0C0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4EB00"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5D60F4FA" wp14:editId="6BA30930">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AC654"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02F60" w:rsidRPr="00302F60">
                            <w:rPr>
                              <w:bCs/>
                            </w:rPr>
                            <w:t>2016/17:EUN1y</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0F4FA"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7BEAC654"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02F60" w:rsidRPr="00302F60">
                      <w:rPr>
                        <w:bCs/>
                      </w:rPr>
                      <w:t>2016/17:EUN1y</w:t>
                    </w:r>
                    <w:r w:rsidRPr="00766722">
                      <w:rPr>
                        <w:noProof/>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3B91" w14:textId="77777777"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302F60">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302F60">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5954F2E1" wp14:editId="2AF69428">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4720B"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02F60">
                            <w:rPr>
                              <w:szCs w:val="24"/>
                            </w:rPr>
                            <w:t>2016/17:EUN1y</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4F2E1"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14:paraId="5AB4720B"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02F60">
                      <w:rPr>
                        <w:szCs w:val="24"/>
                      </w:rPr>
                      <w:t>2016/17:EUN1y</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302F60">
      <w:rPr>
        <w:noProof/>
      </w:rPr>
      <w:t>Till utrikesutskottet</w:t>
    </w:r>
    <w:r w:rsidR="00302F60">
      <w:rPr>
        <w:noProof/>
      </w:rPr>
      <w:cr/>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9AC9" w14:textId="77777777"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302F60">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302F60">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509E8405" wp14:editId="6C3B8436">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14931"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02F60">
                            <w:rPr>
                              <w:szCs w:val="24"/>
                            </w:rPr>
                            <w:t>2016/17:EUN1y</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E8405"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14:paraId="14114931"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02F60">
                      <w:rPr>
                        <w:szCs w:val="24"/>
                      </w:rPr>
                      <w:t>2016/17:EUN1y</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302F60">
      <w:t>Till utrikesutskottet</w:t>
    </w:r>
    <w:r w:rsidR="00302F60">
      <w:cr/>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54B1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32"/>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032"/>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5CA4"/>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077"/>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5EE"/>
    <w:rsid w:val="00093DBC"/>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3F95"/>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0F6"/>
    <w:rsid w:val="000F6879"/>
    <w:rsid w:val="00101C35"/>
    <w:rsid w:val="0010258C"/>
    <w:rsid w:val="00102AC3"/>
    <w:rsid w:val="0010380D"/>
    <w:rsid w:val="0010483E"/>
    <w:rsid w:val="001066A7"/>
    <w:rsid w:val="001069CE"/>
    <w:rsid w:val="001104CD"/>
    <w:rsid w:val="0011070A"/>
    <w:rsid w:val="001113CE"/>
    <w:rsid w:val="001114D3"/>
    <w:rsid w:val="00112B6F"/>
    <w:rsid w:val="00112CC4"/>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C93"/>
    <w:rsid w:val="00157F69"/>
    <w:rsid w:val="00162DEC"/>
    <w:rsid w:val="001631B5"/>
    <w:rsid w:val="00163EC2"/>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03D"/>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0B47"/>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3A22"/>
    <w:rsid w:val="00234127"/>
    <w:rsid w:val="002352B3"/>
    <w:rsid w:val="00235597"/>
    <w:rsid w:val="002358A1"/>
    <w:rsid w:val="00241261"/>
    <w:rsid w:val="00241DE6"/>
    <w:rsid w:val="00242C82"/>
    <w:rsid w:val="00242C8C"/>
    <w:rsid w:val="00242F4D"/>
    <w:rsid w:val="00244323"/>
    <w:rsid w:val="0024508F"/>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A1F"/>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6F9D"/>
    <w:rsid w:val="002A78A0"/>
    <w:rsid w:val="002B0E35"/>
    <w:rsid w:val="002B1875"/>
    <w:rsid w:val="002B2B9D"/>
    <w:rsid w:val="002B369B"/>
    <w:rsid w:val="002B38CE"/>
    <w:rsid w:val="002B478C"/>
    <w:rsid w:val="002B4CD4"/>
    <w:rsid w:val="002B68B4"/>
    <w:rsid w:val="002B6D12"/>
    <w:rsid w:val="002B6EC5"/>
    <w:rsid w:val="002B7067"/>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67A7"/>
    <w:rsid w:val="002E72AB"/>
    <w:rsid w:val="002E76CD"/>
    <w:rsid w:val="002E7C0F"/>
    <w:rsid w:val="002F25EC"/>
    <w:rsid w:val="002F3973"/>
    <w:rsid w:val="002F47C3"/>
    <w:rsid w:val="002F47E1"/>
    <w:rsid w:val="002F4C7E"/>
    <w:rsid w:val="002F53CC"/>
    <w:rsid w:val="002F5B8E"/>
    <w:rsid w:val="002F65E0"/>
    <w:rsid w:val="002F6A24"/>
    <w:rsid w:val="002F6DB1"/>
    <w:rsid w:val="002F6F20"/>
    <w:rsid w:val="002F7B2F"/>
    <w:rsid w:val="002F7E6C"/>
    <w:rsid w:val="0030085B"/>
    <w:rsid w:val="00300BFC"/>
    <w:rsid w:val="003025CD"/>
    <w:rsid w:val="00302A96"/>
    <w:rsid w:val="00302F60"/>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58E9"/>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1E1"/>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B7F02"/>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DF7"/>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626"/>
    <w:rsid w:val="00426973"/>
    <w:rsid w:val="004276BA"/>
    <w:rsid w:val="00432209"/>
    <w:rsid w:val="00432633"/>
    <w:rsid w:val="00432AE7"/>
    <w:rsid w:val="00432B3D"/>
    <w:rsid w:val="004332DF"/>
    <w:rsid w:val="00433785"/>
    <w:rsid w:val="00434A04"/>
    <w:rsid w:val="00434A17"/>
    <w:rsid w:val="00435650"/>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5472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129"/>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516"/>
    <w:rsid w:val="00482782"/>
    <w:rsid w:val="00482887"/>
    <w:rsid w:val="004842B6"/>
    <w:rsid w:val="004842F9"/>
    <w:rsid w:val="00485745"/>
    <w:rsid w:val="00486B9D"/>
    <w:rsid w:val="00487C0D"/>
    <w:rsid w:val="00490ED1"/>
    <w:rsid w:val="004966DE"/>
    <w:rsid w:val="00497EAD"/>
    <w:rsid w:val="004A003F"/>
    <w:rsid w:val="004A0830"/>
    <w:rsid w:val="004A0BEB"/>
    <w:rsid w:val="004A1D69"/>
    <w:rsid w:val="004A2492"/>
    <w:rsid w:val="004A29C4"/>
    <w:rsid w:val="004A32E4"/>
    <w:rsid w:val="004A3339"/>
    <w:rsid w:val="004A3F1D"/>
    <w:rsid w:val="004A4A89"/>
    <w:rsid w:val="004A4CAB"/>
    <w:rsid w:val="004A5686"/>
    <w:rsid w:val="004A5B43"/>
    <w:rsid w:val="004A5CC9"/>
    <w:rsid w:val="004A5FA1"/>
    <w:rsid w:val="004A6770"/>
    <w:rsid w:val="004A73AE"/>
    <w:rsid w:val="004B1114"/>
    <w:rsid w:val="004B13F4"/>
    <w:rsid w:val="004B19D5"/>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6D0C"/>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69C"/>
    <w:rsid w:val="0054515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1F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75853"/>
    <w:rsid w:val="00580248"/>
    <w:rsid w:val="005802C1"/>
    <w:rsid w:val="0058183D"/>
    <w:rsid w:val="0058197C"/>
    <w:rsid w:val="00581FEA"/>
    <w:rsid w:val="00582E69"/>
    <w:rsid w:val="005836AE"/>
    <w:rsid w:val="005841BC"/>
    <w:rsid w:val="005843D5"/>
    <w:rsid w:val="00584A99"/>
    <w:rsid w:val="005852C2"/>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1123"/>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0ACE"/>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C35"/>
    <w:rsid w:val="00717FD6"/>
    <w:rsid w:val="007218C8"/>
    <w:rsid w:val="00721E4E"/>
    <w:rsid w:val="00722705"/>
    <w:rsid w:val="00722A3B"/>
    <w:rsid w:val="00722F04"/>
    <w:rsid w:val="007239FB"/>
    <w:rsid w:val="00724560"/>
    <w:rsid w:val="00724857"/>
    <w:rsid w:val="00724D6D"/>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116C"/>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1D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1A47"/>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E7CE8"/>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0F4"/>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6A"/>
    <w:rsid w:val="00875F8C"/>
    <w:rsid w:val="00876355"/>
    <w:rsid w:val="00882E64"/>
    <w:rsid w:val="00883574"/>
    <w:rsid w:val="0088378C"/>
    <w:rsid w:val="00883CF7"/>
    <w:rsid w:val="00883E20"/>
    <w:rsid w:val="00884634"/>
    <w:rsid w:val="008848D3"/>
    <w:rsid w:val="00887CC7"/>
    <w:rsid w:val="00890B9A"/>
    <w:rsid w:val="00890C77"/>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1FF6"/>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2E0D"/>
    <w:rsid w:val="009B3B59"/>
    <w:rsid w:val="009B3FB3"/>
    <w:rsid w:val="009B4F5A"/>
    <w:rsid w:val="009B6A28"/>
    <w:rsid w:val="009B75D8"/>
    <w:rsid w:val="009B75E6"/>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6E6"/>
    <w:rsid w:val="009D2D95"/>
    <w:rsid w:val="009D2FB2"/>
    <w:rsid w:val="009D4706"/>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33A5"/>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0C6D"/>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4687"/>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37CE1"/>
    <w:rsid w:val="00B400F6"/>
    <w:rsid w:val="00B40187"/>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010"/>
    <w:rsid w:val="00B64740"/>
    <w:rsid w:val="00B64C91"/>
    <w:rsid w:val="00B658B0"/>
    <w:rsid w:val="00B65B5B"/>
    <w:rsid w:val="00B65E41"/>
    <w:rsid w:val="00B665B8"/>
    <w:rsid w:val="00B673C6"/>
    <w:rsid w:val="00B67625"/>
    <w:rsid w:val="00B67BE6"/>
    <w:rsid w:val="00B70C92"/>
    <w:rsid w:val="00B70E43"/>
    <w:rsid w:val="00B71652"/>
    <w:rsid w:val="00B723A8"/>
    <w:rsid w:val="00B72D3E"/>
    <w:rsid w:val="00B72D70"/>
    <w:rsid w:val="00B7395D"/>
    <w:rsid w:val="00B747CD"/>
    <w:rsid w:val="00B74945"/>
    <w:rsid w:val="00B75303"/>
    <w:rsid w:val="00B76F94"/>
    <w:rsid w:val="00B77196"/>
    <w:rsid w:val="00B77D36"/>
    <w:rsid w:val="00B80546"/>
    <w:rsid w:val="00B80FAF"/>
    <w:rsid w:val="00B81879"/>
    <w:rsid w:val="00B83467"/>
    <w:rsid w:val="00B83C48"/>
    <w:rsid w:val="00B841CA"/>
    <w:rsid w:val="00B84ADF"/>
    <w:rsid w:val="00B85BE9"/>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0DA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49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E7F91"/>
    <w:rsid w:val="00BF0D91"/>
    <w:rsid w:val="00BF130E"/>
    <w:rsid w:val="00BF2A73"/>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2A7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3B0B"/>
    <w:rsid w:val="00CD4563"/>
    <w:rsid w:val="00CD5306"/>
    <w:rsid w:val="00CD5534"/>
    <w:rsid w:val="00CD7D76"/>
    <w:rsid w:val="00CE027D"/>
    <w:rsid w:val="00CE08E6"/>
    <w:rsid w:val="00CE0BFE"/>
    <w:rsid w:val="00CE0CF5"/>
    <w:rsid w:val="00CE1140"/>
    <w:rsid w:val="00CE128C"/>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1F6"/>
    <w:rsid w:val="00D153B9"/>
    <w:rsid w:val="00D157D4"/>
    <w:rsid w:val="00D160B2"/>
    <w:rsid w:val="00D16549"/>
    <w:rsid w:val="00D168AF"/>
    <w:rsid w:val="00D1734F"/>
    <w:rsid w:val="00D17BA3"/>
    <w:rsid w:val="00D17E10"/>
    <w:rsid w:val="00D20574"/>
    <w:rsid w:val="00D205A7"/>
    <w:rsid w:val="00D20C59"/>
    <w:rsid w:val="00D214A1"/>
    <w:rsid w:val="00D21547"/>
    <w:rsid w:val="00D21713"/>
    <w:rsid w:val="00D220D8"/>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AF"/>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52B"/>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6200"/>
    <w:rsid w:val="00DA775B"/>
    <w:rsid w:val="00DB0C5B"/>
    <w:rsid w:val="00DB3584"/>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610"/>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56AD"/>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1C"/>
    <w:rsid w:val="00EA3BC2"/>
    <w:rsid w:val="00EA4234"/>
    <w:rsid w:val="00EA430C"/>
    <w:rsid w:val="00EA4F2D"/>
    <w:rsid w:val="00EA583A"/>
    <w:rsid w:val="00EA5CA8"/>
    <w:rsid w:val="00EA784C"/>
    <w:rsid w:val="00EA7FE6"/>
    <w:rsid w:val="00EB00C0"/>
    <w:rsid w:val="00EB0245"/>
    <w:rsid w:val="00EB21EB"/>
    <w:rsid w:val="00EB2227"/>
    <w:rsid w:val="00EB248A"/>
    <w:rsid w:val="00EB4021"/>
    <w:rsid w:val="00EB499E"/>
    <w:rsid w:val="00EB4C3F"/>
    <w:rsid w:val="00EB5348"/>
    <w:rsid w:val="00EB5E7A"/>
    <w:rsid w:val="00EB5E9A"/>
    <w:rsid w:val="00EB60A8"/>
    <w:rsid w:val="00EB61F2"/>
    <w:rsid w:val="00EB64BA"/>
    <w:rsid w:val="00EB735E"/>
    <w:rsid w:val="00EB7562"/>
    <w:rsid w:val="00EC0D45"/>
    <w:rsid w:val="00EC1BA0"/>
    <w:rsid w:val="00EC2906"/>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AE6"/>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0E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uiPriority w:val="99"/>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5819">
      <w:bodyDiv w:val="1"/>
      <w:marLeft w:val="0"/>
      <w:marRight w:val="0"/>
      <w:marTop w:val="0"/>
      <w:marBottom w:val="0"/>
      <w:divBdr>
        <w:top w:val="none" w:sz="0" w:space="0" w:color="auto"/>
        <w:left w:val="none" w:sz="0" w:space="0" w:color="auto"/>
        <w:bottom w:val="none" w:sz="0" w:space="0" w:color="auto"/>
        <w:right w:val="none" w:sz="0" w:space="0" w:color="auto"/>
      </w:divBdr>
    </w:div>
    <w:div w:id="345789251">
      <w:bodyDiv w:val="1"/>
      <w:marLeft w:val="0"/>
      <w:marRight w:val="0"/>
      <w:marTop w:val="0"/>
      <w:marBottom w:val="0"/>
      <w:divBdr>
        <w:top w:val="none" w:sz="0" w:space="0" w:color="auto"/>
        <w:left w:val="none" w:sz="0" w:space="0" w:color="auto"/>
        <w:bottom w:val="none" w:sz="0" w:space="0" w:color="auto"/>
        <w:right w:val="none" w:sz="0" w:space="0" w:color="auto"/>
      </w:divBdr>
    </w:div>
    <w:div w:id="398136823">
      <w:bodyDiv w:val="1"/>
      <w:marLeft w:val="0"/>
      <w:marRight w:val="0"/>
      <w:marTop w:val="0"/>
      <w:marBottom w:val="0"/>
      <w:divBdr>
        <w:top w:val="none" w:sz="0" w:space="0" w:color="auto"/>
        <w:left w:val="none" w:sz="0" w:space="0" w:color="auto"/>
        <w:bottom w:val="none" w:sz="0" w:space="0" w:color="auto"/>
        <w:right w:val="none" w:sz="0" w:space="0" w:color="auto"/>
      </w:divBdr>
    </w:div>
    <w:div w:id="19838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D8178D3FB248A59F99ADCC241622CC"/>
        <w:category>
          <w:name w:val="Allmänt"/>
          <w:gallery w:val="placeholder"/>
        </w:category>
        <w:types>
          <w:type w:val="bbPlcHdr"/>
        </w:types>
        <w:behaviors>
          <w:behavior w:val="content"/>
        </w:behaviors>
        <w:guid w:val="{EE8F1BDE-75EE-45BC-B65A-C8B1A522E7A9}"/>
      </w:docPartPr>
      <w:docPartBody>
        <w:p w:rsidR="00A54694" w:rsidRDefault="00A54694">
          <w:pPr>
            <w:pStyle w:val="4BD8178D3FB248A59F99ADCC241622CC"/>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94"/>
    <w:rsid w:val="00A54694"/>
    <w:rsid w:val="00FA220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D8178D3FB248A59F99ADCC241622CC">
    <w:name w:val="4BD8178D3FB248A59F99ADCC24162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F651-A9B6-4005-9493-B7A1EE78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6</Pages>
  <Words>1896</Words>
  <Characters>11737</Characters>
  <Application>Microsoft Office Word</Application>
  <DocSecurity>0</DocSecurity>
  <Lines>225</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3.4</cp:keywords>
  <cp:lastModifiedBy/>
  <cp:revision>1</cp:revision>
  <cp:lastPrinted>2014-07-16T13:27:00Z</cp:lastPrinted>
  <dcterms:created xsi:type="dcterms:W3CDTF">2017-05-05T07:51:00Z</dcterms:created>
  <dcterms:modified xsi:type="dcterms:W3CDTF">2017-05-05T07:51:00Z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yttrande</vt:lpwstr>
  </property>
  <property fmtid="{D5CDD505-2E9C-101B-9397-08002B2CF9AE}" pid="3" name="Organ">
    <vt:lpwstr>EU-nämnden</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2016/17:EUN1y</vt:lpwstr>
  </property>
  <property fmtid="{D5CDD505-2E9C-101B-9397-08002B2CF9AE}" pid="7" name="Dokrubrik">
    <vt:lpwstr>Verksamheten i Europeiska unionen under 2016 (skr. 2016/17:115)</vt:lpwstr>
  </property>
  <property fmtid="{D5CDD505-2E9C-101B-9397-08002B2CF9AE}" pid="8" name="VIS">
    <vt:lpwstr>0</vt:lpwstr>
  </property>
  <property fmtid="{D5CDD505-2E9C-101B-9397-08002B2CF9AE}" pid="9" name="VIR">
    <vt:lpwstr>0</vt:lpwstr>
  </property>
  <property fmtid="{D5CDD505-2E9C-101B-9397-08002B2CF9AE}" pid="10" name="Typrubrik">
    <vt:lpwstr>Yttrande till riksdagen</vt:lpwstr>
  </property>
</Properties>
</file>