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A45EA5" w:rsidRDefault="002962E8">
      <w:pPr>
        <w:spacing w:line="300" w:lineRule="exact"/>
        <w:jc w:val="both"/>
        <w:rPr>
          <w:color w:val="000000"/>
          <w:sz w:val="22"/>
        </w:rPr>
      </w:pPr>
      <w:r w:rsidRPr="00A45EA5">
        <w:rPr>
          <w:b/>
          <w:bCs/>
          <w:color w:val="000000"/>
          <w:sz w:val="22"/>
        </w:rPr>
        <w:t>REGERINGSKANSLIET</w:t>
      </w:r>
      <w:r w:rsidRPr="00A45EA5">
        <w:rPr>
          <w:color w:val="000000"/>
          <w:sz w:val="22"/>
        </w:rPr>
        <w:tab/>
      </w:r>
      <w:r w:rsidRPr="00A45EA5">
        <w:rPr>
          <w:color w:val="000000"/>
          <w:sz w:val="22"/>
        </w:rPr>
        <w:tab/>
      </w:r>
      <w:r w:rsidRPr="00A45EA5">
        <w:rPr>
          <w:color w:val="000000"/>
          <w:sz w:val="22"/>
        </w:rPr>
        <w:tab/>
      </w:r>
      <w:r w:rsidRPr="00A45EA5">
        <w:rPr>
          <w:color w:val="000000"/>
          <w:sz w:val="22"/>
        </w:rPr>
        <w:tab/>
        <w:t>Kommenterad dagordning</w:t>
      </w:r>
    </w:p>
    <w:p w:rsidR="002962E8" w:rsidRPr="00A45EA5" w:rsidRDefault="002962E8">
      <w:pPr>
        <w:spacing w:line="300" w:lineRule="exact"/>
        <w:jc w:val="both"/>
        <w:rPr>
          <w:color w:val="000000"/>
          <w:sz w:val="22"/>
        </w:rPr>
      </w:pPr>
      <w:r w:rsidRPr="00A45EA5">
        <w:rPr>
          <w:color w:val="000000"/>
          <w:sz w:val="22"/>
        </w:rPr>
        <w:t>Utrikesdepartementet</w:t>
      </w:r>
      <w:r w:rsidRPr="00A45EA5">
        <w:rPr>
          <w:color w:val="000000"/>
          <w:sz w:val="22"/>
        </w:rPr>
        <w:tab/>
      </w:r>
      <w:r w:rsidRPr="00A45EA5">
        <w:rPr>
          <w:color w:val="000000"/>
          <w:sz w:val="22"/>
        </w:rPr>
        <w:tab/>
      </w:r>
      <w:r w:rsidRPr="00A45EA5">
        <w:rPr>
          <w:color w:val="000000"/>
          <w:sz w:val="22"/>
        </w:rPr>
        <w:tab/>
      </w:r>
      <w:r w:rsidRPr="00A45EA5">
        <w:rPr>
          <w:color w:val="000000"/>
          <w:sz w:val="22"/>
        </w:rPr>
        <w:tab/>
      </w:r>
      <w:r w:rsidRPr="00A45EA5">
        <w:rPr>
          <w:color w:val="000000"/>
          <w:sz w:val="22"/>
        </w:rPr>
        <w:tab/>
        <w:t>Ministerrådet</w:t>
      </w:r>
    </w:p>
    <w:p w:rsidR="002962E8" w:rsidRPr="00A45EA5" w:rsidRDefault="002962E8">
      <w:pPr>
        <w:spacing w:line="300" w:lineRule="exact"/>
        <w:jc w:val="both"/>
        <w:rPr>
          <w:color w:val="000000"/>
        </w:rPr>
      </w:pPr>
    </w:p>
    <w:p w:rsidR="002962E8" w:rsidRPr="00A45EA5" w:rsidRDefault="002962E8">
      <w:pPr>
        <w:spacing w:line="300" w:lineRule="exact"/>
        <w:jc w:val="both"/>
        <w:rPr>
          <w:color w:val="000000"/>
        </w:rPr>
      </w:pPr>
      <w:r w:rsidRPr="00A45EA5">
        <w:rPr>
          <w:color w:val="000000"/>
        </w:rPr>
        <w:tab/>
      </w:r>
      <w:r w:rsidRPr="00A45EA5">
        <w:rPr>
          <w:color w:val="000000"/>
        </w:rPr>
        <w:tab/>
      </w:r>
      <w:r w:rsidRPr="00A45EA5">
        <w:rPr>
          <w:color w:val="000000"/>
        </w:rPr>
        <w:tab/>
      </w:r>
      <w:r w:rsidRPr="00A45EA5">
        <w:rPr>
          <w:color w:val="000000"/>
        </w:rPr>
        <w:tab/>
      </w:r>
      <w:r w:rsidRPr="00A45EA5">
        <w:rPr>
          <w:color w:val="000000"/>
        </w:rPr>
        <w:tab/>
      </w:r>
      <w:r w:rsidRPr="00A45EA5">
        <w:rPr>
          <w:color w:val="000000"/>
        </w:rPr>
        <w:tab/>
      </w:r>
      <w:r w:rsidRPr="00A45EA5">
        <w:rPr>
          <w:color w:val="000000"/>
        </w:rPr>
        <w:tab/>
      </w:r>
      <w:r w:rsidRPr="00A45EA5">
        <w:rPr>
          <w:color w:val="000000"/>
        </w:rPr>
        <w:fldChar w:fldCharType="begin" w:fldLock="1"/>
      </w:r>
      <w:r w:rsidRPr="00A45EA5">
        <w:rPr>
          <w:color w:val="000000"/>
        </w:rPr>
        <w:instrText xml:space="preserve"> DATE \@ "yyyy-MM-dd" </w:instrText>
      </w:r>
      <w:r w:rsidRPr="00A45EA5">
        <w:rPr>
          <w:color w:val="000000"/>
        </w:rPr>
        <w:fldChar w:fldCharType="separate"/>
      </w:r>
      <w:r w:rsidR="00A45EA5" w:rsidRPr="00A45EA5">
        <w:rPr>
          <w:color w:val="000000"/>
        </w:rPr>
        <w:t>2025-12-17</w:t>
      </w:r>
      <w:r w:rsidRPr="00A45EA5">
        <w:rPr>
          <w:color w:val="000000"/>
        </w:rPr>
        <w:fldChar w:fldCharType="end"/>
      </w:r>
    </w:p>
    <w:p w:rsidR="002962E8" w:rsidRPr="00A45EA5" w:rsidRDefault="002962E8">
      <w:pPr>
        <w:spacing w:line="300" w:lineRule="exact"/>
        <w:jc w:val="both"/>
        <w:rPr>
          <w:color w:val="000000"/>
          <w:sz w:val="18"/>
        </w:rPr>
      </w:pPr>
      <w:r w:rsidRPr="00A45EA5">
        <w:rPr>
          <w:color w:val="000000"/>
          <w:sz w:val="18"/>
        </w:rPr>
        <w:t>Enheten för Europeiska unionen</w:t>
      </w:r>
    </w:p>
    <w:p w:rsidR="002962E8" w:rsidRPr="00A45EA5" w:rsidRDefault="002962E8">
      <w:pPr>
        <w:spacing w:line="300" w:lineRule="exact"/>
        <w:jc w:val="both"/>
        <w:rPr>
          <w:color w:val="000000"/>
        </w:rPr>
      </w:pPr>
    </w:p>
    <w:p w:rsidR="002962E8" w:rsidRPr="00A45EA5" w:rsidRDefault="002962E8">
      <w:pPr>
        <w:spacing w:line="300" w:lineRule="exact"/>
        <w:jc w:val="both"/>
        <w:rPr>
          <w:color w:val="000000"/>
        </w:rPr>
      </w:pPr>
    </w:p>
    <w:p w:rsidR="002962E8" w:rsidRPr="00A45EA5" w:rsidRDefault="002962E8">
      <w:pPr>
        <w:spacing w:line="300" w:lineRule="exact"/>
        <w:jc w:val="both"/>
        <w:rPr>
          <w:color w:val="000000"/>
        </w:rPr>
      </w:pPr>
    </w:p>
    <w:p w:rsidR="002962E8" w:rsidRPr="00A45EA5" w:rsidRDefault="002962E8">
      <w:pPr>
        <w:spacing w:line="300" w:lineRule="exact"/>
        <w:ind w:left="1418"/>
        <w:jc w:val="both"/>
        <w:rPr>
          <w:color w:val="000000"/>
          <w:sz w:val="24"/>
        </w:rPr>
      </w:pPr>
    </w:p>
    <w:p w:rsidR="002962E8" w:rsidRPr="00A45EA5" w:rsidRDefault="002962E8">
      <w:pPr>
        <w:spacing w:line="300" w:lineRule="exact"/>
        <w:ind w:left="1418"/>
        <w:jc w:val="both"/>
        <w:rPr>
          <w:color w:val="000000"/>
          <w:sz w:val="24"/>
        </w:rPr>
      </w:pPr>
    </w:p>
    <w:p w:rsidR="002962E8" w:rsidRPr="00A45EA5" w:rsidRDefault="002962E8">
      <w:pPr>
        <w:spacing w:line="300" w:lineRule="exact"/>
        <w:ind w:left="1418"/>
        <w:jc w:val="both"/>
        <w:rPr>
          <w:color w:val="000000"/>
          <w:sz w:val="24"/>
        </w:rPr>
      </w:pPr>
    </w:p>
    <w:p w:rsidR="002962E8" w:rsidRPr="00A45EA5" w:rsidRDefault="002962E8">
      <w:pPr>
        <w:spacing w:line="300" w:lineRule="exact"/>
        <w:ind w:left="1418"/>
        <w:jc w:val="both"/>
        <w:rPr>
          <w:color w:val="000000"/>
          <w:sz w:val="24"/>
        </w:rPr>
      </w:pPr>
    </w:p>
    <w:p w:rsidR="002962E8" w:rsidRPr="00A45EA5" w:rsidRDefault="002962E8">
      <w:pPr>
        <w:tabs>
          <w:tab w:val="left" w:pos="5103"/>
        </w:tabs>
        <w:spacing w:line="300" w:lineRule="exact"/>
        <w:jc w:val="both"/>
        <w:rPr>
          <w:rFonts w:ascii="Garamond" w:hAnsi="Garamond"/>
          <w:b/>
          <w:sz w:val="28"/>
          <w:u w:val="single"/>
        </w:rPr>
      </w:pPr>
    </w:p>
    <w:p w:rsidR="002962E8" w:rsidRPr="00A45EA5" w:rsidRDefault="002962E8">
      <w:pPr>
        <w:tabs>
          <w:tab w:val="left" w:pos="5103"/>
        </w:tabs>
        <w:spacing w:line="300" w:lineRule="exact"/>
        <w:jc w:val="both"/>
        <w:rPr>
          <w:rFonts w:ascii="Garamond" w:hAnsi="Garamond"/>
          <w:b/>
          <w:sz w:val="28"/>
          <w:u w:val="single"/>
        </w:rPr>
      </w:pPr>
    </w:p>
    <w:p w:rsidR="002962E8" w:rsidRPr="00A45EA5" w:rsidRDefault="002962E8">
      <w:pPr>
        <w:pStyle w:val="UDrubrik"/>
        <w:ind w:left="1418"/>
        <w:rPr>
          <w:sz w:val="24"/>
          <w:u w:val="single"/>
        </w:rPr>
      </w:pPr>
      <w:r w:rsidRPr="00A45EA5">
        <w:rPr>
          <w:sz w:val="24"/>
          <w:u w:val="single"/>
        </w:rPr>
        <w:t xml:space="preserve">Kommenterad dagordning för rådet för allmänna frågor och yttre förbindelser den </w:t>
      </w:r>
      <w:r w:rsidR="000A53A0" w:rsidRPr="00A45EA5">
        <w:rPr>
          <w:sz w:val="24"/>
          <w:u w:val="single"/>
        </w:rPr>
        <w:t>22</w:t>
      </w:r>
      <w:r w:rsidRPr="00A45EA5">
        <w:rPr>
          <w:sz w:val="24"/>
          <w:u w:val="single"/>
        </w:rPr>
        <w:t xml:space="preserve"> </w:t>
      </w:r>
      <w:r w:rsidR="000A53A0" w:rsidRPr="00A45EA5">
        <w:rPr>
          <w:sz w:val="24"/>
          <w:u w:val="single"/>
        </w:rPr>
        <w:t>januari</w:t>
      </w:r>
      <w:r w:rsidRPr="00A45EA5">
        <w:rPr>
          <w:sz w:val="24"/>
          <w:u w:val="single"/>
        </w:rPr>
        <w:t xml:space="preserve"> 200</w:t>
      </w:r>
      <w:r w:rsidR="000A53A0" w:rsidRPr="00A45EA5">
        <w:rPr>
          <w:sz w:val="24"/>
          <w:u w:val="single"/>
        </w:rPr>
        <w:t>7</w:t>
      </w:r>
    </w:p>
    <w:p w:rsidR="002962E8" w:rsidRPr="00A45EA5" w:rsidRDefault="002962E8">
      <w:pPr>
        <w:pStyle w:val="Rubrik1"/>
        <w:ind w:left="1418"/>
        <w:rPr>
          <w:sz w:val="28"/>
        </w:rPr>
      </w:pPr>
      <w:bookmarkStart w:id="0" w:name="_Toc128393594"/>
    </w:p>
    <w:p w:rsidR="002962E8" w:rsidRPr="00A45EA5" w:rsidRDefault="002962E8">
      <w:pPr>
        <w:pStyle w:val="Rubrik1"/>
        <w:spacing w:before="60"/>
        <w:ind w:left="1418"/>
        <w:rPr>
          <w:sz w:val="28"/>
        </w:rPr>
      </w:pPr>
      <w:r w:rsidRPr="00A45EA5">
        <w:rPr>
          <w:sz w:val="28"/>
        </w:rPr>
        <w:t>ALLMÄNNA RÅDET</w:t>
      </w:r>
      <w:bookmarkEnd w:id="0"/>
    </w:p>
    <w:p w:rsidR="002962E8" w:rsidRPr="00A45EA5" w:rsidRDefault="002962E8">
      <w:pPr>
        <w:rPr>
          <w:rFonts w:ascii="Garamond" w:hAnsi="Garamond"/>
          <w:b/>
          <w:bCs/>
          <w:sz w:val="24"/>
        </w:rPr>
      </w:pPr>
    </w:p>
    <w:p w:rsidR="000A53A0" w:rsidRPr="00A45EA5" w:rsidRDefault="000A53A0" w:rsidP="000A53A0">
      <w:pPr>
        <w:ind w:left="698" w:firstLine="720"/>
        <w:rPr>
          <w:rFonts w:ascii="Garamond" w:hAnsi="Garamond"/>
          <w:sz w:val="24"/>
        </w:rPr>
      </w:pPr>
      <w:bookmarkStart w:id="1" w:name="_Toc128393595"/>
      <w:bookmarkStart w:id="2" w:name="_Toc150242347"/>
      <w:r w:rsidRPr="00A45EA5">
        <w:rPr>
          <w:rFonts w:ascii="Garamond" w:hAnsi="Garamond"/>
          <w:b/>
          <w:bCs/>
          <w:sz w:val="24"/>
        </w:rPr>
        <w:t>1. Godkännande av den preliminära dagordningen</w:t>
      </w:r>
      <w:bookmarkEnd w:id="2"/>
    </w:p>
    <w:p w:rsidR="000A53A0" w:rsidRPr="00A45EA5" w:rsidRDefault="000A53A0" w:rsidP="000A53A0">
      <w:pPr>
        <w:rPr>
          <w:rFonts w:ascii="Garamond" w:hAnsi="Garamond"/>
          <w:sz w:val="24"/>
        </w:rPr>
      </w:pPr>
    </w:p>
    <w:p w:rsidR="000A53A0" w:rsidRPr="00A45EA5" w:rsidRDefault="000A53A0" w:rsidP="000A53A0">
      <w:pPr>
        <w:ind w:left="698" w:firstLine="720"/>
        <w:rPr>
          <w:rFonts w:ascii="Garamond" w:hAnsi="Garamond"/>
          <w:b/>
          <w:bCs/>
          <w:sz w:val="24"/>
        </w:rPr>
      </w:pPr>
      <w:bookmarkStart w:id="3" w:name="_Toc150242348"/>
      <w:r w:rsidRPr="00A45EA5">
        <w:rPr>
          <w:rFonts w:ascii="Garamond" w:hAnsi="Garamond"/>
          <w:b/>
          <w:bCs/>
          <w:sz w:val="24"/>
        </w:rPr>
        <w:t>2. Godkännande av A-punkterna</w:t>
      </w:r>
      <w:bookmarkEnd w:id="3"/>
    </w:p>
    <w:p w:rsidR="000A53A0" w:rsidRPr="00A45EA5" w:rsidRDefault="000A53A0" w:rsidP="000A53A0">
      <w:pPr>
        <w:rPr>
          <w:rFonts w:ascii="Garamond" w:hAnsi="Garamond"/>
          <w:sz w:val="24"/>
        </w:rPr>
      </w:pPr>
    </w:p>
    <w:p w:rsidR="000A53A0" w:rsidRPr="00A45EA5" w:rsidRDefault="000A53A0" w:rsidP="000A53A0">
      <w:pPr>
        <w:ind w:left="1440"/>
        <w:rPr>
          <w:rFonts w:ascii="Garamond" w:hAnsi="Garamond"/>
          <w:sz w:val="24"/>
        </w:rPr>
      </w:pPr>
      <w:r w:rsidRPr="00A45EA5">
        <w:rPr>
          <w:rFonts w:ascii="Garamond" w:hAnsi="Garamond"/>
          <w:b/>
          <w:bCs/>
          <w:sz w:val="24"/>
        </w:rPr>
        <w:t>3. Resolutioner och beslut antagna av Europaparlamentet</w:t>
      </w:r>
    </w:p>
    <w:p w:rsidR="000A53A0" w:rsidRPr="00A45EA5" w:rsidRDefault="000A53A0" w:rsidP="000A53A0">
      <w:pPr>
        <w:ind w:left="1440"/>
        <w:rPr>
          <w:rFonts w:ascii="Garamond" w:hAnsi="Garamond"/>
          <w:sz w:val="24"/>
        </w:rPr>
      </w:pPr>
    </w:p>
    <w:p w:rsidR="000A53A0" w:rsidRPr="00A45EA5" w:rsidRDefault="000A53A0" w:rsidP="000A53A0">
      <w:pPr>
        <w:ind w:left="1440"/>
        <w:rPr>
          <w:rFonts w:ascii="Garamond" w:hAnsi="Garamond"/>
          <w:sz w:val="24"/>
        </w:rPr>
      </w:pPr>
      <w:r w:rsidRPr="00A45EA5">
        <w:rPr>
          <w:rFonts w:ascii="Garamond" w:hAnsi="Garamond"/>
          <w:sz w:val="24"/>
        </w:rPr>
        <w:t>Dagordningspunkten är en standardpunkt för anmälan av beslut m.m. från Europaparlamentets sessioner. Punkten avser sammanträdesperioderna 29-30 november och 11-12 december 2006 och omfattar bl.a. EU och Ryssland och utvidgningsstrategin.</w:t>
      </w:r>
    </w:p>
    <w:p w:rsidR="000A53A0" w:rsidRPr="00A45EA5" w:rsidRDefault="000A53A0" w:rsidP="000A53A0">
      <w:pPr>
        <w:rPr>
          <w:rFonts w:ascii="Garamond" w:hAnsi="Garamond"/>
          <w:sz w:val="24"/>
        </w:rPr>
      </w:pPr>
    </w:p>
    <w:p w:rsidR="000A53A0" w:rsidRPr="00A45EA5" w:rsidRDefault="000A53A0" w:rsidP="000A53A0">
      <w:pPr>
        <w:ind w:left="1440"/>
        <w:rPr>
          <w:rFonts w:ascii="Garamond" w:hAnsi="Garamond"/>
          <w:b/>
          <w:bCs/>
          <w:sz w:val="24"/>
        </w:rPr>
      </w:pPr>
      <w:bookmarkStart w:id="4" w:name="_Toc150242350"/>
      <w:r w:rsidRPr="00A45EA5">
        <w:rPr>
          <w:rFonts w:ascii="Garamond" w:hAnsi="Garamond"/>
          <w:b/>
          <w:bCs/>
          <w:sz w:val="24"/>
        </w:rPr>
        <w:t xml:space="preserve">4. </w:t>
      </w:r>
      <w:bookmarkEnd w:id="4"/>
      <w:r w:rsidRPr="00A45EA5">
        <w:rPr>
          <w:rFonts w:ascii="Garamond" w:hAnsi="Garamond"/>
          <w:b/>
          <w:bCs/>
          <w:sz w:val="24"/>
        </w:rPr>
        <w:t>Lissabonstrategin – Kommissionens årliga framstegsrapport</w:t>
      </w:r>
    </w:p>
    <w:p w:rsidR="000A53A0" w:rsidRPr="00A45EA5" w:rsidRDefault="000A53A0" w:rsidP="000A53A0">
      <w:pPr>
        <w:ind w:left="1440"/>
        <w:rPr>
          <w:rFonts w:ascii="Garamond" w:hAnsi="Garamond"/>
          <w:sz w:val="24"/>
        </w:rPr>
      </w:pPr>
    </w:p>
    <w:p w:rsidR="000A53A0" w:rsidRPr="00A45EA5" w:rsidRDefault="000A53A0" w:rsidP="000A53A0">
      <w:pPr>
        <w:pStyle w:val="RKnormal"/>
        <w:ind w:left="1440"/>
      </w:pPr>
      <w:r w:rsidRPr="00A45EA5">
        <w:t>- Presentation av kommissionen</w:t>
      </w:r>
    </w:p>
    <w:p w:rsidR="000A53A0" w:rsidRPr="00A45EA5" w:rsidRDefault="000A53A0" w:rsidP="000A53A0">
      <w:pPr>
        <w:pStyle w:val="RKnormal"/>
        <w:ind w:left="1440"/>
      </w:pPr>
    </w:p>
    <w:p w:rsidR="000A53A0" w:rsidRPr="00A45EA5" w:rsidRDefault="000A53A0" w:rsidP="000A53A0">
      <w:pPr>
        <w:pStyle w:val="RKnormal"/>
        <w:ind w:left="1440"/>
      </w:pPr>
      <w:r w:rsidRPr="00A45EA5">
        <w:t xml:space="preserve">Kommissionen presenterade den 12 december sin framstegsrapport inför vårtoppmötet i mars 2007. Rapporten utgör ett viktigt bidrag till diskussionen vid toppmötet och ordförandeskapets och slutsatser. Rapporten innehåller en utvärdering av medlemsstaternas första framstegrapporter om de nationella handlingsprogrammen för genomförandet av Lissabonstrategin. </w:t>
      </w:r>
    </w:p>
    <w:p w:rsidR="000A53A0" w:rsidRPr="00A45EA5" w:rsidRDefault="000A53A0" w:rsidP="000A53A0">
      <w:pPr>
        <w:pStyle w:val="RKnormal"/>
        <w:ind w:left="1440"/>
      </w:pPr>
    </w:p>
    <w:p w:rsidR="002962E8" w:rsidRPr="00A45EA5" w:rsidRDefault="0052424B" w:rsidP="000A53A0">
      <w:pPr>
        <w:pStyle w:val="RKnormal"/>
        <w:ind w:left="1440"/>
      </w:pPr>
      <w:r w:rsidRPr="00A45EA5">
        <w:t>Regeringen</w:t>
      </w:r>
      <w:r w:rsidR="000A53A0" w:rsidRPr="00A45EA5">
        <w:t xml:space="preserve"> välkomnar kommissionens framstegsrapport i stort</w:t>
      </w:r>
      <w:r w:rsidRPr="00A45EA5">
        <w:t xml:space="preserve"> och dess</w:t>
      </w:r>
      <w:r w:rsidR="000A53A0" w:rsidRPr="00A45EA5">
        <w:t xml:space="preserve"> fokus på genomförande och de fyra prioriterade områden som väl återspeglar strategins tre dimensioner</w:t>
      </w:r>
      <w:r w:rsidR="002962E8" w:rsidRPr="00A45EA5">
        <w:rPr>
          <w:rFonts w:ascii="Garamond" w:hAnsi="Garamond"/>
        </w:rPr>
        <w:t>.</w:t>
      </w:r>
    </w:p>
    <w:p w:rsidR="002962E8" w:rsidRPr="00A45EA5" w:rsidRDefault="002962E8"/>
    <w:p w:rsidR="002962E8" w:rsidRPr="00A45EA5" w:rsidRDefault="002962E8">
      <w:pPr>
        <w:pStyle w:val="Rubrik1"/>
        <w:ind w:left="720" w:firstLine="720"/>
        <w:rPr>
          <w:sz w:val="28"/>
        </w:rPr>
      </w:pPr>
      <w:r w:rsidRPr="00A45EA5">
        <w:rPr>
          <w:sz w:val="28"/>
        </w:rPr>
        <w:t>RÅDET FÖR YTTRE FÖRBINDELSER</w:t>
      </w:r>
    </w:p>
    <w:p w:rsidR="002962E8" w:rsidRPr="00A45EA5" w:rsidRDefault="002962E8">
      <w:pPr>
        <w:rPr>
          <w:rFonts w:ascii="Garamond" w:hAnsi="Garamond"/>
          <w:sz w:val="24"/>
        </w:rPr>
      </w:pPr>
    </w:p>
    <w:p w:rsidR="002962E8" w:rsidRPr="00A45EA5" w:rsidRDefault="002962E8">
      <w:pPr>
        <w:ind w:left="720" w:firstLine="720"/>
        <w:rPr>
          <w:rFonts w:ascii="Garamond" w:hAnsi="Garamond"/>
          <w:b/>
          <w:bCs/>
          <w:sz w:val="24"/>
        </w:rPr>
      </w:pPr>
      <w:bookmarkStart w:id="5" w:name="_Toc150232148"/>
      <w:bookmarkStart w:id="6" w:name="_Toc150242355"/>
      <w:r w:rsidRPr="00A45EA5">
        <w:rPr>
          <w:rFonts w:ascii="Garamond" w:hAnsi="Garamond"/>
          <w:b/>
          <w:bCs/>
          <w:sz w:val="24"/>
        </w:rPr>
        <w:lastRenderedPageBreak/>
        <w:t>1. Godkännande av den preliminära dagordningen</w:t>
      </w:r>
      <w:bookmarkEnd w:id="5"/>
      <w:bookmarkEnd w:id="6"/>
    </w:p>
    <w:p w:rsidR="002962E8" w:rsidRPr="00A45EA5" w:rsidRDefault="002962E8">
      <w:pPr>
        <w:rPr>
          <w:rFonts w:ascii="Garamond" w:hAnsi="Garamond"/>
          <w:sz w:val="24"/>
        </w:rPr>
      </w:pPr>
      <w:r w:rsidRPr="00A45EA5">
        <w:rPr>
          <w:rFonts w:ascii="Garamond" w:hAnsi="Garamond"/>
          <w:sz w:val="24"/>
        </w:rPr>
        <w:tab/>
      </w:r>
      <w:r w:rsidRPr="00A45EA5">
        <w:rPr>
          <w:rFonts w:ascii="Garamond" w:hAnsi="Garamond"/>
          <w:sz w:val="24"/>
        </w:rPr>
        <w:tab/>
      </w:r>
    </w:p>
    <w:p w:rsidR="002962E8" w:rsidRPr="00A45EA5" w:rsidRDefault="002962E8">
      <w:pPr>
        <w:ind w:left="720" w:firstLine="720"/>
        <w:rPr>
          <w:rFonts w:ascii="Garamond" w:hAnsi="Garamond"/>
          <w:b/>
          <w:bCs/>
          <w:sz w:val="24"/>
        </w:rPr>
      </w:pPr>
      <w:bookmarkStart w:id="7" w:name="_Toc150232149"/>
      <w:bookmarkStart w:id="8" w:name="_Toc150242356"/>
      <w:r w:rsidRPr="00A45EA5">
        <w:rPr>
          <w:rFonts w:ascii="Garamond" w:hAnsi="Garamond"/>
          <w:b/>
          <w:bCs/>
          <w:sz w:val="24"/>
        </w:rPr>
        <w:t xml:space="preserve">2. </w:t>
      </w:r>
      <w:bookmarkEnd w:id="7"/>
      <w:bookmarkEnd w:id="8"/>
      <w:r w:rsidR="000A53A0" w:rsidRPr="00A45EA5">
        <w:rPr>
          <w:rFonts w:ascii="Garamond" w:hAnsi="Garamond"/>
          <w:b/>
          <w:bCs/>
          <w:sz w:val="24"/>
        </w:rPr>
        <w:t>Europeiska grannskapspolitiken</w:t>
      </w:r>
    </w:p>
    <w:p w:rsidR="00D14420" w:rsidRPr="00A45EA5" w:rsidRDefault="00D14420">
      <w:pPr>
        <w:ind w:left="720" w:firstLine="720"/>
        <w:rPr>
          <w:rFonts w:ascii="Garamond" w:hAnsi="Garamond"/>
          <w:b/>
          <w:bCs/>
          <w:sz w:val="24"/>
        </w:rPr>
      </w:pPr>
    </w:p>
    <w:p w:rsidR="00833D37" w:rsidRPr="00A45EA5" w:rsidRDefault="00833D37" w:rsidP="00833D37">
      <w:pPr>
        <w:ind w:left="1418"/>
        <w:rPr>
          <w:rFonts w:ascii="Garamond" w:hAnsi="Garamond"/>
          <w:bCs/>
          <w:sz w:val="24"/>
        </w:rPr>
      </w:pPr>
      <w:r w:rsidRPr="00A45EA5">
        <w:rPr>
          <w:rFonts w:ascii="Garamond" w:hAnsi="Garamond"/>
          <w:bCs/>
          <w:sz w:val="24"/>
        </w:rPr>
        <w:t>Diskussionspunkt</w:t>
      </w:r>
    </w:p>
    <w:p w:rsidR="00833D37" w:rsidRPr="00A45EA5" w:rsidRDefault="00833D37" w:rsidP="00833D37">
      <w:pPr>
        <w:ind w:left="1418"/>
        <w:rPr>
          <w:rFonts w:ascii="Garamond" w:hAnsi="Garamond"/>
          <w:bCs/>
          <w:sz w:val="24"/>
        </w:rPr>
      </w:pPr>
    </w:p>
    <w:p w:rsidR="00833D37" w:rsidRPr="00A45EA5" w:rsidRDefault="00833D37" w:rsidP="00833D37">
      <w:pPr>
        <w:ind w:left="1418"/>
        <w:rPr>
          <w:rFonts w:ascii="Garamond" w:hAnsi="Garamond"/>
          <w:bCs/>
          <w:sz w:val="24"/>
        </w:rPr>
      </w:pPr>
      <w:r w:rsidRPr="00A45EA5">
        <w:rPr>
          <w:rFonts w:ascii="Garamond" w:hAnsi="Garamond"/>
          <w:bCs/>
          <w:sz w:val="24"/>
        </w:rPr>
        <w:t xml:space="preserve">KOM väntas redovisa rekommendationerna i det meddelande om att förstärka grannskapspolitiken som lades fram den 4 december 2006. Meddelandet välkomnades av GAERC den 11 december, och vid Europeiska rådets möte den 16 december gavs inkommande ordförandeskap och KOM i uppdrag att ta arbetet med grannskapspolitiken vidare. Ordf ska i juni 2007 rapportera till rådet om detta arbete. </w:t>
      </w:r>
    </w:p>
    <w:p w:rsidR="00833D37" w:rsidRPr="00A45EA5" w:rsidRDefault="00833D37" w:rsidP="00833D37">
      <w:pPr>
        <w:ind w:left="1418"/>
        <w:rPr>
          <w:rFonts w:ascii="Garamond" w:hAnsi="Garamond"/>
          <w:bCs/>
          <w:sz w:val="24"/>
        </w:rPr>
      </w:pPr>
    </w:p>
    <w:p w:rsidR="00833D37" w:rsidRPr="00A45EA5" w:rsidRDefault="00833D37" w:rsidP="00833D37">
      <w:pPr>
        <w:ind w:left="1418"/>
        <w:rPr>
          <w:rFonts w:ascii="Garamond" w:hAnsi="Garamond"/>
          <w:bCs/>
          <w:sz w:val="24"/>
        </w:rPr>
      </w:pPr>
      <w:r w:rsidRPr="00A45EA5">
        <w:rPr>
          <w:rFonts w:ascii="Garamond" w:hAnsi="Garamond"/>
          <w:bCs/>
          <w:sz w:val="24"/>
        </w:rPr>
        <w:t xml:space="preserve">Från svensk sida fästs stor vikt vid grannskapspolitiken som ett nyckelinstrument för att främja utveckling </w:t>
      </w:r>
      <w:r w:rsidR="0052424B" w:rsidRPr="00A45EA5">
        <w:rPr>
          <w:rFonts w:ascii="Garamond" w:hAnsi="Garamond"/>
          <w:bCs/>
          <w:sz w:val="24"/>
        </w:rPr>
        <w:t xml:space="preserve">och demokratiska reformer </w:t>
      </w:r>
      <w:r w:rsidRPr="00A45EA5">
        <w:rPr>
          <w:rFonts w:ascii="Garamond" w:hAnsi="Garamond"/>
          <w:bCs/>
          <w:sz w:val="24"/>
        </w:rPr>
        <w:t>i EU:s närområde. KOM:s meddelande är välkommet och utgör en bra utgångspunkt för en grundlig diskussion inom EU och med ENP-länderna om hur grannskapspolitiken kan förstärkas. Meddelandet innehåller förslag på en rad områden, inklusive handel och ekonomisk integration, människors rörlighet, mellanfolkliga kontakter, ökat tematiskt, regionalt  och politiskt samarbete, samt stär</w:t>
      </w:r>
      <w:r w:rsidR="000C5504" w:rsidRPr="00A45EA5">
        <w:rPr>
          <w:rFonts w:ascii="Garamond" w:hAnsi="Garamond"/>
          <w:bCs/>
          <w:sz w:val="24"/>
        </w:rPr>
        <w:t>kt resursmobilisering. Regeringen</w:t>
      </w:r>
      <w:r w:rsidRPr="00A45EA5">
        <w:rPr>
          <w:rFonts w:ascii="Garamond" w:hAnsi="Garamond"/>
          <w:bCs/>
          <w:sz w:val="24"/>
        </w:rPr>
        <w:t xml:space="preserve"> vill se en snar och grundlig beredning av dessa och liknande förslag med den övergripande målsättningen att stärka grannskapspolitikens genomslagskraft.</w:t>
      </w:r>
    </w:p>
    <w:p w:rsidR="00D733B3" w:rsidRPr="00A45EA5" w:rsidRDefault="00D733B3" w:rsidP="00D733B3">
      <w:pPr>
        <w:rPr>
          <w:rFonts w:ascii="Garamond" w:hAnsi="Garamond"/>
          <w:bCs/>
          <w:sz w:val="24"/>
        </w:rPr>
      </w:pPr>
    </w:p>
    <w:p w:rsidR="002962E8" w:rsidRPr="00A45EA5" w:rsidRDefault="002962E8">
      <w:pPr>
        <w:ind w:left="720" w:firstLine="720"/>
        <w:rPr>
          <w:rFonts w:ascii="Garamond" w:hAnsi="Garamond"/>
          <w:b/>
          <w:bCs/>
          <w:sz w:val="24"/>
        </w:rPr>
      </w:pPr>
      <w:bookmarkStart w:id="9" w:name="_Toc150232150"/>
      <w:bookmarkStart w:id="10" w:name="_Toc150242357"/>
      <w:r w:rsidRPr="00A45EA5">
        <w:rPr>
          <w:rFonts w:ascii="Garamond" w:hAnsi="Garamond"/>
          <w:b/>
          <w:bCs/>
          <w:sz w:val="24"/>
        </w:rPr>
        <w:t xml:space="preserve">3. </w:t>
      </w:r>
      <w:bookmarkEnd w:id="9"/>
      <w:bookmarkEnd w:id="10"/>
      <w:r w:rsidR="000A53A0" w:rsidRPr="00A45EA5">
        <w:rPr>
          <w:rFonts w:ascii="Garamond" w:hAnsi="Garamond"/>
          <w:b/>
          <w:bCs/>
          <w:sz w:val="24"/>
        </w:rPr>
        <w:t>Relationerna med västra Balkan</w:t>
      </w:r>
    </w:p>
    <w:p w:rsidR="002962E8" w:rsidRPr="00A45EA5" w:rsidRDefault="002962E8">
      <w:pPr>
        <w:rPr>
          <w:rFonts w:ascii="Garamond" w:hAnsi="Garamond"/>
          <w:sz w:val="24"/>
        </w:rPr>
      </w:pPr>
    </w:p>
    <w:p w:rsidR="008E5058" w:rsidRPr="00A45EA5" w:rsidRDefault="008E5058" w:rsidP="008E5058">
      <w:pPr>
        <w:ind w:left="1418"/>
        <w:rPr>
          <w:rFonts w:ascii="Garamond" w:hAnsi="Garamond"/>
          <w:sz w:val="24"/>
        </w:rPr>
      </w:pPr>
      <w:r w:rsidRPr="00A45EA5">
        <w:rPr>
          <w:rFonts w:ascii="Garamond" w:hAnsi="Garamond"/>
          <w:sz w:val="24"/>
        </w:rPr>
        <w:t>Besluts- och diskussionspunkt</w:t>
      </w:r>
    </w:p>
    <w:p w:rsidR="008E5058" w:rsidRPr="00A45EA5" w:rsidRDefault="008E5058" w:rsidP="008E5058">
      <w:pPr>
        <w:ind w:left="1418"/>
        <w:rPr>
          <w:rFonts w:ascii="Garamond" w:hAnsi="Garamond"/>
          <w:sz w:val="24"/>
        </w:rPr>
      </w:pPr>
    </w:p>
    <w:p w:rsidR="008E5058" w:rsidRPr="00A45EA5" w:rsidRDefault="008E5058" w:rsidP="008E5058">
      <w:pPr>
        <w:ind w:left="1418"/>
        <w:rPr>
          <w:rFonts w:ascii="Garamond" w:hAnsi="Garamond"/>
          <w:sz w:val="24"/>
        </w:rPr>
      </w:pPr>
      <w:r w:rsidRPr="00A45EA5">
        <w:rPr>
          <w:rFonts w:ascii="Garamond" w:hAnsi="Garamond"/>
          <w:sz w:val="24"/>
        </w:rPr>
        <w:t xml:space="preserve">Rådet förväntas anta slutsatser som välkomnar ingåendet av ett europeiskt partnerskapsavtal med Montenegro. Partnerskapsavtalet bygger på kommissionens översynsrapporter och listar prioriterade reformer och åtgärder på kort och medellång sikt vilka Montenegro bör </w:t>
      </w:r>
      <w:r w:rsidR="00AE7B01" w:rsidRPr="00A45EA5">
        <w:rPr>
          <w:rFonts w:ascii="Garamond" w:hAnsi="Garamond"/>
          <w:sz w:val="24"/>
        </w:rPr>
        <w:t>vidta</w:t>
      </w:r>
      <w:r w:rsidRPr="00A45EA5">
        <w:rPr>
          <w:rFonts w:ascii="Garamond" w:hAnsi="Garamond"/>
          <w:sz w:val="24"/>
        </w:rPr>
        <w:t xml:space="preserve"> för</w:t>
      </w:r>
      <w:r w:rsidR="00AE7B01" w:rsidRPr="00A45EA5">
        <w:rPr>
          <w:rFonts w:ascii="Garamond" w:hAnsi="Garamond"/>
          <w:sz w:val="24"/>
        </w:rPr>
        <w:t xml:space="preserve"> att</w:t>
      </w:r>
      <w:r w:rsidRPr="00A45EA5">
        <w:rPr>
          <w:rFonts w:ascii="Garamond" w:hAnsi="Garamond"/>
          <w:sz w:val="24"/>
        </w:rPr>
        <w:t xml:space="preserve"> underlätta landets fortsatta EU-närmande. Slutsatser kommer </w:t>
      </w:r>
      <w:r w:rsidR="00AE7B01" w:rsidRPr="00A45EA5">
        <w:rPr>
          <w:rFonts w:ascii="Garamond" w:hAnsi="Garamond"/>
          <w:sz w:val="24"/>
        </w:rPr>
        <w:t xml:space="preserve">sannolikt </w:t>
      </w:r>
      <w:r w:rsidRPr="00A45EA5">
        <w:rPr>
          <w:rFonts w:ascii="Garamond" w:hAnsi="Garamond"/>
          <w:sz w:val="24"/>
        </w:rPr>
        <w:t xml:space="preserve">även att antas om parlamentsvalet i Serbien den 21 januari och sannolikt också om de uppskjutna lokalvalen i Albanien mot bakgrund att det spända politiska läget. </w:t>
      </w:r>
    </w:p>
    <w:p w:rsidR="008E5058" w:rsidRPr="00A45EA5" w:rsidRDefault="008E5058" w:rsidP="008E5058">
      <w:pPr>
        <w:ind w:left="1418"/>
        <w:rPr>
          <w:rFonts w:ascii="Garamond" w:hAnsi="Garamond"/>
          <w:sz w:val="24"/>
        </w:rPr>
      </w:pPr>
    </w:p>
    <w:p w:rsidR="008E5058" w:rsidRPr="00A45EA5" w:rsidRDefault="008E5058" w:rsidP="008E5058">
      <w:pPr>
        <w:ind w:left="1418"/>
        <w:rPr>
          <w:rFonts w:ascii="Garamond" w:hAnsi="Garamond"/>
          <w:sz w:val="24"/>
        </w:rPr>
      </w:pPr>
      <w:r w:rsidRPr="00A45EA5">
        <w:rPr>
          <w:rFonts w:ascii="Garamond" w:hAnsi="Garamond"/>
          <w:sz w:val="24"/>
        </w:rPr>
        <w:t>Diskussionen vid GAERC kommer troligen att fokusera på det serbiska parlamentsvalet vilket genomförs dagen innan GAERC. Det är osäkert huruvida ett tillförlitligt valresultatet kommer att föreligga redan när utrikeministrarna möts under måndagen, men ordföranden arbetar enligt hypotesen att en uppdaterad text om Serbien ska kunna presenteras tidigt på morgonen den 22 januari för att därefter antas av utrikesministrarna senare under eftermiddagen. Det tyska o</w:t>
      </w:r>
      <w:r w:rsidR="00AE7B01" w:rsidRPr="00A45EA5">
        <w:rPr>
          <w:rFonts w:ascii="Garamond" w:hAnsi="Garamond"/>
          <w:sz w:val="24"/>
        </w:rPr>
        <w:t>rdförandeskapet har dock</w:t>
      </w:r>
      <w:r w:rsidRPr="00A45EA5">
        <w:rPr>
          <w:rFonts w:ascii="Garamond" w:hAnsi="Garamond"/>
          <w:sz w:val="24"/>
        </w:rPr>
        <w:t xml:space="preserve"> angett att den djupare eftervalsanalysen och diskussionen av Kosovofrågan istället kommer att äga rum vid nästkommande GAERC, den 12 februari. </w:t>
      </w:r>
    </w:p>
    <w:p w:rsidR="008E5058" w:rsidRPr="00A45EA5" w:rsidRDefault="008E5058" w:rsidP="008E5058">
      <w:pPr>
        <w:ind w:left="1418"/>
        <w:rPr>
          <w:rFonts w:ascii="Garamond" w:hAnsi="Garamond"/>
          <w:sz w:val="24"/>
        </w:rPr>
      </w:pPr>
    </w:p>
    <w:p w:rsidR="008E5058" w:rsidRPr="00A45EA5" w:rsidRDefault="008E5058" w:rsidP="008E5058">
      <w:pPr>
        <w:ind w:left="1418"/>
        <w:rPr>
          <w:rFonts w:ascii="Garamond" w:hAnsi="Garamond"/>
          <w:sz w:val="24"/>
        </w:rPr>
      </w:pPr>
      <w:r w:rsidRPr="00A45EA5">
        <w:rPr>
          <w:rFonts w:ascii="Garamond" w:hAnsi="Garamond"/>
          <w:sz w:val="24"/>
        </w:rPr>
        <w:t>Regeringen kommer att välkomna att ett partnerskapsavtal nu utarbetats för Europas ”nyaste” land Montenegro. Avtalet, som liknar det upplösta statsförbundets Serbien och Montenegros gamla avtal, utgör ett användbart och konkret prioritetsindelat verktyg för den monten</w:t>
      </w:r>
      <w:r w:rsidR="00AE7B01" w:rsidRPr="00A45EA5">
        <w:rPr>
          <w:rFonts w:ascii="Garamond" w:hAnsi="Garamond"/>
          <w:sz w:val="24"/>
        </w:rPr>
        <w:t>e</w:t>
      </w:r>
      <w:r w:rsidRPr="00A45EA5">
        <w:rPr>
          <w:rFonts w:ascii="Garamond" w:hAnsi="Garamond"/>
          <w:sz w:val="24"/>
        </w:rPr>
        <w:t xml:space="preserve">grinska förvaltningen i dess fortsatta EU-närmande. Beträffande Serbien är diskussionen naturligtvis beroende av valutgången men Sverige avser verka för att EU sänder positiva signaler till Serbien. Landet har potential att göra mycket snabba framsteg i sitt EU-närmande förutsatt att de politiska hindren undanröjs. </w:t>
      </w:r>
    </w:p>
    <w:p w:rsidR="00E83545" w:rsidRPr="00A45EA5" w:rsidRDefault="00E83545" w:rsidP="008358F6">
      <w:pPr>
        <w:ind w:left="1418"/>
        <w:rPr>
          <w:rFonts w:ascii="Garamond" w:hAnsi="Garamond"/>
          <w:sz w:val="24"/>
        </w:rPr>
      </w:pPr>
    </w:p>
    <w:p w:rsidR="002962E8" w:rsidRPr="00A45EA5" w:rsidRDefault="002962E8">
      <w:pPr>
        <w:ind w:left="720" w:firstLine="720"/>
        <w:rPr>
          <w:rFonts w:ascii="Garamond" w:hAnsi="Garamond"/>
          <w:b/>
          <w:bCs/>
          <w:sz w:val="24"/>
        </w:rPr>
      </w:pPr>
      <w:bookmarkStart w:id="11" w:name="_Toc150232151"/>
      <w:bookmarkStart w:id="12" w:name="_Toc150242358"/>
      <w:r w:rsidRPr="00A45EA5">
        <w:rPr>
          <w:rFonts w:ascii="Garamond" w:hAnsi="Garamond"/>
          <w:b/>
          <w:bCs/>
          <w:sz w:val="24"/>
        </w:rPr>
        <w:t xml:space="preserve">4. </w:t>
      </w:r>
      <w:bookmarkEnd w:id="11"/>
      <w:bookmarkEnd w:id="12"/>
      <w:r w:rsidR="000A53A0" w:rsidRPr="00A45EA5">
        <w:rPr>
          <w:rFonts w:ascii="Garamond" w:hAnsi="Garamond"/>
          <w:b/>
          <w:bCs/>
          <w:sz w:val="24"/>
        </w:rPr>
        <w:t>Fredsprocessen i Mellanöstern</w:t>
      </w:r>
    </w:p>
    <w:p w:rsidR="0023574B" w:rsidRPr="00A45EA5" w:rsidRDefault="0023574B" w:rsidP="00BD328B">
      <w:pPr>
        <w:ind w:left="1418"/>
        <w:rPr>
          <w:rFonts w:ascii="Garamond" w:hAnsi="Garamond"/>
          <w:sz w:val="24"/>
        </w:rPr>
      </w:pPr>
    </w:p>
    <w:p w:rsidR="00E327A6" w:rsidRPr="00A45EA5" w:rsidRDefault="00E327A6" w:rsidP="00E327A6">
      <w:pPr>
        <w:ind w:left="1418"/>
        <w:rPr>
          <w:rFonts w:ascii="Garamond" w:hAnsi="Garamond"/>
          <w:sz w:val="24"/>
        </w:rPr>
      </w:pPr>
      <w:r w:rsidRPr="00A45EA5">
        <w:rPr>
          <w:rFonts w:ascii="Garamond" w:hAnsi="Garamond"/>
          <w:sz w:val="24"/>
        </w:rPr>
        <w:t>Diskussions- och beslutspunkt.</w:t>
      </w:r>
    </w:p>
    <w:p w:rsidR="00E327A6" w:rsidRPr="00A45EA5" w:rsidRDefault="00E327A6" w:rsidP="00E327A6">
      <w:pPr>
        <w:ind w:left="1418"/>
        <w:rPr>
          <w:rFonts w:ascii="Garamond" w:hAnsi="Garamond"/>
          <w:sz w:val="24"/>
        </w:rPr>
      </w:pPr>
    </w:p>
    <w:p w:rsidR="00E327A6" w:rsidRPr="00A45EA5" w:rsidRDefault="00E327A6" w:rsidP="00E327A6">
      <w:pPr>
        <w:ind w:left="1418"/>
        <w:rPr>
          <w:rFonts w:ascii="Garamond" w:hAnsi="Garamond"/>
          <w:sz w:val="24"/>
        </w:rPr>
      </w:pPr>
      <w:r w:rsidRPr="00A45EA5">
        <w:rPr>
          <w:rFonts w:ascii="Garamond" w:hAnsi="Garamond"/>
          <w:sz w:val="24"/>
        </w:rPr>
        <w:t>Rådet kommer att diskutera den senaste utvecklingen i Mellanöstern och anta slutsatser. Det gäller läget på de palestinska områdena, som präglas av motsättningar mellan Fatah och Hamas. Regeringen vill här betona att den politiska krisen måste lösas med fredliga och legala medel. Det handlar också om uppföljningen av de åtaganden Israel gjorde i samband med toppmötet mellan premiärminister Olmert och president Abbas i slutet av december. Regeringen ser det som angeläget att de utlovade överföringarna av palestinska tull- och momsmedel liksom lättnaderna i restriktionerna för rörelsefriheten på Västbanken nu kommer till stånd.</w:t>
      </w:r>
    </w:p>
    <w:p w:rsidR="00E327A6" w:rsidRPr="00A45EA5" w:rsidRDefault="00E327A6" w:rsidP="00E327A6">
      <w:pPr>
        <w:ind w:left="1418"/>
        <w:rPr>
          <w:rFonts w:ascii="Garamond" w:hAnsi="Garamond"/>
          <w:sz w:val="24"/>
        </w:rPr>
      </w:pPr>
    </w:p>
    <w:p w:rsidR="00E327A6" w:rsidRPr="00A45EA5" w:rsidRDefault="00E327A6" w:rsidP="00E327A6">
      <w:pPr>
        <w:ind w:left="1418"/>
        <w:rPr>
          <w:rFonts w:ascii="Garamond" w:hAnsi="Garamond"/>
          <w:sz w:val="24"/>
        </w:rPr>
      </w:pPr>
      <w:r w:rsidRPr="00A45EA5">
        <w:rPr>
          <w:rFonts w:ascii="Garamond" w:hAnsi="Garamond"/>
          <w:sz w:val="24"/>
        </w:rPr>
        <w:t>Rådet kan även förväntas diskutera hur Kvartetten kan stärkas och få en mer operativ roll, inför det Kvartettmöte som sannolikt kommer att hållas den närmaste månaden. Det tyska ordförandeskapet har indikerat att man aktivt kommer att verka för en stärkt roll för Kvartetten, något som regeringen stödjer.</w:t>
      </w:r>
    </w:p>
    <w:p w:rsidR="002962E8" w:rsidRPr="00A45EA5" w:rsidRDefault="002962E8">
      <w:pPr>
        <w:rPr>
          <w:rFonts w:ascii="Garamond" w:hAnsi="Garamond"/>
          <w:sz w:val="24"/>
        </w:rPr>
      </w:pPr>
    </w:p>
    <w:p w:rsidR="002962E8" w:rsidRPr="00A45EA5" w:rsidRDefault="002962E8">
      <w:pPr>
        <w:ind w:left="720" w:firstLine="720"/>
        <w:rPr>
          <w:rFonts w:ascii="Garamond" w:hAnsi="Garamond"/>
          <w:b/>
          <w:bCs/>
          <w:sz w:val="24"/>
        </w:rPr>
      </w:pPr>
      <w:bookmarkStart w:id="13" w:name="_Toc150232152"/>
      <w:bookmarkStart w:id="14" w:name="_Toc150242359"/>
      <w:r w:rsidRPr="00A45EA5">
        <w:rPr>
          <w:rFonts w:ascii="Garamond" w:hAnsi="Garamond"/>
          <w:b/>
          <w:bCs/>
          <w:sz w:val="24"/>
        </w:rPr>
        <w:t xml:space="preserve">5. </w:t>
      </w:r>
      <w:bookmarkEnd w:id="13"/>
      <w:bookmarkEnd w:id="14"/>
      <w:r w:rsidR="000A53A0" w:rsidRPr="00A45EA5">
        <w:rPr>
          <w:rFonts w:ascii="Garamond" w:hAnsi="Garamond"/>
          <w:b/>
          <w:bCs/>
          <w:sz w:val="24"/>
        </w:rPr>
        <w:t>Iran</w:t>
      </w:r>
    </w:p>
    <w:p w:rsidR="000B23C9" w:rsidRPr="00A45EA5" w:rsidRDefault="000B23C9">
      <w:pPr>
        <w:ind w:left="720" w:firstLine="720"/>
        <w:rPr>
          <w:rFonts w:ascii="Garamond" w:hAnsi="Garamond"/>
          <w:b/>
          <w:bCs/>
          <w:sz w:val="24"/>
        </w:rPr>
      </w:pPr>
    </w:p>
    <w:p w:rsidR="00D733B3" w:rsidRPr="00A45EA5" w:rsidRDefault="00D733B3" w:rsidP="00D733B3">
      <w:pPr>
        <w:ind w:left="1418"/>
        <w:rPr>
          <w:rFonts w:ascii="Garamond" w:hAnsi="Garamond"/>
          <w:sz w:val="24"/>
        </w:rPr>
      </w:pPr>
      <w:r w:rsidRPr="00A45EA5">
        <w:rPr>
          <w:rFonts w:ascii="Garamond" w:hAnsi="Garamond"/>
          <w:sz w:val="24"/>
        </w:rPr>
        <w:t>Diskussions- och beslutspunkt.</w:t>
      </w:r>
    </w:p>
    <w:p w:rsidR="00D733B3" w:rsidRPr="00A45EA5" w:rsidRDefault="00D733B3" w:rsidP="00D733B3">
      <w:pPr>
        <w:ind w:left="1418"/>
        <w:rPr>
          <w:rFonts w:ascii="Garamond" w:hAnsi="Garamond"/>
          <w:sz w:val="24"/>
        </w:rPr>
      </w:pPr>
    </w:p>
    <w:p w:rsidR="00AD5D4A" w:rsidRPr="00A45EA5" w:rsidRDefault="00D733B3" w:rsidP="00D733B3">
      <w:pPr>
        <w:ind w:left="1418"/>
        <w:rPr>
          <w:rFonts w:ascii="Garamond" w:hAnsi="Garamond"/>
          <w:sz w:val="24"/>
        </w:rPr>
      </w:pPr>
      <w:r w:rsidRPr="00A45EA5">
        <w:rPr>
          <w:rFonts w:ascii="Garamond" w:hAnsi="Garamond"/>
          <w:sz w:val="24"/>
        </w:rPr>
        <w:t>En bred substansdiskussion avses inledas om EU:s relationer till Iran i sin helhet, landets regionala roll och den politiska och ekonomiska utvecklingen i Iran. Tanken är att denna</w:t>
      </w:r>
      <w:r w:rsidR="00AE7B01" w:rsidRPr="00A45EA5">
        <w:rPr>
          <w:rFonts w:ascii="Garamond" w:hAnsi="Garamond"/>
          <w:sz w:val="24"/>
        </w:rPr>
        <w:t xml:space="preserve"> bredare</w:t>
      </w:r>
      <w:r w:rsidRPr="00A45EA5">
        <w:rPr>
          <w:rFonts w:ascii="Garamond" w:hAnsi="Garamond"/>
          <w:sz w:val="24"/>
        </w:rPr>
        <w:t xml:space="preserve"> diskussion skall fortsätta vid GAERC i februari och då leda fram till </w:t>
      </w:r>
      <w:r w:rsidR="00AE7B01" w:rsidRPr="00A45EA5">
        <w:rPr>
          <w:rFonts w:ascii="Garamond" w:hAnsi="Garamond"/>
          <w:sz w:val="24"/>
        </w:rPr>
        <w:t xml:space="preserve">nya </w:t>
      </w:r>
      <w:r w:rsidRPr="00A45EA5">
        <w:rPr>
          <w:rFonts w:ascii="Garamond" w:hAnsi="Garamond"/>
          <w:sz w:val="24"/>
        </w:rPr>
        <w:t xml:space="preserve">slutsatser. Regeringen anser att EU bör ha en mångfacetterad strategi gentemot Iran med resolut agerande inom för EU kritiska områden (tex. mänskliga rättigheter och ickespridning) kombinerat med </w:t>
      </w:r>
      <w:r w:rsidR="006E0264" w:rsidRPr="00A45EA5">
        <w:rPr>
          <w:rFonts w:ascii="Garamond" w:hAnsi="Garamond"/>
          <w:sz w:val="24"/>
        </w:rPr>
        <w:t>försök att engagera Iran i andra</w:t>
      </w:r>
      <w:r w:rsidRPr="00A45EA5">
        <w:rPr>
          <w:rFonts w:ascii="Garamond" w:hAnsi="Garamond"/>
          <w:sz w:val="24"/>
        </w:rPr>
        <w:t xml:space="preserve"> frågor. Vid det nu förestående mötet kan slutsatserna förväntas att mestadels handla om den kärntekniska frågan, med bl a en uppmaning till Iran att efterleva den resolution som FN:s säkerhetsråd antog den 23 december. Utkast har ännu inte cirkulerats. Regeringen välkomnar den breda internationella enighet som kommer till uttryck genom FN-resolutionen och betonar att det ankommer på Iran uppfylla resolutionens krav.</w:t>
      </w:r>
    </w:p>
    <w:p w:rsidR="002962E8" w:rsidRPr="00A45EA5" w:rsidRDefault="002962E8">
      <w:pPr>
        <w:rPr>
          <w:rFonts w:ascii="Garamond" w:hAnsi="Garamond"/>
          <w:sz w:val="24"/>
        </w:rPr>
      </w:pPr>
    </w:p>
    <w:p w:rsidR="002962E8" w:rsidRPr="00A45EA5" w:rsidRDefault="002962E8">
      <w:pPr>
        <w:ind w:left="720" w:firstLine="720"/>
        <w:rPr>
          <w:rFonts w:ascii="Garamond" w:hAnsi="Garamond"/>
          <w:b/>
          <w:bCs/>
          <w:sz w:val="24"/>
        </w:rPr>
      </w:pPr>
      <w:bookmarkStart w:id="15" w:name="_Toc150232153"/>
      <w:bookmarkStart w:id="16" w:name="_Toc150242360"/>
      <w:r w:rsidRPr="00A45EA5">
        <w:rPr>
          <w:rFonts w:ascii="Garamond" w:hAnsi="Garamond"/>
          <w:b/>
          <w:bCs/>
          <w:sz w:val="24"/>
        </w:rPr>
        <w:t xml:space="preserve">6. </w:t>
      </w:r>
      <w:bookmarkEnd w:id="15"/>
      <w:bookmarkEnd w:id="16"/>
      <w:r w:rsidR="000A53A0" w:rsidRPr="00A45EA5">
        <w:rPr>
          <w:rFonts w:ascii="Garamond" w:hAnsi="Garamond"/>
          <w:b/>
          <w:bCs/>
          <w:sz w:val="24"/>
        </w:rPr>
        <w:t>(ev.) Irak</w:t>
      </w:r>
    </w:p>
    <w:p w:rsidR="00CD6318" w:rsidRPr="00A45EA5" w:rsidRDefault="00CD6318">
      <w:pPr>
        <w:ind w:left="720" w:firstLine="720"/>
        <w:rPr>
          <w:rFonts w:ascii="Garamond" w:hAnsi="Garamond"/>
          <w:sz w:val="24"/>
        </w:rPr>
      </w:pPr>
    </w:p>
    <w:p w:rsidR="00C12E21" w:rsidRPr="00A45EA5" w:rsidRDefault="001441DE">
      <w:pPr>
        <w:ind w:left="720" w:firstLine="720"/>
        <w:rPr>
          <w:rFonts w:ascii="Garamond" w:hAnsi="Garamond"/>
          <w:sz w:val="24"/>
        </w:rPr>
      </w:pPr>
      <w:r w:rsidRPr="00A45EA5">
        <w:rPr>
          <w:rFonts w:ascii="Garamond" w:hAnsi="Garamond"/>
          <w:sz w:val="24"/>
        </w:rPr>
        <w:t>Ev. d</w:t>
      </w:r>
      <w:r w:rsidR="00C12E21" w:rsidRPr="00A45EA5">
        <w:rPr>
          <w:rFonts w:ascii="Garamond" w:hAnsi="Garamond"/>
          <w:sz w:val="24"/>
        </w:rPr>
        <w:t>iskussionspunkt.</w:t>
      </w:r>
    </w:p>
    <w:p w:rsidR="00C12E21" w:rsidRPr="00A45EA5" w:rsidRDefault="00C12E21">
      <w:pPr>
        <w:ind w:left="720" w:firstLine="720"/>
        <w:rPr>
          <w:rFonts w:ascii="Garamond" w:hAnsi="Garamond"/>
          <w:sz w:val="24"/>
        </w:rPr>
      </w:pPr>
    </w:p>
    <w:p w:rsidR="00C12E21" w:rsidRPr="00A45EA5" w:rsidRDefault="00C12E21" w:rsidP="00C12E21">
      <w:pPr>
        <w:ind w:left="1418"/>
        <w:rPr>
          <w:rFonts w:ascii="Garamond" w:hAnsi="Garamond"/>
          <w:sz w:val="24"/>
        </w:rPr>
      </w:pPr>
      <w:r w:rsidRPr="00A45EA5">
        <w:rPr>
          <w:rFonts w:ascii="Garamond" w:hAnsi="Garamond"/>
          <w:sz w:val="24"/>
        </w:rPr>
        <w:t>En diskussion om Irak förväntas äga rum under lunchen och kommer att ta sin utgångspunkt i det alltjämt försämrade säkerhetsläget och den nya amerikanska strategin för Irak som presenterades den 10 januari.</w:t>
      </w:r>
    </w:p>
    <w:p w:rsidR="00C12E21" w:rsidRPr="00A45EA5" w:rsidRDefault="00C12E21" w:rsidP="00C12E21">
      <w:pPr>
        <w:ind w:left="1418"/>
        <w:rPr>
          <w:rFonts w:ascii="Garamond" w:hAnsi="Garamond"/>
          <w:sz w:val="24"/>
        </w:rPr>
      </w:pPr>
    </w:p>
    <w:p w:rsidR="00C12E21" w:rsidRPr="00A45EA5" w:rsidRDefault="00C12E21" w:rsidP="00C12E21">
      <w:pPr>
        <w:ind w:left="1418"/>
        <w:rPr>
          <w:rFonts w:ascii="Garamond" w:hAnsi="Garamond"/>
          <w:sz w:val="24"/>
        </w:rPr>
      </w:pPr>
      <w:r w:rsidRPr="00A45EA5">
        <w:rPr>
          <w:rFonts w:ascii="Garamond" w:hAnsi="Garamond"/>
          <w:sz w:val="24"/>
        </w:rPr>
        <w:t>Regeringen ser med stort allvar på situationen i Irak och den förvärrade inrikespolitiska utvecklingen i riktning mot fullskaligt inbördeskrig. Regeringen anser att det är angeläget att diskutera den svåra humanitära situationen i Irak och på vilket sätt EU kan bistå det stora antal irakiska internflyktingar samt de som flytt till närregionen.</w:t>
      </w:r>
    </w:p>
    <w:p w:rsidR="002962E8" w:rsidRPr="00A45EA5" w:rsidRDefault="002962E8">
      <w:pPr>
        <w:rPr>
          <w:rFonts w:ascii="Garamond" w:hAnsi="Garamond"/>
          <w:sz w:val="24"/>
        </w:rPr>
      </w:pPr>
    </w:p>
    <w:p w:rsidR="002962E8" w:rsidRPr="00A45EA5" w:rsidRDefault="002962E8" w:rsidP="0001213C">
      <w:pPr>
        <w:ind w:left="1701" w:hanging="261"/>
        <w:rPr>
          <w:rFonts w:ascii="Garamond" w:hAnsi="Garamond"/>
          <w:b/>
          <w:bCs/>
          <w:sz w:val="24"/>
        </w:rPr>
      </w:pPr>
      <w:bookmarkStart w:id="17" w:name="_Toc150232154"/>
      <w:bookmarkStart w:id="18" w:name="_Toc150242361"/>
      <w:r w:rsidRPr="00A45EA5">
        <w:rPr>
          <w:rFonts w:ascii="Garamond" w:hAnsi="Garamond"/>
          <w:b/>
          <w:bCs/>
          <w:sz w:val="24"/>
        </w:rPr>
        <w:t xml:space="preserve">7. </w:t>
      </w:r>
      <w:bookmarkEnd w:id="17"/>
      <w:bookmarkEnd w:id="18"/>
      <w:r w:rsidR="000A53A0" w:rsidRPr="00A45EA5">
        <w:rPr>
          <w:rFonts w:ascii="Garamond" w:hAnsi="Garamond"/>
          <w:b/>
          <w:bCs/>
          <w:sz w:val="24"/>
        </w:rPr>
        <w:t>Sudan</w:t>
      </w:r>
    </w:p>
    <w:p w:rsidR="002962E8" w:rsidRPr="00A45EA5" w:rsidRDefault="002962E8">
      <w:pPr>
        <w:ind w:left="720" w:firstLine="720"/>
        <w:rPr>
          <w:rFonts w:ascii="Garamond" w:hAnsi="Garamond"/>
          <w:sz w:val="24"/>
        </w:rPr>
      </w:pPr>
      <w:bookmarkStart w:id="19" w:name="_Toc150232155"/>
      <w:bookmarkStart w:id="20" w:name="_Toc150242362"/>
    </w:p>
    <w:p w:rsidR="0010781B" w:rsidRPr="00A45EA5" w:rsidRDefault="0010781B" w:rsidP="0010781B">
      <w:pPr>
        <w:ind w:left="1418"/>
        <w:rPr>
          <w:rFonts w:ascii="Garamond" w:hAnsi="Garamond"/>
          <w:sz w:val="24"/>
        </w:rPr>
      </w:pPr>
      <w:r w:rsidRPr="00A45EA5">
        <w:rPr>
          <w:rFonts w:ascii="Garamond" w:hAnsi="Garamond"/>
          <w:sz w:val="24"/>
        </w:rPr>
        <w:t>Diskussions- och beslutspunkt.</w:t>
      </w:r>
    </w:p>
    <w:p w:rsidR="0010781B" w:rsidRPr="00A45EA5" w:rsidRDefault="0010781B" w:rsidP="0010781B">
      <w:pPr>
        <w:ind w:left="1418"/>
        <w:rPr>
          <w:rFonts w:ascii="Garamond" w:hAnsi="Garamond"/>
          <w:sz w:val="24"/>
        </w:rPr>
      </w:pPr>
    </w:p>
    <w:p w:rsidR="0010781B" w:rsidRPr="00A45EA5" w:rsidRDefault="0010781B" w:rsidP="0010781B">
      <w:pPr>
        <w:ind w:left="1418"/>
        <w:rPr>
          <w:rFonts w:ascii="Garamond" w:hAnsi="Garamond"/>
          <w:sz w:val="24"/>
        </w:rPr>
      </w:pPr>
      <w:r w:rsidRPr="00A45EA5">
        <w:rPr>
          <w:rFonts w:ascii="Garamond" w:hAnsi="Garamond"/>
          <w:sz w:val="24"/>
        </w:rPr>
        <w:t xml:space="preserve">Slutsatser kan väntas behandla den allvarliga och negativa utvecklingen i Darfur, välkomna överenskommelsen från Addis Abeba samt Afrikanska Unionens beslut i Abuja om förlängningen av afrikanska unionens fredsfrämjande insats, AMIS, samt beslutet om en gradvis förstärkning av FN:s stöd till AMIS och en övergång till den planerade AU/FN-styrkan.  </w:t>
      </w:r>
    </w:p>
    <w:p w:rsidR="0010781B" w:rsidRPr="00A45EA5" w:rsidRDefault="0010781B" w:rsidP="0010781B">
      <w:pPr>
        <w:ind w:left="1418"/>
        <w:rPr>
          <w:rFonts w:ascii="Garamond" w:hAnsi="Garamond"/>
          <w:sz w:val="24"/>
        </w:rPr>
      </w:pPr>
    </w:p>
    <w:p w:rsidR="0010781B" w:rsidRPr="00A45EA5" w:rsidRDefault="0010781B" w:rsidP="0010781B">
      <w:pPr>
        <w:ind w:left="1418"/>
        <w:rPr>
          <w:rFonts w:ascii="Garamond" w:hAnsi="Garamond"/>
          <w:sz w:val="24"/>
        </w:rPr>
      </w:pPr>
      <w:r w:rsidRPr="00A45EA5">
        <w:rPr>
          <w:rFonts w:ascii="Garamond" w:hAnsi="Garamond"/>
          <w:sz w:val="24"/>
        </w:rPr>
        <w:t xml:space="preserve">Läget i Darfur idag är ytterst allvarligt, med pågående strider, fortsatta övergrepp mot civilbefolkning och attacker mot internationella aktörer och hjälparbetare. De humanitära behoven fortsätter att vara mycket omfattande. </w:t>
      </w:r>
    </w:p>
    <w:p w:rsidR="0010781B" w:rsidRPr="00A45EA5" w:rsidRDefault="0010781B" w:rsidP="0010781B">
      <w:pPr>
        <w:ind w:left="1418"/>
        <w:rPr>
          <w:rFonts w:ascii="Garamond" w:hAnsi="Garamond"/>
          <w:sz w:val="24"/>
        </w:rPr>
      </w:pPr>
    </w:p>
    <w:p w:rsidR="0010781B" w:rsidRPr="00A45EA5" w:rsidRDefault="0010781B" w:rsidP="0010781B">
      <w:pPr>
        <w:ind w:left="1418"/>
        <w:rPr>
          <w:rFonts w:ascii="Garamond" w:hAnsi="Garamond"/>
          <w:sz w:val="24"/>
        </w:rPr>
      </w:pPr>
      <w:r w:rsidRPr="00A45EA5">
        <w:rPr>
          <w:rFonts w:ascii="Garamond" w:hAnsi="Garamond"/>
          <w:sz w:val="24"/>
        </w:rPr>
        <w:t>Regeringen betonar kravet på genomförande av överenskommelsen från Addis och AU:s beslut i Abuja, inklusive upprättandet av en AU/FN-styrka i Darfur. Regeringen betonar vidare betydelsen av enhetlig uppslutning bakom AU och FN (Sändebuden Salim Salim och Jan Eliasson) i uppdraget att söka en politisk lösning på krisen i Darfur. Regeringen fortsätter att betona den sudanesiska regeringens skyldighet att skydda civilbefolkningen i Darfur. Regeringen fortsätter stödja AMIS och utsträcker humanitärt stöd till befolkningen i Darfur.</w:t>
      </w:r>
    </w:p>
    <w:p w:rsidR="00912CDB" w:rsidRPr="00A45EA5" w:rsidRDefault="00912CDB">
      <w:pPr>
        <w:ind w:left="720" w:firstLine="720"/>
        <w:rPr>
          <w:rFonts w:ascii="Garamond" w:hAnsi="Garamond"/>
          <w:b/>
          <w:bCs/>
          <w:sz w:val="24"/>
        </w:rPr>
      </w:pPr>
    </w:p>
    <w:p w:rsidR="002962E8" w:rsidRPr="00A45EA5" w:rsidRDefault="0001213C" w:rsidP="00EC77DA">
      <w:pPr>
        <w:ind w:left="1701" w:hanging="261"/>
        <w:rPr>
          <w:rFonts w:ascii="Garamond" w:hAnsi="Garamond"/>
          <w:b/>
          <w:bCs/>
          <w:sz w:val="24"/>
        </w:rPr>
      </w:pPr>
      <w:r w:rsidRPr="00A45EA5">
        <w:rPr>
          <w:rFonts w:ascii="Garamond" w:hAnsi="Garamond"/>
          <w:b/>
          <w:bCs/>
          <w:sz w:val="24"/>
        </w:rPr>
        <w:t xml:space="preserve">8. </w:t>
      </w:r>
      <w:r w:rsidR="000A53A0" w:rsidRPr="00A45EA5">
        <w:rPr>
          <w:rFonts w:ascii="Garamond" w:hAnsi="Garamond"/>
          <w:b/>
          <w:bCs/>
          <w:sz w:val="24"/>
        </w:rPr>
        <w:t>Somalia</w:t>
      </w:r>
    </w:p>
    <w:bookmarkEnd w:id="19"/>
    <w:bookmarkEnd w:id="20"/>
    <w:p w:rsidR="0049559A" w:rsidRPr="00A45EA5" w:rsidRDefault="0049559A" w:rsidP="00C12E21">
      <w:pPr>
        <w:ind w:left="720" w:firstLine="720"/>
        <w:rPr>
          <w:rFonts w:ascii="Garamond" w:hAnsi="Garamond"/>
          <w:sz w:val="24"/>
        </w:rPr>
      </w:pPr>
    </w:p>
    <w:p w:rsidR="002E7875" w:rsidRPr="00A45EA5" w:rsidRDefault="002E7875" w:rsidP="00C12E21">
      <w:pPr>
        <w:ind w:left="720" w:firstLine="720"/>
        <w:rPr>
          <w:rFonts w:ascii="Garamond" w:hAnsi="Garamond"/>
          <w:sz w:val="24"/>
        </w:rPr>
      </w:pPr>
      <w:r w:rsidRPr="00A45EA5">
        <w:rPr>
          <w:rFonts w:ascii="Garamond" w:hAnsi="Garamond"/>
          <w:sz w:val="24"/>
        </w:rPr>
        <w:t>Diskussions- och beslutspunkt.</w:t>
      </w:r>
    </w:p>
    <w:p w:rsidR="002E7875" w:rsidRPr="00A45EA5" w:rsidRDefault="002E7875" w:rsidP="00C12E21">
      <w:pPr>
        <w:ind w:left="720" w:firstLine="720"/>
        <w:rPr>
          <w:rFonts w:ascii="Garamond" w:hAnsi="Garamond"/>
          <w:sz w:val="24"/>
        </w:rPr>
      </w:pPr>
    </w:p>
    <w:p w:rsidR="002E7875" w:rsidRPr="00A45EA5" w:rsidRDefault="002E7875" w:rsidP="002E7875">
      <w:pPr>
        <w:ind w:left="1418"/>
        <w:rPr>
          <w:rFonts w:ascii="Garamond" w:hAnsi="Garamond"/>
          <w:sz w:val="24"/>
        </w:rPr>
      </w:pPr>
      <w:r w:rsidRPr="00A45EA5">
        <w:rPr>
          <w:rFonts w:ascii="Garamond" w:hAnsi="Garamond"/>
          <w:sz w:val="24"/>
        </w:rPr>
        <w:t>Rådslutsatser förväntas att antas om Somalia. Utkast har i skrivande stund ej cirkulerats. Behandlingen i GAERC kan ses i ljuset av det ministermöte som ägde rum i Bryssel den 3 januari, där de europeiska medlemmarna av den internationella kontaktgruppen för Somalia träffades. Utrikesminister Carl Bildt v</w:t>
      </w:r>
      <w:r w:rsidR="00F6137F" w:rsidRPr="00A45EA5">
        <w:rPr>
          <w:rFonts w:ascii="Garamond" w:hAnsi="Garamond"/>
          <w:sz w:val="24"/>
        </w:rPr>
        <w:t xml:space="preserve">ar initiativtagare till mötet. </w:t>
      </w:r>
      <w:r w:rsidRPr="00A45EA5">
        <w:rPr>
          <w:rFonts w:ascii="Garamond" w:hAnsi="Garamond"/>
          <w:sz w:val="24"/>
        </w:rPr>
        <w:t>GAERC kan förväntas behandla  den senaste händelseutvecklingen och det internationella samfundets möjligheter att bidra till en lösning.</w:t>
      </w:r>
    </w:p>
    <w:p w:rsidR="002E7875" w:rsidRPr="00A45EA5" w:rsidRDefault="002E7875" w:rsidP="00C12E21">
      <w:pPr>
        <w:ind w:left="720" w:firstLine="720"/>
        <w:rPr>
          <w:rFonts w:ascii="Garamond" w:hAnsi="Garamond"/>
          <w:sz w:val="24"/>
        </w:rPr>
      </w:pPr>
    </w:p>
    <w:p w:rsidR="000A53A0" w:rsidRPr="00A45EA5" w:rsidRDefault="000A53A0" w:rsidP="000A53A0">
      <w:pPr>
        <w:ind w:left="1701" w:hanging="261"/>
        <w:rPr>
          <w:rFonts w:ascii="Garamond" w:hAnsi="Garamond"/>
          <w:b/>
          <w:bCs/>
          <w:sz w:val="24"/>
        </w:rPr>
      </w:pPr>
      <w:r w:rsidRPr="00A45EA5">
        <w:rPr>
          <w:rFonts w:ascii="Garamond" w:hAnsi="Garamond"/>
          <w:b/>
          <w:bCs/>
          <w:sz w:val="24"/>
        </w:rPr>
        <w:t>9. Libyen</w:t>
      </w:r>
    </w:p>
    <w:p w:rsidR="000A53A0" w:rsidRPr="00A45EA5" w:rsidRDefault="000A53A0" w:rsidP="002E7875">
      <w:pPr>
        <w:ind w:left="1418"/>
        <w:rPr>
          <w:rFonts w:ascii="Garamond" w:hAnsi="Garamond"/>
          <w:sz w:val="24"/>
        </w:rPr>
      </w:pPr>
    </w:p>
    <w:p w:rsidR="00D733B3" w:rsidRPr="00A45EA5" w:rsidRDefault="00D733B3" w:rsidP="00D733B3">
      <w:pPr>
        <w:ind w:left="1418"/>
        <w:rPr>
          <w:rFonts w:ascii="Garamond" w:hAnsi="Garamond"/>
          <w:sz w:val="24"/>
        </w:rPr>
      </w:pPr>
      <w:r w:rsidRPr="00A45EA5">
        <w:rPr>
          <w:rFonts w:ascii="Garamond" w:hAnsi="Garamond"/>
          <w:sz w:val="24"/>
        </w:rPr>
        <w:t>Diskussions- och ev. beslutspunkt.</w:t>
      </w:r>
    </w:p>
    <w:p w:rsidR="00D733B3" w:rsidRPr="00A45EA5" w:rsidRDefault="00D733B3" w:rsidP="00D733B3">
      <w:pPr>
        <w:ind w:left="1418"/>
        <w:rPr>
          <w:rFonts w:ascii="Garamond" w:hAnsi="Garamond"/>
          <w:sz w:val="24"/>
        </w:rPr>
      </w:pPr>
    </w:p>
    <w:p w:rsidR="00D733B3" w:rsidRPr="00A45EA5" w:rsidRDefault="00D733B3" w:rsidP="00D733B3">
      <w:pPr>
        <w:ind w:left="1418"/>
        <w:rPr>
          <w:rFonts w:ascii="Garamond" w:hAnsi="Garamond"/>
          <w:sz w:val="24"/>
        </w:rPr>
      </w:pPr>
      <w:r w:rsidRPr="00A45EA5">
        <w:rPr>
          <w:rFonts w:ascii="Garamond" w:hAnsi="Garamond"/>
          <w:sz w:val="24"/>
        </w:rPr>
        <w:t xml:space="preserve">Bulgarien har begärt att frågan rörande de bulgariska sjuksköterskorna och den palestinske läkaren som den 19 december i Libyen dömdes till döden skall tas upp på GAERC-dagordningen. Bulgarien förväntas verka för att EU </w:t>
      </w:r>
      <w:r w:rsidR="00DC5C20" w:rsidRPr="00A45EA5">
        <w:rPr>
          <w:rFonts w:ascii="Garamond" w:hAnsi="Garamond"/>
          <w:sz w:val="24"/>
        </w:rPr>
        <w:t>bibehåller</w:t>
      </w:r>
      <w:r w:rsidRPr="00A45EA5">
        <w:rPr>
          <w:rFonts w:ascii="Garamond" w:hAnsi="Garamond"/>
          <w:sz w:val="24"/>
        </w:rPr>
        <w:t xml:space="preserve"> en gemensam </w:t>
      </w:r>
      <w:r w:rsidR="00DC5C20" w:rsidRPr="00A45EA5">
        <w:rPr>
          <w:rFonts w:ascii="Garamond" w:hAnsi="Garamond"/>
          <w:sz w:val="24"/>
        </w:rPr>
        <w:t>hållning</w:t>
      </w:r>
      <w:r w:rsidRPr="00A45EA5">
        <w:rPr>
          <w:rFonts w:ascii="Garamond" w:hAnsi="Garamond"/>
          <w:sz w:val="24"/>
        </w:rPr>
        <w:t xml:space="preserve"> i frågan i syfte att söka en lösning. </w:t>
      </w:r>
    </w:p>
    <w:p w:rsidR="00D733B3" w:rsidRPr="00A45EA5" w:rsidRDefault="00D733B3" w:rsidP="00D733B3">
      <w:pPr>
        <w:ind w:left="1418"/>
        <w:rPr>
          <w:rFonts w:ascii="Garamond" w:hAnsi="Garamond"/>
          <w:sz w:val="24"/>
        </w:rPr>
      </w:pPr>
    </w:p>
    <w:p w:rsidR="00D733B3" w:rsidRPr="00A45EA5" w:rsidRDefault="00D733B3" w:rsidP="00D733B3">
      <w:pPr>
        <w:ind w:left="1418"/>
        <w:rPr>
          <w:rFonts w:ascii="Garamond" w:hAnsi="Garamond"/>
          <w:sz w:val="24"/>
        </w:rPr>
      </w:pPr>
      <w:r w:rsidRPr="00A45EA5">
        <w:rPr>
          <w:rFonts w:ascii="Garamond" w:hAnsi="Garamond"/>
          <w:sz w:val="24"/>
        </w:rPr>
        <w:t xml:space="preserve">Regeringen instämmer med det finska ordförandeskapets uttalande i samband med domen den 19 december, där man </w:t>
      </w:r>
      <w:r w:rsidR="003011FA" w:rsidRPr="00A45EA5">
        <w:rPr>
          <w:rFonts w:ascii="Garamond" w:hAnsi="Garamond"/>
          <w:sz w:val="24"/>
        </w:rPr>
        <w:t>fördömde dödsdomarna och uttryckte djup oro över behandlingen av de dömda.</w:t>
      </w:r>
    </w:p>
    <w:p w:rsidR="000A53A0" w:rsidRPr="00A45EA5" w:rsidRDefault="000A53A0" w:rsidP="000A53A0">
      <w:pPr>
        <w:rPr>
          <w:rFonts w:ascii="Garamond" w:hAnsi="Garamond"/>
          <w:sz w:val="24"/>
        </w:rPr>
      </w:pPr>
    </w:p>
    <w:p w:rsidR="000A53A0" w:rsidRPr="00A45EA5" w:rsidRDefault="000A53A0" w:rsidP="000A53A0">
      <w:pPr>
        <w:ind w:left="1701" w:hanging="261"/>
        <w:rPr>
          <w:rFonts w:ascii="Garamond" w:hAnsi="Garamond"/>
          <w:b/>
          <w:bCs/>
          <w:sz w:val="24"/>
        </w:rPr>
      </w:pPr>
      <w:r w:rsidRPr="00A45EA5">
        <w:rPr>
          <w:rFonts w:ascii="Garamond" w:hAnsi="Garamond"/>
          <w:b/>
          <w:bCs/>
          <w:sz w:val="24"/>
        </w:rPr>
        <w:t>10. Energi och yttre förbindelser</w:t>
      </w:r>
    </w:p>
    <w:p w:rsidR="000A53A0" w:rsidRPr="00A45EA5" w:rsidRDefault="000A53A0" w:rsidP="002E7875">
      <w:pPr>
        <w:ind w:left="1418"/>
        <w:rPr>
          <w:rFonts w:ascii="Garamond" w:hAnsi="Garamond"/>
          <w:sz w:val="24"/>
        </w:rPr>
      </w:pPr>
    </w:p>
    <w:p w:rsidR="007178BD" w:rsidRPr="00A45EA5" w:rsidRDefault="007178BD" w:rsidP="002E7875">
      <w:pPr>
        <w:ind w:left="1418"/>
        <w:rPr>
          <w:rFonts w:ascii="Garamond" w:hAnsi="Garamond"/>
          <w:sz w:val="24"/>
        </w:rPr>
      </w:pPr>
      <w:r w:rsidRPr="00A45EA5">
        <w:rPr>
          <w:rFonts w:ascii="Garamond" w:hAnsi="Garamond"/>
          <w:sz w:val="24"/>
        </w:rPr>
        <w:t>Diskussionspunkt.</w:t>
      </w:r>
    </w:p>
    <w:p w:rsidR="007178BD" w:rsidRPr="00A45EA5" w:rsidRDefault="007178BD" w:rsidP="002E7875">
      <w:pPr>
        <w:ind w:left="1418"/>
        <w:rPr>
          <w:rFonts w:ascii="Garamond" w:hAnsi="Garamond"/>
          <w:sz w:val="24"/>
        </w:rPr>
      </w:pPr>
    </w:p>
    <w:p w:rsidR="007178BD" w:rsidRPr="00A45EA5" w:rsidRDefault="007178BD" w:rsidP="007178BD">
      <w:pPr>
        <w:ind w:left="1418"/>
        <w:rPr>
          <w:rFonts w:ascii="Garamond" w:hAnsi="Garamond"/>
          <w:sz w:val="24"/>
        </w:rPr>
      </w:pPr>
      <w:r w:rsidRPr="00A45EA5">
        <w:rPr>
          <w:rFonts w:ascii="Garamond" w:hAnsi="Garamond"/>
          <w:sz w:val="24"/>
        </w:rPr>
        <w:t>Dagordningspunkten kommer att bestå av att EU-kommissionen presenterar sitt förslag från den 10 januari om en Energipolitik för Europa. Eventuellt komme</w:t>
      </w:r>
      <w:r w:rsidR="001F720E" w:rsidRPr="00A45EA5">
        <w:rPr>
          <w:rFonts w:ascii="Garamond" w:hAnsi="Garamond"/>
          <w:sz w:val="24"/>
        </w:rPr>
        <w:t>r en kort diskussion kring rapporten</w:t>
      </w:r>
      <w:r w:rsidRPr="00A45EA5">
        <w:rPr>
          <w:rFonts w:ascii="Garamond" w:hAnsi="Garamond"/>
          <w:sz w:val="24"/>
        </w:rPr>
        <w:t xml:space="preserve"> att följa. Rapporten, som i stora  drag varit känd sedan länge och stegvis presenterats av kommissionen och behandlats i bl a Europeiska Rådet, berör åtgärder på den inre marknaden, behovet av att av miljöskäl begränsa användningen av fossila bränslen, sparande och effektivisering, nya energiformer mm syftande till en långsiktig plan för stabil tillgång till energi till konkurrenskraftigt pris. En viktig beståndsdel i denna plan är att formulera och på olika vägar genomföra en gemensam extern energipolitik i relation till viktiga producenter, andra köpare och energifattiga u-länder.</w:t>
      </w:r>
      <w:r w:rsidR="00AB7C3C" w:rsidRPr="00A45EA5">
        <w:rPr>
          <w:rFonts w:ascii="Garamond" w:hAnsi="Garamond"/>
          <w:sz w:val="24"/>
        </w:rPr>
        <w:t xml:space="preserve"> </w:t>
      </w:r>
      <w:r w:rsidRPr="00A45EA5">
        <w:rPr>
          <w:rFonts w:ascii="Garamond" w:hAnsi="Garamond"/>
          <w:sz w:val="24"/>
        </w:rPr>
        <w:t>Utgångspunkter för meddelandet är att åtgärder måste vidtas mot klimatförändringar och för ett minskat beroende av fossila bränslen.</w:t>
      </w:r>
    </w:p>
    <w:p w:rsidR="007178BD" w:rsidRPr="00A45EA5" w:rsidRDefault="007178BD" w:rsidP="007178BD">
      <w:pPr>
        <w:ind w:left="1418"/>
        <w:rPr>
          <w:rFonts w:ascii="Garamond" w:hAnsi="Garamond"/>
          <w:sz w:val="24"/>
        </w:rPr>
      </w:pPr>
    </w:p>
    <w:p w:rsidR="007178BD" w:rsidRPr="00A45EA5" w:rsidRDefault="007178BD" w:rsidP="007178BD">
      <w:pPr>
        <w:ind w:left="1418"/>
        <w:rPr>
          <w:rFonts w:ascii="Garamond" w:hAnsi="Garamond"/>
          <w:sz w:val="24"/>
        </w:rPr>
      </w:pPr>
      <w:r w:rsidRPr="00A45EA5">
        <w:rPr>
          <w:rFonts w:ascii="Garamond" w:hAnsi="Garamond"/>
          <w:sz w:val="24"/>
        </w:rPr>
        <w:t xml:space="preserve">Kommissionens förslag är i sina utrikes-, säkerhets- och biståndspolitiska delar väsentligen kända redan från tidigare dokument och beslut. </w:t>
      </w:r>
      <w:r w:rsidR="007405A5" w:rsidRPr="00A45EA5">
        <w:rPr>
          <w:rFonts w:ascii="Garamond" w:hAnsi="Garamond"/>
          <w:sz w:val="24"/>
        </w:rPr>
        <w:t>Förslagen välkomnas från svensk sida.</w:t>
      </w:r>
    </w:p>
    <w:p w:rsidR="002962E8" w:rsidRPr="00A45EA5" w:rsidRDefault="002962E8">
      <w:pPr>
        <w:rPr>
          <w:rFonts w:ascii="Garamond" w:hAnsi="Garamond"/>
          <w:sz w:val="24"/>
        </w:rPr>
      </w:pPr>
    </w:p>
    <w:p w:rsidR="00B769A6" w:rsidRPr="00A45EA5" w:rsidRDefault="00B769A6" w:rsidP="00B769A6">
      <w:pPr>
        <w:ind w:left="1418"/>
        <w:rPr>
          <w:rFonts w:ascii="Garamond" w:hAnsi="Garamond"/>
          <w:b/>
          <w:bCs/>
          <w:sz w:val="24"/>
        </w:rPr>
      </w:pPr>
      <w:r w:rsidRPr="00A45EA5">
        <w:rPr>
          <w:rFonts w:ascii="Garamond" w:hAnsi="Garamond"/>
          <w:b/>
          <w:bCs/>
          <w:sz w:val="24"/>
        </w:rPr>
        <w:t>Fråga som återfinns på A-punktslistan: implementering av rådsslutsatserna från april 2004 om att uppmuntra det turkcypriotiska samhällets ekonomiska utveckling</w:t>
      </w:r>
    </w:p>
    <w:p w:rsidR="00A40751" w:rsidRPr="00A45EA5" w:rsidRDefault="00A40751" w:rsidP="00B769A6">
      <w:pPr>
        <w:pStyle w:val="Rubrik2"/>
        <w:ind w:left="1418"/>
        <w:rPr>
          <w:rFonts w:ascii="Garamond" w:hAnsi="Garamond"/>
          <w:b w:val="0"/>
          <w:i w:val="0"/>
          <w:sz w:val="24"/>
        </w:rPr>
      </w:pPr>
      <w:r w:rsidRPr="00A45EA5">
        <w:rPr>
          <w:rFonts w:ascii="Garamond" w:hAnsi="Garamond"/>
          <w:b w:val="0"/>
          <w:i w:val="0"/>
          <w:sz w:val="24"/>
        </w:rPr>
        <w:t>A-punkt – ingen diskussion förväntas av ordförandeskapet.</w:t>
      </w:r>
    </w:p>
    <w:p w:rsidR="00B769A6" w:rsidRPr="00A45EA5" w:rsidRDefault="00DB09A1" w:rsidP="00B769A6">
      <w:pPr>
        <w:pStyle w:val="Rubrik2"/>
        <w:ind w:left="1418"/>
        <w:rPr>
          <w:rFonts w:ascii="Garamond" w:hAnsi="Garamond"/>
          <w:b w:val="0"/>
          <w:i w:val="0"/>
          <w:sz w:val="24"/>
        </w:rPr>
      </w:pPr>
      <w:r w:rsidRPr="00A45EA5">
        <w:rPr>
          <w:rFonts w:ascii="Garamond" w:hAnsi="Garamond"/>
          <w:b w:val="0"/>
          <w:i w:val="0"/>
          <w:sz w:val="24"/>
        </w:rPr>
        <w:t>Vid förra GAERC rådde enighet om</w:t>
      </w:r>
      <w:r w:rsidR="00B769A6" w:rsidRPr="00A45EA5">
        <w:rPr>
          <w:rFonts w:ascii="Garamond" w:hAnsi="Garamond"/>
          <w:b w:val="0"/>
          <w:i w:val="0"/>
          <w:sz w:val="24"/>
        </w:rPr>
        <w:t xml:space="preserve"> att i januari anta den föreliggande slutsatsen. Rådet uttrycker där sin uppfattning att arbetet med att anta den förordning europeiska kommissionen föreslagit för att underlätta direkthandel med den norra delen av Cypern måste återupptas utan dröjsmål. Bakgrunden är Europeiska Rådets utfästelse 2004 om att bidra till att bryta turkcyprioternas isolering och underlätta en återförening genom att stödja den ekonomiska utvecklingen på den norra delen av ön. Regeringen stödjer starkt antagandet av slutsatsen och dess syfte. </w:t>
      </w:r>
    </w:p>
    <w:p w:rsidR="002962E8" w:rsidRPr="00A45EA5" w:rsidRDefault="002962E8">
      <w:pPr>
        <w:pStyle w:val="Rubrik2"/>
        <w:ind w:left="720" w:firstLine="720"/>
        <w:rPr>
          <w:i w:val="0"/>
        </w:rPr>
      </w:pPr>
      <w:r w:rsidRPr="00A45EA5">
        <w:t>I anslutning till mötet</w:t>
      </w:r>
    </w:p>
    <w:p w:rsidR="002962E8" w:rsidRPr="00A45EA5" w:rsidRDefault="002962E8">
      <w:pPr>
        <w:rPr>
          <w:rFonts w:ascii="Garamond" w:hAnsi="Garamond"/>
          <w:b/>
          <w:bCs/>
          <w:sz w:val="24"/>
        </w:rPr>
      </w:pPr>
    </w:p>
    <w:bookmarkEnd w:id="1"/>
    <w:p w:rsidR="002962E8" w:rsidRPr="00A45EA5" w:rsidRDefault="00231161">
      <w:pPr>
        <w:ind w:left="720" w:firstLine="720"/>
        <w:rPr>
          <w:rFonts w:ascii="Garamond" w:hAnsi="Garamond"/>
          <w:b/>
          <w:bCs/>
          <w:sz w:val="24"/>
        </w:rPr>
      </w:pPr>
      <w:r w:rsidRPr="00A45EA5">
        <w:rPr>
          <w:rFonts w:ascii="Garamond" w:hAnsi="Garamond"/>
          <w:b/>
          <w:bCs/>
          <w:sz w:val="24"/>
        </w:rPr>
        <w:t xml:space="preserve">- </w:t>
      </w:r>
      <w:r w:rsidR="0052129D" w:rsidRPr="00A45EA5">
        <w:rPr>
          <w:rFonts w:ascii="Garamond" w:hAnsi="Garamond"/>
          <w:b/>
          <w:bCs/>
          <w:sz w:val="24"/>
        </w:rPr>
        <w:t>Utrikesministertrojka med Montenegro</w:t>
      </w:r>
    </w:p>
    <w:p w:rsidR="00231161" w:rsidRPr="00A45EA5" w:rsidRDefault="00231161">
      <w:pPr>
        <w:ind w:left="720" w:firstLine="720"/>
        <w:rPr>
          <w:rFonts w:ascii="Garamond" w:hAnsi="Garamond"/>
          <w:b/>
          <w:bCs/>
          <w:sz w:val="24"/>
        </w:rPr>
      </w:pPr>
    </w:p>
    <w:p w:rsidR="008E2468" w:rsidRPr="00A45EA5" w:rsidRDefault="008E2468" w:rsidP="008E2468">
      <w:pPr>
        <w:ind w:left="1418"/>
        <w:rPr>
          <w:rFonts w:ascii="Garamond" w:hAnsi="Garamond"/>
          <w:bCs/>
          <w:sz w:val="24"/>
        </w:rPr>
      </w:pPr>
      <w:r w:rsidRPr="00A45EA5">
        <w:rPr>
          <w:rFonts w:ascii="Garamond" w:hAnsi="Garamond"/>
          <w:bCs/>
          <w:sz w:val="24"/>
        </w:rPr>
        <w:t>I marginalen till GAERC genomförs ett politiskt trojkamöte med Montenegro vid vilket det politiska läget i allmänhet och reformarbetet i synnerhet kommer att diskuteras under ett förhållandevis kort möte. Kommissionen lär passa på att ta upp de mest aktuella och principiellt viktiga frågorna inom ramen för SA-förhandlingarna.</w:t>
      </w:r>
    </w:p>
    <w:p w:rsidR="00A76075" w:rsidRPr="00A45EA5" w:rsidRDefault="00A76075">
      <w:pPr>
        <w:ind w:left="720" w:firstLine="720"/>
        <w:rPr>
          <w:rFonts w:ascii="Garamond" w:hAnsi="Garamond"/>
          <w:b/>
          <w:bCs/>
          <w:sz w:val="24"/>
        </w:rPr>
      </w:pPr>
    </w:p>
    <w:p w:rsidR="00231161" w:rsidRPr="00A45EA5" w:rsidRDefault="00231161">
      <w:pPr>
        <w:ind w:left="720" w:firstLine="720"/>
        <w:rPr>
          <w:rFonts w:ascii="Garamond" w:hAnsi="Garamond"/>
          <w:b/>
          <w:bCs/>
          <w:sz w:val="24"/>
        </w:rPr>
      </w:pPr>
      <w:r w:rsidRPr="00A45EA5">
        <w:rPr>
          <w:rFonts w:ascii="Garamond" w:hAnsi="Garamond"/>
          <w:b/>
          <w:bCs/>
          <w:sz w:val="24"/>
        </w:rPr>
        <w:t xml:space="preserve">- </w:t>
      </w:r>
      <w:r w:rsidR="0052129D" w:rsidRPr="00A45EA5">
        <w:rPr>
          <w:rFonts w:ascii="Garamond" w:hAnsi="Garamond"/>
          <w:b/>
          <w:bCs/>
          <w:sz w:val="24"/>
        </w:rPr>
        <w:t>Utrikesmi</w:t>
      </w:r>
      <w:r w:rsidR="008E2468" w:rsidRPr="00A45EA5">
        <w:rPr>
          <w:rFonts w:ascii="Garamond" w:hAnsi="Garamond"/>
          <w:b/>
          <w:bCs/>
          <w:sz w:val="24"/>
        </w:rPr>
        <w:t>nistertrojka med OSSE</w:t>
      </w:r>
    </w:p>
    <w:p w:rsidR="00231161" w:rsidRPr="00A45EA5" w:rsidRDefault="00231161">
      <w:pPr>
        <w:ind w:left="720" w:firstLine="720"/>
        <w:rPr>
          <w:rFonts w:ascii="Garamond" w:hAnsi="Garamond"/>
          <w:b/>
          <w:bCs/>
          <w:sz w:val="24"/>
        </w:rPr>
      </w:pPr>
    </w:p>
    <w:p w:rsidR="002962E8" w:rsidRPr="00A45EA5" w:rsidRDefault="008E2468">
      <w:pPr>
        <w:ind w:left="1440"/>
        <w:rPr>
          <w:rFonts w:ascii="Garamond" w:hAnsi="Garamond"/>
          <w:sz w:val="24"/>
        </w:rPr>
      </w:pPr>
      <w:r w:rsidRPr="00A45EA5">
        <w:rPr>
          <w:rFonts w:ascii="Garamond" w:hAnsi="Garamond"/>
          <w:sz w:val="24"/>
        </w:rPr>
        <w:t xml:space="preserve">I marginalen av </w:t>
      </w:r>
      <w:r w:rsidR="008239E8" w:rsidRPr="00A45EA5">
        <w:rPr>
          <w:rFonts w:ascii="Garamond" w:hAnsi="Garamond"/>
          <w:sz w:val="24"/>
        </w:rPr>
        <w:t>GAERC</w:t>
      </w:r>
      <w:r w:rsidRPr="00A45EA5">
        <w:rPr>
          <w:rFonts w:ascii="Garamond" w:hAnsi="Garamond"/>
          <w:sz w:val="24"/>
        </w:rPr>
        <w:t xml:space="preserve"> organiseras ett EU-OSSE trojkamöte med den spanske utrikesministern som f n är ordförande i OSSE.  </w:t>
      </w:r>
      <w:r w:rsidRPr="00A45EA5">
        <w:rPr>
          <w:rFonts w:ascii="Garamond" w:hAnsi="Garamond"/>
          <w:sz w:val="24"/>
        </w:rPr>
        <w:cr/>
      </w:r>
    </w:p>
    <w:p w:rsidR="002962E8" w:rsidRPr="00A45EA5" w:rsidRDefault="002962E8" w:rsidP="003B5F60">
      <w:pPr>
        <w:ind w:left="1440"/>
        <w:rPr>
          <w:rFonts w:ascii="Garamond" w:hAnsi="Garamond"/>
          <w:sz w:val="24"/>
        </w:rPr>
      </w:pPr>
    </w:p>
    <w:sectPr w:rsidR="002962E8" w:rsidRPr="00A45EA5">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10A" w:rsidRPr="00A45EA5" w:rsidRDefault="0020110A">
      <w:r w:rsidRPr="00A45EA5">
        <w:separator/>
      </w:r>
    </w:p>
  </w:endnote>
  <w:endnote w:type="continuationSeparator" w:id="0">
    <w:p w:rsidR="0020110A" w:rsidRPr="00A45EA5" w:rsidRDefault="0020110A">
      <w:r w:rsidRPr="00A45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ED9" w:rsidRPr="00A45EA5" w:rsidRDefault="004E3ED9">
    <w:pPr>
      <w:pStyle w:val="Sidfot"/>
      <w:framePr w:wrap="auto" w:vAnchor="text" w:hAnchor="margin" w:xAlign="right" w:y="1"/>
      <w:rPr>
        <w:rStyle w:val="Sidnummer"/>
      </w:rPr>
    </w:pPr>
    <w:r w:rsidRPr="00A45EA5">
      <w:rPr>
        <w:rStyle w:val="Sidnummer"/>
      </w:rPr>
      <w:fldChar w:fldCharType="begin" w:fldLock="1"/>
    </w:r>
    <w:r w:rsidRPr="00A45EA5">
      <w:rPr>
        <w:rStyle w:val="Sidnummer"/>
      </w:rPr>
      <w:instrText xml:space="preserve">PAGE  </w:instrText>
    </w:r>
    <w:r w:rsidRPr="00A45EA5">
      <w:rPr>
        <w:rStyle w:val="Sidnummer"/>
      </w:rPr>
      <w:fldChar w:fldCharType="separate"/>
    </w:r>
    <w:r w:rsidR="008239E8" w:rsidRPr="00A45EA5">
      <w:rPr>
        <w:rStyle w:val="Sidnummer"/>
      </w:rPr>
      <w:t>6</w:t>
    </w:r>
    <w:r w:rsidRPr="00A45EA5">
      <w:rPr>
        <w:rStyle w:val="Sidnummer"/>
      </w:rPr>
      <w:fldChar w:fldCharType="end"/>
    </w:r>
  </w:p>
  <w:p w:rsidR="004E3ED9" w:rsidRPr="00A45EA5" w:rsidRDefault="004E3ED9">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10A" w:rsidRPr="00A45EA5" w:rsidRDefault="0020110A">
      <w:r w:rsidRPr="00A45EA5">
        <w:separator/>
      </w:r>
    </w:p>
  </w:footnote>
  <w:footnote w:type="continuationSeparator" w:id="0">
    <w:p w:rsidR="0020110A" w:rsidRPr="00A45EA5" w:rsidRDefault="0020110A">
      <w:r w:rsidRPr="00A45E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461077264">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587884810">
    <w:abstractNumId w:val="20"/>
  </w:num>
  <w:num w:numId="3" w16cid:durableId="1335306026">
    <w:abstractNumId w:val="28"/>
  </w:num>
  <w:num w:numId="4" w16cid:durableId="489754804">
    <w:abstractNumId w:val="1"/>
  </w:num>
  <w:num w:numId="5" w16cid:durableId="227496279">
    <w:abstractNumId w:val="3"/>
  </w:num>
  <w:num w:numId="6" w16cid:durableId="760182345">
    <w:abstractNumId w:val="19"/>
  </w:num>
  <w:num w:numId="7" w16cid:durableId="723023640">
    <w:abstractNumId w:val="29"/>
  </w:num>
  <w:num w:numId="8" w16cid:durableId="520970369">
    <w:abstractNumId w:val="23"/>
  </w:num>
  <w:num w:numId="9" w16cid:durableId="2131316068">
    <w:abstractNumId w:val="8"/>
  </w:num>
  <w:num w:numId="10" w16cid:durableId="676151933">
    <w:abstractNumId w:val="6"/>
  </w:num>
  <w:num w:numId="11" w16cid:durableId="104540440">
    <w:abstractNumId w:val="10"/>
  </w:num>
  <w:num w:numId="12" w16cid:durableId="672954832">
    <w:abstractNumId w:val="27"/>
  </w:num>
  <w:num w:numId="13" w16cid:durableId="1793590843">
    <w:abstractNumId w:val="16"/>
  </w:num>
  <w:num w:numId="14" w16cid:durableId="755903401">
    <w:abstractNumId w:val="22"/>
  </w:num>
  <w:num w:numId="15" w16cid:durableId="860508223">
    <w:abstractNumId w:val="12"/>
  </w:num>
  <w:num w:numId="16" w16cid:durableId="1029450243">
    <w:abstractNumId w:val="4"/>
  </w:num>
  <w:num w:numId="17" w16cid:durableId="2125033181">
    <w:abstractNumId w:val="7"/>
  </w:num>
  <w:num w:numId="18" w16cid:durableId="1667005825">
    <w:abstractNumId w:val="17"/>
  </w:num>
  <w:num w:numId="19" w16cid:durableId="165638890">
    <w:abstractNumId w:val="24"/>
  </w:num>
  <w:num w:numId="20" w16cid:durableId="1043290696">
    <w:abstractNumId w:val="2"/>
  </w:num>
  <w:num w:numId="21" w16cid:durableId="864245248">
    <w:abstractNumId w:val="25"/>
  </w:num>
  <w:num w:numId="22" w16cid:durableId="215163735">
    <w:abstractNumId w:val="21"/>
  </w:num>
  <w:num w:numId="23" w16cid:durableId="1880314800">
    <w:abstractNumId w:val="15"/>
  </w:num>
  <w:num w:numId="24" w16cid:durableId="1414936919">
    <w:abstractNumId w:val="9"/>
  </w:num>
  <w:num w:numId="25" w16cid:durableId="21178362">
    <w:abstractNumId w:val="5"/>
  </w:num>
  <w:num w:numId="26" w16cid:durableId="1700349059">
    <w:abstractNumId w:val="18"/>
  </w:num>
  <w:num w:numId="27" w16cid:durableId="455872527">
    <w:abstractNumId w:val="14"/>
  </w:num>
  <w:num w:numId="28" w16cid:durableId="1015420847">
    <w:abstractNumId w:val="13"/>
  </w:num>
  <w:num w:numId="29" w16cid:durableId="1112935765">
    <w:abstractNumId w:val="11"/>
  </w:num>
  <w:num w:numId="30" w16cid:durableId="7819209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1213C"/>
    <w:rsid w:val="00017A2C"/>
    <w:rsid w:val="000A53A0"/>
    <w:rsid w:val="000B23C9"/>
    <w:rsid w:val="000C17DF"/>
    <w:rsid w:val="000C5504"/>
    <w:rsid w:val="000D0FBE"/>
    <w:rsid w:val="00102C6E"/>
    <w:rsid w:val="0010781B"/>
    <w:rsid w:val="001441DE"/>
    <w:rsid w:val="00171F2E"/>
    <w:rsid w:val="00172BC7"/>
    <w:rsid w:val="001F720E"/>
    <w:rsid w:val="0020110A"/>
    <w:rsid w:val="002300A9"/>
    <w:rsid w:val="00231161"/>
    <w:rsid w:val="0023574B"/>
    <w:rsid w:val="002962E8"/>
    <w:rsid w:val="002C29F7"/>
    <w:rsid w:val="002D535E"/>
    <w:rsid w:val="002E06B5"/>
    <w:rsid w:val="002E7875"/>
    <w:rsid w:val="003011FA"/>
    <w:rsid w:val="00307DE6"/>
    <w:rsid w:val="00355F78"/>
    <w:rsid w:val="00397853"/>
    <w:rsid w:val="003B1514"/>
    <w:rsid w:val="003B5F60"/>
    <w:rsid w:val="003E6EC7"/>
    <w:rsid w:val="00465766"/>
    <w:rsid w:val="004741F2"/>
    <w:rsid w:val="00492C2D"/>
    <w:rsid w:val="0049559A"/>
    <w:rsid w:val="004C016D"/>
    <w:rsid w:val="004E3ED9"/>
    <w:rsid w:val="0052129D"/>
    <w:rsid w:val="0052424B"/>
    <w:rsid w:val="00526A5C"/>
    <w:rsid w:val="00570A44"/>
    <w:rsid w:val="00575570"/>
    <w:rsid w:val="00601426"/>
    <w:rsid w:val="006A23ED"/>
    <w:rsid w:val="006D1EAD"/>
    <w:rsid w:val="006E0264"/>
    <w:rsid w:val="007178BD"/>
    <w:rsid w:val="007405A5"/>
    <w:rsid w:val="007562FC"/>
    <w:rsid w:val="007F533F"/>
    <w:rsid w:val="0080169E"/>
    <w:rsid w:val="008239E8"/>
    <w:rsid w:val="00833D37"/>
    <w:rsid w:val="008358F6"/>
    <w:rsid w:val="00875CEF"/>
    <w:rsid w:val="00882192"/>
    <w:rsid w:val="008972C8"/>
    <w:rsid w:val="008A7115"/>
    <w:rsid w:val="008C01DF"/>
    <w:rsid w:val="008E2468"/>
    <w:rsid w:val="008E5058"/>
    <w:rsid w:val="00906421"/>
    <w:rsid w:val="00912CDB"/>
    <w:rsid w:val="00953D49"/>
    <w:rsid w:val="00956751"/>
    <w:rsid w:val="009A7199"/>
    <w:rsid w:val="009F7368"/>
    <w:rsid w:val="00A27516"/>
    <w:rsid w:val="00A40751"/>
    <w:rsid w:val="00A45EA5"/>
    <w:rsid w:val="00A76075"/>
    <w:rsid w:val="00A847E8"/>
    <w:rsid w:val="00AB7C3C"/>
    <w:rsid w:val="00AD06C8"/>
    <w:rsid w:val="00AD5D4A"/>
    <w:rsid w:val="00AE7B01"/>
    <w:rsid w:val="00AF67ED"/>
    <w:rsid w:val="00B4434C"/>
    <w:rsid w:val="00B52EE1"/>
    <w:rsid w:val="00B769A6"/>
    <w:rsid w:val="00B85F56"/>
    <w:rsid w:val="00BC56EC"/>
    <w:rsid w:val="00BD328B"/>
    <w:rsid w:val="00BD61DB"/>
    <w:rsid w:val="00C120D3"/>
    <w:rsid w:val="00C124EF"/>
    <w:rsid w:val="00C12E21"/>
    <w:rsid w:val="00C16706"/>
    <w:rsid w:val="00C459BF"/>
    <w:rsid w:val="00C46C08"/>
    <w:rsid w:val="00C56BD6"/>
    <w:rsid w:val="00CA0753"/>
    <w:rsid w:val="00CA69CE"/>
    <w:rsid w:val="00CD6318"/>
    <w:rsid w:val="00D13320"/>
    <w:rsid w:val="00D14420"/>
    <w:rsid w:val="00D65FB8"/>
    <w:rsid w:val="00D733B3"/>
    <w:rsid w:val="00DB09A1"/>
    <w:rsid w:val="00DB3DB4"/>
    <w:rsid w:val="00DC2C05"/>
    <w:rsid w:val="00DC5C20"/>
    <w:rsid w:val="00DF0DA0"/>
    <w:rsid w:val="00E31003"/>
    <w:rsid w:val="00E327A6"/>
    <w:rsid w:val="00E35BD7"/>
    <w:rsid w:val="00E52AA0"/>
    <w:rsid w:val="00E80F27"/>
    <w:rsid w:val="00E83545"/>
    <w:rsid w:val="00EC77DA"/>
    <w:rsid w:val="00EE7ED2"/>
    <w:rsid w:val="00F0080E"/>
    <w:rsid w:val="00F01EF2"/>
    <w:rsid w:val="00F0560D"/>
    <w:rsid w:val="00F27D98"/>
    <w:rsid w:val="00F6137F"/>
    <w:rsid w:val="00F6382B"/>
    <w:rsid w:val="00F85574"/>
    <w:rsid w:val="00FB1F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D0B4A9-4B74-4603-A8BA-9F0EDAD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1585</Words>
  <Characters>9944</Characters>
  <Application>Microsoft Office Word</Application>
  <DocSecurity>4</DocSecurity>
  <Lines>261</Lines>
  <Paragraphs>69</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2007-01-12T12:42:00Z</cp:lastPrinted>
  <dcterms:created xsi:type="dcterms:W3CDTF">2025-12-17T04:01:00Z</dcterms:created>
  <dcterms:modified xsi:type="dcterms:W3CDTF">2025-12-17T04:01:00Z</dcterms:modified>
</cp:coreProperties>
</file>