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E20" w:rsidRPr="00055D58" w:rsidRDefault="00A1322C" w:rsidP="00A1322C">
      <w:pPr>
        <w:ind w:right="-193"/>
        <w:jc w:val="both"/>
        <w:rPr>
          <w:rFonts w:ascii="OrigGarmnd BT" w:hAnsi="OrigGarmnd BT"/>
          <w:color w:val="000000"/>
          <w:sz w:val="24"/>
          <w:szCs w:val="24"/>
        </w:rPr>
      </w:pPr>
      <w:r w:rsidRPr="00055D58">
        <w:rPr>
          <w:rFonts w:ascii="OrigGarmnd BT" w:hAnsi="OrigGarmnd BT"/>
          <w:b/>
          <w:bCs/>
          <w:color w:val="000000"/>
          <w:sz w:val="24"/>
          <w:szCs w:val="24"/>
        </w:rPr>
        <w:t>REGERINGSKANSLIET</w:t>
      </w:r>
      <w:r w:rsidRPr="00055D58">
        <w:rPr>
          <w:rFonts w:ascii="OrigGarmnd BT" w:hAnsi="OrigGarmnd BT"/>
          <w:color w:val="000000"/>
          <w:sz w:val="24"/>
          <w:szCs w:val="24"/>
        </w:rPr>
        <w:tab/>
      </w:r>
      <w:r w:rsidRPr="00055D58">
        <w:rPr>
          <w:rFonts w:ascii="OrigGarmnd BT" w:hAnsi="OrigGarmnd BT"/>
          <w:color w:val="000000"/>
          <w:sz w:val="24"/>
          <w:szCs w:val="24"/>
        </w:rPr>
        <w:tab/>
      </w:r>
      <w:r w:rsidRPr="00055D58">
        <w:rPr>
          <w:rFonts w:ascii="OrigGarmnd BT" w:hAnsi="OrigGarmnd BT"/>
          <w:color w:val="000000"/>
          <w:sz w:val="24"/>
          <w:szCs w:val="24"/>
        </w:rPr>
        <w:tab/>
      </w:r>
    </w:p>
    <w:p w:rsidR="00A1322C" w:rsidRPr="00055D58" w:rsidRDefault="004E5918" w:rsidP="00A1322C">
      <w:pPr>
        <w:ind w:right="-193"/>
        <w:jc w:val="both"/>
        <w:rPr>
          <w:rFonts w:ascii="OrigGarmnd BT" w:hAnsi="OrigGarmnd BT"/>
          <w:color w:val="000000"/>
          <w:sz w:val="24"/>
          <w:szCs w:val="24"/>
        </w:rPr>
      </w:pPr>
      <w:r w:rsidRPr="00055D58">
        <w:rPr>
          <w:rFonts w:ascii="OrigGarmnd BT" w:hAnsi="OrigGarmnd BT"/>
          <w:color w:val="000000"/>
          <w:sz w:val="24"/>
          <w:szCs w:val="24"/>
        </w:rPr>
        <w:t>Utrikesdepartementet</w:t>
      </w:r>
      <w:r w:rsidRPr="00055D58">
        <w:rPr>
          <w:rFonts w:ascii="OrigGarmnd BT" w:hAnsi="OrigGarmnd BT"/>
          <w:color w:val="000000"/>
          <w:sz w:val="24"/>
          <w:szCs w:val="24"/>
        </w:rPr>
        <w:tab/>
      </w:r>
      <w:r w:rsidRPr="00055D58">
        <w:rPr>
          <w:rFonts w:ascii="OrigGarmnd BT" w:hAnsi="OrigGarmnd BT"/>
          <w:color w:val="000000"/>
          <w:sz w:val="24"/>
          <w:szCs w:val="24"/>
        </w:rPr>
        <w:tab/>
      </w:r>
      <w:r w:rsidRPr="00055D58">
        <w:rPr>
          <w:rFonts w:ascii="OrigGarmnd BT" w:hAnsi="OrigGarmnd BT"/>
          <w:color w:val="000000"/>
          <w:sz w:val="24"/>
          <w:szCs w:val="24"/>
        </w:rPr>
        <w:tab/>
      </w:r>
      <w:r w:rsidR="00A1322C" w:rsidRPr="00055D58">
        <w:rPr>
          <w:rFonts w:ascii="OrigGarmnd BT" w:hAnsi="OrigGarmnd BT"/>
          <w:color w:val="000000"/>
          <w:sz w:val="24"/>
          <w:szCs w:val="24"/>
        </w:rPr>
        <w:t>Kommenterad dagordning</w:t>
      </w:r>
      <w:r w:rsidR="00A1322C" w:rsidRPr="00055D58">
        <w:rPr>
          <w:rFonts w:ascii="OrigGarmnd BT" w:hAnsi="OrigGarmnd BT"/>
          <w:b/>
          <w:color w:val="000000"/>
          <w:sz w:val="24"/>
          <w:szCs w:val="24"/>
        </w:rPr>
        <w:t xml:space="preserve"> </w:t>
      </w:r>
    </w:p>
    <w:p w:rsidR="00A1322C" w:rsidRPr="00055D58" w:rsidRDefault="00215F37" w:rsidP="00A1322C">
      <w:pPr>
        <w:jc w:val="both"/>
        <w:rPr>
          <w:rFonts w:ascii="OrigGarmnd BT" w:hAnsi="OrigGarmnd BT"/>
          <w:color w:val="000000"/>
          <w:sz w:val="24"/>
          <w:szCs w:val="24"/>
        </w:rPr>
      </w:pPr>
      <w:r w:rsidRPr="00055D58">
        <w:rPr>
          <w:rFonts w:ascii="OrigGarmnd BT" w:hAnsi="OrigGarmnd BT"/>
          <w:color w:val="000000"/>
          <w:sz w:val="24"/>
          <w:szCs w:val="24"/>
        </w:rPr>
        <w:tab/>
      </w:r>
      <w:r w:rsidRPr="00055D58">
        <w:rPr>
          <w:rFonts w:ascii="OrigGarmnd BT" w:hAnsi="OrigGarmnd BT"/>
          <w:color w:val="000000"/>
          <w:sz w:val="24"/>
          <w:szCs w:val="24"/>
        </w:rPr>
        <w:tab/>
      </w:r>
      <w:r w:rsidRPr="00055D58">
        <w:rPr>
          <w:rFonts w:ascii="OrigGarmnd BT" w:hAnsi="OrigGarmnd BT"/>
          <w:color w:val="000000"/>
          <w:sz w:val="24"/>
          <w:szCs w:val="24"/>
        </w:rPr>
        <w:tab/>
      </w:r>
      <w:r w:rsidR="004E5918" w:rsidRPr="00055D58">
        <w:rPr>
          <w:rFonts w:ascii="OrigGarmnd BT" w:hAnsi="OrigGarmnd BT"/>
          <w:color w:val="000000"/>
          <w:sz w:val="24"/>
          <w:szCs w:val="24"/>
        </w:rPr>
        <w:tab/>
      </w:r>
      <w:r w:rsidR="00A1322C" w:rsidRPr="00055D58">
        <w:rPr>
          <w:rFonts w:ascii="OrigGarmnd BT" w:hAnsi="OrigGarmnd BT"/>
          <w:color w:val="000000"/>
          <w:sz w:val="24"/>
          <w:szCs w:val="24"/>
        </w:rPr>
        <w:t>Ministerrådet</w:t>
      </w:r>
      <w:r w:rsidR="00A1322C" w:rsidRPr="00055D58">
        <w:rPr>
          <w:rFonts w:ascii="OrigGarmnd BT" w:hAnsi="OrigGarmnd BT"/>
          <w:color w:val="000000"/>
          <w:sz w:val="24"/>
          <w:szCs w:val="24"/>
        </w:rPr>
        <w:tab/>
      </w:r>
      <w:r w:rsidR="00A1322C" w:rsidRPr="00055D58">
        <w:rPr>
          <w:rFonts w:ascii="OrigGarmnd BT" w:hAnsi="OrigGarmnd BT"/>
          <w:color w:val="000000"/>
          <w:sz w:val="24"/>
          <w:szCs w:val="24"/>
        </w:rPr>
        <w:tab/>
      </w:r>
      <w:r w:rsidR="00A1322C" w:rsidRPr="00055D58">
        <w:rPr>
          <w:rFonts w:ascii="OrigGarmnd BT" w:hAnsi="OrigGarmnd BT"/>
          <w:color w:val="000000"/>
          <w:sz w:val="24"/>
          <w:szCs w:val="24"/>
        </w:rPr>
        <w:tab/>
      </w:r>
      <w:r w:rsidR="00A1322C" w:rsidRPr="00055D58">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1322C" w:rsidRPr="00055D58" w:rsidTr="00A1322C">
        <w:tblPrEx>
          <w:tblCellMar>
            <w:top w:w="0" w:type="dxa"/>
            <w:bottom w:w="0" w:type="dxa"/>
          </w:tblCellMar>
        </w:tblPrEx>
        <w:trPr>
          <w:trHeight w:val="284"/>
        </w:trPr>
        <w:tc>
          <w:tcPr>
            <w:tcW w:w="4911" w:type="dxa"/>
          </w:tcPr>
          <w:p w:rsidR="00A1322C" w:rsidRPr="00055D58" w:rsidRDefault="00A1322C" w:rsidP="00A1322C">
            <w:pPr>
              <w:tabs>
                <w:tab w:val="left" w:pos="284"/>
              </w:tabs>
              <w:jc w:val="both"/>
              <w:rPr>
                <w:rFonts w:ascii="OrigGarmnd BT" w:hAnsi="OrigGarmnd BT"/>
                <w:bCs/>
                <w:iCs/>
                <w:sz w:val="24"/>
                <w:szCs w:val="24"/>
              </w:rPr>
            </w:pPr>
          </w:p>
        </w:tc>
      </w:tr>
    </w:tbl>
    <w:p w:rsidR="00A1322C" w:rsidRPr="00055D58" w:rsidRDefault="00A1322C" w:rsidP="00A1322C">
      <w:pPr>
        <w:tabs>
          <w:tab w:val="left" w:pos="284"/>
        </w:tabs>
        <w:jc w:val="both"/>
        <w:rPr>
          <w:rFonts w:ascii="OrigGarmnd BT" w:hAnsi="OrigGarmnd BT"/>
          <w:color w:val="000000"/>
          <w:sz w:val="24"/>
          <w:szCs w:val="24"/>
        </w:rPr>
      </w:pPr>
      <w:r w:rsidRPr="00055D58">
        <w:rPr>
          <w:rFonts w:ascii="OrigGarmnd BT" w:hAnsi="OrigGarmnd BT"/>
          <w:color w:val="000000"/>
          <w:sz w:val="24"/>
          <w:szCs w:val="24"/>
        </w:rPr>
        <w:t>Enheten för Europeiska unionen</w:t>
      </w:r>
    </w:p>
    <w:p w:rsidR="00A1322C" w:rsidRPr="00055D58" w:rsidRDefault="00A1322C" w:rsidP="00A1322C">
      <w:pPr>
        <w:jc w:val="both"/>
        <w:rPr>
          <w:rFonts w:ascii="OrigGarmnd BT" w:hAnsi="OrigGarmnd BT"/>
          <w:b/>
          <w:sz w:val="24"/>
          <w:szCs w:val="24"/>
          <w:u w:val="single"/>
        </w:rPr>
      </w:pPr>
      <w:r w:rsidRPr="00055D58">
        <w:rPr>
          <w:rFonts w:ascii="OrigGarmnd BT" w:hAnsi="OrigGarmnd BT"/>
          <w:color w:val="000000"/>
          <w:sz w:val="24"/>
          <w:szCs w:val="24"/>
        </w:rPr>
        <w:tab/>
      </w:r>
      <w:r w:rsidRPr="00055D58">
        <w:rPr>
          <w:rFonts w:ascii="OrigGarmnd BT" w:hAnsi="OrigGarmnd BT"/>
          <w:color w:val="000000"/>
          <w:sz w:val="24"/>
          <w:szCs w:val="24"/>
        </w:rPr>
        <w:tab/>
      </w:r>
      <w:r w:rsidRPr="00055D58">
        <w:rPr>
          <w:rFonts w:ascii="OrigGarmnd BT" w:hAnsi="OrigGarmnd BT"/>
          <w:color w:val="000000"/>
          <w:sz w:val="24"/>
          <w:szCs w:val="24"/>
        </w:rPr>
        <w:tab/>
      </w:r>
      <w:r w:rsidRPr="00055D58">
        <w:rPr>
          <w:rFonts w:ascii="OrigGarmnd BT" w:hAnsi="OrigGarmnd BT"/>
          <w:color w:val="000000"/>
          <w:sz w:val="24"/>
          <w:szCs w:val="24"/>
        </w:rPr>
        <w:tab/>
      </w:r>
    </w:p>
    <w:p w:rsidR="00A1322C" w:rsidRPr="00055D58" w:rsidRDefault="00A1322C" w:rsidP="00A1322C">
      <w:pPr>
        <w:pStyle w:val="UDrubrik"/>
        <w:spacing w:line="240" w:lineRule="auto"/>
        <w:ind w:left="1418"/>
        <w:rPr>
          <w:rFonts w:ascii="OrigGarmnd BT" w:hAnsi="OrigGarmnd BT"/>
          <w:sz w:val="24"/>
          <w:szCs w:val="24"/>
          <w:u w:val="single"/>
        </w:rPr>
      </w:pPr>
    </w:p>
    <w:p w:rsidR="00A1322C" w:rsidRPr="00055D58" w:rsidRDefault="00A1322C" w:rsidP="00A1322C">
      <w:pPr>
        <w:pStyle w:val="UDrubrik"/>
        <w:spacing w:line="240" w:lineRule="auto"/>
        <w:ind w:left="1418"/>
        <w:rPr>
          <w:rFonts w:ascii="OrigGarmnd BT" w:hAnsi="OrigGarmnd BT"/>
          <w:sz w:val="24"/>
          <w:szCs w:val="24"/>
          <w:u w:val="single"/>
        </w:rPr>
      </w:pPr>
    </w:p>
    <w:p w:rsidR="00A1322C" w:rsidRPr="00055D58" w:rsidRDefault="00A1322C" w:rsidP="00A1322C">
      <w:pPr>
        <w:pStyle w:val="UDrubrik"/>
        <w:spacing w:line="240" w:lineRule="auto"/>
        <w:ind w:left="1418"/>
        <w:rPr>
          <w:rFonts w:ascii="OrigGarmnd BT" w:hAnsi="OrigGarmnd BT"/>
          <w:sz w:val="24"/>
          <w:szCs w:val="24"/>
          <w:u w:val="single"/>
        </w:rPr>
      </w:pPr>
    </w:p>
    <w:p w:rsidR="00A1322C" w:rsidRPr="00055D58" w:rsidRDefault="00A1322C" w:rsidP="00A1322C">
      <w:pPr>
        <w:rPr>
          <w:rFonts w:ascii="OrigGarmnd BT" w:hAnsi="OrigGarmnd BT"/>
          <w:sz w:val="24"/>
          <w:szCs w:val="24"/>
        </w:rPr>
      </w:pPr>
    </w:p>
    <w:p w:rsidR="00A1322C" w:rsidRPr="00055D58" w:rsidRDefault="00A1322C" w:rsidP="00A1322C">
      <w:pPr>
        <w:rPr>
          <w:rFonts w:ascii="OrigGarmnd BT" w:hAnsi="OrigGarmnd BT"/>
          <w:sz w:val="24"/>
          <w:szCs w:val="24"/>
        </w:rPr>
      </w:pPr>
    </w:p>
    <w:p w:rsidR="0098176C" w:rsidRPr="00055D58" w:rsidRDefault="0098176C" w:rsidP="00A1322C">
      <w:pPr>
        <w:rPr>
          <w:rFonts w:ascii="OrigGarmnd BT" w:hAnsi="OrigGarmnd BT"/>
          <w:sz w:val="24"/>
          <w:szCs w:val="24"/>
        </w:rPr>
      </w:pPr>
    </w:p>
    <w:p w:rsidR="00A1322C" w:rsidRPr="00055D58" w:rsidRDefault="00A1322C" w:rsidP="00A1322C">
      <w:pPr>
        <w:pStyle w:val="UDrubrik"/>
        <w:spacing w:line="240" w:lineRule="auto"/>
        <w:jc w:val="center"/>
        <w:rPr>
          <w:rFonts w:ascii="OrigGarmnd BT" w:hAnsi="OrigGarmnd BT"/>
          <w:sz w:val="24"/>
          <w:szCs w:val="24"/>
          <w:u w:val="single"/>
        </w:rPr>
      </w:pPr>
      <w:r w:rsidRPr="00055D58">
        <w:rPr>
          <w:rFonts w:ascii="OrigGarmnd BT" w:hAnsi="OrigGarmnd BT"/>
          <w:sz w:val="24"/>
          <w:szCs w:val="24"/>
          <w:u w:val="single"/>
        </w:rPr>
        <w:t xml:space="preserve">Kommenterad dagordning för utrikesrådet  </w:t>
      </w:r>
    </w:p>
    <w:p w:rsidR="00A1322C" w:rsidRPr="00055D58" w:rsidRDefault="00A1322C" w:rsidP="00A1322C">
      <w:pPr>
        <w:pStyle w:val="UDrubrik"/>
        <w:spacing w:line="240" w:lineRule="auto"/>
        <w:jc w:val="center"/>
        <w:rPr>
          <w:rFonts w:ascii="OrigGarmnd BT" w:hAnsi="OrigGarmnd BT"/>
          <w:sz w:val="24"/>
          <w:szCs w:val="24"/>
          <w:u w:val="single"/>
        </w:rPr>
      </w:pPr>
      <w:r w:rsidRPr="00055D58">
        <w:rPr>
          <w:rFonts w:ascii="OrigGarmnd BT" w:hAnsi="OrigGarmnd BT"/>
          <w:sz w:val="24"/>
          <w:szCs w:val="24"/>
          <w:u w:val="single"/>
        </w:rPr>
        <w:t xml:space="preserve">den </w:t>
      </w:r>
      <w:r w:rsidR="002021D0" w:rsidRPr="00055D58">
        <w:rPr>
          <w:rFonts w:ascii="OrigGarmnd BT" w:hAnsi="OrigGarmnd BT"/>
          <w:sz w:val="24"/>
          <w:szCs w:val="24"/>
          <w:u w:val="single"/>
        </w:rPr>
        <w:t>26</w:t>
      </w:r>
      <w:r w:rsidR="00215F37" w:rsidRPr="00055D58">
        <w:rPr>
          <w:rFonts w:ascii="OrigGarmnd BT" w:hAnsi="OrigGarmnd BT"/>
          <w:sz w:val="24"/>
          <w:szCs w:val="24"/>
          <w:u w:val="single"/>
        </w:rPr>
        <w:t xml:space="preserve"> ju</w:t>
      </w:r>
      <w:r w:rsidR="002021D0" w:rsidRPr="00055D58">
        <w:rPr>
          <w:rFonts w:ascii="OrigGarmnd BT" w:hAnsi="OrigGarmnd BT"/>
          <w:sz w:val="24"/>
          <w:szCs w:val="24"/>
          <w:u w:val="single"/>
        </w:rPr>
        <w:t>li</w:t>
      </w:r>
      <w:r w:rsidR="00EE1487" w:rsidRPr="00055D58">
        <w:rPr>
          <w:rFonts w:ascii="OrigGarmnd BT" w:hAnsi="OrigGarmnd BT"/>
          <w:sz w:val="24"/>
          <w:szCs w:val="24"/>
          <w:u w:val="single"/>
        </w:rPr>
        <w:t xml:space="preserve"> 2010</w:t>
      </w:r>
    </w:p>
    <w:p w:rsidR="00A1322C" w:rsidRPr="00055D58" w:rsidRDefault="00A1322C" w:rsidP="00A1322C">
      <w:pPr>
        <w:pStyle w:val="Rubrik1"/>
        <w:spacing w:before="0" w:after="0"/>
        <w:ind w:left="1418"/>
        <w:rPr>
          <w:rFonts w:ascii="OrigGarmnd BT" w:hAnsi="OrigGarmnd BT" w:cs="Times New Roman"/>
          <w:sz w:val="24"/>
          <w:szCs w:val="24"/>
        </w:rPr>
      </w:pPr>
      <w:bookmarkStart w:id="0" w:name="_Toc128393595"/>
    </w:p>
    <w:p w:rsidR="00A1322C" w:rsidRPr="00055D58" w:rsidRDefault="00A1322C" w:rsidP="00A1322C">
      <w:pPr>
        <w:rPr>
          <w:rFonts w:ascii="OrigGarmnd BT" w:hAnsi="OrigGarmnd BT"/>
          <w:sz w:val="24"/>
          <w:szCs w:val="24"/>
        </w:rPr>
      </w:pPr>
    </w:p>
    <w:bookmarkEnd w:id="0"/>
    <w:p w:rsidR="00A1322C" w:rsidRPr="00055D58" w:rsidRDefault="00A1322C" w:rsidP="00A1322C">
      <w:pPr>
        <w:rPr>
          <w:rFonts w:ascii="OrigGarmnd BT" w:hAnsi="OrigGarmnd BT"/>
          <w:b/>
          <w:sz w:val="24"/>
          <w:szCs w:val="24"/>
        </w:rPr>
      </w:pPr>
    </w:p>
    <w:p w:rsidR="00A1322C" w:rsidRPr="00055D58" w:rsidRDefault="00CD7442" w:rsidP="00A1322C">
      <w:pPr>
        <w:rPr>
          <w:rFonts w:ascii="OrigGarmnd BT" w:hAnsi="OrigGarmnd BT"/>
          <w:b/>
          <w:bCs/>
          <w:sz w:val="24"/>
          <w:szCs w:val="24"/>
          <w:u w:val="single"/>
        </w:rPr>
      </w:pPr>
      <w:bookmarkStart w:id="1" w:name="_Toc150232148"/>
      <w:bookmarkStart w:id="2" w:name="_Toc150242355"/>
      <w:r w:rsidRPr="00055D58">
        <w:rPr>
          <w:rFonts w:ascii="OrigGarmnd BT" w:hAnsi="OrigGarmnd BT"/>
          <w:b/>
          <w:bCs/>
          <w:sz w:val="24"/>
          <w:szCs w:val="24"/>
          <w:u w:val="single"/>
        </w:rPr>
        <w:t>Utrikesministrarnas möte</w:t>
      </w:r>
    </w:p>
    <w:p w:rsidR="00CD7442" w:rsidRPr="00055D58" w:rsidRDefault="00CD7442" w:rsidP="00A1322C">
      <w:pPr>
        <w:rPr>
          <w:rFonts w:ascii="OrigGarmnd BT" w:hAnsi="OrigGarmnd BT"/>
          <w:bCs/>
          <w:sz w:val="24"/>
          <w:szCs w:val="24"/>
        </w:rPr>
      </w:pPr>
    </w:p>
    <w:p w:rsidR="00A1322C" w:rsidRPr="00055D58" w:rsidRDefault="00A1322C" w:rsidP="00A1322C">
      <w:pPr>
        <w:rPr>
          <w:rFonts w:ascii="OrigGarmnd BT" w:hAnsi="OrigGarmnd BT"/>
          <w:b/>
          <w:bCs/>
          <w:sz w:val="24"/>
          <w:szCs w:val="24"/>
        </w:rPr>
      </w:pPr>
      <w:r w:rsidRPr="00055D58">
        <w:rPr>
          <w:rFonts w:ascii="OrigGarmnd BT" w:hAnsi="OrigGarmnd BT"/>
          <w:b/>
          <w:bCs/>
          <w:sz w:val="24"/>
          <w:szCs w:val="24"/>
        </w:rPr>
        <w:t>1. Godkännande av den preliminära dagordningen</w:t>
      </w:r>
      <w:bookmarkEnd w:id="1"/>
      <w:bookmarkEnd w:id="2"/>
    </w:p>
    <w:p w:rsidR="00A1322C" w:rsidRPr="00055D58" w:rsidRDefault="00A1322C" w:rsidP="00A1322C">
      <w:pPr>
        <w:rPr>
          <w:rFonts w:ascii="OrigGarmnd BT" w:hAnsi="OrigGarmnd BT"/>
          <w:bCs/>
          <w:sz w:val="24"/>
          <w:szCs w:val="24"/>
        </w:rPr>
      </w:pPr>
    </w:p>
    <w:p w:rsidR="00A1322C" w:rsidRPr="00055D58" w:rsidRDefault="00A1322C" w:rsidP="00A1322C">
      <w:pPr>
        <w:rPr>
          <w:rFonts w:ascii="OrigGarmnd BT" w:hAnsi="OrigGarmnd BT"/>
          <w:b/>
          <w:bCs/>
          <w:sz w:val="24"/>
          <w:szCs w:val="24"/>
        </w:rPr>
      </w:pPr>
      <w:r w:rsidRPr="00055D58">
        <w:rPr>
          <w:rFonts w:ascii="OrigGarmnd BT" w:hAnsi="OrigGarmnd BT"/>
          <w:b/>
          <w:bCs/>
          <w:sz w:val="24"/>
          <w:szCs w:val="24"/>
        </w:rPr>
        <w:t>2. Godkännande av A-punkterna</w:t>
      </w:r>
    </w:p>
    <w:p w:rsidR="00DC7453" w:rsidRPr="00055D58" w:rsidRDefault="00DC7453" w:rsidP="00A1322C">
      <w:pPr>
        <w:rPr>
          <w:rFonts w:ascii="OrigGarmnd BT" w:hAnsi="OrigGarmnd BT"/>
          <w:b/>
          <w:bCs/>
          <w:sz w:val="24"/>
          <w:szCs w:val="24"/>
        </w:rPr>
      </w:pPr>
    </w:p>
    <w:p w:rsidR="00DC7453" w:rsidRPr="00055D58" w:rsidRDefault="00DC7453" w:rsidP="00A1322C">
      <w:pPr>
        <w:rPr>
          <w:rFonts w:ascii="OrigGarmnd BT" w:hAnsi="OrigGarmnd BT"/>
          <w:b/>
          <w:bCs/>
          <w:sz w:val="24"/>
          <w:szCs w:val="24"/>
        </w:rPr>
      </w:pPr>
      <w:r w:rsidRPr="00055D58">
        <w:rPr>
          <w:rFonts w:ascii="OrigGarmnd BT" w:hAnsi="OrigGarmnd BT"/>
          <w:b/>
          <w:bCs/>
          <w:sz w:val="24"/>
          <w:szCs w:val="24"/>
        </w:rPr>
        <w:t>3. Sudan</w:t>
      </w:r>
    </w:p>
    <w:p w:rsidR="0092275E" w:rsidRPr="00055D58" w:rsidRDefault="0092275E" w:rsidP="0092275E">
      <w:pPr>
        <w:rPr>
          <w:rFonts w:ascii="OrigGarmnd BT" w:hAnsi="OrigGarmnd BT"/>
          <w:bCs/>
          <w:i/>
          <w:sz w:val="24"/>
          <w:szCs w:val="24"/>
        </w:rPr>
      </w:pPr>
      <w:r w:rsidRPr="00055D58">
        <w:rPr>
          <w:rFonts w:ascii="OrigGarmnd BT" w:hAnsi="OrigGarmnd BT"/>
          <w:bCs/>
          <w:i/>
          <w:sz w:val="24"/>
          <w:szCs w:val="24"/>
        </w:rPr>
        <w:t>Diskussions- och ev. beslutspunkt</w:t>
      </w:r>
    </w:p>
    <w:p w:rsidR="00CD7442" w:rsidRPr="00055D58" w:rsidRDefault="00CD7442" w:rsidP="00A1322C">
      <w:pPr>
        <w:rPr>
          <w:rFonts w:ascii="OrigGarmnd BT" w:hAnsi="OrigGarmnd BT"/>
          <w:b/>
          <w:bCs/>
          <w:sz w:val="24"/>
          <w:szCs w:val="24"/>
        </w:rPr>
      </w:pPr>
    </w:p>
    <w:p w:rsidR="007B6F02" w:rsidRPr="00055D58" w:rsidRDefault="007403C5" w:rsidP="00A1322C">
      <w:pPr>
        <w:rPr>
          <w:rFonts w:ascii="OrigGarmnd BT" w:hAnsi="OrigGarmnd BT"/>
          <w:color w:val="000000"/>
          <w:sz w:val="24"/>
          <w:szCs w:val="24"/>
          <w:lang w:eastAsia="sv-SE"/>
        </w:rPr>
      </w:pPr>
      <w:r w:rsidRPr="00055D58">
        <w:rPr>
          <w:rFonts w:ascii="OrigGarmnd BT" w:hAnsi="OrigGarmnd BT"/>
          <w:color w:val="000000"/>
          <w:sz w:val="24"/>
          <w:szCs w:val="24"/>
          <w:lang w:eastAsia="sv-SE"/>
        </w:rPr>
        <w:t>Utrikesministrarna förväntas diskutera EU:s fortsatta och ökade engagemang i Sudan mot bakgrund av de stora utmaningar landet står inför under den närmaste kritiska perioden. Avgörande för en fredlig utveckling i Sudan är genomförandet och fullföljandet av fredsavtalet (CPA) mellan norra och södra Sudan, inklusive folkomröstningen i januari 2011 om södra Sudans självbestämmande. Den närmaste tiden behöver överenskommelser mellan norr och söder förhandlas fram för post-2011 vad gäller frågor om bl a vattenresurser, olja och medborgarskap. Konflikten i Darfur måste lösas på ett adekvat och hållbart sätt. Rådsslutsatserna förväntas redogöra för EU:s fortsatta agerande i Sudan med konkreta åtaganden, såsom stöd till förberedelser och genomförande av folkomröstningen samt långsiktigt stöd till kapacit</w:t>
      </w:r>
      <w:r w:rsidR="00167E85" w:rsidRPr="00055D58">
        <w:rPr>
          <w:rFonts w:ascii="OrigGarmnd BT" w:hAnsi="OrigGarmnd BT"/>
          <w:color w:val="000000"/>
          <w:sz w:val="24"/>
          <w:szCs w:val="24"/>
          <w:lang w:eastAsia="sv-SE"/>
        </w:rPr>
        <w:t>e</w:t>
      </w:r>
      <w:r w:rsidRPr="00055D58">
        <w:rPr>
          <w:rFonts w:ascii="OrigGarmnd BT" w:hAnsi="OrigGarmnd BT"/>
          <w:color w:val="000000"/>
          <w:sz w:val="24"/>
          <w:szCs w:val="24"/>
          <w:lang w:eastAsia="sv-SE"/>
        </w:rPr>
        <w:t>ts/institutionsbyggnad i södra Sudan. Sverige har varit drivande i att få till stånd en väl förberedd diskussion bl</w:t>
      </w:r>
      <w:r w:rsidR="000A4D63" w:rsidRPr="00055D58">
        <w:rPr>
          <w:rFonts w:ascii="OrigGarmnd BT" w:hAnsi="OrigGarmnd BT"/>
          <w:color w:val="000000"/>
          <w:sz w:val="24"/>
          <w:szCs w:val="24"/>
          <w:lang w:eastAsia="sv-SE"/>
        </w:rPr>
        <w:t>.</w:t>
      </w:r>
      <w:r w:rsidRPr="00055D58">
        <w:rPr>
          <w:rFonts w:ascii="OrigGarmnd BT" w:hAnsi="OrigGarmnd BT"/>
          <w:color w:val="000000"/>
          <w:sz w:val="24"/>
          <w:szCs w:val="24"/>
          <w:lang w:eastAsia="sv-SE"/>
        </w:rPr>
        <w:t>a</w:t>
      </w:r>
      <w:r w:rsidR="000A4D63" w:rsidRPr="00055D58">
        <w:rPr>
          <w:rFonts w:ascii="OrigGarmnd BT" w:hAnsi="OrigGarmnd BT"/>
          <w:color w:val="000000"/>
          <w:sz w:val="24"/>
          <w:szCs w:val="24"/>
          <w:lang w:eastAsia="sv-SE"/>
        </w:rPr>
        <w:t>.</w:t>
      </w:r>
      <w:r w:rsidRPr="00055D58">
        <w:rPr>
          <w:rFonts w:ascii="OrigGarmnd BT" w:hAnsi="OrigGarmnd BT"/>
          <w:color w:val="000000"/>
          <w:sz w:val="24"/>
          <w:szCs w:val="24"/>
          <w:lang w:eastAsia="sv-SE"/>
        </w:rPr>
        <w:t xml:space="preserve"> genom att verka för att </w:t>
      </w:r>
      <w:r w:rsidR="008D0AD5" w:rsidRPr="00055D58">
        <w:rPr>
          <w:rFonts w:ascii="OrigGarmnd BT" w:hAnsi="OrigGarmnd BT"/>
          <w:color w:val="000000"/>
          <w:sz w:val="24"/>
          <w:szCs w:val="24"/>
          <w:lang w:eastAsia="sv-SE"/>
        </w:rPr>
        <w:t>de berörda EU-institutionerna tog fram ett gemensamt underlag i god tid före diskussionen.</w:t>
      </w:r>
    </w:p>
    <w:p w:rsidR="007403C5" w:rsidRPr="00055D58" w:rsidRDefault="007403C5" w:rsidP="00A1322C">
      <w:pPr>
        <w:rPr>
          <w:rFonts w:ascii="OrigGarmnd BT" w:hAnsi="OrigGarmnd BT"/>
          <w:b/>
          <w:bCs/>
          <w:sz w:val="24"/>
          <w:szCs w:val="24"/>
        </w:rPr>
      </w:pPr>
    </w:p>
    <w:p w:rsidR="00215F37" w:rsidRPr="00055D58" w:rsidRDefault="00DC7453" w:rsidP="00CD7442">
      <w:pPr>
        <w:rPr>
          <w:rFonts w:ascii="OrigGarmnd BT" w:hAnsi="OrigGarmnd BT"/>
          <w:b/>
          <w:bCs/>
          <w:sz w:val="24"/>
          <w:szCs w:val="24"/>
        </w:rPr>
      </w:pPr>
      <w:r w:rsidRPr="00055D58">
        <w:rPr>
          <w:rFonts w:ascii="OrigGarmnd BT" w:hAnsi="OrigGarmnd BT"/>
          <w:b/>
          <w:bCs/>
          <w:sz w:val="24"/>
          <w:szCs w:val="24"/>
        </w:rPr>
        <w:t>4</w:t>
      </w:r>
      <w:r w:rsidR="00CD7442" w:rsidRPr="00055D58">
        <w:rPr>
          <w:rFonts w:ascii="OrigGarmnd BT" w:hAnsi="OrigGarmnd BT"/>
          <w:b/>
          <w:bCs/>
          <w:sz w:val="24"/>
          <w:szCs w:val="24"/>
        </w:rPr>
        <w:t xml:space="preserve">. </w:t>
      </w:r>
      <w:r w:rsidR="00215F37" w:rsidRPr="00055D58">
        <w:rPr>
          <w:rFonts w:ascii="OrigGarmnd BT" w:hAnsi="OrigGarmnd BT"/>
          <w:b/>
          <w:bCs/>
          <w:sz w:val="24"/>
          <w:szCs w:val="24"/>
        </w:rPr>
        <w:t xml:space="preserve"> </w:t>
      </w:r>
      <w:r w:rsidRPr="00055D58">
        <w:rPr>
          <w:rFonts w:ascii="OrigGarmnd BT" w:hAnsi="OrigGarmnd BT"/>
          <w:b/>
          <w:bCs/>
          <w:sz w:val="24"/>
          <w:szCs w:val="24"/>
        </w:rPr>
        <w:t>Iran</w:t>
      </w:r>
    </w:p>
    <w:p w:rsidR="0019071D" w:rsidRPr="00055D58" w:rsidRDefault="00B60265" w:rsidP="00CD7442">
      <w:pPr>
        <w:rPr>
          <w:rFonts w:ascii="OrigGarmnd BT" w:hAnsi="OrigGarmnd BT"/>
          <w:bCs/>
          <w:i/>
          <w:sz w:val="24"/>
          <w:szCs w:val="24"/>
        </w:rPr>
      </w:pPr>
      <w:r w:rsidRPr="00055D58">
        <w:rPr>
          <w:rFonts w:ascii="OrigGarmnd BT" w:hAnsi="OrigGarmnd BT"/>
          <w:bCs/>
          <w:i/>
          <w:sz w:val="24"/>
          <w:szCs w:val="24"/>
        </w:rPr>
        <w:t>Diskussions- och ev. beslutspunkt</w:t>
      </w:r>
    </w:p>
    <w:p w:rsidR="00DC7453" w:rsidRPr="00055D58" w:rsidRDefault="00DC7453" w:rsidP="00DC7453">
      <w:pPr>
        <w:rPr>
          <w:rFonts w:ascii="OrigGarmnd BT" w:hAnsi="OrigGarmnd BT"/>
          <w:sz w:val="24"/>
          <w:szCs w:val="24"/>
        </w:rPr>
      </w:pPr>
      <w:r w:rsidRPr="00055D58">
        <w:rPr>
          <w:rFonts w:ascii="OrigGarmnd BT" w:hAnsi="OrigGarmnd BT"/>
          <w:sz w:val="24"/>
          <w:szCs w:val="24"/>
        </w:rPr>
        <w:t xml:space="preserve">Utrikesministrarna förväntas fatta rådsbeslut om implementering av FN:s säkerhetsråds resolution 1929, samt </w:t>
      </w:r>
      <w:r w:rsidR="00A30BF4" w:rsidRPr="00055D58">
        <w:rPr>
          <w:rFonts w:ascii="OrigGarmnd BT" w:hAnsi="OrigGarmnd BT"/>
          <w:sz w:val="24"/>
          <w:szCs w:val="24"/>
        </w:rPr>
        <w:t xml:space="preserve">om </w:t>
      </w:r>
      <w:r w:rsidRPr="00055D58">
        <w:rPr>
          <w:rFonts w:ascii="OrigGarmnd BT" w:hAnsi="OrigGarmnd BT"/>
          <w:sz w:val="24"/>
          <w:szCs w:val="24"/>
        </w:rPr>
        <w:t xml:space="preserve">ytterligare EU-autonoma åtgärder mot Iran. </w:t>
      </w:r>
      <w:r w:rsidR="00A30BF4" w:rsidRPr="00055D58">
        <w:rPr>
          <w:rFonts w:ascii="OrigGarmnd BT" w:hAnsi="OrigGarmnd BT"/>
          <w:sz w:val="24"/>
          <w:szCs w:val="24"/>
        </w:rPr>
        <w:t xml:space="preserve"> </w:t>
      </w:r>
      <w:r w:rsidRPr="00055D58">
        <w:rPr>
          <w:rFonts w:ascii="OrigGarmnd BT" w:hAnsi="OrigGarmnd BT"/>
          <w:sz w:val="24"/>
          <w:szCs w:val="24"/>
        </w:rPr>
        <w:t xml:space="preserve">Stora delar av världssamfundet hyser oro för Irans kärntekniska program. Förtroendeskapande åtgärder har hittills inte givit resultat och från FN:s atomenergiorgan, IAEA, beklagar man bristen på samarbete från iransk sida, senast i </w:t>
      </w:r>
      <w:r w:rsidRPr="00055D58">
        <w:rPr>
          <w:rFonts w:ascii="OrigGarmnd BT" w:hAnsi="OrigGarmnd BT"/>
          <w:sz w:val="24"/>
          <w:szCs w:val="24"/>
        </w:rPr>
        <w:lastRenderedPageBreak/>
        <w:t xml:space="preserve">IAEA:s rapport från 31 maj. Den 9 juni antog FN:s säkerhetsråd resolution 1929 om Iran. Det var den fjärde FNSR-resolutionen som innebar ytterligare åtgärder mot Iran. Den första antogs i december 2006. Resolutionstexten innehåller huvudsakligen förbud mot iranska </w:t>
      </w:r>
      <w:r w:rsidR="0062727C" w:rsidRPr="00055D58">
        <w:rPr>
          <w:rFonts w:ascii="OrigGarmnd BT" w:hAnsi="OrigGarmnd BT"/>
          <w:sz w:val="24"/>
          <w:szCs w:val="24"/>
        </w:rPr>
        <w:t>investeringar utomlands i spridningskänslig</w:t>
      </w:r>
      <w:r w:rsidRPr="00055D58">
        <w:rPr>
          <w:rFonts w:ascii="OrigGarmnd BT" w:hAnsi="OrigGarmnd BT"/>
          <w:sz w:val="24"/>
          <w:szCs w:val="24"/>
        </w:rPr>
        <w:t xml:space="preserve"> </w:t>
      </w:r>
      <w:r w:rsidR="0062727C" w:rsidRPr="00055D58">
        <w:rPr>
          <w:rFonts w:ascii="OrigGarmnd BT" w:hAnsi="OrigGarmnd BT"/>
          <w:sz w:val="24"/>
          <w:szCs w:val="24"/>
        </w:rPr>
        <w:t>verksamhet</w:t>
      </w:r>
      <w:r w:rsidRPr="00055D58">
        <w:rPr>
          <w:rFonts w:ascii="OrigGarmnd BT" w:hAnsi="OrigGarmnd BT"/>
          <w:sz w:val="24"/>
          <w:szCs w:val="24"/>
        </w:rPr>
        <w:t xml:space="preserve">, bindande begränsningar mot export av konventionella vapen till Iran, förbud mot alla aktiviteter relaterade till missiler som kan bära kärnvapen, en allomfattande ram för lastinspektioner för att förhindra att Iran anskaffar känslig materiel och illegala varor, åtgärder för att blockera att Iran utnyttjar det internationella finansiella systemet för spridningskänslig verksamhet, samt riktade åtgärder mot </w:t>
      </w:r>
      <w:r w:rsidRPr="00055D58">
        <w:rPr>
          <w:rFonts w:ascii="OrigGarmnd BT" w:hAnsi="OrigGarmnd BT"/>
          <w:iCs/>
          <w:sz w:val="24"/>
          <w:szCs w:val="24"/>
        </w:rPr>
        <w:t xml:space="preserve">Islamiska revolutionsgardet </w:t>
      </w:r>
      <w:r w:rsidRPr="00055D58">
        <w:rPr>
          <w:rFonts w:ascii="OrigGarmnd BT" w:hAnsi="OrigGarmnd BT"/>
          <w:i/>
          <w:iCs/>
          <w:sz w:val="24"/>
          <w:szCs w:val="24"/>
        </w:rPr>
        <w:t>(Islamic Revolutionary Guard Corps, IRGC).</w:t>
      </w:r>
      <w:r w:rsidRPr="00055D58">
        <w:rPr>
          <w:rFonts w:ascii="OrigGarmnd BT" w:hAnsi="OrigGarmnd BT"/>
          <w:sz w:val="24"/>
          <w:szCs w:val="24"/>
        </w:rPr>
        <w:t xml:space="preserve"> </w:t>
      </w:r>
    </w:p>
    <w:p w:rsidR="00DC7453" w:rsidRPr="00055D58" w:rsidRDefault="00DC7453" w:rsidP="00DC7453">
      <w:pPr>
        <w:rPr>
          <w:rFonts w:ascii="OrigGarmnd BT" w:hAnsi="OrigGarmnd BT"/>
          <w:sz w:val="24"/>
          <w:szCs w:val="24"/>
        </w:rPr>
      </w:pPr>
    </w:p>
    <w:p w:rsidR="00DC7453" w:rsidRPr="00055D58" w:rsidRDefault="00DC7453" w:rsidP="00DC7453">
      <w:pPr>
        <w:rPr>
          <w:rFonts w:ascii="OrigGarmnd BT" w:hAnsi="OrigGarmnd BT"/>
          <w:i/>
          <w:iCs/>
          <w:sz w:val="24"/>
          <w:szCs w:val="24"/>
        </w:rPr>
      </w:pPr>
      <w:r w:rsidRPr="00055D58">
        <w:rPr>
          <w:rFonts w:ascii="OrigGarmnd BT" w:hAnsi="OrigGarmnd BT"/>
          <w:sz w:val="24"/>
          <w:szCs w:val="24"/>
        </w:rPr>
        <w:t xml:space="preserve">Områden för </w:t>
      </w:r>
      <w:r w:rsidRPr="00055D58">
        <w:rPr>
          <w:rFonts w:ascii="OrigGarmnd BT" w:hAnsi="OrigGarmnd BT"/>
          <w:iCs/>
          <w:sz w:val="24"/>
          <w:szCs w:val="24"/>
        </w:rPr>
        <w:t xml:space="preserve">ytterligare åtgärder av Europeiska unionen, utöver vad som stipuleras av resolution 1929, är nu föremål för förhandlingar i enlighet med den deklaration som antogs av stats- och regeringscheferna vid Europeiska rådet den 17 juni. Syftet med </w:t>
      </w:r>
      <w:r w:rsidRPr="00055D58">
        <w:rPr>
          <w:rFonts w:ascii="OrigGarmnd BT" w:hAnsi="OrigGarmnd BT"/>
          <w:sz w:val="24"/>
          <w:szCs w:val="24"/>
        </w:rPr>
        <w:t>EU-autonoma åtgärder mot Iran</w:t>
      </w:r>
      <w:r w:rsidRPr="00055D58">
        <w:rPr>
          <w:rFonts w:ascii="OrigGarmnd BT" w:hAnsi="OrigGarmnd BT"/>
          <w:iCs/>
          <w:sz w:val="24"/>
          <w:szCs w:val="24"/>
        </w:rPr>
        <w:t xml:space="preserve"> är att ge ytterligare stöd åt resolutionen 1929:s målsättning att, genom förhandlingar, skingra alla utestående frågor kring Irans kärn- och missiltekniska program. EU:s övergripande målsättning är att nå en fredlig lösning på den kärntekniska frågan.</w:t>
      </w:r>
    </w:p>
    <w:p w:rsidR="00DC7453" w:rsidRPr="00055D58" w:rsidRDefault="00DC7453" w:rsidP="00DC7453">
      <w:pPr>
        <w:rPr>
          <w:rFonts w:ascii="OrigGarmnd BT" w:hAnsi="OrigGarmnd BT"/>
          <w:sz w:val="24"/>
          <w:szCs w:val="24"/>
        </w:rPr>
      </w:pPr>
    </w:p>
    <w:p w:rsidR="00524839" w:rsidRPr="00055D58" w:rsidRDefault="00524839" w:rsidP="00CD7442">
      <w:pPr>
        <w:rPr>
          <w:rFonts w:ascii="OrigGarmnd BT" w:hAnsi="OrigGarmnd BT"/>
          <w:b/>
          <w:bCs/>
          <w:sz w:val="24"/>
          <w:szCs w:val="24"/>
        </w:rPr>
      </w:pPr>
    </w:p>
    <w:p w:rsidR="00AA5B65" w:rsidRPr="00055D58" w:rsidRDefault="00DC7453" w:rsidP="00AA5B65">
      <w:pPr>
        <w:rPr>
          <w:rFonts w:ascii="OrigGarmnd BT" w:hAnsi="OrigGarmnd BT"/>
          <w:b/>
          <w:bCs/>
          <w:sz w:val="24"/>
          <w:szCs w:val="24"/>
        </w:rPr>
      </w:pPr>
      <w:r w:rsidRPr="00055D58">
        <w:rPr>
          <w:rFonts w:ascii="OrigGarmnd BT" w:hAnsi="OrigGarmnd BT"/>
          <w:b/>
          <w:bCs/>
          <w:sz w:val="24"/>
          <w:szCs w:val="24"/>
        </w:rPr>
        <w:t>5</w:t>
      </w:r>
      <w:r w:rsidR="00CD7442" w:rsidRPr="00055D58">
        <w:rPr>
          <w:rFonts w:ascii="OrigGarmnd BT" w:hAnsi="OrigGarmnd BT"/>
          <w:b/>
          <w:bCs/>
          <w:sz w:val="24"/>
          <w:szCs w:val="24"/>
        </w:rPr>
        <w:t xml:space="preserve">. </w:t>
      </w:r>
      <w:r w:rsidRPr="00055D58">
        <w:rPr>
          <w:rFonts w:ascii="OrigGarmnd BT" w:hAnsi="OrigGarmnd BT"/>
          <w:b/>
          <w:bCs/>
          <w:sz w:val="24"/>
          <w:szCs w:val="24"/>
        </w:rPr>
        <w:t>Gaza/MEPP</w:t>
      </w:r>
    </w:p>
    <w:p w:rsidR="00DC7453" w:rsidRPr="00055D58" w:rsidRDefault="00DC7453" w:rsidP="00DC7453">
      <w:pPr>
        <w:pStyle w:val="Brdtext1"/>
        <w:rPr>
          <w:szCs w:val="24"/>
        </w:rPr>
      </w:pPr>
      <w:r w:rsidRPr="00055D58">
        <w:rPr>
          <w:i/>
          <w:szCs w:val="24"/>
        </w:rPr>
        <w:t>Diskussionspunkt</w:t>
      </w:r>
      <w:r w:rsidRPr="00055D58">
        <w:rPr>
          <w:szCs w:val="24"/>
        </w:rPr>
        <w:t xml:space="preserve">. </w:t>
      </w:r>
    </w:p>
    <w:p w:rsidR="00DC7453" w:rsidRPr="00055D58" w:rsidRDefault="00DC7453" w:rsidP="00DC7453">
      <w:pPr>
        <w:pStyle w:val="Brdtext1"/>
        <w:rPr>
          <w:szCs w:val="24"/>
        </w:rPr>
      </w:pPr>
      <w:r w:rsidRPr="00055D58">
        <w:rPr>
          <w:szCs w:val="24"/>
        </w:rPr>
        <w:t xml:space="preserve">Utrikesministrarna förväntas diskutera situationen i Gaza och hur EU kan bidra till att nå en hållbar lösning för Gaza på basis av rådsslutsatserna från den 14 juni. </w:t>
      </w:r>
      <w:r w:rsidR="00A30BF4" w:rsidRPr="00055D58">
        <w:rPr>
          <w:szCs w:val="24"/>
        </w:rPr>
        <w:t xml:space="preserve">Det är i nuläget ovisst huruvida slutsatser kommer att antas. </w:t>
      </w:r>
      <w:r w:rsidRPr="00055D58">
        <w:rPr>
          <w:szCs w:val="24"/>
        </w:rPr>
        <w:t>HR/VP Ashton kommer att återrapportera från sitt besök i regionen</w:t>
      </w:r>
      <w:r w:rsidR="00167E85" w:rsidRPr="00055D58">
        <w:rPr>
          <w:szCs w:val="24"/>
        </w:rPr>
        <w:t>,</w:t>
      </w:r>
      <w:r w:rsidRPr="00055D58">
        <w:rPr>
          <w:szCs w:val="24"/>
        </w:rPr>
        <w:t>inkl Gaza</w:t>
      </w:r>
      <w:r w:rsidR="00167E85" w:rsidRPr="00055D58">
        <w:rPr>
          <w:szCs w:val="24"/>
        </w:rPr>
        <w:t>, den</w:t>
      </w:r>
      <w:r w:rsidRPr="00055D58">
        <w:rPr>
          <w:szCs w:val="24"/>
        </w:rPr>
        <w:t xml:space="preserve"> 17-19 juli och hennes samtal med parterna. SE/EU välkomnar det israeliska beslutet om lättnader i blockaden såsom ett första steg, fokus ligger nu på genomförandet. Beslutet omfattar inte export eller fri rörlighet för personer, vilket enligt SE/EU är nödvändigt för att Gazas ekonomi ska återhämta sig och livssituationen för lokalbefolkningen märkbart ska förbättras. Rådet väntas även diskutera den oroande utvecklingen i ö</w:t>
      </w:r>
      <w:r w:rsidR="00167E85" w:rsidRPr="00055D58">
        <w:rPr>
          <w:szCs w:val="24"/>
        </w:rPr>
        <w:t>stra</w:t>
      </w:r>
      <w:r w:rsidRPr="00055D58">
        <w:rPr>
          <w:szCs w:val="24"/>
        </w:rPr>
        <w:t xml:space="preserve"> Jerusalem mot bakgrund av senaste tidens husdemoleringar och bosättningsaktiviteter. De indirekta samtalen mellan parterna under amerikansk medling kommer att avhandlas. Regeringen betonar vikten av fortsatt stöd till de amerikanska ansträngningarna</w:t>
      </w:r>
      <w:r w:rsidR="008D0AD5" w:rsidRPr="00055D58">
        <w:rPr>
          <w:szCs w:val="24"/>
        </w:rPr>
        <w:t xml:space="preserve"> med målet att direkta samtal om en tvåstatslösning ska återupptas.</w:t>
      </w:r>
    </w:p>
    <w:p w:rsidR="001A1264" w:rsidRPr="00055D58" w:rsidRDefault="001A1264" w:rsidP="00CD7442">
      <w:pPr>
        <w:rPr>
          <w:rFonts w:ascii="OrigGarmnd BT" w:hAnsi="OrigGarmnd BT"/>
          <w:b/>
          <w:bCs/>
          <w:sz w:val="24"/>
          <w:szCs w:val="24"/>
        </w:rPr>
      </w:pPr>
    </w:p>
    <w:p w:rsidR="00CD7442" w:rsidRPr="00055D58" w:rsidRDefault="00DC7453" w:rsidP="00CD7442">
      <w:pPr>
        <w:rPr>
          <w:rFonts w:ascii="OrigGarmnd BT" w:hAnsi="OrigGarmnd BT"/>
          <w:b/>
          <w:bCs/>
          <w:sz w:val="24"/>
          <w:szCs w:val="24"/>
        </w:rPr>
      </w:pPr>
      <w:r w:rsidRPr="00055D58">
        <w:rPr>
          <w:rFonts w:ascii="OrigGarmnd BT" w:hAnsi="OrigGarmnd BT"/>
          <w:b/>
          <w:bCs/>
          <w:sz w:val="24"/>
          <w:szCs w:val="24"/>
        </w:rPr>
        <w:t>6</w:t>
      </w:r>
      <w:r w:rsidR="00CD7442" w:rsidRPr="00055D58">
        <w:rPr>
          <w:rFonts w:ascii="OrigGarmnd BT" w:hAnsi="OrigGarmnd BT"/>
          <w:b/>
          <w:bCs/>
          <w:sz w:val="24"/>
          <w:szCs w:val="24"/>
        </w:rPr>
        <w:t xml:space="preserve">. </w:t>
      </w:r>
      <w:r w:rsidRPr="00055D58">
        <w:rPr>
          <w:rFonts w:ascii="OrigGarmnd BT" w:hAnsi="OrigGarmnd BT"/>
          <w:b/>
          <w:bCs/>
          <w:sz w:val="24"/>
          <w:szCs w:val="24"/>
        </w:rPr>
        <w:t>Indien/Brasilien</w:t>
      </w:r>
    </w:p>
    <w:p w:rsidR="00B8672E" w:rsidRPr="00055D58" w:rsidRDefault="00B8672E" w:rsidP="00B8672E">
      <w:pPr>
        <w:overflowPunct/>
        <w:textAlignment w:val="auto"/>
        <w:rPr>
          <w:rFonts w:ascii="OrigGarmnd BT" w:hAnsi="OrigGarmnd BT" w:cs="Helv"/>
          <w:i/>
          <w:color w:val="000000"/>
          <w:sz w:val="24"/>
          <w:szCs w:val="24"/>
          <w:lang w:eastAsia="sv-SE"/>
        </w:rPr>
      </w:pPr>
      <w:r w:rsidRPr="00055D58">
        <w:rPr>
          <w:rFonts w:ascii="OrigGarmnd BT" w:hAnsi="OrigGarmnd BT" w:cs="Helv"/>
          <w:i/>
          <w:color w:val="000000"/>
          <w:sz w:val="24"/>
          <w:szCs w:val="24"/>
          <w:lang w:eastAsia="sv-SE"/>
        </w:rPr>
        <w:t>Lunchdiskussion</w:t>
      </w:r>
    </w:p>
    <w:p w:rsidR="001A1264" w:rsidRPr="00055D58" w:rsidRDefault="00B8672E" w:rsidP="00B8672E">
      <w:pPr>
        <w:rPr>
          <w:rFonts w:ascii="OrigGarmnd BT" w:hAnsi="OrigGarmnd BT" w:cs="Helv"/>
          <w:color w:val="000000"/>
          <w:sz w:val="24"/>
          <w:szCs w:val="24"/>
          <w:lang w:eastAsia="sv-SE"/>
        </w:rPr>
      </w:pPr>
      <w:r w:rsidRPr="00055D58">
        <w:rPr>
          <w:rFonts w:ascii="OrigGarmnd BT" w:hAnsi="OrigGarmnd BT" w:cs="Helv"/>
          <w:color w:val="000000"/>
          <w:sz w:val="24"/>
          <w:szCs w:val="24"/>
          <w:lang w:eastAsia="sv-SE"/>
        </w:rPr>
        <w:t>Rådet väntas</w:t>
      </w:r>
      <w:r w:rsidR="00167E85" w:rsidRPr="00055D58">
        <w:rPr>
          <w:rFonts w:ascii="OrigGarmnd BT" w:hAnsi="OrigGarmnd BT" w:cs="Helv"/>
          <w:color w:val="000000"/>
          <w:sz w:val="24"/>
          <w:szCs w:val="24"/>
          <w:lang w:eastAsia="sv-SE"/>
        </w:rPr>
        <w:t>,</w:t>
      </w:r>
      <w:r w:rsidRPr="00055D58">
        <w:rPr>
          <w:rFonts w:ascii="OrigGarmnd BT" w:hAnsi="OrigGarmnd BT" w:cs="Helv"/>
          <w:color w:val="000000"/>
          <w:sz w:val="24"/>
          <w:szCs w:val="24"/>
          <w:lang w:eastAsia="sv-SE"/>
        </w:rPr>
        <w:t xml:space="preserve"> som del av förberedelserna inför ER 16 september om EUs strategiska partners (se GAC agendan)</w:t>
      </w:r>
      <w:r w:rsidR="00167E85" w:rsidRPr="00055D58">
        <w:rPr>
          <w:rFonts w:ascii="OrigGarmnd BT" w:hAnsi="OrigGarmnd BT" w:cs="Helv"/>
          <w:color w:val="000000"/>
          <w:sz w:val="24"/>
          <w:szCs w:val="24"/>
          <w:lang w:eastAsia="sv-SE"/>
        </w:rPr>
        <w:t>,</w:t>
      </w:r>
      <w:r w:rsidRPr="00055D58">
        <w:rPr>
          <w:rFonts w:ascii="OrigGarmnd BT" w:hAnsi="OrigGarmnd BT" w:cs="Helv"/>
          <w:color w:val="000000"/>
          <w:sz w:val="24"/>
          <w:szCs w:val="24"/>
          <w:lang w:eastAsia="sv-SE"/>
        </w:rPr>
        <w:t xml:space="preserve"> diskutera relationerna till Indien och Brasilien och hur de kan breddas och fördjupas. SE välkomnar diskussionen och vill bland annat föra upp frågan om hur EUs handelspolitiska tyngd kan paras med ett större politiskt inflytande.</w:t>
      </w:r>
    </w:p>
    <w:p w:rsidR="00B8672E" w:rsidRPr="00055D58" w:rsidRDefault="0098176C" w:rsidP="00B8672E">
      <w:pPr>
        <w:rPr>
          <w:rFonts w:ascii="OrigGarmnd BT" w:hAnsi="OrigGarmnd BT"/>
          <w:b/>
          <w:bCs/>
          <w:sz w:val="24"/>
          <w:szCs w:val="24"/>
        </w:rPr>
      </w:pPr>
      <w:r w:rsidRPr="00055D58">
        <w:rPr>
          <w:rFonts w:ascii="OrigGarmnd BT" w:hAnsi="OrigGarmnd BT"/>
          <w:b/>
          <w:bCs/>
          <w:sz w:val="24"/>
          <w:szCs w:val="24"/>
        </w:rPr>
        <w:br w:type="page"/>
      </w:r>
    </w:p>
    <w:p w:rsidR="00CD7442" w:rsidRPr="00055D58" w:rsidRDefault="00DC7453" w:rsidP="00CD7442">
      <w:pPr>
        <w:jc w:val="both"/>
        <w:outlineLvl w:val="0"/>
        <w:rPr>
          <w:rFonts w:ascii="OrigGarmnd BT" w:hAnsi="OrigGarmnd BT"/>
          <w:b/>
          <w:sz w:val="24"/>
          <w:szCs w:val="24"/>
        </w:rPr>
      </w:pPr>
      <w:r w:rsidRPr="00055D58">
        <w:rPr>
          <w:rFonts w:ascii="OrigGarmnd BT" w:hAnsi="OrigGarmnd BT"/>
          <w:b/>
          <w:bCs/>
          <w:sz w:val="24"/>
          <w:szCs w:val="24"/>
        </w:rPr>
        <w:t>7</w:t>
      </w:r>
      <w:r w:rsidR="00CD7442" w:rsidRPr="00055D58">
        <w:rPr>
          <w:rFonts w:ascii="OrigGarmnd BT" w:hAnsi="OrigGarmnd BT"/>
          <w:b/>
          <w:bCs/>
          <w:sz w:val="24"/>
          <w:szCs w:val="24"/>
        </w:rPr>
        <w:t xml:space="preserve">. </w:t>
      </w:r>
      <w:r w:rsidRPr="00055D58">
        <w:rPr>
          <w:rFonts w:ascii="OrigGarmnd BT" w:hAnsi="OrigGarmnd BT"/>
          <w:b/>
          <w:sz w:val="24"/>
          <w:szCs w:val="24"/>
        </w:rPr>
        <w:t>Kirgizistan</w:t>
      </w:r>
    </w:p>
    <w:p w:rsidR="0092275E" w:rsidRPr="00055D58" w:rsidRDefault="00062BB3" w:rsidP="0092275E">
      <w:pPr>
        <w:outlineLvl w:val="0"/>
        <w:rPr>
          <w:rFonts w:ascii="OrigGarmnd BT" w:hAnsi="OrigGarmnd BT"/>
          <w:i/>
          <w:sz w:val="24"/>
          <w:szCs w:val="24"/>
        </w:rPr>
      </w:pPr>
      <w:r w:rsidRPr="00055D58">
        <w:rPr>
          <w:rFonts w:ascii="OrigGarmnd BT" w:hAnsi="OrigGarmnd BT"/>
          <w:i/>
          <w:sz w:val="24"/>
          <w:szCs w:val="24"/>
        </w:rPr>
        <w:t>Diskussions och beslutspunkt</w:t>
      </w:r>
    </w:p>
    <w:p w:rsidR="0092275E" w:rsidRPr="00055D58" w:rsidRDefault="0092275E" w:rsidP="0092275E">
      <w:pPr>
        <w:outlineLvl w:val="0"/>
        <w:rPr>
          <w:rFonts w:ascii="OrigGarmnd BT" w:hAnsi="OrigGarmnd BT"/>
          <w:sz w:val="24"/>
          <w:szCs w:val="24"/>
        </w:rPr>
      </w:pPr>
    </w:p>
    <w:p w:rsidR="0092275E" w:rsidRPr="00055D58" w:rsidRDefault="0092275E" w:rsidP="0092275E">
      <w:pPr>
        <w:outlineLvl w:val="0"/>
        <w:rPr>
          <w:rFonts w:ascii="OrigGarmnd BT" w:hAnsi="OrigGarmnd BT"/>
          <w:sz w:val="24"/>
          <w:szCs w:val="24"/>
        </w:rPr>
      </w:pPr>
      <w:r w:rsidRPr="00055D58">
        <w:rPr>
          <w:rFonts w:ascii="OrigGarmnd BT" w:hAnsi="OrigGarmnd BT"/>
          <w:sz w:val="24"/>
          <w:szCs w:val="24"/>
        </w:rPr>
        <w:t xml:space="preserve">Slutsatser om Kirgizistan förväntas antas som välkomnar att folkomröstningen den 27 juni avlöpte väl, inbjuder </w:t>
      </w:r>
      <w:r w:rsidR="00062BB3" w:rsidRPr="00055D58">
        <w:rPr>
          <w:rFonts w:ascii="OrigGarmnd BT" w:hAnsi="OrigGarmnd BT"/>
          <w:sz w:val="24"/>
          <w:szCs w:val="24"/>
        </w:rPr>
        <w:t>K</w:t>
      </w:r>
      <w:r w:rsidRPr="00055D58">
        <w:rPr>
          <w:rFonts w:ascii="OrigGarmnd BT" w:hAnsi="OrigGarmnd BT"/>
          <w:sz w:val="24"/>
          <w:szCs w:val="24"/>
        </w:rPr>
        <w:t xml:space="preserve">OM att fortsätta och utöka sitt stöd till KG:s reformprogram, uttrycker oro över säkerhetssituation, MR-läget och situationen för den uzbekiska minoriteten. </w:t>
      </w:r>
      <w:r w:rsidR="00167E85" w:rsidRPr="00055D58">
        <w:rPr>
          <w:rFonts w:ascii="OrigGarmnd BT" w:hAnsi="OrigGarmnd BT"/>
          <w:sz w:val="24"/>
          <w:szCs w:val="24"/>
        </w:rPr>
        <w:t>Slutsatserna u</w:t>
      </w:r>
      <w:r w:rsidRPr="00055D58">
        <w:rPr>
          <w:rFonts w:ascii="OrigGarmnd BT" w:hAnsi="OrigGarmnd BT"/>
          <w:sz w:val="24"/>
          <w:szCs w:val="24"/>
        </w:rPr>
        <w:t>ppmanar dessutom interimsregeringen</w:t>
      </w:r>
      <w:r w:rsidR="00167E85" w:rsidRPr="00055D58">
        <w:rPr>
          <w:rFonts w:ascii="OrigGarmnd BT" w:hAnsi="OrigGarmnd BT"/>
          <w:sz w:val="24"/>
          <w:szCs w:val="24"/>
        </w:rPr>
        <w:t xml:space="preserve"> att</w:t>
      </w:r>
      <w:r w:rsidRPr="00055D58">
        <w:rPr>
          <w:rFonts w:ascii="OrigGarmnd BT" w:hAnsi="OrigGarmnd BT"/>
          <w:sz w:val="24"/>
          <w:szCs w:val="24"/>
        </w:rPr>
        <w:t xml:space="preserve">, med hjälp av internationella samfundet, stödja och skydda de återvändande flyktingarna. </w:t>
      </w:r>
      <w:r w:rsidR="00167E85" w:rsidRPr="00055D58">
        <w:rPr>
          <w:rFonts w:ascii="OrigGarmnd BT" w:hAnsi="OrigGarmnd BT"/>
          <w:sz w:val="24"/>
          <w:szCs w:val="24"/>
        </w:rPr>
        <w:t xml:space="preserve">Vidare uppmanas </w:t>
      </w:r>
      <w:r w:rsidRPr="00055D58">
        <w:rPr>
          <w:rFonts w:ascii="OrigGarmnd BT" w:hAnsi="OrigGarmnd BT"/>
          <w:sz w:val="24"/>
          <w:szCs w:val="24"/>
        </w:rPr>
        <w:t xml:space="preserve">interimsregeringen att stödja tillsättandet av en oberoende internationell undersökningskommission och </w:t>
      </w:r>
      <w:r w:rsidR="00062BB3" w:rsidRPr="00055D58">
        <w:rPr>
          <w:rFonts w:ascii="OrigGarmnd BT" w:hAnsi="OrigGarmnd BT"/>
          <w:sz w:val="24"/>
          <w:szCs w:val="24"/>
        </w:rPr>
        <w:t xml:space="preserve">uttalar </w:t>
      </w:r>
      <w:r w:rsidRPr="00055D58">
        <w:rPr>
          <w:rFonts w:ascii="OrigGarmnd BT" w:hAnsi="OrigGarmnd BT"/>
          <w:sz w:val="24"/>
          <w:szCs w:val="24"/>
        </w:rPr>
        <w:t>att unionen är beredd att stödja en sådan kommission. SE stödjer slutsatserna.</w:t>
      </w:r>
    </w:p>
    <w:p w:rsidR="009F2927" w:rsidRPr="00055D58" w:rsidRDefault="009F2927" w:rsidP="008C169B">
      <w:pPr>
        <w:rPr>
          <w:rFonts w:ascii="OrigGarmnd BT" w:hAnsi="OrigGarmnd BT"/>
          <w:b/>
          <w:sz w:val="24"/>
          <w:szCs w:val="24"/>
        </w:rPr>
      </w:pPr>
    </w:p>
    <w:p w:rsidR="00215F37" w:rsidRPr="00055D58" w:rsidRDefault="00DC7453" w:rsidP="00215F37">
      <w:pPr>
        <w:rPr>
          <w:rFonts w:ascii="OrigGarmnd BT" w:hAnsi="OrigGarmnd BT"/>
          <w:b/>
          <w:sz w:val="24"/>
          <w:szCs w:val="24"/>
        </w:rPr>
      </w:pPr>
      <w:r w:rsidRPr="00055D58">
        <w:rPr>
          <w:rFonts w:ascii="OrigGarmnd BT" w:hAnsi="OrigGarmnd BT"/>
          <w:b/>
          <w:sz w:val="24"/>
          <w:szCs w:val="24"/>
        </w:rPr>
        <w:t>8</w:t>
      </w:r>
      <w:r w:rsidR="00CD7442" w:rsidRPr="00055D58">
        <w:rPr>
          <w:rFonts w:ascii="OrigGarmnd BT" w:hAnsi="OrigGarmnd BT"/>
          <w:b/>
          <w:sz w:val="24"/>
          <w:szCs w:val="24"/>
        </w:rPr>
        <w:t xml:space="preserve">. </w:t>
      </w:r>
      <w:r w:rsidRPr="00055D58">
        <w:rPr>
          <w:rFonts w:ascii="OrigGarmnd BT" w:hAnsi="OrigGarmnd BT"/>
          <w:b/>
          <w:sz w:val="24"/>
          <w:szCs w:val="24"/>
        </w:rPr>
        <w:t>(ev.) Georgien</w:t>
      </w:r>
    </w:p>
    <w:p w:rsidR="00B8672E" w:rsidRPr="00055D58" w:rsidRDefault="00B8672E" w:rsidP="00B8672E">
      <w:pPr>
        <w:rPr>
          <w:rFonts w:ascii="OrigGarmnd BT" w:hAnsi="OrigGarmnd BT" w:cs="OrigGarmnd BT"/>
          <w:color w:val="000000"/>
        </w:rPr>
      </w:pPr>
    </w:p>
    <w:p w:rsidR="00B8672E" w:rsidRPr="00055D58" w:rsidRDefault="00B8672E" w:rsidP="00B8672E">
      <w:pPr>
        <w:rPr>
          <w:rFonts w:ascii="OrigGarmnd BT" w:hAnsi="OrigGarmnd BT" w:cs="OrigGarmnd BT"/>
          <w:color w:val="000000"/>
          <w:sz w:val="24"/>
          <w:szCs w:val="24"/>
        </w:rPr>
      </w:pPr>
      <w:r w:rsidRPr="00055D58">
        <w:rPr>
          <w:rFonts w:ascii="OrigGarmnd BT" w:hAnsi="OrigGarmnd BT" w:cs="OrigGarmnd BT"/>
          <w:color w:val="000000"/>
          <w:sz w:val="24"/>
          <w:szCs w:val="24"/>
        </w:rPr>
        <w:t xml:space="preserve">Ev diskussion om läget i Georgien inklusive EU:s politik. Inga slutsatser förutses. </w:t>
      </w:r>
    </w:p>
    <w:p w:rsidR="00B8672E" w:rsidRPr="00055D58" w:rsidRDefault="00B8672E" w:rsidP="00B8672E">
      <w:pPr>
        <w:rPr>
          <w:rFonts w:ascii="OrigGarmnd BT" w:hAnsi="OrigGarmnd BT" w:cs="OrigGarmnd BT"/>
          <w:color w:val="000000"/>
          <w:sz w:val="24"/>
          <w:szCs w:val="24"/>
        </w:rPr>
      </w:pPr>
      <w:r w:rsidRPr="00055D58">
        <w:rPr>
          <w:rFonts w:ascii="OrigGarmnd BT" w:hAnsi="OrigGarmnd BT" w:cs="OrigGarmnd BT"/>
          <w:color w:val="000000"/>
          <w:sz w:val="24"/>
          <w:szCs w:val="24"/>
        </w:rPr>
        <w:t xml:space="preserve">Diskussionen förväntas bl.a. beröra Georgiens fortsatta EU-närmande i ljuset av de den 15 juli påbörjade förhandlingarna om ett associeringsavtal. Regeringens inställning är att EU:s starka engagemang för Georgien inklusive stödet till landets reformarbete bör fortsätta. </w:t>
      </w:r>
    </w:p>
    <w:p w:rsidR="00B8672E" w:rsidRPr="00055D58" w:rsidRDefault="00B8672E" w:rsidP="00215F37">
      <w:pPr>
        <w:rPr>
          <w:rFonts w:ascii="OrigGarmnd BT" w:hAnsi="OrigGarmnd BT"/>
          <w:bCs/>
          <w:i/>
          <w:sz w:val="24"/>
          <w:szCs w:val="24"/>
        </w:rPr>
      </w:pPr>
    </w:p>
    <w:p w:rsidR="00215F37" w:rsidRPr="00055D58" w:rsidRDefault="00215F37" w:rsidP="008C169B">
      <w:pPr>
        <w:rPr>
          <w:rFonts w:ascii="OrigGarmnd BT" w:hAnsi="OrigGarmnd BT"/>
          <w:b/>
          <w:sz w:val="24"/>
          <w:szCs w:val="24"/>
        </w:rPr>
      </w:pPr>
    </w:p>
    <w:p w:rsidR="009F2927" w:rsidRPr="00055D58" w:rsidRDefault="00DC7453" w:rsidP="00CD7442">
      <w:pPr>
        <w:jc w:val="both"/>
        <w:outlineLvl w:val="0"/>
        <w:rPr>
          <w:rFonts w:ascii="OrigGarmnd BT" w:hAnsi="OrigGarmnd BT"/>
          <w:b/>
          <w:sz w:val="24"/>
          <w:szCs w:val="24"/>
        </w:rPr>
      </w:pPr>
      <w:r w:rsidRPr="00055D58">
        <w:rPr>
          <w:rFonts w:ascii="OrigGarmnd BT" w:hAnsi="OrigGarmnd BT"/>
          <w:b/>
          <w:sz w:val="24"/>
          <w:szCs w:val="24"/>
        </w:rPr>
        <w:t>9</w:t>
      </w:r>
      <w:r w:rsidR="00215F37" w:rsidRPr="00055D58">
        <w:rPr>
          <w:rFonts w:ascii="OrigGarmnd BT" w:hAnsi="OrigGarmnd BT"/>
          <w:b/>
          <w:sz w:val="24"/>
          <w:szCs w:val="24"/>
        </w:rPr>
        <w:t xml:space="preserve">. </w:t>
      </w:r>
      <w:r w:rsidRPr="00055D58">
        <w:rPr>
          <w:rFonts w:ascii="OrigGarmnd BT" w:hAnsi="OrigGarmnd BT"/>
          <w:b/>
          <w:sz w:val="24"/>
          <w:szCs w:val="24"/>
        </w:rPr>
        <w:t xml:space="preserve">Västra Balkan </w:t>
      </w:r>
    </w:p>
    <w:p w:rsidR="009F2927" w:rsidRPr="00055D58" w:rsidRDefault="00D40BCE" w:rsidP="00D40BCE">
      <w:pPr>
        <w:outlineLvl w:val="0"/>
        <w:rPr>
          <w:rFonts w:ascii="OrigGarmnd BT" w:hAnsi="OrigGarmnd BT"/>
          <w:sz w:val="24"/>
          <w:szCs w:val="24"/>
        </w:rPr>
      </w:pPr>
      <w:r w:rsidRPr="00055D58">
        <w:rPr>
          <w:rFonts w:ascii="OrigGarmnd BT" w:hAnsi="OrigGarmnd BT"/>
          <w:i/>
          <w:sz w:val="24"/>
          <w:szCs w:val="24"/>
        </w:rPr>
        <w:t>Diskussionspunkt</w:t>
      </w:r>
      <w:r w:rsidRPr="00055D58">
        <w:rPr>
          <w:rFonts w:ascii="OrigGarmnd BT" w:hAnsi="OrigGarmnd BT"/>
          <w:sz w:val="24"/>
          <w:szCs w:val="24"/>
        </w:rPr>
        <w:t xml:space="preserve"> som kan förväntas fokusera på Kosovo, i ljuset av det yttrande från FN-domstolen (ICJ) i Haag som väntas dagarna före FAC. ICJ har på serbisk begäran prövat frågan om hur Kosovos självständighetsförklaring förhåller sig till </w:t>
      </w:r>
      <w:r w:rsidR="00B01ED4" w:rsidRPr="00055D58">
        <w:rPr>
          <w:rFonts w:ascii="OrigGarmnd BT" w:hAnsi="OrigGarmnd BT"/>
          <w:sz w:val="24"/>
          <w:szCs w:val="24"/>
        </w:rPr>
        <w:t>i</w:t>
      </w:r>
      <w:r w:rsidRPr="00055D58">
        <w:rPr>
          <w:rFonts w:ascii="OrigGarmnd BT" w:hAnsi="OrigGarmnd BT"/>
          <w:sz w:val="24"/>
          <w:szCs w:val="24"/>
        </w:rPr>
        <w:t xml:space="preserve">nternationell rätt. </w:t>
      </w:r>
      <w:r w:rsidR="00167E85" w:rsidRPr="00055D58">
        <w:rPr>
          <w:rFonts w:ascii="OrigGarmnd BT" w:hAnsi="OrigGarmnd BT"/>
          <w:sz w:val="24"/>
          <w:szCs w:val="24"/>
        </w:rPr>
        <w:t>Diskussionen väntas också ta upp s</w:t>
      </w:r>
      <w:r w:rsidRPr="00055D58">
        <w:rPr>
          <w:rFonts w:ascii="OrigGarmnd BT" w:hAnsi="OrigGarmnd BT"/>
          <w:sz w:val="24"/>
          <w:szCs w:val="24"/>
        </w:rPr>
        <w:t>ituatione</w:t>
      </w:r>
      <w:r w:rsidR="00B01ED4" w:rsidRPr="00055D58">
        <w:rPr>
          <w:rFonts w:ascii="OrigGarmnd BT" w:hAnsi="OrigGarmnd BT"/>
          <w:sz w:val="24"/>
          <w:szCs w:val="24"/>
        </w:rPr>
        <w:t>n</w:t>
      </w:r>
      <w:r w:rsidRPr="00055D58">
        <w:rPr>
          <w:rFonts w:ascii="OrigGarmnd BT" w:hAnsi="OrigGarmnd BT"/>
          <w:sz w:val="24"/>
          <w:szCs w:val="24"/>
        </w:rPr>
        <w:t xml:space="preserve"> i Bosnien Her</w:t>
      </w:r>
      <w:r w:rsidR="00167E85" w:rsidRPr="00055D58">
        <w:rPr>
          <w:rFonts w:ascii="OrigGarmnd BT" w:hAnsi="OrigGarmnd BT"/>
          <w:sz w:val="24"/>
          <w:szCs w:val="24"/>
        </w:rPr>
        <w:t>c</w:t>
      </w:r>
      <w:r w:rsidRPr="00055D58">
        <w:rPr>
          <w:rFonts w:ascii="OrigGarmnd BT" w:hAnsi="OrigGarmnd BT"/>
          <w:sz w:val="24"/>
          <w:szCs w:val="24"/>
        </w:rPr>
        <w:t>egovina och förutsättningarna för en förstärkt EU-närvaro i landet.</w:t>
      </w:r>
    </w:p>
    <w:p w:rsidR="003B6D4F" w:rsidRPr="00055D58" w:rsidRDefault="003B6D4F" w:rsidP="00CD7442">
      <w:pPr>
        <w:rPr>
          <w:rFonts w:ascii="OrigGarmnd BT" w:hAnsi="OrigGarmnd BT"/>
          <w:sz w:val="24"/>
          <w:szCs w:val="24"/>
        </w:rPr>
      </w:pPr>
    </w:p>
    <w:sectPr w:rsidR="003B6D4F" w:rsidRPr="00055D58">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40D" w:rsidRPr="00055D58" w:rsidRDefault="0012540D">
      <w:r w:rsidRPr="00055D58">
        <w:separator/>
      </w:r>
    </w:p>
  </w:endnote>
  <w:endnote w:type="continuationSeparator" w:id="0">
    <w:p w:rsidR="0012540D" w:rsidRPr="00055D58" w:rsidRDefault="0012540D">
      <w:r w:rsidRPr="00055D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DCC" w:rsidRPr="00055D58" w:rsidRDefault="00C71DCC" w:rsidP="00A1322C">
    <w:pPr>
      <w:pStyle w:val="Sidfot"/>
      <w:framePr w:wrap="around" w:vAnchor="text" w:hAnchor="margin" w:xAlign="right" w:y="1"/>
      <w:rPr>
        <w:rStyle w:val="Sidnummer"/>
      </w:rPr>
    </w:pPr>
    <w:r w:rsidRPr="00055D58">
      <w:rPr>
        <w:rStyle w:val="Sidnummer"/>
      </w:rPr>
      <w:fldChar w:fldCharType="begin" w:fldLock="1"/>
    </w:r>
    <w:r w:rsidRPr="00055D58">
      <w:rPr>
        <w:rStyle w:val="Sidnummer"/>
      </w:rPr>
      <w:instrText xml:space="preserve">PAGE  </w:instrText>
    </w:r>
    <w:r w:rsidRPr="00055D58">
      <w:rPr>
        <w:rStyle w:val="Sidnummer"/>
      </w:rPr>
      <w:fldChar w:fldCharType="end"/>
    </w:r>
  </w:p>
  <w:p w:rsidR="00C71DCC" w:rsidRPr="00055D58" w:rsidRDefault="00C71DCC" w:rsidP="00A1322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DCC" w:rsidRPr="00055D58" w:rsidRDefault="00C71DCC" w:rsidP="00A1322C">
    <w:pPr>
      <w:pStyle w:val="Sidfot"/>
      <w:ind w:right="360"/>
    </w:pPr>
    <w:r w:rsidRPr="00055D58">
      <w:rPr>
        <w:rStyle w:val="Sidnummer"/>
      </w:rPr>
      <w:tab/>
    </w:r>
    <w:r w:rsidRPr="00055D58">
      <w:rPr>
        <w:rStyle w:val="Sidnummer"/>
      </w:rPr>
      <w:tab/>
    </w:r>
    <w:r w:rsidRPr="00055D58">
      <w:rPr>
        <w:rStyle w:val="Sidnummer"/>
      </w:rPr>
      <w:fldChar w:fldCharType="begin" w:fldLock="1"/>
    </w:r>
    <w:r w:rsidRPr="00055D58">
      <w:rPr>
        <w:rStyle w:val="Sidnummer"/>
      </w:rPr>
      <w:instrText xml:space="preserve"> PAGE </w:instrText>
    </w:r>
    <w:r w:rsidRPr="00055D58">
      <w:rPr>
        <w:rStyle w:val="Sidnummer"/>
      </w:rPr>
      <w:fldChar w:fldCharType="separate"/>
    </w:r>
    <w:r w:rsidR="00AC4343" w:rsidRPr="00055D58">
      <w:rPr>
        <w:rStyle w:val="Sidnummer"/>
        <w:rPrChange w:id="3" w:author="Lars Brink" w:date="2025-12-18T01:05:00Z" w16du:dateUtc="2025-12-18T00:05:00Z">
          <w:rPr>
            <w:rStyle w:val="Sidnummer"/>
            <w:noProof/>
          </w:rPr>
        </w:rPrChange>
      </w:rPr>
      <w:t>4</w:t>
    </w:r>
    <w:r w:rsidRPr="00055D58">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40D" w:rsidRPr="00055D58" w:rsidRDefault="0012540D">
      <w:r w:rsidRPr="00055D58">
        <w:separator/>
      </w:r>
    </w:p>
  </w:footnote>
  <w:footnote w:type="continuationSeparator" w:id="0">
    <w:p w:rsidR="0012540D" w:rsidRPr="00055D58" w:rsidRDefault="0012540D">
      <w:r w:rsidRPr="00055D5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6E3"/>
    <w:multiLevelType w:val="hybridMultilevel"/>
    <w:tmpl w:val="7B107F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87738"/>
    <w:multiLevelType w:val="hybridMultilevel"/>
    <w:tmpl w:val="E9142722"/>
    <w:lvl w:ilvl="0" w:tplc="041D000F">
      <w:start w:val="1"/>
      <w:numFmt w:val="decimal"/>
      <w:lvlText w:val="%1."/>
      <w:lvlJc w:val="left"/>
      <w:pPr>
        <w:tabs>
          <w:tab w:val="num" w:pos="153"/>
        </w:tabs>
        <w:ind w:left="153" w:hanging="360"/>
      </w:pPr>
    </w:lvl>
    <w:lvl w:ilvl="1" w:tplc="041D0019" w:tentative="1">
      <w:start w:val="1"/>
      <w:numFmt w:val="lowerLetter"/>
      <w:lvlText w:val="%2."/>
      <w:lvlJc w:val="left"/>
      <w:pPr>
        <w:tabs>
          <w:tab w:val="num" w:pos="873"/>
        </w:tabs>
        <w:ind w:left="873" w:hanging="360"/>
      </w:pPr>
    </w:lvl>
    <w:lvl w:ilvl="2" w:tplc="041D001B" w:tentative="1">
      <w:start w:val="1"/>
      <w:numFmt w:val="lowerRoman"/>
      <w:lvlText w:val="%3."/>
      <w:lvlJc w:val="right"/>
      <w:pPr>
        <w:tabs>
          <w:tab w:val="num" w:pos="1593"/>
        </w:tabs>
        <w:ind w:left="1593" w:hanging="180"/>
      </w:pPr>
    </w:lvl>
    <w:lvl w:ilvl="3" w:tplc="041D000F" w:tentative="1">
      <w:start w:val="1"/>
      <w:numFmt w:val="decimal"/>
      <w:lvlText w:val="%4."/>
      <w:lvlJc w:val="left"/>
      <w:pPr>
        <w:tabs>
          <w:tab w:val="num" w:pos="2313"/>
        </w:tabs>
        <w:ind w:left="2313" w:hanging="360"/>
      </w:pPr>
    </w:lvl>
    <w:lvl w:ilvl="4" w:tplc="041D0019" w:tentative="1">
      <w:start w:val="1"/>
      <w:numFmt w:val="lowerLetter"/>
      <w:lvlText w:val="%5."/>
      <w:lvlJc w:val="left"/>
      <w:pPr>
        <w:tabs>
          <w:tab w:val="num" w:pos="3033"/>
        </w:tabs>
        <w:ind w:left="3033" w:hanging="360"/>
      </w:pPr>
    </w:lvl>
    <w:lvl w:ilvl="5" w:tplc="041D001B" w:tentative="1">
      <w:start w:val="1"/>
      <w:numFmt w:val="lowerRoman"/>
      <w:lvlText w:val="%6."/>
      <w:lvlJc w:val="right"/>
      <w:pPr>
        <w:tabs>
          <w:tab w:val="num" w:pos="3753"/>
        </w:tabs>
        <w:ind w:left="3753" w:hanging="180"/>
      </w:pPr>
    </w:lvl>
    <w:lvl w:ilvl="6" w:tplc="041D000F" w:tentative="1">
      <w:start w:val="1"/>
      <w:numFmt w:val="decimal"/>
      <w:lvlText w:val="%7."/>
      <w:lvlJc w:val="left"/>
      <w:pPr>
        <w:tabs>
          <w:tab w:val="num" w:pos="4473"/>
        </w:tabs>
        <w:ind w:left="4473" w:hanging="360"/>
      </w:pPr>
    </w:lvl>
    <w:lvl w:ilvl="7" w:tplc="041D0019" w:tentative="1">
      <w:start w:val="1"/>
      <w:numFmt w:val="lowerLetter"/>
      <w:lvlText w:val="%8."/>
      <w:lvlJc w:val="left"/>
      <w:pPr>
        <w:tabs>
          <w:tab w:val="num" w:pos="5193"/>
        </w:tabs>
        <w:ind w:left="5193" w:hanging="360"/>
      </w:pPr>
    </w:lvl>
    <w:lvl w:ilvl="8" w:tplc="041D001B" w:tentative="1">
      <w:start w:val="1"/>
      <w:numFmt w:val="lowerRoman"/>
      <w:lvlText w:val="%9."/>
      <w:lvlJc w:val="right"/>
      <w:pPr>
        <w:tabs>
          <w:tab w:val="num" w:pos="5913"/>
        </w:tabs>
        <w:ind w:left="5913" w:hanging="180"/>
      </w:pPr>
    </w:lvl>
  </w:abstractNum>
  <w:num w:numId="1" w16cid:durableId="1311402182">
    <w:abstractNumId w:val="0"/>
  </w:num>
  <w:num w:numId="2" w16cid:durableId="7909801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C"/>
    <w:rsid w:val="00001121"/>
    <w:rsid w:val="00055D58"/>
    <w:rsid w:val="0006144E"/>
    <w:rsid w:val="00062BB3"/>
    <w:rsid w:val="00082CC5"/>
    <w:rsid w:val="00086F95"/>
    <w:rsid w:val="000A4D63"/>
    <w:rsid w:val="000A588F"/>
    <w:rsid w:val="000C5E0C"/>
    <w:rsid w:val="000C7EDD"/>
    <w:rsid w:val="000F1733"/>
    <w:rsid w:val="00120E4C"/>
    <w:rsid w:val="0012540D"/>
    <w:rsid w:val="001328CC"/>
    <w:rsid w:val="0014017D"/>
    <w:rsid w:val="00167E85"/>
    <w:rsid w:val="001803B3"/>
    <w:rsid w:val="0019071D"/>
    <w:rsid w:val="001A1264"/>
    <w:rsid w:val="001A333C"/>
    <w:rsid w:val="001F7DB4"/>
    <w:rsid w:val="002021D0"/>
    <w:rsid w:val="00215F37"/>
    <w:rsid w:val="002331F3"/>
    <w:rsid w:val="00251785"/>
    <w:rsid w:val="002A0EDD"/>
    <w:rsid w:val="002C4CA3"/>
    <w:rsid w:val="00302208"/>
    <w:rsid w:val="0039238F"/>
    <w:rsid w:val="003B6D4F"/>
    <w:rsid w:val="00412BC0"/>
    <w:rsid w:val="00420E8C"/>
    <w:rsid w:val="00477E10"/>
    <w:rsid w:val="0048427F"/>
    <w:rsid w:val="0049312E"/>
    <w:rsid w:val="004932F3"/>
    <w:rsid w:val="004B6956"/>
    <w:rsid w:val="004D0B99"/>
    <w:rsid w:val="004D56F4"/>
    <w:rsid w:val="004E5918"/>
    <w:rsid w:val="004F3887"/>
    <w:rsid w:val="00501829"/>
    <w:rsid w:val="005127CA"/>
    <w:rsid w:val="00524839"/>
    <w:rsid w:val="00566E1B"/>
    <w:rsid w:val="00581019"/>
    <w:rsid w:val="005D27E4"/>
    <w:rsid w:val="005F069C"/>
    <w:rsid w:val="0062727C"/>
    <w:rsid w:val="00686E7E"/>
    <w:rsid w:val="006C3E20"/>
    <w:rsid w:val="006D17ED"/>
    <w:rsid w:val="006D239B"/>
    <w:rsid w:val="007119FA"/>
    <w:rsid w:val="00734EA3"/>
    <w:rsid w:val="007403C5"/>
    <w:rsid w:val="00783053"/>
    <w:rsid w:val="007B6F02"/>
    <w:rsid w:val="007C1F67"/>
    <w:rsid w:val="00836134"/>
    <w:rsid w:val="008854E3"/>
    <w:rsid w:val="00886FC4"/>
    <w:rsid w:val="008956C5"/>
    <w:rsid w:val="008C0A43"/>
    <w:rsid w:val="008C169B"/>
    <w:rsid w:val="008C206B"/>
    <w:rsid w:val="008D0AD5"/>
    <w:rsid w:val="008E6545"/>
    <w:rsid w:val="00920DBF"/>
    <w:rsid w:val="0092275E"/>
    <w:rsid w:val="0098176C"/>
    <w:rsid w:val="00991629"/>
    <w:rsid w:val="009F2927"/>
    <w:rsid w:val="00A1322C"/>
    <w:rsid w:val="00A30BF4"/>
    <w:rsid w:val="00A41040"/>
    <w:rsid w:val="00A51759"/>
    <w:rsid w:val="00AA5B65"/>
    <w:rsid w:val="00AC4343"/>
    <w:rsid w:val="00AC5682"/>
    <w:rsid w:val="00AE146B"/>
    <w:rsid w:val="00AF28F0"/>
    <w:rsid w:val="00B01ED4"/>
    <w:rsid w:val="00B05E71"/>
    <w:rsid w:val="00B60265"/>
    <w:rsid w:val="00B8672E"/>
    <w:rsid w:val="00B931C6"/>
    <w:rsid w:val="00BA3174"/>
    <w:rsid w:val="00C67009"/>
    <w:rsid w:val="00C71DCC"/>
    <w:rsid w:val="00CD7442"/>
    <w:rsid w:val="00D40BCE"/>
    <w:rsid w:val="00D47FBD"/>
    <w:rsid w:val="00D9519A"/>
    <w:rsid w:val="00DA6CF3"/>
    <w:rsid w:val="00DC4546"/>
    <w:rsid w:val="00DC4C1B"/>
    <w:rsid w:val="00DC7453"/>
    <w:rsid w:val="00DD2793"/>
    <w:rsid w:val="00DF14E7"/>
    <w:rsid w:val="00DF71AA"/>
    <w:rsid w:val="00E31090"/>
    <w:rsid w:val="00E6471C"/>
    <w:rsid w:val="00EA10DF"/>
    <w:rsid w:val="00EA7A65"/>
    <w:rsid w:val="00EC555F"/>
    <w:rsid w:val="00EE1487"/>
    <w:rsid w:val="00EF4597"/>
    <w:rsid w:val="00F0103A"/>
    <w:rsid w:val="00F01C98"/>
    <w:rsid w:val="00F47B4F"/>
    <w:rsid w:val="00F50B1D"/>
    <w:rsid w:val="00F817ED"/>
    <w:rsid w:val="00F85321"/>
    <w:rsid w:val="00FF2E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0A5373-E559-4787-B851-F19F939D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2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1322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1322C"/>
  </w:style>
  <w:style w:type="paragraph" w:styleId="Sidfot">
    <w:name w:val="footer"/>
    <w:basedOn w:val="Normal"/>
    <w:rsid w:val="00A1322C"/>
    <w:pPr>
      <w:tabs>
        <w:tab w:val="center" w:pos="4153"/>
        <w:tab w:val="right" w:pos="8306"/>
      </w:tabs>
    </w:pPr>
    <w:rPr>
      <w:sz w:val="24"/>
    </w:rPr>
  </w:style>
  <w:style w:type="paragraph" w:customStyle="1" w:styleId="UDrubrik">
    <w:name w:val="UDrubrik"/>
    <w:basedOn w:val="Normal"/>
    <w:next w:val="Normal"/>
    <w:rsid w:val="00A1322C"/>
    <w:pPr>
      <w:spacing w:line="320" w:lineRule="exact"/>
    </w:pPr>
    <w:rPr>
      <w:rFonts w:ascii="Arial" w:hAnsi="Arial"/>
      <w:b/>
      <w:sz w:val="22"/>
    </w:rPr>
  </w:style>
  <w:style w:type="paragraph" w:customStyle="1" w:styleId="Brdtext1">
    <w:name w:val="Brödtext1"/>
    <w:basedOn w:val="Normal"/>
    <w:link w:val="Brdtext1Char"/>
    <w:rsid w:val="00A1322C"/>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1322C"/>
    <w:rPr>
      <w:rFonts w:ascii="OrigGarmnd BT" w:hAnsi="OrigGarmnd BT"/>
      <w:sz w:val="24"/>
      <w:lang w:val="sv-SE" w:eastAsia="en-US" w:bidi="ar-SA"/>
    </w:rPr>
  </w:style>
  <w:style w:type="paragraph" w:customStyle="1" w:styleId="RKnormal">
    <w:name w:val="RKnormal"/>
    <w:basedOn w:val="Normal"/>
    <w:link w:val="RKnormalChar"/>
    <w:rsid w:val="00EA7A6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EA7A65"/>
    <w:rPr>
      <w:rFonts w:ascii="OrigGarmnd BT" w:hAnsi="OrigGarmnd BT"/>
      <w:sz w:val="24"/>
      <w:lang w:val="sv-SE" w:eastAsia="en-US" w:bidi="ar-SA"/>
    </w:rPr>
  </w:style>
  <w:style w:type="paragraph" w:customStyle="1" w:styleId="Brdtexthuvud">
    <w:name w:val="Brödtext huvud"/>
    <w:basedOn w:val="Brdtext1"/>
    <w:rsid w:val="00EA7A65"/>
    <w:pPr>
      <w:framePr w:w="4570" w:h="1701" w:hRule="exact" w:hSpace="181" w:wrap="around" w:vAnchor="page" w:hAnchor="page" w:x="6697" w:y="681"/>
    </w:pPr>
  </w:style>
  <w:style w:type="paragraph" w:styleId="Ballongtext">
    <w:name w:val="Balloon Text"/>
    <w:basedOn w:val="Normal"/>
    <w:semiHidden/>
    <w:rsid w:val="00AC4343"/>
    <w:rPr>
      <w:rFonts w:ascii="Tahoma" w:hAnsi="Tahoma" w:cs="Tahoma"/>
      <w:sz w:val="16"/>
      <w:szCs w:val="16"/>
    </w:rPr>
  </w:style>
  <w:style w:type="paragraph" w:styleId="Revision">
    <w:name w:val="Revision"/>
    <w:hidden/>
    <w:uiPriority w:val="99"/>
    <w:semiHidden/>
    <w:rsid w:val="00055D5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5252</Characters>
  <Application>Microsoft Office Word</Application>
  <DocSecurity>4</DocSecurity>
  <Lines>128</Lines>
  <Paragraphs>34</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2010-07-16T12:39:00Z</cp:lastPrinted>
  <dcterms:created xsi:type="dcterms:W3CDTF">2025-12-18T00:05:00Z</dcterms:created>
  <dcterms:modified xsi:type="dcterms:W3CDTF">2025-12-18T00:05:00Z</dcterms:modified>
</cp:coreProperties>
</file>