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46084">
        <w:tblPrEx>
          <w:tblCellMar>
            <w:top w:w="0" w:type="dxa"/>
            <w:bottom w:w="0" w:type="dxa"/>
          </w:tblCellMar>
        </w:tblPrEx>
        <w:tc>
          <w:tcPr>
            <w:tcW w:w="2268" w:type="dxa"/>
          </w:tcPr>
          <w:p w:rsidR="006E4E11" w:rsidRPr="00B46084" w:rsidRDefault="006E4E11" w:rsidP="0051109F">
            <w:pPr>
              <w:framePr w:w="5035" w:h="1644" w:wrap="notBeside" w:vAnchor="page" w:hAnchor="page" w:x="6622" w:y="665"/>
              <w:rPr>
                <w:rFonts w:ascii="TradeGothic" w:hAnsi="TradeGothic"/>
                <w:i/>
                <w:sz w:val="18"/>
              </w:rPr>
            </w:pPr>
          </w:p>
        </w:tc>
        <w:tc>
          <w:tcPr>
            <w:tcW w:w="2999" w:type="dxa"/>
            <w:gridSpan w:val="2"/>
          </w:tcPr>
          <w:p w:rsidR="006E4E11" w:rsidRPr="00B46084" w:rsidRDefault="006E4E11" w:rsidP="0051109F">
            <w:pPr>
              <w:framePr w:w="5035" w:h="1644" w:wrap="notBeside" w:vAnchor="page" w:hAnchor="page" w:x="6622" w:y="665"/>
              <w:rPr>
                <w:rFonts w:ascii="TradeGothic" w:hAnsi="TradeGothic"/>
                <w:i/>
                <w:sz w:val="18"/>
              </w:rPr>
            </w:pPr>
          </w:p>
        </w:tc>
      </w:tr>
      <w:tr w:rsidR="00F35FA7" w:rsidRPr="00B46084">
        <w:tblPrEx>
          <w:tblCellMar>
            <w:top w:w="0" w:type="dxa"/>
            <w:bottom w:w="0" w:type="dxa"/>
          </w:tblCellMar>
        </w:tblPrEx>
        <w:tc>
          <w:tcPr>
            <w:tcW w:w="5267" w:type="dxa"/>
            <w:gridSpan w:val="3"/>
          </w:tcPr>
          <w:p w:rsidR="00F35FA7" w:rsidRPr="00B46084" w:rsidRDefault="00961AC3" w:rsidP="0051109F">
            <w:pPr>
              <w:framePr w:w="5035" w:h="1644" w:wrap="notBeside" w:vAnchor="page" w:hAnchor="page" w:x="6622" w:y="665"/>
              <w:rPr>
                <w:rFonts w:ascii="TradeGothic" w:hAnsi="TradeGothic"/>
                <w:b/>
                <w:sz w:val="22"/>
              </w:rPr>
            </w:pPr>
            <w:r w:rsidRPr="00B46084">
              <w:rPr>
                <w:rFonts w:ascii="TradeGothic" w:hAnsi="TradeGothic"/>
                <w:b/>
                <w:sz w:val="22"/>
              </w:rPr>
              <w:t xml:space="preserve">Rapport </w:t>
            </w:r>
          </w:p>
        </w:tc>
      </w:tr>
      <w:tr w:rsidR="006E4E11" w:rsidRPr="00B46084">
        <w:tblPrEx>
          <w:tblCellMar>
            <w:top w:w="0" w:type="dxa"/>
            <w:bottom w:w="0" w:type="dxa"/>
          </w:tblCellMar>
        </w:tblPrEx>
        <w:tc>
          <w:tcPr>
            <w:tcW w:w="3402" w:type="dxa"/>
            <w:gridSpan w:val="2"/>
          </w:tcPr>
          <w:p w:rsidR="006E4E11" w:rsidRPr="00B46084" w:rsidRDefault="006E4E11" w:rsidP="0051109F">
            <w:pPr>
              <w:framePr w:w="5035" w:h="1644" w:wrap="notBeside" w:vAnchor="page" w:hAnchor="page" w:x="6622" w:y="665"/>
              <w:rPr>
                <w:rFonts w:ascii="TradeGothic" w:hAnsi="TradeGothic"/>
                <w:b/>
                <w:sz w:val="22"/>
              </w:rPr>
            </w:pPr>
          </w:p>
        </w:tc>
        <w:tc>
          <w:tcPr>
            <w:tcW w:w="1865" w:type="dxa"/>
          </w:tcPr>
          <w:p w:rsidR="006E4E11" w:rsidRPr="00B46084" w:rsidRDefault="006E4E11" w:rsidP="0051109F">
            <w:pPr>
              <w:framePr w:w="5035" w:h="1644" w:wrap="notBeside" w:vAnchor="page" w:hAnchor="page" w:x="6622" w:y="665"/>
            </w:pPr>
          </w:p>
        </w:tc>
      </w:tr>
      <w:tr w:rsidR="006E4E11" w:rsidRPr="00B46084">
        <w:tblPrEx>
          <w:tblCellMar>
            <w:top w:w="0" w:type="dxa"/>
            <w:bottom w:w="0" w:type="dxa"/>
          </w:tblCellMar>
        </w:tblPrEx>
        <w:tc>
          <w:tcPr>
            <w:tcW w:w="2268" w:type="dxa"/>
          </w:tcPr>
          <w:p w:rsidR="006E4E11" w:rsidRPr="00B46084" w:rsidRDefault="008C6B0D" w:rsidP="0051109F">
            <w:pPr>
              <w:framePr w:w="5035" w:h="1644" w:wrap="notBeside" w:vAnchor="page" w:hAnchor="page" w:x="6622" w:y="665"/>
            </w:pPr>
            <w:r w:rsidRPr="00B46084">
              <w:t>2009-</w:t>
            </w:r>
            <w:r w:rsidR="00D047BD" w:rsidRPr="00B46084">
              <w:t>10-2</w:t>
            </w:r>
            <w:r w:rsidR="006B542A" w:rsidRPr="00B46084">
              <w:t>8</w:t>
            </w:r>
          </w:p>
        </w:tc>
        <w:tc>
          <w:tcPr>
            <w:tcW w:w="2999" w:type="dxa"/>
            <w:gridSpan w:val="2"/>
          </w:tcPr>
          <w:p w:rsidR="006E4E11" w:rsidRPr="00B46084" w:rsidRDefault="006E4E11" w:rsidP="0051109F">
            <w:pPr>
              <w:framePr w:w="5035" w:h="1644" w:wrap="notBeside" w:vAnchor="page" w:hAnchor="page" w:x="6622" w:y="665"/>
            </w:pPr>
          </w:p>
        </w:tc>
      </w:tr>
      <w:tr w:rsidR="006E4E11" w:rsidRPr="00B46084">
        <w:tblPrEx>
          <w:tblCellMar>
            <w:top w:w="0" w:type="dxa"/>
            <w:bottom w:w="0" w:type="dxa"/>
          </w:tblCellMar>
        </w:tblPrEx>
        <w:tc>
          <w:tcPr>
            <w:tcW w:w="2268" w:type="dxa"/>
          </w:tcPr>
          <w:p w:rsidR="006E4E11" w:rsidRPr="00B46084" w:rsidRDefault="006E4E11" w:rsidP="0051109F">
            <w:pPr>
              <w:framePr w:w="5035" w:h="1644" w:wrap="notBeside" w:vAnchor="page" w:hAnchor="page" w:x="6622" w:y="665"/>
            </w:pPr>
          </w:p>
          <w:p w:rsidR="00AC0046" w:rsidRPr="00B46084" w:rsidRDefault="00AC0046" w:rsidP="0051109F">
            <w:pPr>
              <w:framePr w:w="5035" w:h="1644" w:wrap="notBeside" w:vAnchor="page" w:hAnchor="page" w:x="6622" w:y="665"/>
            </w:pPr>
          </w:p>
        </w:tc>
        <w:tc>
          <w:tcPr>
            <w:tcW w:w="2999" w:type="dxa"/>
            <w:gridSpan w:val="2"/>
          </w:tcPr>
          <w:p w:rsidR="006E4E11" w:rsidRPr="00B46084" w:rsidRDefault="006E4E11" w:rsidP="0051109F">
            <w:pPr>
              <w:framePr w:w="5035" w:h="1644" w:wrap="notBeside" w:vAnchor="page" w:hAnchor="page" w:x="6622" w:y="665"/>
            </w:pPr>
          </w:p>
        </w:tc>
      </w:tr>
    </w:tbl>
    <w:tbl>
      <w:tblPr>
        <w:tblW w:w="0" w:type="auto"/>
        <w:tblLayout w:type="fixed"/>
        <w:tblLook w:val="0000" w:firstRow="0" w:lastRow="0" w:firstColumn="0" w:lastColumn="0" w:noHBand="0" w:noVBand="0"/>
      </w:tblPr>
      <w:tblGrid>
        <w:gridCol w:w="4911"/>
      </w:tblGrid>
      <w:tr w:rsidR="006E4E11" w:rsidRPr="00B46084">
        <w:tblPrEx>
          <w:tblCellMar>
            <w:top w:w="0" w:type="dxa"/>
            <w:bottom w:w="0" w:type="dxa"/>
          </w:tblCellMar>
        </w:tblPrEx>
        <w:trPr>
          <w:trHeight w:val="284"/>
        </w:trPr>
        <w:tc>
          <w:tcPr>
            <w:tcW w:w="4911" w:type="dxa"/>
          </w:tcPr>
          <w:p w:rsidR="006E4E11" w:rsidRPr="00B46084" w:rsidRDefault="00F35FA7">
            <w:pPr>
              <w:pStyle w:val="Avsndare"/>
              <w:framePr w:h="2483" w:wrap="notBeside" w:x="1504"/>
              <w:rPr>
                <w:b/>
                <w:i w:val="0"/>
                <w:sz w:val="22"/>
              </w:rPr>
            </w:pPr>
            <w:r w:rsidRPr="00B46084">
              <w:rPr>
                <w:b/>
                <w:i w:val="0"/>
                <w:sz w:val="22"/>
              </w:rPr>
              <w:t>Miljödepartementet</w:t>
            </w: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r w:rsidR="006E4E11" w:rsidRPr="00B46084">
        <w:tblPrEx>
          <w:tblCellMar>
            <w:top w:w="0" w:type="dxa"/>
            <w:bottom w:w="0" w:type="dxa"/>
          </w:tblCellMar>
        </w:tblPrEx>
        <w:trPr>
          <w:trHeight w:val="284"/>
        </w:trPr>
        <w:tc>
          <w:tcPr>
            <w:tcW w:w="4911" w:type="dxa"/>
          </w:tcPr>
          <w:p w:rsidR="006E4E11" w:rsidRPr="00B46084" w:rsidRDefault="006E4E11">
            <w:pPr>
              <w:pStyle w:val="Avsndare"/>
              <w:framePr w:h="2483" w:wrap="notBeside" w:x="1504"/>
              <w:rPr>
                <w:bCs/>
                <w:iCs/>
              </w:rPr>
            </w:pPr>
          </w:p>
        </w:tc>
      </w:tr>
    </w:tbl>
    <w:p w:rsidR="00AC0046" w:rsidRPr="00B46084" w:rsidRDefault="00AC0046">
      <w:pPr>
        <w:framePr w:w="4400" w:h="2523" w:wrap="notBeside" w:vAnchor="page" w:hAnchor="page" w:x="6453" w:y="2445"/>
        <w:ind w:left="142"/>
      </w:pPr>
      <w:r w:rsidRPr="00B46084">
        <w:t>Dnr M200</w:t>
      </w:r>
      <w:r w:rsidR="00EA0D1F" w:rsidRPr="00B46084">
        <w:t>9</w:t>
      </w:r>
      <w:r w:rsidRPr="00B46084">
        <w:t>/</w:t>
      </w:r>
      <w:r w:rsidR="00FA1D24" w:rsidRPr="00B46084">
        <w:t>3624</w:t>
      </w:r>
      <w:r w:rsidRPr="00B46084">
        <w:t>/I</w:t>
      </w:r>
      <w:r w:rsidR="00DA7626" w:rsidRPr="00B46084">
        <w:t xml:space="preserve"> </w:t>
      </w:r>
    </w:p>
    <w:p w:rsidR="00AC0046" w:rsidRPr="00B46084" w:rsidRDefault="00AC0046">
      <w:pPr>
        <w:framePr w:w="4400" w:h="2523" w:wrap="notBeside" w:vAnchor="page" w:hAnchor="page" w:x="6453" w:y="2445"/>
        <w:ind w:left="142"/>
      </w:pPr>
    </w:p>
    <w:p w:rsidR="00C7130E" w:rsidRPr="00B46084" w:rsidRDefault="00C7130E">
      <w:pPr>
        <w:framePr w:w="4400" w:h="2523" w:wrap="notBeside" w:vAnchor="page" w:hAnchor="page" w:x="6453" w:y="2445"/>
        <w:ind w:left="142"/>
      </w:pPr>
      <w:r w:rsidRPr="00B46084">
        <w:t xml:space="preserve">Kammarkansliet </w:t>
      </w:r>
    </w:p>
    <w:p w:rsidR="00C7130E" w:rsidRPr="00B46084" w:rsidRDefault="00C7130E">
      <w:pPr>
        <w:framePr w:w="4400" w:h="2523" w:wrap="notBeside" w:vAnchor="page" w:hAnchor="page" w:x="6453" w:y="2445"/>
        <w:ind w:left="142"/>
      </w:pPr>
      <w:r w:rsidRPr="00B46084">
        <w:t xml:space="preserve">EU-nämnden </w:t>
      </w:r>
    </w:p>
    <w:p w:rsidR="00C7130E" w:rsidRPr="00B46084" w:rsidRDefault="00C7130E">
      <w:pPr>
        <w:framePr w:w="4400" w:h="2523" w:wrap="notBeside" w:vAnchor="page" w:hAnchor="page" w:x="6453" w:y="2445"/>
        <w:ind w:left="142"/>
      </w:pPr>
      <w:r w:rsidRPr="00B46084">
        <w:t xml:space="preserve">Miljö- och jordbruksutskottet </w:t>
      </w:r>
    </w:p>
    <w:p w:rsidR="006E4E11" w:rsidRPr="00B46084" w:rsidRDefault="00586840">
      <w:pPr>
        <w:framePr w:w="4400" w:h="2523" w:wrap="notBeside" w:vAnchor="page" w:hAnchor="page" w:x="6453" w:y="2445"/>
        <w:ind w:left="142"/>
      </w:pPr>
      <w:r w:rsidRPr="00B46084">
        <w:t xml:space="preserve"> </w:t>
      </w:r>
    </w:p>
    <w:p w:rsidR="00F35FA7" w:rsidRPr="00B46084" w:rsidRDefault="00961AC3">
      <w:pPr>
        <w:pStyle w:val="RKrubrik"/>
        <w:pBdr>
          <w:bottom w:val="single" w:sz="6" w:space="1" w:color="auto"/>
        </w:pBdr>
      </w:pPr>
      <w:bookmarkStart w:id="0" w:name="bRubrik"/>
      <w:bookmarkEnd w:id="0"/>
      <w:r w:rsidRPr="00B46084">
        <w:t>Rapport</w:t>
      </w:r>
      <w:r w:rsidR="005028BE" w:rsidRPr="00B46084">
        <w:t xml:space="preserve"> från </w:t>
      </w:r>
      <w:r w:rsidR="005D269C" w:rsidRPr="00B46084">
        <w:t>miljö</w:t>
      </w:r>
      <w:r w:rsidR="005028BE" w:rsidRPr="00B46084">
        <w:t>r</w:t>
      </w:r>
      <w:r w:rsidR="00F35FA7" w:rsidRPr="00B46084">
        <w:t xml:space="preserve">ådet den </w:t>
      </w:r>
      <w:r w:rsidR="00D047BD" w:rsidRPr="00B46084">
        <w:t>21 oktober</w:t>
      </w:r>
      <w:r w:rsidR="00342117" w:rsidRPr="00B46084">
        <w:t xml:space="preserve"> 2009</w:t>
      </w:r>
      <w:r w:rsidR="00F35FA7" w:rsidRPr="00B46084">
        <w:t xml:space="preserve"> </w:t>
      </w:r>
    </w:p>
    <w:p w:rsidR="004C0E5F" w:rsidRPr="00B46084" w:rsidRDefault="00DA7626" w:rsidP="00DD2CC7">
      <w:pPr>
        <w:overflowPunct/>
        <w:spacing w:line="240" w:lineRule="auto"/>
        <w:textAlignment w:val="auto"/>
      </w:pPr>
      <w:r w:rsidRPr="00B46084">
        <w:rPr>
          <w:color w:val="FF0000"/>
        </w:rPr>
        <w:t xml:space="preserve"> </w:t>
      </w:r>
    </w:p>
    <w:p w:rsidR="009F6F5F" w:rsidRPr="00B46084" w:rsidRDefault="00C926C4" w:rsidP="008C6B0D">
      <w:pPr>
        <w:pStyle w:val="RKnormal"/>
        <w:pBdr>
          <w:top w:val="single" w:sz="4" w:space="1" w:color="auto"/>
          <w:left w:val="single" w:sz="4" w:space="4" w:color="auto"/>
          <w:bottom w:val="single" w:sz="4" w:space="1" w:color="auto"/>
          <w:right w:val="single" w:sz="4" w:space="4" w:color="auto"/>
        </w:pBdr>
        <w:spacing w:line="240" w:lineRule="auto"/>
      </w:pPr>
      <w:r w:rsidRPr="00B46084">
        <w:rPr>
          <w:u w:val="single"/>
        </w:rPr>
        <w:t>Sammanfattning:</w:t>
      </w:r>
      <w:r w:rsidRPr="00B46084">
        <w:t xml:space="preserve"> </w:t>
      </w:r>
      <w:r w:rsidRPr="00B46084">
        <w:br/>
      </w:r>
      <w:r w:rsidRPr="00B46084">
        <w:rPr>
          <w:b/>
        </w:rPr>
        <w:t xml:space="preserve">- </w:t>
      </w:r>
      <w:r w:rsidR="00DF327A" w:rsidRPr="00B46084">
        <w:rPr>
          <w:b/>
        </w:rPr>
        <w:t>Råd</w:t>
      </w:r>
      <w:r w:rsidR="005C07A0" w:rsidRPr="00B46084">
        <w:rPr>
          <w:b/>
        </w:rPr>
        <w:t>s</w:t>
      </w:r>
      <w:r w:rsidR="00DF327A" w:rsidRPr="00B46084">
        <w:rPr>
          <w:b/>
        </w:rPr>
        <w:t>slutsatser om k</w:t>
      </w:r>
      <w:r w:rsidRPr="00B46084">
        <w:rPr>
          <w:b/>
        </w:rPr>
        <w:t>limat:</w:t>
      </w:r>
      <w:r w:rsidRPr="00B46084">
        <w:t xml:space="preserve"> </w:t>
      </w:r>
      <w:r w:rsidR="00F952D9" w:rsidRPr="00B46084">
        <w:t xml:space="preserve">Miljörådet antog slutsatser om </w:t>
      </w:r>
      <w:r w:rsidR="00E27CC3" w:rsidRPr="00B46084">
        <w:t xml:space="preserve">EU:s ståndpunkt inför partsmötet inom klimatförhandlingarna i Köpenhamn. </w:t>
      </w:r>
    </w:p>
    <w:p w:rsidR="00C926C4" w:rsidRPr="00B46084" w:rsidRDefault="00C500E4" w:rsidP="008C6B0D">
      <w:pPr>
        <w:pStyle w:val="RKnormal"/>
        <w:pBdr>
          <w:top w:val="single" w:sz="4" w:space="1" w:color="auto"/>
          <w:left w:val="single" w:sz="4" w:space="4" w:color="auto"/>
          <w:bottom w:val="single" w:sz="4" w:space="1" w:color="auto"/>
          <w:right w:val="single" w:sz="4" w:space="4" w:color="auto"/>
        </w:pBdr>
        <w:spacing w:line="240" w:lineRule="auto"/>
        <w:rPr>
          <w:b/>
        </w:rPr>
      </w:pPr>
      <w:r w:rsidRPr="00B46084">
        <w:t xml:space="preserve">Ändringarna som gjordes </w:t>
      </w:r>
      <w:r w:rsidR="009F6F5F" w:rsidRPr="00B46084">
        <w:t>på rådsmötet</w:t>
      </w:r>
      <w:r w:rsidRPr="00B46084">
        <w:t xml:space="preserve"> </w:t>
      </w:r>
      <w:r w:rsidR="00F366BF" w:rsidRPr="00B46084">
        <w:t xml:space="preserve">rör </w:t>
      </w:r>
      <w:r w:rsidR="005C07A0" w:rsidRPr="00B46084">
        <w:t>långsiktigt mål för utsläppsminskningar</w:t>
      </w:r>
      <w:r w:rsidRPr="00B46084">
        <w:t xml:space="preserve">, </w:t>
      </w:r>
      <w:r w:rsidR="005C07A0" w:rsidRPr="00B46084">
        <w:t>utsläppsmål för internationell sjö- och luftfart</w:t>
      </w:r>
      <w:r w:rsidR="00E27CC3" w:rsidRPr="00B46084">
        <w:t>,</w:t>
      </w:r>
      <w:r w:rsidR="005C07A0" w:rsidRPr="00B46084">
        <w:t xml:space="preserve"> </w:t>
      </w:r>
      <w:r w:rsidR="00E27CC3" w:rsidRPr="00B46084">
        <w:t>samt</w:t>
      </w:r>
      <w:r w:rsidRPr="00B46084">
        <w:t xml:space="preserve"> </w:t>
      </w:r>
      <w:r w:rsidR="005C07A0" w:rsidRPr="00B46084">
        <w:t>överskottet av tilldelade utsläppsrätter i Kyotoprotokollet (AAU:</w:t>
      </w:r>
      <w:r w:rsidR="00F366BF" w:rsidRPr="00B46084">
        <w:t>er</w:t>
      </w:r>
      <w:r w:rsidR="005C07A0" w:rsidRPr="00B46084">
        <w:t>)</w:t>
      </w:r>
      <w:r w:rsidR="00F366BF" w:rsidRPr="00B46084">
        <w:t xml:space="preserve">. </w:t>
      </w:r>
      <w:r w:rsidR="009F6F5F" w:rsidRPr="00B46084">
        <w:t xml:space="preserve">Det långsiktiga målet om 80-95 % utsläppsminskningar till 2050 för utvecklade länder kunde dock behållas och fastställas av ministrarna. För sjö- och luftfarten behölls också de föreslagna målen om </w:t>
      </w:r>
      <w:r w:rsidR="009F6F5F" w:rsidRPr="00B46084">
        <w:rPr>
          <w:rFonts w:cs="Tms Rmn"/>
          <w:color w:val="000000"/>
        </w:rPr>
        <w:t>10 % utsläppsminskningar till 2020 för flygsektorn och 20 % till 2020 för sjöfarten. E</w:t>
      </w:r>
      <w:r w:rsidR="00F366BF" w:rsidRPr="00B46084">
        <w:t xml:space="preserve">ndast </w:t>
      </w:r>
      <w:r w:rsidRPr="00B46084">
        <w:t xml:space="preserve">ändringarna i paragraf 36 </w:t>
      </w:r>
      <w:r w:rsidR="00F366BF" w:rsidRPr="00B46084">
        <w:t xml:space="preserve">om AAU:er </w:t>
      </w:r>
      <w:r w:rsidRPr="00B46084">
        <w:t>var mer omfattande. Paragraf</w:t>
      </w:r>
      <w:r w:rsidR="00F366BF" w:rsidRPr="00B46084">
        <w:t>en</w:t>
      </w:r>
      <w:r w:rsidRPr="00B46084">
        <w:t xml:space="preserve"> klargör fortfarande att förekomsten av ett AAU-överskott kan vara ett problem från en miljöintegritetssynpunkt och att EU återkommer till frågan. </w:t>
      </w:r>
      <w:r w:rsidR="00F952D9" w:rsidRPr="00B46084">
        <w:t xml:space="preserve">Eftersom </w:t>
      </w:r>
      <w:r w:rsidRPr="00B46084">
        <w:t xml:space="preserve">Ekofin </w:t>
      </w:r>
      <w:r w:rsidR="00F952D9" w:rsidRPr="00B46084">
        <w:t xml:space="preserve">inte </w:t>
      </w:r>
      <w:r w:rsidRPr="00B46084">
        <w:t xml:space="preserve">kunde anta slutsatser </w:t>
      </w:r>
      <w:r w:rsidR="005C07A0" w:rsidRPr="00B46084">
        <w:t xml:space="preserve">dagen </w:t>
      </w:r>
      <w:r w:rsidR="00F952D9" w:rsidRPr="00B46084">
        <w:t>före</w:t>
      </w:r>
      <w:r w:rsidR="005C07A0" w:rsidRPr="00B46084">
        <w:t xml:space="preserve"> om finansiering i klimatfrågan </w:t>
      </w:r>
      <w:r w:rsidRPr="00B46084">
        <w:t xml:space="preserve">lyftes </w:t>
      </w:r>
      <w:r w:rsidR="00F952D9" w:rsidRPr="00B46084">
        <w:t>dessa</w:t>
      </w:r>
      <w:r w:rsidRPr="00B46084">
        <w:t xml:space="preserve"> paragrafer ur miljörådets slutsatser</w:t>
      </w:r>
      <w:r w:rsidR="00F952D9" w:rsidRPr="00B46084">
        <w:t xml:space="preserve"> och det återstår att </w:t>
      </w:r>
      <w:r w:rsidRPr="00B46084">
        <w:t>nå en uppgörelse i de finansiella frågorna för att färdigställa EU</w:t>
      </w:r>
      <w:r w:rsidR="00584D30" w:rsidRPr="00B46084">
        <w:t>:</w:t>
      </w:r>
      <w:r w:rsidRPr="00B46084">
        <w:t>s position inför Köpenhamn.</w:t>
      </w:r>
      <w:r w:rsidR="00F952D9" w:rsidRPr="00B46084">
        <w:t xml:space="preserve"> </w:t>
      </w:r>
      <w:r w:rsidR="009F6F5F" w:rsidRPr="00B46084">
        <w:t xml:space="preserve"> </w:t>
      </w:r>
    </w:p>
    <w:p w:rsidR="008C6B0D" w:rsidRPr="00B46084" w:rsidRDefault="008C6B0D" w:rsidP="008904D8">
      <w:p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B46084">
        <w:rPr>
          <w:b/>
        </w:rPr>
        <w:t xml:space="preserve">- </w:t>
      </w:r>
      <w:r w:rsidR="00B60012" w:rsidRPr="00B46084">
        <w:rPr>
          <w:b/>
        </w:rPr>
        <w:t xml:space="preserve">Rådsslutsatser om </w:t>
      </w:r>
      <w:r w:rsidR="00352504" w:rsidRPr="00B46084">
        <w:rPr>
          <w:b/>
        </w:rPr>
        <w:t>e</w:t>
      </w:r>
      <w:r w:rsidR="00DD0DEB" w:rsidRPr="00B46084">
        <w:rPr>
          <w:b/>
        </w:rPr>
        <w:t>ko-effektiv ekonomi</w:t>
      </w:r>
      <w:r w:rsidRPr="00B46084">
        <w:rPr>
          <w:b/>
        </w:rPr>
        <w:t>:</w:t>
      </w:r>
      <w:r w:rsidRPr="00B46084">
        <w:rPr>
          <w:color w:val="FF0000"/>
        </w:rPr>
        <w:t xml:space="preserve"> </w:t>
      </w:r>
      <w:r w:rsidR="00352504" w:rsidRPr="00B46084">
        <w:t>Slutsatser</w:t>
      </w:r>
      <w:r w:rsidR="006B66CE" w:rsidRPr="00B46084">
        <w:t xml:space="preserve"> antogs om eko-effektiv ekonomi, som betonar Europas möjligheter att ta sig ur både klimatkrisen och den ekonomiska krisen genom en grön ekonomisk omställning mot stärkt konkurrenskraft, välfärd och nya jobb. </w:t>
      </w:r>
      <w:r w:rsidR="00C500E4" w:rsidRPr="00B46084">
        <w:t xml:space="preserve">Utestående frågor </w:t>
      </w:r>
      <w:r w:rsidR="006B66CE" w:rsidRPr="00B46084">
        <w:t xml:space="preserve">på mötet </w:t>
      </w:r>
      <w:r w:rsidR="00C500E4" w:rsidRPr="00B46084">
        <w:t xml:space="preserve">kunde lösas genom ett nytt kompromissförslag från </w:t>
      </w:r>
      <w:r w:rsidR="00F952D9" w:rsidRPr="00B46084">
        <w:t xml:space="preserve">det svenska </w:t>
      </w:r>
      <w:r w:rsidR="00C500E4" w:rsidRPr="00B46084">
        <w:t>ordförandeskapet för paragraf 5 och 6.1 om skatteväxling och koldioxidskatt som accepterades utan ändringar.</w:t>
      </w:r>
      <w:r w:rsidR="006B66CE" w:rsidRPr="00B46084">
        <w:t xml:space="preserve"> </w:t>
      </w:r>
    </w:p>
    <w:p w:rsidR="00C500E4" w:rsidRPr="00B46084" w:rsidRDefault="008C6B0D" w:rsidP="008C6B0D">
      <w:pPr>
        <w:pStyle w:val="RKnormal"/>
        <w:pBdr>
          <w:top w:val="single" w:sz="4" w:space="1" w:color="auto"/>
          <w:left w:val="single" w:sz="4" w:space="4" w:color="auto"/>
          <w:bottom w:val="single" w:sz="4" w:space="1" w:color="auto"/>
          <w:right w:val="single" w:sz="4" w:space="4" w:color="auto"/>
        </w:pBdr>
        <w:spacing w:line="240" w:lineRule="auto"/>
      </w:pPr>
      <w:r w:rsidRPr="00B46084">
        <w:rPr>
          <w:b/>
        </w:rPr>
        <w:t xml:space="preserve">- </w:t>
      </w:r>
      <w:r w:rsidR="00B60012" w:rsidRPr="00B46084">
        <w:rPr>
          <w:b/>
        </w:rPr>
        <w:t>Rådsslutsatser om f</w:t>
      </w:r>
      <w:r w:rsidR="00DD0DEB" w:rsidRPr="00B46084">
        <w:rPr>
          <w:b/>
        </w:rPr>
        <w:t>artygnedmontering</w:t>
      </w:r>
      <w:r w:rsidRPr="00B46084">
        <w:rPr>
          <w:b/>
        </w:rPr>
        <w:t xml:space="preserve">: </w:t>
      </w:r>
      <w:r w:rsidR="006B66CE" w:rsidRPr="00B46084">
        <w:t xml:space="preserve">Slutsatser antogs som </w:t>
      </w:r>
      <w:r w:rsidR="00EF428E" w:rsidRPr="00B46084">
        <w:t xml:space="preserve">stödjer kommissionens strategi och </w:t>
      </w:r>
      <w:r w:rsidR="006B66CE" w:rsidRPr="00B46084">
        <w:t xml:space="preserve">uppmanar kommissionen att lägga förslag om hur den nya IMO-konventionen ska genomföras inom EU för att nedmontering av fartyg med koppling till EU ska ske vid säkra och miljövänliga anläggningar. Slutsatserna antogs efter en mindre korrigering i paragraf 18 som </w:t>
      </w:r>
      <w:r w:rsidR="00C500E4" w:rsidRPr="00B46084">
        <w:t xml:space="preserve">innebär att </w:t>
      </w:r>
      <w:r w:rsidR="005C07A0" w:rsidRPr="00B46084">
        <w:t>k</w:t>
      </w:r>
      <w:r w:rsidR="00C500E4" w:rsidRPr="00B46084">
        <w:t xml:space="preserve">ommissionen ska rapportera </w:t>
      </w:r>
      <w:r w:rsidR="00C500E4" w:rsidRPr="00B46084">
        <w:lastRenderedPageBreak/>
        <w:t>till rådet under 2010</w:t>
      </w:r>
      <w:r w:rsidR="009E1472" w:rsidRPr="00B46084">
        <w:t xml:space="preserve"> om länken mellan </w:t>
      </w:r>
      <w:r w:rsidR="006B66CE" w:rsidRPr="00B46084">
        <w:t xml:space="preserve">den nya Hong-Kong konventionen, Baselkonventionen och EU:s avfallstransportförordning.  </w:t>
      </w:r>
      <w:r w:rsidR="009E1472" w:rsidRPr="00B46084">
        <w:t xml:space="preserve"> </w:t>
      </w:r>
    </w:p>
    <w:p w:rsidR="00DF327A" w:rsidRPr="00B46084" w:rsidRDefault="00BE76EC" w:rsidP="00B60012">
      <w:pPr>
        <w:pStyle w:val="RKnormal"/>
        <w:pBdr>
          <w:top w:val="single" w:sz="4" w:space="1" w:color="auto"/>
          <w:left w:val="single" w:sz="4" w:space="4" w:color="auto"/>
          <w:bottom w:val="single" w:sz="4" w:space="1" w:color="auto"/>
          <w:right w:val="single" w:sz="4" w:space="4" w:color="auto"/>
        </w:pBdr>
        <w:spacing w:line="240" w:lineRule="auto"/>
      </w:pPr>
      <w:r w:rsidRPr="00B46084">
        <w:rPr>
          <w:b/>
        </w:rPr>
        <w:t xml:space="preserve">- </w:t>
      </w:r>
      <w:r w:rsidR="00B60012" w:rsidRPr="00B46084">
        <w:rPr>
          <w:b/>
        </w:rPr>
        <w:t xml:space="preserve">Debatt om </w:t>
      </w:r>
      <w:r w:rsidR="00DD0DEB" w:rsidRPr="00B46084">
        <w:rPr>
          <w:b/>
        </w:rPr>
        <w:t>WEEE och RoHS</w:t>
      </w:r>
      <w:r w:rsidRPr="00B46084">
        <w:rPr>
          <w:b/>
        </w:rPr>
        <w:t>:</w:t>
      </w:r>
      <w:r w:rsidRPr="00B46084">
        <w:rPr>
          <w:color w:val="FF0000"/>
        </w:rPr>
        <w:t xml:space="preserve"> </w:t>
      </w:r>
      <w:r w:rsidR="005E1ED1" w:rsidRPr="00B46084">
        <w:t>I debatten om vilka produkter som direktiven ska omfatta och hur detta ske regleras framkom att s</w:t>
      </w:r>
      <w:r w:rsidR="00C500E4" w:rsidRPr="00B46084">
        <w:t xml:space="preserve">amtliga </w:t>
      </w:r>
      <w:r w:rsidR="005C07A0" w:rsidRPr="00B46084">
        <w:t>medlemsstater</w:t>
      </w:r>
      <w:r w:rsidR="00C500E4" w:rsidRPr="00B46084">
        <w:t xml:space="preserve"> stöd</w:t>
      </w:r>
      <w:r w:rsidR="005E1ED1" w:rsidRPr="00B46084">
        <w:t>j</w:t>
      </w:r>
      <w:r w:rsidR="00C500E4" w:rsidRPr="00B46084">
        <w:t xml:space="preserve">er separata omfattningar för de båda direktiven. När det gäller omfattningen för RoHS-direktivet ville en majoritet se att alla elprodukter omfattas. Vissa kritiker till detta påpekade vikten av en konsekvensanalys. För WEEE-direktivet finns olika uppfattningar. Vissa vill ha en öppen omfattning även här, en del förespråkar en minimilista som täcker fler produkter än idag </w:t>
      </w:r>
      <w:r w:rsidR="005C07A0" w:rsidRPr="00B46084">
        <w:t>och</w:t>
      </w:r>
      <w:r w:rsidR="00C500E4" w:rsidRPr="00B46084">
        <w:t xml:space="preserve"> andra vill ha samma utformning som idag. </w:t>
      </w:r>
      <w:r w:rsidR="00C61879" w:rsidRPr="00B46084">
        <w:br/>
      </w:r>
      <w:r w:rsidR="00B60012" w:rsidRPr="00B46084">
        <w:t xml:space="preserve">- </w:t>
      </w:r>
      <w:r w:rsidR="00B60012" w:rsidRPr="00B46084">
        <w:rPr>
          <w:b/>
        </w:rPr>
        <w:t>Övriga frågor</w:t>
      </w:r>
      <w:r w:rsidR="00B60012" w:rsidRPr="00B46084">
        <w:t xml:space="preserve">: </w:t>
      </w:r>
      <w:r w:rsidR="00F952D9" w:rsidRPr="00B46084">
        <w:t xml:space="preserve">Under övriga frågor informerade det svenska ordförandeskapet </w:t>
      </w:r>
      <w:r w:rsidR="00B60012" w:rsidRPr="00B46084">
        <w:t>om att råd</w:t>
      </w:r>
      <w:r w:rsidR="005C07A0" w:rsidRPr="00B46084">
        <w:t>s</w:t>
      </w:r>
      <w:r w:rsidR="00B60012" w:rsidRPr="00B46084">
        <w:t xml:space="preserve">slutsatser om </w:t>
      </w:r>
      <w:r w:rsidR="00B60012" w:rsidRPr="00B46084">
        <w:rPr>
          <w:b/>
        </w:rPr>
        <w:t>biodiversitet</w:t>
      </w:r>
      <w:r w:rsidR="00B60012" w:rsidRPr="00B46084">
        <w:t xml:space="preserve"> samt om </w:t>
      </w:r>
      <w:r w:rsidR="00B60012" w:rsidRPr="00B46084">
        <w:rPr>
          <w:b/>
        </w:rPr>
        <w:t>kombinationseffekter av kemikalier</w:t>
      </w:r>
      <w:r w:rsidR="00B60012" w:rsidRPr="00B46084">
        <w:t xml:space="preserve"> planeras till rådsmötet den 22 december. </w:t>
      </w:r>
    </w:p>
    <w:p w:rsidR="00BE76EC" w:rsidRPr="00B46084" w:rsidRDefault="00BE76EC" w:rsidP="00F67154">
      <w:pPr>
        <w:pStyle w:val="RKnormal"/>
      </w:pPr>
    </w:p>
    <w:p w:rsidR="004318E2" w:rsidRPr="00B46084" w:rsidRDefault="00F67154" w:rsidP="00F67154">
      <w:pPr>
        <w:pStyle w:val="RKnormal"/>
      </w:pPr>
      <w:r w:rsidRPr="00B46084">
        <w:t xml:space="preserve">Mötet ägde rum i </w:t>
      </w:r>
      <w:r w:rsidR="00D047BD" w:rsidRPr="00B46084">
        <w:t>Luxemburg</w:t>
      </w:r>
      <w:r w:rsidRPr="00B46084">
        <w:t xml:space="preserve"> under ledning av </w:t>
      </w:r>
      <w:r w:rsidR="00DF327A" w:rsidRPr="00B46084">
        <w:t>miljö</w:t>
      </w:r>
      <w:r w:rsidRPr="00B46084">
        <w:t>minister</w:t>
      </w:r>
      <w:r w:rsidR="00D047BD" w:rsidRPr="00B46084">
        <w:t xml:space="preserve"> Andreas Carlgren.</w:t>
      </w:r>
      <w:r w:rsidRPr="00B46084">
        <w:t xml:space="preserve"> </w:t>
      </w:r>
    </w:p>
    <w:p w:rsidR="00F67154" w:rsidRPr="00B46084" w:rsidRDefault="00F67154" w:rsidP="00F67154">
      <w:pPr>
        <w:pStyle w:val="RKrubrik"/>
      </w:pPr>
      <w:r w:rsidRPr="00B46084">
        <w:t>1. Godkännande av den preliminära dagordningen</w:t>
      </w:r>
    </w:p>
    <w:p w:rsidR="00D047BD" w:rsidRPr="00B46084" w:rsidRDefault="00C61879" w:rsidP="00C61879">
      <w:pPr>
        <w:pStyle w:val="EntRefer"/>
        <w:rPr>
          <w:rFonts w:ascii="OrigGarmnd BT" w:hAnsi="OrigGarmnd BT"/>
          <w:b w:val="0"/>
        </w:rPr>
      </w:pPr>
      <w:r w:rsidRPr="00B46084">
        <w:rPr>
          <w:rFonts w:ascii="OrigGarmnd BT" w:hAnsi="OrigGarmnd BT"/>
          <w:b w:val="0"/>
          <w:lang w:eastAsia="en-US"/>
        </w:rPr>
        <w:br/>
      </w:r>
      <w:r w:rsidR="008C6B0D" w:rsidRPr="00B46084">
        <w:rPr>
          <w:rFonts w:ascii="OrigGarmnd BT" w:hAnsi="OrigGarmnd BT"/>
          <w:b w:val="0"/>
          <w:lang w:eastAsia="en-US"/>
        </w:rPr>
        <w:t xml:space="preserve">Dagordningen </w:t>
      </w:r>
      <w:r w:rsidR="00D047BD" w:rsidRPr="00B46084">
        <w:rPr>
          <w:rFonts w:ascii="OrigGarmnd BT" w:hAnsi="OrigGarmnd BT"/>
          <w:b w:val="0"/>
          <w:lang w:eastAsia="en-US"/>
        </w:rPr>
        <w:t>enligt 1446</w:t>
      </w:r>
      <w:r w:rsidR="00287AC7" w:rsidRPr="00B46084">
        <w:rPr>
          <w:rFonts w:ascii="OrigGarmnd BT" w:hAnsi="OrigGarmnd BT"/>
          <w:b w:val="0"/>
          <w:lang w:eastAsia="en-US"/>
        </w:rPr>
        <w:t>6</w:t>
      </w:r>
      <w:r w:rsidR="008C6B0D" w:rsidRPr="00B46084">
        <w:rPr>
          <w:rFonts w:ascii="OrigGarmnd BT" w:hAnsi="OrigGarmnd BT"/>
          <w:b w:val="0"/>
          <w:lang w:eastAsia="en-US"/>
        </w:rPr>
        <w:t>/09</w:t>
      </w:r>
      <w:r w:rsidRPr="00B46084">
        <w:rPr>
          <w:rFonts w:ascii="OrigGarmnd BT" w:hAnsi="OrigGarmnd BT"/>
          <w:b w:val="0"/>
          <w:lang w:eastAsia="en-US"/>
        </w:rPr>
        <w:t xml:space="preserve"> </w:t>
      </w:r>
      <w:r w:rsidR="008C6B0D" w:rsidRPr="00B46084">
        <w:rPr>
          <w:rFonts w:ascii="OrigGarmnd BT" w:hAnsi="OrigGarmnd BT"/>
          <w:b w:val="0"/>
        </w:rPr>
        <w:t>godkändes.</w:t>
      </w:r>
      <w:r w:rsidR="008C6B0D" w:rsidRPr="00B46084">
        <w:rPr>
          <w:rFonts w:ascii="OrigGarmnd BT" w:hAnsi="OrigGarmnd BT"/>
          <w:b w:val="0"/>
          <w:color w:val="FF0000"/>
        </w:rPr>
        <w:t xml:space="preserve"> </w:t>
      </w:r>
      <w:r w:rsidR="00D047BD" w:rsidRPr="00B46084">
        <w:rPr>
          <w:rFonts w:ascii="OrigGarmnd BT" w:hAnsi="OrigGarmnd BT"/>
          <w:b w:val="0"/>
        </w:rPr>
        <w:t>O</w:t>
      </w:r>
      <w:r w:rsidRPr="00B46084">
        <w:rPr>
          <w:rFonts w:ascii="OrigGarmnd BT" w:hAnsi="OrigGarmnd BT"/>
          <w:b w:val="0"/>
        </w:rPr>
        <w:t xml:space="preserve">rdföranden </w:t>
      </w:r>
      <w:r w:rsidR="00D047BD" w:rsidRPr="00B46084">
        <w:rPr>
          <w:rFonts w:ascii="OrigGarmnd BT" w:hAnsi="OrigGarmnd BT"/>
          <w:b w:val="0"/>
        </w:rPr>
        <w:t xml:space="preserve">hälsade </w:t>
      </w:r>
      <w:r w:rsidRPr="00B46084">
        <w:rPr>
          <w:rFonts w:ascii="OrigGarmnd BT" w:hAnsi="OrigGarmnd BT"/>
          <w:b w:val="0"/>
        </w:rPr>
        <w:t>fem</w:t>
      </w:r>
      <w:r w:rsidR="00D047BD" w:rsidRPr="00B46084">
        <w:rPr>
          <w:rFonts w:ascii="OrigGarmnd BT" w:hAnsi="OrigGarmnd BT"/>
          <w:b w:val="0"/>
        </w:rPr>
        <w:t xml:space="preserve"> nya ministrar välkomna (Bulgarien, Grekland</w:t>
      </w:r>
      <w:r w:rsidRPr="00B46084">
        <w:rPr>
          <w:rFonts w:ascii="OrigGarmnd BT" w:hAnsi="OrigGarmnd BT"/>
          <w:b w:val="0"/>
        </w:rPr>
        <w:t>,</w:t>
      </w:r>
      <w:r w:rsidR="00D047BD" w:rsidRPr="00B46084">
        <w:rPr>
          <w:rFonts w:ascii="OrigGarmnd BT" w:hAnsi="OrigGarmnd BT"/>
          <w:b w:val="0"/>
        </w:rPr>
        <w:t xml:space="preserve"> Luxemburg</w:t>
      </w:r>
      <w:r w:rsidRPr="00B46084">
        <w:rPr>
          <w:rFonts w:ascii="OrigGarmnd BT" w:hAnsi="OrigGarmnd BT"/>
          <w:b w:val="0"/>
        </w:rPr>
        <w:t>, Rumänien och Slovakien</w:t>
      </w:r>
      <w:r w:rsidR="00D047BD" w:rsidRPr="00B46084">
        <w:rPr>
          <w:rFonts w:ascii="OrigGarmnd BT" w:hAnsi="OrigGarmnd BT"/>
          <w:b w:val="0"/>
        </w:rPr>
        <w:t xml:space="preserve">). </w:t>
      </w:r>
    </w:p>
    <w:p w:rsidR="008C6B0D" w:rsidRPr="00B46084" w:rsidRDefault="008C6B0D" w:rsidP="008C6B0D">
      <w:pPr>
        <w:pStyle w:val="RKnormal"/>
        <w:spacing w:line="240" w:lineRule="auto"/>
        <w:rPr>
          <w:color w:val="FF0000"/>
        </w:rPr>
      </w:pPr>
    </w:p>
    <w:p w:rsidR="00D047BD" w:rsidRPr="00B46084" w:rsidRDefault="00D047BD" w:rsidP="00D047BD">
      <w:pPr>
        <w:tabs>
          <w:tab w:val="left" w:pos="284"/>
        </w:tabs>
        <w:rPr>
          <w:rFonts w:ascii="TradeGothic" w:hAnsi="TradeGothic"/>
          <w:b/>
          <w:sz w:val="22"/>
          <w:szCs w:val="22"/>
        </w:rPr>
      </w:pPr>
      <w:r w:rsidRPr="00B46084">
        <w:rPr>
          <w:rFonts w:ascii="TradeGothic" w:hAnsi="TradeGothic"/>
          <w:b/>
          <w:sz w:val="22"/>
          <w:szCs w:val="22"/>
        </w:rPr>
        <w:t>2.</w:t>
      </w:r>
      <w:r w:rsidRPr="00B46084">
        <w:rPr>
          <w:rFonts w:ascii="TradeGothic" w:hAnsi="TradeGothic"/>
          <w:b/>
          <w:sz w:val="22"/>
          <w:szCs w:val="22"/>
        </w:rPr>
        <w:tab/>
        <w:t xml:space="preserve">Godkännande av A-punktslistan </w:t>
      </w:r>
    </w:p>
    <w:p w:rsidR="00D047BD" w:rsidRPr="00B46084" w:rsidRDefault="00D047BD" w:rsidP="00D047BD"/>
    <w:p w:rsidR="00D047BD" w:rsidRPr="00B46084" w:rsidRDefault="00D047BD" w:rsidP="00D047BD">
      <w:r w:rsidRPr="00B46084">
        <w:t xml:space="preserve">A-punktslistan </w:t>
      </w:r>
      <w:r w:rsidR="00C61879" w:rsidRPr="00B46084">
        <w:t xml:space="preserve">enligt 14575/09 </w:t>
      </w:r>
      <w:r w:rsidRPr="00B46084">
        <w:t>antogs utan några kommentarer.</w:t>
      </w:r>
      <w:r w:rsidR="000E2CCA" w:rsidRPr="00B46084">
        <w:t xml:space="preserve"> </w:t>
      </w:r>
      <w:r w:rsidR="00C61879" w:rsidRPr="00B46084">
        <w:t xml:space="preserve"> </w:t>
      </w:r>
    </w:p>
    <w:p w:rsidR="00F9333D" w:rsidRPr="00B46084" w:rsidRDefault="005977D8" w:rsidP="005977D8">
      <w:pPr>
        <w:pStyle w:val="RKrubrik"/>
        <w:ind w:left="1134" w:hanging="1134"/>
      </w:pPr>
      <w:r w:rsidRPr="00B46084">
        <w:t>3.</w:t>
      </w:r>
      <w:r w:rsidRPr="00B46084">
        <w:tab/>
      </w:r>
      <w:r w:rsidR="00F9333D" w:rsidRPr="00B46084">
        <w:t>EU:s ståndpunkt inför klimatkonferensen i Köpenhamn (7-18 december 2009)</w:t>
      </w:r>
    </w:p>
    <w:p w:rsidR="00F9333D" w:rsidRPr="00B46084" w:rsidRDefault="00F9333D" w:rsidP="00F9333D">
      <w:pPr>
        <w:pStyle w:val="RKnormal"/>
        <w:tabs>
          <w:tab w:val="left" w:pos="1134"/>
        </w:tabs>
        <w:rPr>
          <w:rFonts w:ascii="TradeGothic" w:hAnsi="TradeGothic"/>
          <w:sz w:val="22"/>
          <w:szCs w:val="22"/>
        </w:rPr>
      </w:pPr>
      <w:r w:rsidRPr="00B46084">
        <w:rPr>
          <w:rFonts w:ascii="TradeGothic" w:hAnsi="TradeGothic"/>
          <w:sz w:val="22"/>
          <w:szCs w:val="22"/>
        </w:rPr>
        <w:t xml:space="preserve">- </w:t>
      </w:r>
      <w:r w:rsidRPr="00B46084">
        <w:rPr>
          <w:rFonts w:ascii="TradeGothic" w:hAnsi="TradeGothic"/>
          <w:sz w:val="22"/>
          <w:szCs w:val="22"/>
        </w:rPr>
        <w:tab/>
        <w:t>antagande av rådets slutsatser</w:t>
      </w:r>
    </w:p>
    <w:p w:rsidR="00B572F2" w:rsidRPr="00B46084" w:rsidRDefault="00B572F2" w:rsidP="00B572F2">
      <w:pPr>
        <w:rPr>
          <w:rFonts w:ascii="Tms Rmn" w:hAnsi="Tms Rmn" w:cs="Tms Rmn"/>
          <w:color w:val="000000"/>
        </w:rPr>
      </w:pPr>
    </w:p>
    <w:p w:rsidR="00C61879" w:rsidRPr="00B46084" w:rsidRDefault="00B572F2" w:rsidP="00B572F2">
      <w:pPr>
        <w:rPr>
          <w:rFonts w:cs="Tms Rmn"/>
          <w:color w:val="000000"/>
        </w:rPr>
      </w:pPr>
      <w:r w:rsidRPr="00B46084">
        <w:rPr>
          <w:rFonts w:cs="Tms Rmn"/>
          <w:color w:val="000000"/>
        </w:rPr>
        <w:t xml:space="preserve">Under </w:t>
      </w:r>
      <w:r w:rsidRPr="00B46084">
        <w:rPr>
          <w:rFonts w:cs="Tms Rmn"/>
          <w:color w:val="000000"/>
          <w:u w:val="single"/>
        </w:rPr>
        <w:t>middagen</w:t>
      </w:r>
      <w:r w:rsidRPr="00B46084">
        <w:rPr>
          <w:rFonts w:cs="Tms Rmn"/>
          <w:color w:val="000000"/>
        </w:rPr>
        <w:t xml:space="preserve"> den 20 okt</w:t>
      </w:r>
      <w:r w:rsidR="00C61879" w:rsidRPr="00B46084">
        <w:rPr>
          <w:rFonts w:cs="Tms Rmn"/>
          <w:color w:val="000000"/>
        </w:rPr>
        <w:t>ober</w:t>
      </w:r>
      <w:r w:rsidRPr="00B46084">
        <w:rPr>
          <w:rFonts w:cs="Tms Rmn"/>
          <w:color w:val="000000"/>
        </w:rPr>
        <w:t xml:space="preserve"> diskuterades klimatfrågor inför Köpenhamn.</w:t>
      </w:r>
      <w:r w:rsidR="00C61879" w:rsidRPr="00B46084">
        <w:rPr>
          <w:rFonts w:cs="Tms Rmn"/>
          <w:color w:val="000000"/>
        </w:rPr>
        <w:t xml:space="preserve"> Ordföranden </w:t>
      </w:r>
      <w:r w:rsidRPr="00B46084">
        <w:rPr>
          <w:rFonts w:cs="Tms Rmn"/>
          <w:color w:val="000000"/>
        </w:rPr>
        <w:t xml:space="preserve">inbjöd </w:t>
      </w:r>
      <w:r w:rsidR="00C61879" w:rsidRPr="00B46084">
        <w:rPr>
          <w:rFonts w:cs="Tms Rmn"/>
          <w:color w:val="000000"/>
        </w:rPr>
        <w:t>medlemsstaterna</w:t>
      </w:r>
      <w:r w:rsidRPr="00B46084">
        <w:rPr>
          <w:rFonts w:cs="Tms Rmn"/>
          <w:color w:val="000000"/>
        </w:rPr>
        <w:t xml:space="preserve"> att fokusera på de frågor man ansåg viktigast. De frågor som togs upp av </w:t>
      </w:r>
      <w:r w:rsidR="00C61879" w:rsidRPr="00B46084">
        <w:rPr>
          <w:rFonts w:cs="Tms Rmn"/>
          <w:color w:val="000000"/>
        </w:rPr>
        <w:t xml:space="preserve">de </w:t>
      </w:r>
      <w:r w:rsidRPr="00B46084">
        <w:rPr>
          <w:rFonts w:cs="Tms Rmn"/>
          <w:color w:val="000000"/>
        </w:rPr>
        <w:t>flest</w:t>
      </w:r>
      <w:r w:rsidR="00C61879" w:rsidRPr="00B46084">
        <w:rPr>
          <w:rFonts w:cs="Tms Rmn"/>
          <w:color w:val="000000"/>
        </w:rPr>
        <w:t>a</w:t>
      </w:r>
      <w:r w:rsidRPr="00B46084">
        <w:rPr>
          <w:rFonts w:cs="Tms Rmn"/>
          <w:color w:val="000000"/>
        </w:rPr>
        <w:t xml:space="preserve"> var långsiktigt mål (para</w:t>
      </w:r>
      <w:r w:rsidR="005C07A0" w:rsidRPr="00B46084">
        <w:rPr>
          <w:rFonts w:cs="Tms Rmn"/>
          <w:color w:val="000000"/>
        </w:rPr>
        <w:t>graf</w:t>
      </w:r>
      <w:r w:rsidRPr="00B46084">
        <w:rPr>
          <w:rFonts w:cs="Tms Rmn"/>
          <w:color w:val="000000"/>
        </w:rPr>
        <w:t xml:space="preserve"> 15), regler för beräkning av upptag av koldioxid i skog (</w:t>
      </w:r>
      <w:r w:rsidR="005C07A0" w:rsidRPr="00B46084">
        <w:rPr>
          <w:rFonts w:cs="Tms Rmn"/>
          <w:color w:val="000000"/>
        </w:rPr>
        <w:t xml:space="preserve">paragraf </w:t>
      </w:r>
      <w:r w:rsidRPr="00B46084">
        <w:rPr>
          <w:rFonts w:cs="Tms Rmn"/>
          <w:color w:val="000000"/>
        </w:rPr>
        <w:t xml:space="preserve">32) och hantering av </w:t>
      </w:r>
      <w:r w:rsidR="00241C9F" w:rsidRPr="00B46084">
        <w:rPr>
          <w:rFonts w:cs="Tms Rmn"/>
          <w:color w:val="000000"/>
        </w:rPr>
        <w:t>överskottet av tilldelade utsläppsrätter i Kyotoprotokollet (</w:t>
      </w:r>
      <w:r w:rsidRPr="00B46084">
        <w:rPr>
          <w:rFonts w:cs="Tms Rmn"/>
          <w:color w:val="000000"/>
        </w:rPr>
        <w:t>AAU-överskottet</w:t>
      </w:r>
      <w:r w:rsidR="00084DC1" w:rsidRPr="00B46084">
        <w:rPr>
          <w:rFonts w:cs="Tms Rmn"/>
          <w:color w:val="000000"/>
        </w:rPr>
        <w:t>)</w:t>
      </w:r>
      <w:r w:rsidRPr="00B46084">
        <w:rPr>
          <w:rFonts w:cs="Tms Rmn"/>
          <w:color w:val="000000"/>
        </w:rPr>
        <w:t xml:space="preserve"> (</w:t>
      </w:r>
      <w:r w:rsidR="005C07A0" w:rsidRPr="00B46084">
        <w:rPr>
          <w:rFonts w:cs="Tms Rmn"/>
          <w:color w:val="000000"/>
        </w:rPr>
        <w:t xml:space="preserve">paragraf </w:t>
      </w:r>
      <w:r w:rsidRPr="00B46084">
        <w:rPr>
          <w:rFonts w:cs="Tms Rmn"/>
          <w:color w:val="000000"/>
        </w:rPr>
        <w:t xml:space="preserve">36-37). </w:t>
      </w:r>
    </w:p>
    <w:p w:rsidR="00C61879" w:rsidRPr="00B46084" w:rsidRDefault="00C61879" w:rsidP="00B572F2">
      <w:pPr>
        <w:rPr>
          <w:rFonts w:cs="Tms Rmn"/>
          <w:color w:val="000000"/>
        </w:rPr>
      </w:pPr>
    </w:p>
    <w:p w:rsidR="00C61879" w:rsidRPr="00B46084" w:rsidRDefault="00B572F2" w:rsidP="00B572F2">
      <w:pPr>
        <w:rPr>
          <w:rFonts w:cs="Tms Rmn"/>
          <w:b/>
          <w:color w:val="000000"/>
        </w:rPr>
      </w:pPr>
      <w:r w:rsidRPr="00B46084">
        <w:rPr>
          <w:rFonts w:cs="Tms Rmn"/>
          <w:color w:val="000000"/>
        </w:rPr>
        <w:t xml:space="preserve">I fråga om det långsiktiga målet ville ett mindre antal </w:t>
      </w:r>
      <w:r w:rsidR="00C61879" w:rsidRPr="00B46084">
        <w:rPr>
          <w:rFonts w:cs="Tms Rmn"/>
          <w:color w:val="000000"/>
        </w:rPr>
        <w:t>medlemsstater</w:t>
      </w:r>
      <w:r w:rsidRPr="00B46084">
        <w:rPr>
          <w:rFonts w:cs="Tms Rmn"/>
          <w:color w:val="000000"/>
        </w:rPr>
        <w:t xml:space="preserve"> sänka ambitionsnivån och använda G8</w:t>
      </w:r>
      <w:r w:rsidR="00C61879" w:rsidRPr="00B46084">
        <w:rPr>
          <w:rFonts w:cs="Tms Rmn"/>
          <w:color w:val="000000"/>
        </w:rPr>
        <w:t>-mötets</w:t>
      </w:r>
      <w:r w:rsidRPr="00B46084">
        <w:rPr>
          <w:rFonts w:cs="Tms Rmn"/>
          <w:color w:val="000000"/>
        </w:rPr>
        <w:t xml:space="preserve"> </w:t>
      </w:r>
      <w:r w:rsidR="000331EA" w:rsidRPr="00B46084">
        <w:rPr>
          <w:rFonts w:cs="Tms Rmn"/>
          <w:color w:val="000000"/>
        </w:rPr>
        <w:t>budskap</w:t>
      </w:r>
      <w:r w:rsidRPr="00B46084">
        <w:rPr>
          <w:rFonts w:cs="Tms Rmn"/>
          <w:color w:val="000000"/>
        </w:rPr>
        <w:t xml:space="preserve"> från i somras (80% </w:t>
      </w:r>
      <w:r w:rsidR="000331EA" w:rsidRPr="00B46084">
        <w:rPr>
          <w:rFonts w:cs="Tms Rmn"/>
          <w:color w:val="000000"/>
        </w:rPr>
        <w:t xml:space="preserve">utsläppsminskningar </w:t>
      </w:r>
      <w:r w:rsidR="00C61879" w:rsidRPr="00B46084">
        <w:rPr>
          <w:rFonts w:cs="Tms Rmn"/>
          <w:color w:val="000000"/>
        </w:rPr>
        <w:t>eller mer</w:t>
      </w:r>
      <w:r w:rsidRPr="00B46084">
        <w:rPr>
          <w:rFonts w:cs="Tms Rmn"/>
          <w:color w:val="000000"/>
        </w:rPr>
        <w:t xml:space="preserve">). Vad gäller upptag av </w:t>
      </w:r>
      <w:r w:rsidR="00C61879" w:rsidRPr="00B46084">
        <w:rPr>
          <w:rFonts w:cs="Tms Rmn"/>
          <w:color w:val="000000"/>
        </w:rPr>
        <w:t>koldioxid</w:t>
      </w:r>
      <w:r w:rsidRPr="00B46084">
        <w:rPr>
          <w:rFonts w:cs="Tms Rmn"/>
          <w:color w:val="000000"/>
        </w:rPr>
        <w:t xml:space="preserve"> i skog menade en stor majoritet att paragrafen var väl avvägd och att ytterligare ändringar </w:t>
      </w:r>
      <w:r w:rsidR="00C61879" w:rsidRPr="00B46084">
        <w:rPr>
          <w:rFonts w:cs="Tms Rmn"/>
          <w:color w:val="000000"/>
        </w:rPr>
        <w:t>inte</w:t>
      </w:r>
      <w:r w:rsidRPr="00B46084">
        <w:rPr>
          <w:rFonts w:cs="Tms Rmn"/>
          <w:color w:val="000000"/>
        </w:rPr>
        <w:t xml:space="preserve"> skulle vara möjliga.</w:t>
      </w:r>
      <w:r w:rsidR="00C61879" w:rsidRPr="00B46084">
        <w:rPr>
          <w:rFonts w:cs="Tms Rmn"/>
          <w:color w:val="000000"/>
        </w:rPr>
        <w:t xml:space="preserve"> </w:t>
      </w:r>
      <w:r w:rsidRPr="00B46084">
        <w:rPr>
          <w:rFonts w:cs="Tms Rmn"/>
          <w:color w:val="000000"/>
        </w:rPr>
        <w:t xml:space="preserve"> </w:t>
      </w:r>
    </w:p>
    <w:p w:rsidR="00C61879" w:rsidRPr="00B46084" w:rsidRDefault="00C61879" w:rsidP="00B572F2">
      <w:pPr>
        <w:rPr>
          <w:rFonts w:cs="Tms Rmn"/>
          <w:color w:val="000000"/>
        </w:rPr>
      </w:pPr>
    </w:p>
    <w:p w:rsidR="00C61879" w:rsidRPr="00B46084" w:rsidRDefault="00B572F2" w:rsidP="00B572F2">
      <w:pPr>
        <w:rPr>
          <w:rFonts w:cs="Tms Rmn"/>
          <w:color w:val="000000"/>
        </w:rPr>
      </w:pPr>
      <w:r w:rsidRPr="00B46084">
        <w:rPr>
          <w:rFonts w:cs="Tms Rmn"/>
          <w:color w:val="000000"/>
        </w:rPr>
        <w:t>I fråga om bunkerbränslen tryckte</w:t>
      </w:r>
      <w:r w:rsidR="00C61879" w:rsidRPr="00B46084">
        <w:rPr>
          <w:rFonts w:cs="Tms Rmn"/>
          <w:color w:val="000000"/>
        </w:rPr>
        <w:t xml:space="preserve"> ett fåtal medlemsstater på </w:t>
      </w:r>
      <w:r w:rsidRPr="00B46084">
        <w:rPr>
          <w:rFonts w:cs="Tms Rmn"/>
          <w:color w:val="000000"/>
        </w:rPr>
        <w:t xml:space="preserve">att nivån för sjöfart (-20% till 2020 jämfört med 2005) var för ambitiösa. En stor majoritet kunde emellertid acceptera nivåerna eller ville skärpa dem. </w:t>
      </w:r>
    </w:p>
    <w:p w:rsidR="00C61879" w:rsidRPr="00B46084" w:rsidRDefault="00C61879" w:rsidP="00B572F2">
      <w:pPr>
        <w:rPr>
          <w:rFonts w:cs="Tms Rmn"/>
          <w:color w:val="000000"/>
        </w:rPr>
      </w:pPr>
    </w:p>
    <w:p w:rsidR="000331EA" w:rsidRPr="00B46084" w:rsidRDefault="00B572F2" w:rsidP="00B572F2">
      <w:pPr>
        <w:rPr>
          <w:rFonts w:cs="Tms Rmn"/>
          <w:color w:val="000000"/>
        </w:rPr>
      </w:pPr>
      <w:r w:rsidRPr="00B46084">
        <w:rPr>
          <w:rFonts w:cs="Tms Rmn"/>
          <w:color w:val="000000"/>
        </w:rPr>
        <w:t>Vad gäller AAU:</w:t>
      </w:r>
      <w:r w:rsidR="000331EA" w:rsidRPr="00B46084">
        <w:rPr>
          <w:rFonts w:cs="Tms Rmn"/>
          <w:color w:val="000000"/>
        </w:rPr>
        <w:t>er</w:t>
      </w:r>
      <w:r w:rsidRPr="00B46084">
        <w:rPr>
          <w:rFonts w:cs="Tms Rmn"/>
          <w:color w:val="000000"/>
        </w:rPr>
        <w:t xml:space="preserve"> gick en skarp skiljelinje mellan de</w:t>
      </w:r>
      <w:r w:rsidR="00C61879" w:rsidRPr="00B46084">
        <w:rPr>
          <w:rFonts w:cs="Tms Rmn"/>
          <w:color w:val="000000"/>
        </w:rPr>
        <w:t xml:space="preserve"> medlemsstater som </w:t>
      </w:r>
      <w:r w:rsidRPr="00B46084">
        <w:rPr>
          <w:rFonts w:cs="Tms Rmn"/>
          <w:color w:val="000000"/>
        </w:rPr>
        <w:t xml:space="preserve"> </w:t>
      </w:r>
      <w:r w:rsidR="00C61879" w:rsidRPr="00B46084">
        <w:rPr>
          <w:rFonts w:cs="Tms Rmn"/>
          <w:color w:val="000000"/>
        </w:rPr>
        <w:t>ville</w:t>
      </w:r>
      <w:r w:rsidRPr="00B46084">
        <w:rPr>
          <w:rFonts w:cs="Tms Rmn"/>
          <w:color w:val="000000"/>
        </w:rPr>
        <w:t xml:space="preserve"> tona ned att AAU-överskottet skulle utgöra ett problem</w:t>
      </w:r>
      <w:r w:rsidR="00C61879" w:rsidRPr="00B46084">
        <w:rPr>
          <w:rFonts w:cs="Tms Rmn"/>
          <w:color w:val="000000"/>
        </w:rPr>
        <w:t xml:space="preserve">, och de som tillsammans med kommissionen </w:t>
      </w:r>
      <w:r w:rsidRPr="00B46084">
        <w:rPr>
          <w:rFonts w:cs="Tms Rmn"/>
          <w:color w:val="000000"/>
        </w:rPr>
        <w:t xml:space="preserve">menade att AAU-överskottet skulle undergräva den miljömässiga integriteten i ett framtida avtal. </w:t>
      </w:r>
      <w:r w:rsidR="00C61879" w:rsidRPr="00B46084">
        <w:rPr>
          <w:rFonts w:cs="Tms Rmn"/>
          <w:color w:val="000000"/>
        </w:rPr>
        <w:t xml:space="preserve">Fyra medlemsstater </w:t>
      </w:r>
      <w:r w:rsidRPr="00B46084">
        <w:rPr>
          <w:rFonts w:cs="Tms Rmn"/>
          <w:color w:val="000000"/>
        </w:rPr>
        <w:t xml:space="preserve">talade för att internt inom EU hantera frågan om vissa </w:t>
      </w:r>
      <w:r w:rsidR="00C61879" w:rsidRPr="00B46084">
        <w:rPr>
          <w:rFonts w:cs="Tms Rmn"/>
          <w:color w:val="000000"/>
        </w:rPr>
        <w:t>medlemsstaters</w:t>
      </w:r>
      <w:r w:rsidRPr="00B46084">
        <w:rPr>
          <w:rFonts w:cs="Tms Rmn"/>
          <w:color w:val="000000"/>
        </w:rPr>
        <w:t xml:space="preserve"> AAU</w:t>
      </w:r>
      <w:r w:rsidR="00C61879" w:rsidRPr="00B46084">
        <w:rPr>
          <w:rFonts w:cs="Tms Rmn"/>
          <w:color w:val="000000"/>
        </w:rPr>
        <w:t>-</w:t>
      </w:r>
      <w:r w:rsidRPr="00B46084">
        <w:rPr>
          <w:rFonts w:cs="Tms Rmn"/>
          <w:color w:val="000000"/>
        </w:rPr>
        <w:t xml:space="preserve">överskott och driva en restriktiv linje internationellt. </w:t>
      </w:r>
    </w:p>
    <w:p w:rsidR="00C61879" w:rsidRPr="00B46084" w:rsidRDefault="00C61879" w:rsidP="00B572F2">
      <w:pPr>
        <w:rPr>
          <w:rFonts w:cs="Tms Rmn"/>
          <w:color w:val="000000"/>
        </w:rPr>
      </w:pPr>
    </w:p>
    <w:p w:rsidR="00B572F2" w:rsidRPr="00B46084" w:rsidRDefault="00C61879" w:rsidP="00B572F2">
      <w:pPr>
        <w:rPr>
          <w:rFonts w:cs="Tms Rmn"/>
          <w:color w:val="000000"/>
        </w:rPr>
      </w:pPr>
      <w:r w:rsidRPr="00B46084">
        <w:rPr>
          <w:rFonts w:cs="Tms Rmn"/>
          <w:color w:val="000000"/>
        </w:rPr>
        <w:t xml:space="preserve">Ordföranden </w:t>
      </w:r>
      <w:r w:rsidR="00B572F2" w:rsidRPr="00B46084">
        <w:rPr>
          <w:rFonts w:cs="Tms Rmn"/>
          <w:color w:val="000000"/>
        </w:rPr>
        <w:t xml:space="preserve">konstaterade att det i stort sett var balans i de olika frågorna och avsåg inte ändra något i </w:t>
      </w:r>
      <w:r w:rsidR="005C07A0" w:rsidRPr="00B46084">
        <w:rPr>
          <w:rFonts w:cs="Tms Rmn"/>
          <w:color w:val="000000"/>
        </w:rPr>
        <w:t xml:space="preserve">paragraf </w:t>
      </w:r>
      <w:r w:rsidR="00B572F2" w:rsidRPr="00B46084">
        <w:rPr>
          <w:rFonts w:cs="Tms Rmn"/>
          <w:color w:val="000000"/>
        </w:rPr>
        <w:t xml:space="preserve">14 om </w:t>
      </w:r>
      <w:r w:rsidRPr="00B46084">
        <w:rPr>
          <w:rFonts w:cs="Tms Rmn"/>
          <w:color w:val="000000"/>
        </w:rPr>
        <w:t>uppgraderingen</w:t>
      </w:r>
      <w:r w:rsidR="00B572F2" w:rsidRPr="00B46084">
        <w:rPr>
          <w:rFonts w:cs="Tms Rmn"/>
          <w:color w:val="000000"/>
        </w:rPr>
        <w:t xml:space="preserve"> eller </w:t>
      </w:r>
      <w:r w:rsidR="005C07A0" w:rsidRPr="00B46084">
        <w:rPr>
          <w:rFonts w:cs="Tms Rmn"/>
          <w:color w:val="000000"/>
        </w:rPr>
        <w:t xml:space="preserve">paragraf </w:t>
      </w:r>
      <w:r w:rsidR="00B572F2" w:rsidRPr="00B46084">
        <w:rPr>
          <w:rFonts w:cs="Tms Rmn"/>
          <w:color w:val="000000"/>
        </w:rPr>
        <w:t>34 om regler för bokföring, men lovade återkomma med skrivningsförslag på några paragrafer</w:t>
      </w:r>
      <w:r w:rsidRPr="00B46084">
        <w:rPr>
          <w:rFonts w:cs="Tms Rmn"/>
          <w:color w:val="000000"/>
        </w:rPr>
        <w:t xml:space="preserve"> till den formella diskussionen vid mötet dagen därpå</w:t>
      </w:r>
      <w:r w:rsidR="00B572F2" w:rsidRPr="00B46084">
        <w:rPr>
          <w:rFonts w:cs="Tms Rmn"/>
          <w:color w:val="000000"/>
        </w:rPr>
        <w:t xml:space="preserve">: </w:t>
      </w:r>
      <w:r w:rsidR="005C07A0" w:rsidRPr="00B46084">
        <w:rPr>
          <w:rFonts w:cs="Tms Rmn"/>
          <w:color w:val="000000"/>
        </w:rPr>
        <w:t xml:space="preserve">paragraf </w:t>
      </w:r>
      <w:r w:rsidR="00B572F2" w:rsidRPr="00B46084">
        <w:rPr>
          <w:rFonts w:cs="Tms Rmn"/>
          <w:color w:val="000000"/>
        </w:rPr>
        <w:t xml:space="preserve">15 </w:t>
      </w:r>
      <w:r w:rsidRPr="00B46084">
        <w:rPr>
          <w:rFonts w:cs="Tms Rmn"/>
          <w:color w:val="000000"/>
        </w:rPr>
        <w:t xml:space="preserve">om </w:t>
      </w:r>
      <w:r w:rsidR="00B572F2" w:rsidRPr="00B46084">
        <w:rPr>
          <w:rFonts w:cs="Tms Rmn"/>
          <w:color w:val="000000"/>
        </w:rPr>
        <w:t xml:space="preserve">långsiktigt mål, </w:t>
      </w:r>
      <w:r w:rsidR="005C07A0" w:rsidRPr="00B46084">
        <w:rPr>
          <w:rFonts w:cs="Tms Rmn"/>
          <w:color w:val="000000"/>
        </w:rPr>
        <w:t xml:space="preserve">paragraf </w:t>
      </w:r>
      <w:r w:rsidR="00B572F2" w:rsidRPr="00B46084">
        <w:rPr>
          <w:rFonts w:cs="Tms Rmn"/>
          <w:color w:val="000000"/>
        </w:rPr>
        <w:t xml:space="preserve">19 </w:t>
      </w:r>
      <w:r w:rsidRPr="00B46084">
        <w:rPr>
          <w:rFonts w:cs="Tms Rmn"/>
          <w:color w:val="000000"/>
        </w:rPr>
        <w:t xml:space="preserve">om </w:t>
      </w:r>
      <w:r w:rsidR="00B572F2" w:rsidRPr="00B46084">
        <w:rPr>
          <w:rFonts w:cs="Tms Rmn"/>
          <w:color w:val="000000"/>
        </w:rPr>
        <w:t>mål för internationell sjö- och luftfart</w:t>
      </w:r>
      <w:r w:rsidRPr="00B46084">
        <w:rPr>
          <w:rFonts w:cs="Tms Rmn"/>
          <w:color w:val="000000"/>
        </w:rPr>
        <w:t>,</w:t>
      </w:r>
      <w:r w:rsidR="00B572F2" w:rsidRPr="00B46084">
        <w:rPr>
          <w:rFonts w:cs="Tms Rmn"/>
          <w:color w:val="000000"/>
        </w:rPr>
        <w:t xml:space="preserve"> samt </w:t>
      </w:r>
      <w:r w:rsidR="005C07A0" w:rsidRPr="00B46084">
        <w:rPr>
          <w:rFonts w:cs="Tms Rmn"/>
          <w:color w:val="000000"/>
        </w:rPr>
        <w:t xml:space="preserve">paragraf </w:t>
      </w:r>
      <w:r w:rsidR="00B572F2" w:rsidRPr="00B46084">
        <w:rPr>
          <w:rFonts w:cs="Tms Rmn"/>
          <w:color w:val="000000"/>
        </w:rPr>
        <w:t>36-37 om AAU</w:t>
      </w:r>
      <w:r w:rsidR="006B542A" w:rsidRPr="00B46084">
        <w:rPr>
          <w:rFonts w:cs="Tms Rmn"/>
          <w:color w:val="000000"/>
        </w:rPr>
        <w:t>-</w:t>
      </w:r>
      <w:r w:rsidR="00B572F2" w:rsidRPr="00B46084">
        <w:rPr>
          <w:rFonts w:cs="Tms Rmn"/>
          <w:color w:val="000000"/>
        </w:rPr>
        <w:t xml:space="preserve">överskottes hantering.      </w:t>
      </w:r>
    </w:p>
    <w:p w:rsidR="00B572F2" w:rsidRPr="00B46084" w:rsidRDefault="00B572F2" w:rsidP="00B572F2">
      <w:pPr>
        <w:rPr>
          <w:rFonts w:cs="Tms Rmn"/>
          <w:color w:val="000000"/>
        </w:rPr>
      </w:pPr>
    </w:p>
    <w:p w:rsidR="00F9333D" w:rsidRPr="00B46084" w:rsidRDefault="006B542A" w:rsidP="009F6F5F">
      <w:r w:rsidRPr="00B46084">
        <w:rPr>
          <w:rFonts w:cs="Tms Rmn"/>
          <w:color w:val="000000"/>
        </w:rPr>
        <w:t xml:space="preserve">Vid </w:t>
      </w:r>
      <w:r w:rsidRPr="00B46084">
        <w:rPr>
          <w:rFonts w:cs="Tms Rmn"/>
          <w:color w:val="000000"/>
          <w:u w:val="single"/>
        </w:rPr>
        <w:t>rådsmötet</w:t>
      </w:r>
      <w:r w:rsidRPr="00B46084">
        <w:rPr>
          <w:rFonts w:cs="Tms Rmn"/>
          <w:color w:val="000000"/>
        </w:rPr>
        <w:t xml:space="preserve"> den 21 oktober presenterade ordföranden sina kompromissförslag. </w:t>
      </w:r>
      <w:r w:rsidR="00B572F2" w:rsidRPr="00B46084">
        <w:rPr>
          <w:rFonts w:cs="Tms Rmn"/>
          <w:color w:val="000000"/>
        </w:rPr>
        <w:t xml:space="preserve">Beträffande bunkerbränslen </w:t>
      </w:r>
      <w:r w:rsidRPr="00B46084">
        <w:rPr>
          <w:rFonts w:cs="Tms Rmn"/>
          <w:color w:val="000000"/>
        </w:rPr>
        <w:t>(</w:t>
      </w:r>
      <w:r w:rsidR="005C07A0" w:rsidRPr="00B46084">
        <w:rPr>
          <w:rFonts w:cs="Tms Rmn"/>
          <w:color w:val="000000"/>
        </w:rPr>
        <w:t xml:space="preserve">paragraf </w:t>
      </w:r>
      <w:r w:rsidRPr="00B46084">
        <w:rPr>
          <w:rFonts w:cs="Tms Rmn"/>
          <w:color w:val="000000"/>
        </w:rPr>
        <w:t xml:space="preserve">19) </w:t>
      </w:r>
      <w:r w:rsidR="00B572F2" w:rsidRPr="00B46084">
        <w:rPr>
          <w:rFonts w:cs="Tms Rmn"/>
          <w:color w:val="000000"/>
        </w:rPr>
        <w:t xml:space="preserve">klargjorde </w:t>
      </w:r>
      <w:r w:rsidRPr="00B46084">
        <w:rPr>
          <w:rFonts w:cs="Tms Rmn"/>
          <w:color w:val="000000"/>
        </w:rPr>
        <w:t xml:space="preserve">kompromissen </w:t>
      </w:r>
      <w:r w:rsidR="00B572F2" w:rsidRPr="00B46084">
        <w:rPr>
          <w:rFonts w:cs="Tms Rmn"/>
          <w:color w:val="000000"/>
        </w:rPr>
        <w:t>att förslagen EU lägger är för förhandlingsändamål inför COP 15. De nivåer som tidigare föreslagits</w:t>
      </w:r>
      <w:r w:rsidR="009F6F5F" w:rsidRPr="00B46084">
        <w:rPr>
          <w:rFonts w:cs="Tms Rmn"/>
          <w:color w:val="000000"/>
        </w:rPr>
        <w:t>,</w:t>
      </w:r>
      <w:r w:rsidR="00B572F2" w:rsidRPr="00B46084">
        <w:rPr>
          <w:rFonts w:cs="Tms Rmn"/>
          <w:color w:val="000000"/>
        </w:rPr>
        <w:t xml:space="preserve"> </w:t>
      </w:r>
      <w:r w:rsidR="009F6F5F" w:rsidRPr="00B46084">
        <w:rPr>
          <w:rFonts w:cs="Tms Rmn"/>
          <w:color w:val="000000"/>
        </w:rPr>
        <w:t>-10 % utsläppsminskningar till 2020 för flygsektorn och -20 % till 2020 för sjöfarten, b</w:t>
      </w:r>
      <w:r w:rsidR="00B572F2" w:rsidRPr="00B46084">
        <w:rPr>
          <w:rFonts w:cs="Tms Rmn"/>
          <w:color w:val="000000"/>
        </w:rPr>
        <w:t xml:space="preserve">ehölls dock. Den nya kompromissförslaget för AAU </w:t>
      </w:r>
      <w:r w:rsidRPr="00B46084">
        <w:rPr>
          <w:rFonts w:cs="Tms Rmn"/>
          <w:color w:val="000000"/>
        </w:rPr>
        <w:t>(</w:t>
      </w:r>
      <w:r w:rsidR="005C07A0" w:rsidRPr="00B46084">
        <w:rPr>
          <w:rFonts w:cs="Tms Rmn"/>
          <w:color w:val="000000"/>
        </w:rPr>
        <w:t xml:space="preserve">paragraf </w:t>
      </w:r>
      <w:r w:rsidRPr="00B46084">
        <w:rPr>
          <w:rFonts w:cs="Tms Rmn"/>
          <w:color w:val="000000"/>
        </w:rPr>
        <w:t xml:space="preserve">36-37) tonade delvis ned att AAU skulle utgöra ett problem. I fråga om </w:t>
      </w:r>
      <w:r w:rsidR="00B572F2" w:rsidRPr="00B46084">
        <w:rPr>
          <w:rFonts w:cs="Tms Rmn"/>
          <w:color w:val="000000"/>
        </w:rPr>
        <w:t xml:space="preserve">det långsiktiga målet </w:t>
      </w:r>
      <w:r w:rsidRPr="00B46084">
        <w:rPr>
          <w:rFonts w:cs="Tms Rmn"/>
          <w:color w:val="000000"/>
        </w:rPr>
        <w:t>(</w:t>
      </w:r>
      <w:r w:rsidR="005C07A0" w:rsidRPr="00B46084">
        <w:rPr>
          <w:rFonts w:cs="Tms Rmn"/>
          <w:color w:val="000000"/>
        </w:rPr>
        <w:t xml:space="preserve">paragraf </w:t>
      </w:r>
      <w:r w:rsidRPr="00B46084">
        <w:rPr>
          <w:rFonts w:cs="Tms Rmn"/>
          <w:color w:val="000000"/>
        </w:rPr>
        <w:t xml:space="preserve">15) </w:t>
      </w:r>
      <w:r w:rsidR="00B572F2" w:rsidRPr="00B46084">
        <w:rPr>
          <w:rFonts w:cs="Tms Rmn"/>
          <w:color w:val="000000"/>
        </w:rPr>
        <w:t xml:space="preserve">lades </w:t>
      </w:r>
      <w:r w:rsidRPr="00B46084">
        <w:rPr>
          <w:rFonts w:cs="Tms Rmn"/>
          <w:color w:val="000000"/>
        </w:rPr>
        <w:t xml:space="preserve">en </w:t>
      </w:r>
      <w:r w:rsidR="00B572F2" w:rsidRPr="00B46084">
        <w:rPr>
          <w:rFonts w:cs="Tms Rmn"/>
          <w:color w:val="000000"/>
        </w:rPr>
        <w:t xml:space="preserve">text </w:t>
      </w:r>
      <w:r w:rsidRPr="00B46084">
        <w:rPr>
          <w:rFonts w:cs="Tms Rmn"/>
          <w:color w:val="000000"/>
        </w:rPr>
        <w:t xml:space="preserve">till </w:t>
      </w:r>
      <w:r w:rsidR="00B572F2" w:rsidRPr="00B46084">
        <w:rPr>
          <w:rFonts w:cs="Tms Rmn"/>
          <w:color w:val="000000"/>
        </w:rPr>
        <w:t xml:space="preserve">som klargjorde att målet </w:t>
      </w:r>
      <w:r w:rsidR="00F952D9" w:rsidRPr="00B46084">
        <w:rPr>
          <w:rFonts w:cs="Tms Rmn"/>
          <w:color w:val="000000"/>
        </w:rPr>
        <w:t xml:space="preserve">på 80-95 % minskning </w:t>
      </w:r>
      <w:r w:rsidR="00EF428E" w:rsidRPr="00B46084">
        <w:rPr>
          <w:rFonts w:cs="Tms Rmn"/>
          <w:color w:val="000000"/>
        </w:rPr>
        <w:t xml:space="preserve">till 2050 </w:t>
      </w:r>
      <w:r w:rsidR="00B572F2" w:rsidRPr="00B46084">
        <w:rPr>
          <w:rFonts w:cs="Tms Rmn"/>
          <w:color w:val="000000"/>
        </w:rPr>
        <w:t xml:space="preserve">sätts in ett internationellt sammanhang. </w:t>
      </w:r>
      <w:r w:rsidRPr="00B46084">
        <w:t xml:space="preserve">Efter </w:t>
      </w:r>
      <w:r w:rsidR="000331EA" w:rsidRPr="00B46084">
        <w:t xml:space="preserve">en kort </w:t>
      </w:r>
      <w:r w:rsidRPr="00B46084">
        <w:t xml:space="preserve">diskussion på mötet </w:t>
      </w:r>
      <w:r w:rsidR="000331EA" w:rsidRPr="00B46084">
        <w:t xml:space="preserve">kunde </w:t>
      </w:r>
      <w:r w:rsidRPr="00B46084">
        <w:t>ordföranden</w:t>
      </w:r>
      <w:r w:rsidR="000331EA" w:rsidRPr="00B46084">
        <w:t>s</w:t>
      </w:r>
      <w:r w:rsidR="00B572F2" w:rsidRPr="00B46084">
        <w:t xml:space="preserve"> </w:t>
      </w:r>
      <w:r w:rsidR="000331EA" w:rsidRPr="00B46084">
        <w:t xml:space="preserve">kompromiss antas utan ändringar. </w:t>
      </w:r>
      <w:r w:rsidR="00947EB4" w:rsidRPr="00B46084">
        <w:t xml:space="preserve"> </w:t>
      </w:r>
      <w:r w:rsidRPr="00B46084">
        <w:t xml:space="preserve"> </w:t>
      </w:r>
      <w:r w:rsidR="00F952D9" w:rsidRPr="00B46084">
        <w:t xml:space="preserve"> </w:t>
      </w:r>
      <w:r w:rsidR="00B572F2" w:rsidRPr="00B46084">
        <w:br/>
      </w:r>
    </w:p>
    <w:p w:rsidR="00C500E4" w:rsidRPr="00B46084" w:rsidRDefault="00C500E4" w:rsidP="00C500E4">
      <w:pPr>
        <w:pStyle w:val="RKrubrik"/>
      </w:pPr>
      <w:r w:rsidRPr="00B46084">
        <w:t>4</w:t>
      </w:r>
      <w:r w:rsidRPr="00B46084">
        <w:tab/>
        <w:t xml:space="preserve">Mot en eko-effektiv ekonomi </w:t>
      </w:r>
    </w:p>
    <w:p w:rsidR="00C500E4" w:rsidRPr="00B46084" w:rsidRDefault="00C500E4" w:rsidP="00C500E4">
      <w:pPr>
        <w:pStyle w:val="RKnormal"/>
        <w:tabs>
          <w:tab w:val="left" w:pos="1134"/>
        </w:tabs>
        <w:rPr>
          <w:rFonts w:ascii="TradeGothic" w:hAnsi="TradeGothic"/>
          <w:sz w:val="22"/>
          <w:szCs w:val="22"/>
        </w:rPr>
      </w:pPr>
      <w:r w:rsidRPr="00B46084">
        <w:rPr>
          <w:rFonts w:ascii="TradeGothic" w:hAnsi="TradeGothic"/>
          <w:sz w:val="22"/>
          <w:szCs w:val="22"/>
        </w:rPr>
        <w:t xml:space="preserve">- </w:t>
      </w:r>
      <w:r w:rsidRPr="00B46084">
        <w:rPr>
          <w:rFonts w:ascii="TradeGothic" w:hAnsi="TradeGothic"/>
          <w:sz w:val="22"/>
          <w:szCs w:val="22"/>
        </w:rPr>
        <w:tab/>
        <w:t>antagande av rådets slutsatser</w:t>
      </w:r>
    </w:p>
    <w:p w:rsidR="00C500E4" w:rsidRPr="00B46084" w:rsidRDefault="00C500E4" w:rsidP="00C500E4">
      <w:pPr>
        <w:pStyle w:val="RKnormal"/>
        <w:tabs>
          <w:tab w:val="left" w:pos="1134"/>
        </w:tabs>
        <w:rPr>
          <w:rFonts w:ascii="TradeGothic" w:hAnsi="TradeGothic"/>
          <w:sz w:val="22"/>
          <w:szCs w:val="22"/>
        </w:rPr>
      </w:pPr>
    </w:p>
    <w:p w:rsidR="00C500E4" w:rsidRPr="00B46084" w:rsidRDefault="00802BBE" w:rsidP="00C500E4">
      <w:pPr>
        <w:pStyle w:val="RKnormal"/>
        <w:rPr>
          <w:lang w:eastAsia="sv-SE"/>
        </w:rPr>
      </w:pPr>
      <w:r w:rsidRPr="00B46084">
        <w:rPr>
          <w:lang w:eastAsia="sv-SE"/>
        </w:rPr>
        <w:t>Ordföranden refererade till diskussionen o</w:t>
      </w:r>
      <w:r w:rsidR="006D4385" w:rsidRPr="00B46084">
        <w:rPr>
          <w:lang w:eastAsia="sv-SE"/>
        </w:rPr>
        <w:t>m</w:t>
      </w:r>
      <w:r w:rsidRPr="00B46084">
        <w:rPr>
          <w:lang w:eastAsia="sv-SE"/>
        </w:rPr>
        <w:t xml:space="preserve"> eko-effektiv ekonomi vid det informella miljöministermötet i Åre och presenterade slutsatserna. Kommissionen underströk behovet av att förbättra </w:t>
      </w:r>
      <w:r w:rsidR="00C500E4" w:rsidRPr="00B46084">
        <w:rPr>
          <w:lang w:eastAsia="sv-SE"/>
        </w:rPr>
        <w:t xml:space="preserve">förutsättningarna </w:t>
      </w:r>
      <w:r w:rsidRPr="00B46084">
        <w:rPr>
          <w:lang w:eastAsia="sv-SE"/>
        </w:rPr>
        <w:t xml:space="preserve">för </w:t>
      </w:r>
      <w:r w:rsidR="00C500E4" w:rsidRPr="00B46084">
        <w:rPr>
          <w:lang w:eastAsia="sv-SE"/>
        </w:rPr>
        <w:t>att komma ur krisen med nya instrument på alla nivåer inklusive den globala nivån. Bättre instrument krävs för att begränsa växthusgaserna. K</w:t>
      </w:r>
      <w:r w:rsidRPr="00B46084">
        <w:rPr>
          <w:lang w:eastAsia="sv-SE"/>
        </w:rPr>
        <w:t>ommissionen</w:t>
      </w:r>
      <w:r w:rsidR="00C500E4" w:rsidRPr="00B46084">
        <w:rPr>
          <w:lang w:eastAsia="sv-SE"/>
        </w:rPr>
        <w:t xml:space="preserve"> pekade särskilt på energieffektivitet och ekologisk produktion. Det är bra med en överenskommelse som förmedlar detta. </w:t>
      </w:r>
      <w:r w:rsidR="009E1472" w:rsidRPr="00B46084">
        <w:rPr>
          <w:lang w:eastAsia="sv-SE"/>
        </w:rPr>
        <w:t xml:space="preserve">Tillsammans med den nya kommissionen avses eko-effektivitet inkluderas i nästa miljöhandlingsprogram. </w:t>
      </w:r>
      <w:r w:rsidRPr="00B46084">
        <w:rPr>
          <w:lang w:eastAsia="sv-SE"/>
        </w:rPr>
        <w:t xml:space="preserve">Kommissionen </w:t>
      </w:r>
      <w:r w:rsidR="00C500E4" w:rsidRPr="00B46084">
        <w:rPr>
          <w:lang w:eastAsia="sv-SE"/>
        </w:rPr>
        <w:t>föreslog en korrigerad skrivning beträffande råvarustrategin i para 7.7 och anmälde sin avsikt att avge en särskild deklaration med syfte att inte i förväg binda den tillträdande kommissionen vid att ta fram ett sjunde miljöhandlingsprogram.</w:t>
      </w:r>
      <w:r w:rsidR="009E1472" w:rsidRPr="00B46084">
        <w:rPr>
          <w:lang w:eastAsia="sv-SE"/>
        </w:rPr>
        <w:t xml:space="preserve"> </w:t>
      </w:r>
    </w:p>
    <w:p w:rsidR="00C500E4" w:rsidRPr="00B46084" w:rsidRDefault="00C500E4" w:rsidP="00C500E4">
      <w:pPr>
        <w:pStyle w:val="RKnormal"/>
        <w:rPr>
          <w:lang w:eastAsia="sv-SE"/>
        </w:rPr>
      </w:pPr>
    </w:p>
    <w:p w:rsidR="00C500E4" w:rsidRPr="00B46084" w:rsidRDefault="00802BBE" w:rsidP="00C500E4">
      <w:pPr>
        <w:pStyle w:val="RKnormal"/>
        <w:rPr>
          <w:lang w:eastAsia="sv-SE"/>
        </w:rPr>
      </w:pPr>
      <w:r w:rsidRPr="00B46084">
        <w:rPr>
          <w:lang w:eastAsia="sv-SE"/>
        </w:rPr>
        <w:t xml:space="preserve">En bordsrunda med kommentarer inleddes därefter. De flesta medlemsstater gav sitt fulla stöd till slutsatserna, men några påpekade att skatter är nationell </w:t>
      </w:r>
      <w:r w:rsidR="00AC2742" w:rsidRPr="00B46084">
        <w:rPr>
          <w:lang w:eastAsia="sv-SE"/>
        </w:rPr>
        <w:t>angelägenhet</w:t>
      </w:r>
      <w:r w:rsidRPr="00B46084">
        <w:rPr>
          <w:lang w:eastAsia="sv-SE"/>
        </w:rPr>
        <w:t xml:space="preserve"> eller att det är Ekofin:s ansvar. Ett fåtal medlemsstater framhöll att Lissabonstrategin och strategin för hållbar utveckling bör slås ihop, medan andra menade att frågan är för tidigt väckt. Ordföranden delade ut ett kompromissförslag för att delvis tillmötesgå de medlemsstater som var kritiska till omnämnandet av skatte</w:t>
      </w:r>
      <w:r w:rsidR="006D4385" w:rsidRPr="00B46084">
        <w:rPr>
          <w:lang w:eastAsia="sv-SE"/>
        </w:rPr>
        <w:t>växling och koldioxidskatte</w:t>
      </w:r>
      <w:r w:rsidRPr="00B46084">
        <w:rPr>
          <w:lang w:eastAsia="sv-SE"/>
        </w:rPr>
        <w:t xml:space="preserve">r. </w:t>
      </w:r>
      <w:r w:rsidR="006D4385" w:rsidRPr="00B46084">
        <w:rPr>
          <w:lang w:eastAsia="sv-SE"/>
        </w:rPr>
        <w:t xml:space="preserve">Mindre ändringsförslag avvisades och slutsatserna kunde antas. </w:t>
      </w:r>
    </w:p>
    <w:p w:rsidR="006D4385" w:rsidRPr="00B46084" w:rsidRDefault="006D4385" w:rsidP="00C500E4">
      <w:pPr>
        <w:pStyle w:val="RKnormal"/>
        <w:rPr>
          <w:i/>
          <w:iCs/>
          <w:color w:val="000000"/>
        </w:rPr>
      </w:pPr>
    </w:p>
    <w:p w:rsidR="00C500E4" w:rsidRPr="00B46084" w:rsidRDefault="00C500E4" w:rsidP="00C500E4">
      <w:pPr>
        <w:pStyle w:val="RKrubrik"/>
        <w:ind w:left="1134" w:hanging="1134"/>
      </w:pPr>
      <w:r w:rsidRPr="00B46084">
        <w:t>5.</w:t>
      </w:r>
      <w:r w:rsidRPr="00B46084">
        <w:tab/>
        <w:t>Meddelande från kommissionen: En EU-strategi för bättre nedmontering av fartyg</w:t>
      </w:r>
    </w:p>
    <w:p w:rsidR="00C500E4" w:rsidRPr="00B46084" w:rsidRDefault="00C500E4" w:rsidP="00C500E4">
      <w:pPr>
        <w:pStyle w:val="RKnormal"/>
        <w:tabs>
          <w:tab w:val="left" w:pos="1134"/>
        </w:tabs>
        <w:rPr>
          <w:rFonts w:ascii="TradeGothic" w:hAnsi="TradeGothic"/>
          <w:sz w:val="22"/>
          <w:szCs w:val="22"/>
        </w:rPr>
      </w:pPr>
      <w:r w:rsidRPr="00B46084">
        <w:rPr>
          <w:rFonts w:ascii="TradeGothic" w:hAnsi="TradeGothic"/>
          <w:sz w:val="22"/>
          <w:szCs w:val="22"/>
        </w:rPr>
        <w:t xml:space="preserve">- </w:t>
      </w:r>
      <w:r w:rsidRPr="00B46084">
        <w:rPr>
          <w:rFonts w:ascii="TradeGothic" w:hAnsi="TradeGothic"/>
          <w:sz w:val="22"/>
          <w:szCs w:val="22"/>
        </w:rPr>
        <w:tab/>
        <w:t>antagande av rådets slutsatser</w:t>
      </w:r>
    </w:p>
    <w:p w:rsidR="00C500E4" w:rsidRPr="00B46084" w:rsidRDefault="00C500E4" w:rsidP="00C500E4">
      <w:pPr>
        <w:rPr>
          <w:rFonts w:ascii="TimesNewRoman" w:hAnsi="TimesNewRoman" w:cs="TimesNewRoman"/>
          <w:lang w:eastAsia="sv-SE"/>
        </w:rPr>
      </w:pPr>
    </w:p>
    <w:p w:rsidR="00C500E4" w:rsidRPr="00B46084" w:rsidRDefault="006D4385" w:rsidP="00C500E4">
      <w:r w:rsidRPr="00B46084">
        <w:t>Ordföranden frågade medlemsstaterna om de kunde ac</w:t>
      </w:r>
      <w:r w:rsidR="00C500E4" w:rsidRPr="00B46084">
        <w:t>ceptera den kompromisstext som</w:t>
      </w:r>
      <w:r w:rsidRPr="00B46084">
        <w:t xml:space="preserve"> ordföranden f</w:t>
      </w:r>
      <w:r w:rsidR="00C500E4" w:rsidRPr="00B46084">
        <w:t>öreslagit och särskilt om</w:t>
      </w:r>
      <w:r w:rsidRPr="00B46084">
        <w:t xml:space="preserve"> ett medlemsland </w:t>
      </w:r>
      <w:r w:rsidR="00C500E4" w:rsidRPr="00B46084">
        <w:t>vidhöll sin reservation avseende paragraf 18</w:t>
      </w:r>
      <w:r w:rsidR="00AC2742" w:rsidRPr="00B46084">
        <w:t xml:space="preserve"> om </w:t>
      </w:r>
      <w:r w:rsidR="009E1472" w:rsidRPr="00B46084">
        <w:t xml:space="preserve">avfallsklassificeringen av fartyg </w:t>
      </w:r>
      <w:r w:rsidR="00B927E7" w:rsidRPr="00B46084">
        <w:t xml:space="preserve">under EU:s förordning om avfallstransporter </w:t>
      </w:r>
      <w:r w:rsidR="009E1472" w:rsidRPr="00B46084">
        <w:t>och länken mellan den av IMO antagna Hong Kong konventionen om återvinning av fartyg och Baselkonventionen</w:t>
      </w:r>
      <w:r w:rsidR="001454DF" w:rsidRPr="00B46084">
        <w:t xml:space="preserve"> som reglerar gränsöverskridande transporter av farligt avfall</w:t>
      </w:r>
      <w:r w:rsidR="00C500E4" w:rsidRPr="00B46084">
        <w:t xml:space="preserve">. </w:t>
      </w:r>
      <w:r w:rsidRPr="00B46084">
        <w:t xml:space="preserve">Landet </w:t>
      </w:r>
      <w:r w:rsidR="00C500E4" w:rsidRPr="00B46084">
        <w:t xml:space="preserve">framförde att de vidhöll sin fotnot och att de ansåg att det är viktigt att utreda </w:t>
      </w:r>
      <w:r w:rsidR="009E1472" w:rsidRPr="00B46084">
        <w:t>kopplingen mellan konventionerna</w:t>
      </w:r>
      <w:r w:rsidR="00C500E4" w:rsidRPr="00B46084">
        <w:t xml:space="preserve">. </w:t>
      </w:r>
    </w:p>
    <w:p w:rsidR="00C500E4" w:rsidRPr="00B46084" w:rsidRDefault="00C500E4" w:rsidP="00C500E4"/>
    <w:p w:rsidR="00C500E4" w:rsidRPr="00B46084" w:rsidRDefault="006D4385" w:rsidP="00C500E4">
      <w:r w:rsidRPr="00B46084">
        <w:t xml:space="preserve">Ordföranden </w:t>
      </w:r>
      <w:r w:rsidR="00C500E4" w:rsidRPr="00B46084">
        <w:t xml:space="preserve">lade </w:t>
      </w:r>
      <w:r w:rsidR="001454DF" w:rsidRPr="00B46084">
        <w:t>då</w:t>
      </w:r>
      <w:r w:rsidR="00C500E4" w:rsidRPr="00B46084">
        <w:t xml:space="preserve"> fram ett nytt kompromissförslag i form av ett tillägg till paragraf 18 som innebär att</w:t>
      </w:r>
      <w:r w:rsidRPr="00B46084">
        <w:t xml:space="preserve"> kommissionen </w:t>
      </w:r>
      <w:r w:rsidR="00C500E4" w:rsidRPr="00B46084">
        <w:t>ska rapportera tillbaka till rådet under 2010</w:t>
      </w:r>
      <w:r w:rsidR="001454DF" w:rsidRPr="00B46084">
        <w:t xml:space="preserve"> om kopplingen mellan konventionerna</w:t>
      </w:r>
      <w:r w:rsidR="00C500E4" w:rsidRPr="00B46084">
        <w:t>. Detta kunde stödjas av alla</w:t>
      </w:r>
      <w:r w:rsidRPr="00B46084">
        <w:t xml:space="preserve"> medlemsstater</w:t>
      </w:r>
      <w:r w:rsidR="00C500E4" w:rsidRPr="00B46084">
        <w:t xml:space="preserve"> och slutsatserna kunde antas.</w:t>
      </w:r>
      <w:r w:rsidRPr="00B46084">
        <w:t xml:space="preserve"> </w:t>
      </w:r>
      <w:r w:rsidR="00EF428E" w:rsidRPr="00B46084">
        <w:t xml:space="preserve">I slutsatserna ger rådet sitt stöd till kommissionens strategi och </w:t>
      </w:r>
      <w:r w:rsidR="00B927E7" w:rsidRPr="00B46084">
        <w:t xml:space="preserve">uppmanar kommissionen att lägga förslag om hur den nya IMO-konventionen ska genomföras i EU:s lagstiftning i syfte att se till att nedmontering av fartyg med stark koppling till EU endast sker vid säkra och miljövänliga anläggningar världen över. </w:t>
      </w:r>
    </w:p>
    <w:p w:rsidR="00B927E7" w:rsidRPr="00B46084" w:rsidRDefault="00B927E7" w:rsidP="00C500E4">
      <w:pPr>
        <w:rPr>
          <w:rFonts w:ascii="TimesNewRoman" w:hAnsi="TimesNewRoman" w:cs="TimesNewRoman"/>
          <w:lang w:eastAsia="sv-SE"/>
        </w:rPr>
      </w:pPr>
    </w:p>
    <w:p w:rsidR="00C500E4" w:rsidRPr="00B46084" w:rsidRDefault="00C500E4" w:rsidP="00C500E4">
      <w:pPr>
        <w:pStyle w:val="RKrubrik"/>
        <w:ind w:left="1134" w:hanging="1134"/>
      </w:pPr>
      <w:r w:rsidRPr="00B46084">
        <w:t>6</w:t>
      </w:r>
      <w:r w:rsidR="00737141" w:rsidRPr="00B46084">
        <w:t xml:space="preserve"> och 7</w:t>
      </w:r>
      <w:r w:rsidRPr="00B46084">
        <w:t xml:space="preserve">. </w:t>
      </w:r>
      <w:r w:rsidRPr="00B46084">
        <w:tab/>
        <w:t xml:space="preserve">Kommissionens förslag till Europaparlamentets och rådets direktiv om avfall som utgörs av eller innehåller elektriska eller elektroniska produkter (WEEE) [Omarbetning] </w:t>
      </w:r>
    </w:p>
    <w:p w:rsidR="00C500E4" w:rsidRPr="00B46084" w:rsidRDefault="00C500E4" w:rsidP="00C500E4">
      <w:pPr>
        <w:pStyle w:val="RKrubrik"/>
        <w:ind w:left="1134" w:hanging="1134"/>
      </w:pPr>
      <w:r w:rsidRPr="00B46084">
        <w:tab/>
        <w:t xml:space="preserve">Kommissionens förslag till Europaparlamentets och rådets direktiv om begränsning av användningen av vissa farliga ämnen i elektriska och elektroniska produkter (RoHS) [Omarbetning] </w:t>
      </w:r>
    </w:p>
    <w:p w:rsidR="00C500E4" w:rsidRPr="00B46084" w:rsidRDefault="00C500E4" w:rsidP="00C500E4"/>
    <w:p w:rsidR="00C500E4" w:rsidRPr="00B46084" w:rsidRDefault="00C500E4" w:rsidP="00C500E4">
      <w:pPr>
        <w:pStyle w:val="RKnormal"/>
        <w:tabs>
          <w:tab w:val="left" w:pos="1134"/>
        </w:tabs>
        <w:rPr>
          <w:rFonts w:ascii="TradeGothic" w:hAnsi="TradeGothic"/>
          <w:sz w:val="22"/>
          <w:szCs w:val="22"/>
        </w:rPr>
      </w:pPr>
      <w:r w:rsidRPr="00B46084">
        <w:rPr>
          <w:rFonts w:ascii="TradeGothic" w:hAnsi="TradeGothic"/>
          <w:sz w:val="22"/>
          <w:szCs w:val="22"/>
        </w:rPr>
        <w:t xml:space="preserve">- </w:t>
      </w:r>
      <w:r w:rsidRPr="00B46084">
        <w:rPr>
          <w:rFonts w:ascii="TradeGothic" w:hAnsi="TradeGothic"/>
          <w:sz w:val="22"/>
          <w:szCs w:val="22"/>
        </w:rPr>
        <w:tab/>
        <w:t>riktlinjedebatt</w:t>
      </w:r>
    </w:p>
    <w:p w:rsidR="00C500E4" w:rsidRPr="00B46084" w:rsidRDefault="00C500E4" w:rsidP="00C500E4">
      <w:pPr>
        <w:rPr>
          <w:rFonts w:ascii="TimesNewRoman" w:hAnsi="TimesNewRoman" w:cs="TimesNewRoman"/>
          <w:lang w:eastAsia="sv-SE"/>
        </w:rPr>
      </w:pPr>
      <w:r w:rsidRPr="00B46084">
        <w:rPr>
          <w:rFonts w:ascii="TimesNewRoman" w:hAnsi="TimesNewRoman" w:cs="TimesNewRoman"/>
          <w:lang w:eastAsia="sv-SE"/>
        </w:rPr>
        <w:t>(Offentlig överläggning i enlighet med artikel 8.1 c i rådets arbetsordning)</w:t>
      </w:r>
    </w:p>
    <w:p w:rsidR="00C500E4" w:rsidRPr="00B46084" w:rsidRDefault="00C500E4" w:rsidP="00C500E4">
      <w:pPr>
        <w:rPr>
          <w:rFonts w:cs="TimesNewRoman"/>
          <w:lang w:eastAsia="sv-SE"/>
        </w:rPr>
      </w:pPr>
    </w:p>
    <w:p w:rsidR="008D7379" w:rsidRPr="00B46084" w:rsidRDefault="00C500E4" w:rsidP="00C500E4">
      <w:pPr>
        <w:rPr>
          <w:color w:val="000000"/>
          <w:szCs w:val="24"/>
          <w:lang w:eastAsia="sv-SE"/>
        </w:rPr>
      </w:pPr>
      <w:r w:rsidRPr="00B46084">
        <w:rPr>
          <w:color w:val="000000"/>
          <w:szCs w:val="24"/>
          <w:lang w:eastAsia="sv-SE"/>
        </w:rPr>
        <w:t xml:space="preserve">Under miljörådsmötet fördes en </w:t>
      </w:r>
      <w:r w:rsidR="007E14AA" w:rsidRPr="00B46084">
        <w:rPr>
          <w:color w:val="000000"/>
          <w:szCs w:val="24"/>
          <w:lang w:eastAsia="sv-SE"/>
        </w:rPr>
        <w:t xml:space="preserve">öppen </w:t>
      </w:r>
      <w:r w:rsidRPr="00B46084">
        <w:rPr>
          <w:color w:val="000000"/>
          <w:szCs w:val="24"/>
          <w:lang w:eastAsia="sv-SE"/>
        </w:rPr>
        <w:t xml:space="preserve">policydebatt om omfattningen av WEEE- och RoHS-direktiven. Samtliga </w:t>
      </w:r>
      <w:r w:rsidR="006D4385" w:rsidRPr="00B46084">
        <w:rPr>
          <w:color w:val="000000"/>
          <w:szCs w:val="24"/>
          <w:lang w:eastAsia="sv-SE"/>
        </w:rPr>
        <w:t>medlemsstater gjorde inlägg</w:t>
      </w:r>
      <w:r w:rsidR="00084DC1" w:rsidRPr="00B46084">
        <w:rPr>
          <w:color w:val="000000"/>
          <w:szCs w:val="24"/>
          <w:lang w:eastAsia="sv-SE"/>
        </w:rPr>
        <w:t xml:space="preserve"> i debatten utom Estland, som dock </w:t>
      </w:r>
      <w:r w:rsidR="006D4385" w:rsidRPr="00B46084">
        <w:rPr>
          <w:color w:val="000000"/>
          <w:szCs w:val="24"/>
          <w:lang w:eastAsia="sv-SE"/>
        </w:rPr>
        <w:t xml:space="preserve">lämnade skriftliga synpunkter. </w:t>
      </w:r>
      <w:r w:rsidRPr="00B46084">
        <w:rPr>
          <w:color w:val="000000"/>
          <w:szCs w:val="24"/>
          <w:lang w:eastAsia="sv-SE"/>
        </w:rPr>
        <w:t xml:space="preserve"> </w:t>
      </w:r>
    </w:p>
    <w:p w:rsidR="008D7379" w:rsidRPr="00B46084" w:rsidRDefault="008D7379" w:rsidP="00C500E4">
      <w:pPr>
        <w:rPr>
          <w:color w:val="000000"/>
          <w:szCs w:val="24"/>
          <w:lang w:eastAsia="sv-SE"/>
        </w:rPr>
      </w:pPr>
    </w:p>
    <w:p w:rsidR="008D7379" w:rsidRPr="00B46084" w:rsidRDefault="00C500E4" w:rsidP="00C500E4">
      <w:pPr>
        <w:rPr>
          <w:color w:val="000000"/>
          <w:szCs w:val="24"/>
          <w:lang w:eastAsia="sv-SE"/>
        </w:rPr>
      </w:pPr>
      <w:r w:rsidRPr="00B46084">
        <w:rPr>
          <w:color w:val="000000"/>
          <w:szCs w:val="24"/>
          <w:lang w:eastAsia="sv-SE"/>
        </w:rPr>
        <w:t xml:space="preserve">Samtliga </w:t>
      </w:r>
      <w:r w:rsidR="006D4385" w:rsidRPr="00B46084">
        <w:rPr>
          <w:color w:val="000000"/>
          <w:szCs w:val="24"/>
          <w:lang w:eastAsia="sv-SE"/>
        </w:rPr>
        <w:t xml:space="preserve">medlemsstater gav sitt stöd till </w:t>
      </w:r>
      <w:r w:rsidR="008D7379" w:rsidRPr="00B46084">
        <w:rPr>
          <w:color w:val="000000"/>
          <w:szCs w:val="24"/>
          <w:lang w:eastAsia="sv-SE"/>
        </w:rPr>
        <w:t xml:space="preserve">att direktivens omfattning regleras separat för respektive direktiv. </w:t>
      </w:r>
      <w:r w:rsidRPr="00B46084">
        <w:rPr>
          <w:color w:val="000000"/>
          <w:szCs w:val="24"/>
          <w:lang w:eastAsia="sv-SE"/>
        </w:rPr>
        <w:t>Skäl som framfördes var att de båda direktiven har olika syften och olika rättslig grund. När det gäller omfattningen för RoHS-direktivet framförde</w:t>
      </w:r>
      <w:r w:rsidR="006D4385" w:rsidRPr="00B46084">
        <w:rPr>
          <w:color w:val="000000"/>
          <w:szCs w:val="24"/>
          <w:lang w:eastAsia="sv-SE"/>
        </w:rPr>
        <w:t xml:space="preserve"> </w:t>
      </w:r>
      <w:r w:rsidR="00084DC1" w:rsidRPr="00B46084">
        <w:rPr>
          <w:color w:val="000000"/>
          <w:szCs w:val="24"/>
          <w:lang w:eastAsia="sv-SE"/>
        </w:rPr>
        <w:t xml:space="preserve">Estland, </w:t>
      </w:r>
      <w:r w:rsidR="006D4385" w:rsidRPr="00B46084">
        <w:rPr>
          <w:color w:val="000000"/>
          <w:szCs w:val="24"/>
          <w:lang w:eastAsia="sv-SE"/>
        </w:rPr>
        <w:t xml:space="preserve">Spanien, Danmark, Luxemburg, Tjeckien, Irland, Cypern, Nederländerna, Slovakien, Tyskland, Belgien, Italien, Litauen, Rumänien, Frankrike, Bulgarien, Österrike, Slovenien, Portugal, Ungern och </w:t>
      </w:r>
      <w:r w:rsidR="005237B3" w:rsidRPr="00B46084">
        <w:rPr>
          <w:color w:val="000000"/>
          <w:szCs w:val="24"/>
          <w:lang w:eastAsia="sv-SE"/>
        </w:rPr>
        <w:t xml:space="preserve">Finland </w:t>
      </w:r>
      <w:r w:rsidR="00737141" w:rsidRPr="00B46084">
        <w:rPr>
          <w:color w:val="000000"/>
          <w:szCs w:val="24"/>
          <w:lang w:eastAsia="sv-SE"/>
        </w:rPr>
        <w:t xml:space="preserve">att </w:t>
      </w:r>
      <w:r w:rsidRPr="00B46084">
        <w:rPr>
          <w:color w:val="000000"/>
          <w:szCs w:val="24"/>
          <w:lang w:eastAsia="sv-SE"/>
        </w:rPr>
        <w:t>de vill se att alla elprodukter omfattas eftersom det ger mer harmonisering, tydligare och enklare tillämpning och högre miljöambition</w:t>
      </w:r>
      <w:r w:rsidR="005237B3" w:rsidRPr="00B46084">
        <w:rPr>
          <w:color w:val="000000"/>
          <w:szCs w:val="24"/>
          <w:lang w:eastAsia="sv-SE"/>
        </w:rPr>
        <w:t>,</w:t>
      </w:r>
      <w:r w:rsidRPr="00B46084">
        <w:rPr>
          <w:color w:val="000000"/>
          <w:szCs w:val="24"/>
          <w:lang w:eastAsia="sv-SE"/>
        </w:rPr>
        <w:t xml:space="preserve"> samt att direktivet på ett bättre sätt kan inrymma den snabba tekniska utvecklingen som sker i denna bransch.</w:t>
      </w:r>
      <w:r w:rsidR="005237B3" w:rsidRPr="00B46084">
        <w:rPr>
          <w:color w:val="000000"/>
          <w:szCs w:val="24"/>
          <w:lang w:eastAsia="sv-SE"/>
        </w:rPr>
        <w:t xml:space="preserve"> Lettland, Storbritannien och Malta v</w:t>
      </w:r>
      <w:r w:rsidRPr="00B46084">
        <w:rPr>
          <w:color w:val="000000"/>
          <w:szCs w:val="24"/>
          <w:lang w:eastAsia="sv-SE"/>
        </w:rPr>
        <w:t>ill</w:t>
      </w:r>
      <w:r w:rsidR="005237B3" w:rsidRPr="00B46084">
        <w:rPr>
          <w:color w:val="000000"/>
          <w:szCs w:val="24"/>
          <w:lang w:eastAsia="sv-SE"/>
        </w:rPr>
        <w:t>e</w:t>
      </w:r>
      <w:r w:rsidRPr="00B46084">
        <w:rPr>
          <w:color w:val="000000"/>
          <w:szCs w:val="24"/>
          <w:lang w:eastAsia="sv-SE"/>
        </w:rPr>
        <w:t xml:space="preserve"> inte ha ett öppen omfattning. De argument som de lade fram var att de anser det ger ett ineffektivare direktiv då omfattningen blir otydlig och svår att tillämpa. Det är oklart vad en öppen omfattning ger, och de anser att nuvarande kategorier behövs. Ett ytterligare argument är att det behövs en förnyad konsekvensanalys.</w:t>
      </w:r>
      <w:r w:rsidR="005237B3" w:rsidRPr="00B46084">
        <w:rPr>
          <w:color w:val="000000"/>
          <w:szCs w:val="24"/>
          <w:lang w:eastAsia="sv-SE"/>
        </w:rPr>
        <w:t xml:space="preserve"> Greklands </w:t>
      </w:r>
      <w:r w:rsidRPr="00B46084">
        <w:rPr>
          <w:color w:val="000000"/>
          <w:szCs w:val="24"/>
          <w:lang w:eastAsia="sv-SE"/>
        </w:rPr>
        <w:t xml:space="preserve">position </w:t>
      </w:r>
      <w:r w:rsidR="005237B3" w:rsidRPr="00B46084">
        <w:rPr>
          <w:color w:val="000000"/>
          <w:szCs w:val="24"/>
          <w:lang w:eastAsia="sv-SE"/>
        </w:rPr>
        <w:t xml:space="preserve">var </w:t>
      </w:r>
      <w:r w:rsidRPr="00B46084">
        <w:rPr>
          <w:color w:val="000000"/>
          <w:szCs w:val="24"/>
          <w:lang w:eastAsia="sv-SE"/>
        </w:rPr>
        <w:t xml:space="preserve">oklar vad gäller omfattningen av RoHS och WEEE. </w:t>
      </w:r>
    </w:p>
    <w:p w:rsidR="008D7379" w:rsidRPr="00B46084" w:rsidRDefault="008D7379" w:rsidP="00C500E4">
      <w:pPr>
        <w:rPr>
          <w:color w:val="000000"/>
          <w:szCs w:val="24"/>
          <w:lang w:eastAsia="sv-SE"/>
        </w:rPr>
      </w:pPr>
    </w:p>
    <w:p w:rsidR="00C500E4" w:rsidRPr="00B46084" w:rsidRDefault="00C500E4" w:rsidP="00C500E4">
      <w:pPr>
        <w:rPr>
          <w:color w:val="000000"/>
          <w:szCs w:val="24"/>
          <w:lang w:eastAsia="sv-SE"/>
        </w:rPr>
      </w:pPr>
      <w:r w:rsidRPr="00B46084">
        <w:rPr>
          <w:color w:val="000000"/>
          <w:szCs w:val="24"/>
          <w:lang w:eastAsia="sv-SE"/>
        </w:rPr>
        <w:t>För WEEE-direktivet finns olika uppfattningar om hur omfattningen ska utformas.</w:t>
      </w:r>
      <w:r w:rsidR="005237B3" w:rsidRPr="00B46084">
        <w:rPr>
          <w:color w:val="000000"/>
          <w:szCs w:val="24"/>
          <w:lang w:eastAsia="sv-SE"/>
        </w:rPr>
        <w:t xml:space="preserve"> </w:t>
      </w:r>
      <w:r w:rsidR="00084DC1" w:rsidRPr="00B46084">
        <w:rPr>
          <w:color w:val="000000"/>
          <w:szCs w:val="24"/>
          <w:lang w:eastAsia="sv-SE"/>
        </w:rPr>
        <w:t xml:space="preserve">Estland, </w:t>
      </w:r>
      <w:r w:rsidR="005237B3" w:rsidRPr="00B46084">
        <w:rPr>
          <w:color w:val="000000"/>
          <w:szCs w:val="24"/>
          <w:lang w:eastAsia="sv-SE"/>
        </w:rPr>
        <w:t xml:space="preserve">Danmark, Irland, Tyskland, Italien, Frankrike, Belgien och Luxemburg </w:t>
      </w:r>
      <w:r w:rsidRPr="00B46084">
        <w:rPr>
          <w:color w:val="000000"/>
          <w:szCs w:val="24"/>
          <w:lang w:eastAsia="sv-SE"/>
        </w:rPr>
        <w:t>vill ha en öppen omfattning även här.</w:t>
      </w:r>
      <w:r w:rsidR="005237B3" w:rsidRPr="00B46084">
        <w:rPr>
          <w:color w:val="000000"/>
          <w:szCs w:val="24"/>
          <w:lang w:eastAsia="sv-SE"/>
        </w:rPr>
        <w:t xml:space="preserve"> Spanien, Cypern, Nederländerna, Litauen, Rumänien, Bulgarien, Portugal och Finland </w:t>
      </w:r>
      <w:r w:rsidRPr="00B46084">
        <w:rPr>
          <w:color w:val="000000"/>
          <w:szCs w:val="24"/>
          <w:lang w:eastAsia="sv-SE"/>
        </w:rPr>
        <w:t>förespråkar en minimilista som täcker fler produkter än idag. De</w:t>
      </w:r>
      <w:r w:rsidR="005237B3" w:rsidRPr="00B46084">
        <w:rPr>
          <w:color w:val="000000"/>
          <w:szCs w:val="24"/>
          <w:lang w:eastAsia="sv-SE"/>
        </w:rPr>
        <w:t xml:space="preserve"> medlemsstater </w:t>
      </w:r>
      <w:r w:rsidRPr="00B46084">
        <w:rPr>
          <w:color w:val="000000"/>
          <w:szCs w:val="24"/>
          <w:lang w:eastAsia="sv-SE"/>
        </w:rPr>
        <w:t>som vill ha en bredare omfattning fram</w:t>
      </w:r>
      <w:r w:rsidR="005237B3" w:rsidRPr="00B46084">
        <w:rPr>
          <w:color w:val="000000"/>
          <w:szCs w:val="24"/>
          <w:lang w:eastAsia="sv-SE"/>
        </w:rPr>
        <w:t>höll</w:t>
      </w:r>
      <w:r w:rsidRPr="00B46084">
        <w:rPr>
          <w:color w:val="000000"/>
          <w:szCs w:val="24"/>
          <w:lang w:eastAsia="sv-SE"/>
        </w:rPr>
        <w:t xml:space="preserve"> att det ger en tydligare och en mer rättssäker tillämpning samt ökad miljöambition. </w:t>
      </w:r>
      <w:r w:rsidR="005237B3" w:rsidRPr="00B46084">
        <w:rPr>
          <w:color w:val="000000"/>
          <w:szCs w:val="24"/>
          <w:lang w:eastAsia="sv-SE"/>
        </w:rPr>
        <w:t>Tjeckien, Lettland, Storbritannien, Malta, Slovakien, Österrike, Slovenien och Ungern</w:t>
      </w:r>
      <w:r w:rsidR="005237B3" w:rsidRPr="00B46084">
        <w:rPr>
          <w:b/>
          <w:color w:val="000000"/>
          <w:szCs w:val="24"/>
          <w:lang w:eastAsia="sv-SE"/>
        </w:rPr>
        <w:t xml:space="preserve"> </w:t>
      </w:r>
      <w:r w:rsidRPr="00B46084">
        <w:rPr>
          <w:color w:val="000000"/>
          <w:szCs w:val="24"/>
          <w:lang w:eastAsia="sv-SE"/>
        </w:rPr>
        <w:t>vill ha samma utformning som idag. Även andra frågor som är viktiga i processen nämndes.</w:t>
      </w:r>
      <w:r w:rsidR="005237B3" w:rsidRPr="00B46084">
        <w:rPr>
          <w:color w:val="000000"/>
          <w:szCs w:val="24"/>
          <w:lang w:eastAsia="sv-SE"/>
        </w:rPr>
        <w:t xml:space="preserve"> Danmark </w:t>
      </w:r>
      <w:r w:rsidRPr="00B46084">
        <w:rPr>
          <w:color w:val="000000"/>
          <w:szCs w:val="24"/>
          <w:lang w:eastAsia="sv-SE"/>
        </w:rPr>
        <w:t>framförde att de vill se fler ämnen på förbudslistan för RoHS.</w:t>
      </w:r>
      <w:r w:rsidR="005237B3" w:rsidRPr="00B46084">
        <w:rPr>
          <w:color w:val="000000"/>
          <w:szCs w:val="24"/>
          <w:lang w:eastAsia="sv-SE"/>
        </w:rPr>
        <w:t xml:space="preserve"> Cypern, Slovakien och Litauen </w:t>
      </w:r>
      <w:r w:rsidRPr="00B46084">
        <w:rPr>
          <w:color w:val="000000"/>
          <w:szCs w:val="24"/>
          <w:lang w:eastAsia="sv-SE"/>
        </w:rPr>
        <w:t>har förbehåll avseende insamlingsmålet år 2016 som de vill sänka till ca 45%.</w:t>
      </w:r>
      <w:r w:rsidR="005237B3" w:rsidRPr="00B46084">
        <w:rPr>
          <w:color w:val="000000"/>
          <w:szCs w:val="24"/>
          <w:lang w:eastAsia="sv-SE"/>
        </w:rPr>
        <w:t xml:space="preserve"> Italien </w:t>
      </w:r>
      <w:r w:rsidRPr="00B46084">
        <w:rPr>
          <w:color w:val="000000"/>
          <w:szCs w:val="24"/>
          <w:lang w:eastAsia="sv-SE"/>
        </w:rPr>
        <w:t xml:space="preserve">önskar en tydligare definition av </w:t>
      </w:r>
      <w:r w:rsidR="00340F59" w:rsidRPr="00B46084">
        <w:rPr>
          <w:color w:val="000000"/>
          <w:szCs w:val="24"/>
          <w:lang w:eastAsia="sv-SE"/>
        </w:rPr>
        <w:t>elektriska och elektroniska produkter</w:t>
      </w:r>
      <w:r w:rsidR="00737141" w:rsidRPr="00B46084">
        <w:rPr>
          <w:color w:val="000000"/>
          <w:szCs w:val="24"/>
          <w:lang w:eastAsia="sv-SE"/>
        </w:rPr>
        <w:t>.</w:t>
      </w:r>
      <w:r w:rsidRPr="00B46084">
        <w:rPr>
          <w:color w:val="000000"/>
          <w:szCs w:val="24"/>
          <w:lang w:eastAsia="sv-SE"/>
        </w:rPr>
        <w:t xml:space="preserve"> I</w:t>
      </w:r>
      <w:r w:rsidR="005237B3" w:rsidRPr="00B46084">
        <w:rPr>
          <w:color w:val="000000"/>
          <w:szCs w:val="24"/>
          <w:lang w:eastAsia="sv-SE"/>
        </w:rPr>
        <w:t>talien</w:t>
      </w:r>
      <w:r w:rsidRPr="00B46084">
        <w:rPr>
          <w:color w:val="000000"/>
          <w:szCs w:val="24"/>
          <w:lang w:eastAsia="sv-SE"/>
        </w:rPr>
        <w:t xml:space="preserve"> ser också behov av att undanta solceller.</w:t>
      </w:r>
      <w:r w:rsidR="005237B3" w:rsidRPr="00B46084">
        <w:rPr>
          <w:color w:val="000000"/>
          <w:szCs w:val="24"/>
          <w:lang w:eastAsia="sv-SE"/>
        </w:rPr>
        <w:t xml:space="preserve"> Bulgarien</w:t>
      </w:r>
      <w:r w:rsidRPr="00B46084">
        <w:rPr>
          <w:color w:val="000000"/>
          <w:szCs w:val="24"/>
          <w:lang w:eastAsia="sv-SE"/>
        </w:rPr>
        <w:t xml:space="preserve"> anser att de reducerade kategorierna nr 4 och 5 måste definieras med tekniska parametrar som vikt och volym</w:t>
      </w:r>
      <w:r w:rsidR="00737141" w:rsidRPr="00B46084">
        <w:rPr>
          <w:color w:val="000000"/>
          <w:szCs w:val="24"/>
          <w:lang w:eastAsia="sv-SE"/>
        </w:rPr>
        <w:t>.</w:t>
      </w:r>
      <w:r w:rsidR="005237B3" w:rsidRPr="00B46084">
        <w:rPr>
          <w:color w:val="000000"/>
          <w:szCs w:val="24"/>
          <w:lang w:eastAsia="sv-SE"/>
        </w:rPr>
        <w:t xml:space="preserve"> Österrike </w:t>
      </w:r>
      <w:r w:rsidRPr="00B46084">
        <w:rPr>
          <w:color w:val="000000"/>
          <w:szCs w:val="24"/>
          <w:lang w:eastAsia="sv-SE"/>
        </w:rPr>
        <w:t>sa</w:t>
      </w:r>
      <w:r w:rsidR="005237B3" w:rsidRPr="00B46084">
        <w:rPr>
          <w:color w:val="000000"/>
          <w:szCs w:val="24"/>
          <w:lang w:eastAsia="sv-SE"/>
        </w:rPr>
        <w:t>de</w:t>
      </w:r>
      <w:r w:rsidRPr="00B46084">
        <w:rPr>
          <w:color w:val="000000"/>
          <w:szCs w:val="24"/>
          <w:lang w:eastAsia="sv-SE"/>
        </w:rPr>
        <w:t xml:space="preserve"> att de vill se en definition av producent som ligger i linje med batteridirektivet.</w:t>
      </w:r>
      <w:r w:rsidR="005237B3" w:rsidRPr="00B46084">
        <w:rPr>
          <w:color w:val="000000"/>
          <w:szCs w:val="24"/>
          <w:lang w:eastAsia="sv-SE"/>
        </w:rPr>
        <w:t xml:space="preserve"> Kommissionen </w:t>
      </w:r>
      <w:r w:rsidRPr="00B46084">
        <w:rPr>
          <w:color w:val="000000"/>
          <w:szCs w:val="24"/>
          <w:lang w:eastAsia="sv-SE"/>
        </w:rPr>
        <w:t>sa</w:t>
      </w:r>
      <w:r w:rsidR="005237B3" w:rsidRPr="00B46084">
        <w:rPr>
          <w:color w:val="000000"/>
          <w:szCs w:val="24"/>
          <w:lang w:eastAsia="sv-SE"/>
        </w:rPr>
        <w:t>de</w:t>
      </w:r>
      <w:r w:rsidRPr="00B46084">
        <w:rPr>
          <w:color w:val="000000"/>
          <w:szCs w:val="24"/>
          <w:lang w:eastAsia="sv-SE"/>
        </w:rPr>
        <w:t xml:space="preserve"> att de anser att det behövs en förnyad konsekvensanalys för att ändra omfattningarna.</w:t>
      </w:r>
      <w:r w:rsidR="005237B3" w:rsidRPr="00B46084">
        <w:rPr>
          <w:color w:val="000000"/>
          <w:szCs w:val="24"/>
          <w:lang w:eastAsia="sv-SE"/>
        </w:rPr>
        <w:t xml:space="preserve"> Kommissionen</w:t>
      </w:r>
      <w:r w:rsidRPr="00B46084">
        <w:rPr>
          <w:color w:val="000000"/>
          <w:szCs w:val="24"/>
          <w:lang w:eastAsia="sv-SE"/>
        </w:rPr>
        <w:t xml:space="preserve"> anser vidare att det är svårt att definiera de undantag som krävs för en öppen omfattning och att </w:t>
      </w:r>
      <w:r w:rsidR="00340F59" w:rsidRPr="00B46084">
        <w:rPr>
          <w:color w:val="000000"/>
          <w:szCs w:val="24"/>
          <w:lang w:eastAsia="sv-SE"/>
        </w:rPr>
        <w:t xml:space="preserve">det är </w:t>
      </w:r>
      <w:r w:rsidRPr="00B46084">
        <w:rPr>
          <w:color w:val="000000"/>
          <w:szCs w:val="24"/>
          <w:lang w:eastAsia="sv-SE"/>
        </w:rPr>
        <w:t>svårt att tillämpa.</w:t>
      </w:r>
      <w:r w:rsidR="005237B3" w:rsidRPr="00B46084">
        <w:rPr>
          <w:color w:val="000000"/>
          <w:szCs w:val="24"/>
          <w:lang w:eastAsia="sv-SE"/>
        </w:rPr>
        <w:t xml:space="preserve"> </w:t>
      </w:r>
    </w:p>
    <w:p w:rsidR="00161B3D" w:rsidRPr="00B46084" w:rsidRDefault="00161B3D" w:rsidP="00D047BD">
      <w:pPr>
        <w:rPr>
          <w:b/>
        </w:rPr>
      </w:pPr>
    </w:p>
    <w:p w:rsidR="00247AA5" w:rsidRPr="00B46084" w:rsidRDefault="00247AA5" w:rsidP="00D047BD">
      <w:pPr>
        <w:rPr>
          <w:b/>
        </w:rPr>
      </w:pPr>
    </w:p>
    <w:p w:rsidR="00161B3D" w:rsidRPr="00B46084" w:rsidRDefault="00161B3D" w:rsidP="00161B3D">
      <w:pPr>
        <w:rPr>
          <w:rFonts w:ascii="TradeGothic" w:hAnsi="TradeGothic"/>
          <w:b/>
          <w:sz w:val="22"/>
          <w:szCs w:val="22"/>
        </w:rPr>
      </w:pPr>
      <w:r w:rsidRPr="00B46084">
        <w:rPr>
          <w:rFonts w:ascii="TradeGothic" w:hAnsi="TradeGothic"/>
          <w:b/>
          <w:sz w:val="22"/>
          <w:szCs w:val="22"/>
        </w:rPr>
        <w:t>8. Övriga frågor</w:t>
      </w:r>
    </w:p>
    <w:p w:rsidR="00247AA5" w:rsidRPr="00B46084" w:rsidRDefault="00161B3D" w:rsidP="00247AA5">
      <w:pPr>
        <w:pStyle w:val="RKrubrik"/>
        <w:ind w:left="1134" w:hanging="1134"/>
      </w:pPr>
      <w:r w:rsidRPr="00B46084">
        <w:rPr>
          <w:rStyle w:val="RKrubrikChar"/>
        </w:rPr>
        <w:t>a)</w:t>
      </w:r>
      <w:r w:rsidRPr="00B46084">
        <w:rPr>
          <w:szCs w:val="22"/>
        </w:rPr>
        <w:t xml:space="preserve"> </w:t>
      </w:r>
      <w:r w:rsidRPr="00B46084">
        <w:rPr>
          <w:szCs w:val="22"/>
        </w:rPr>
        <w:tab/>
      </w:r>
      <w:r w:rsidR="00247AA5" w:rsidRPr="00B46084">
        <w:rPr>
          <w:szCs w:val="22"/>
        </w:rPr>
        <w:t xml:space="preserve">Högnivåmöte: Visioner för biologiskt mångfald efter 2010 –människor, ekosystemtjänster och klimatkrisen (Strömstad, Sverige, 7-9 september 2009) </w:t>
      </w:r>
    </w:p>
    <w:p w:rsidR="00161B3D" w:rsidRPr="00B46084" w:rsidRDefault="00161B3D" w:rsidP="00161B3D">
      <w:pPr>
        <w:pStyle w:val="RKnormal"/>
        <w:tabs>
          <w:tab w:val="left" w:pos="1134"/>
        </w:tabs>
        <w:spacing w:line="0" w:lineRule="atLeast"/>
      </w:pPr>
      <w:r w:rsidRPr="00B46084">
        <w:sym w:font="Symbol" w:char="F02D"/>
      </w:r>
      <w:r w:rsidRPr="00B46084">
        <w:tab/>
      </w:r>
      <w:r w:rsidRPr="00B46084">
        <w:rPr>
          <w:rFonts w:ascii="TradeGothic" w:hAnsi="TradeGothic"/>
          <w:sz w:val="22"/>
          <w:szCs w:val="22"/>
        </w:rPr>
        <w:t>Information från ordförandeskapet</w:t>
      </w:r>
    </w:p>
    <w:p w:rsidR="00161B3D" w:rsidRPr="00B46084" w:rsidRDefault="00161B3D" w:rsidP="00161B3D">
      <w:pPr>
        <w:tabs>
          <w:tab w:val="left" w:pos="2835"/>
        </w:tabs>
        <w:overflowPunct/>
        <w:spacing w:line="240" w:lineRule="auto"/>
        <w:textAlignment w:val="auto"/>
        <w:rPr>
          <w:color w:val="000000"/>
          <w:szCs w:val="24"/>
          <w:lang w:eastAsia="sv-SE"/>
        </w:rPr>
      </w:pPr>
    </w:p>
    <w:p w:rsidR="00247AA5" w:rsidRPr="00B46084" w:rsidRDefault="00247AA5" w:rsidP="00B60012">
      <w:r w:rsidRPr="00B46084">
        <w:t>O</w:t>
      </w:r>
      <w:r w:rsidR="00B26942" w:rsidRPr="00B46084">
        <w:t>rdföranden</w:t>
      </w:r>
      <w:r w:rsidRPr="00B46084">
        <w:t xml:space="preserve"> redogjorde </w:t>
      </w:r>
      <w:r w:rsidR="00B26942" w:rsidRPr="00B46084">
        <w:t xml:space="preserve">kort </w:t>
      </w:r>
      <w:r w:rsidRPr="00B46084">
        <w:t xml:space="preserve">för mötet och informerade om att rådsslutsatser planeras till miljörådet den 22 december. </w:t>
      </w:r>
    </w:p>
    <w:p w:rsidR="00247AA5" w:rsidRPr="00B46084" w:rsidRDefault="00247AA5" w:rsidP="00161B3D">
      <w:pPr>
        <w:tabs>
          <w:tab w:val="left" w:pos="2835"/>
        </w:tabs>
        <w:overflowPunct/>
        <w:spacing w:line="240" w:lineRule="auto"/>
        <w:textAlignment w:val="auto"/>
        <w:rPr>
          <w:color w:val="000000"/>
          <w:szCs w:val="24"/>
          <w:lang w:eastAsia="sv-SE"/>
        </w:rPr>
      </w:pPr>
    </w:p>
    <w:p w:rsidR="00161B3D" w:rsidRPr="00B46084" w:rsidRDefault="00161B3D" w:rsidP="00161B3D">
      <w:pPr>
        <w:pStyle w:val="RKrubrik"/>
        <w:ind w:left="1134" w:hanging="1134"/>
      </w:pPr>
      <w:r w:rsidRPr="00B46084">
        <w:t>b)</w:t>
      </w:r>
      <w:r w:rsidRPr="00B46084">
        <w:tab/>
      </w:r>
      <w:r w:rsidR="00751DCF" w:rsidRPr="00B46084">
        <w:t xml:space="preserve">Skydd av skogar, bevarandet av biologisk mångfald och kampen mot skogsbränder </w:t>
      </w:r>
    </w:p>
    <w:p w:rsidR="00161B3D" w:rsidRPr="00B46084" w:rsidRDefault="00161B3D" w:rsidP="00161B3D">
      <w:pPr>
        <w:pStyle w:val="RKrubrik"/>
        <w:spacing w:before="0" w:after="0" w:line="240" w:lineRule="auto"/>
        <w:rPr>
          <w:b w:val="0"/>
        </w:rPr>
      </w:pPr>
      <w:r w:rsidRPr="00B46084">
        <w:sym w:font="Symbol" w:char="F02D"/>
      </w:r>
      <w:r w:rsidRPr="00B46084">
        <w:rPr>
          <w:b w:val="0"/>
        </w:rPr>
        <w:tab/>
      </w:r>
      <w:r w:rsidR="00751DCF" w:rsidRPr="00B46084">
        <w:rPr>
          <w:b w:val="0"/>
        </w:rPr>
        <w:t xml:space="preserve">Information från den spanska delegationen, som stöddes av den </w:t>
      </w:r>
      <w:r w:rsidR="00751DCF" w:rsidRPr="00B46084">
        <w:rPr>
          <w:b w:val="0"/>
        </w:rPr>
        <w:tab/>
        <w:t>grekiska, portugisiska och italienska delegationerna</w:t>
      </w:r>
    </w:p>
    <w:p w:rsidR="00751DCF" w:rsidRPr="00B46084" w:rsidRDefault="00751DCF" w:rsidP="00751DCF"/>
    <w:p w:rsidR="00751DCF" w:rsidRPr="00B46084" w:rsidRDefault="00B26942" w:rsidP="00751DCF">
      <w:r w:rsidRPr="00B46084">
        <w:t xml:space="preserve">Spanien </w:t>
      </w:r>
      <w:r w:rsidR="00B927E7" w:rsidRPr="00B46084">
        <w:t xml:space="preserve">presenterade problemet med ökande antal skogsbränder och framhöll vikten av preventiva åtgärder. Spanien </w:t>
      </w:r>
      <w:r w:rsidR="00751DCF" w:rsidRPr="00B46084">
        <w:t xml:space="preserve">fick stöd av </w:t>
      </w:r>
      <w:r w:rsidR="00B927E7" w:rsidRPr="00B46084">
        <w:t xml:space="preserve">Italien, Portugal, Slovenien, </w:t>
      </w:r>
      <w:r w:rsidRPr="00B46084">
        <w:t xml:space="preserve">Grekland och Österrike. Grekland </w:t>
      </w:r>
      <w:r w:rsidR="00751DCF" w:rsidRPr="00B46084">
        <w:t xml:space="preserve">framhöll att Medelhavsländerna varje år drabbas av fenomenet skogsbränder. </w:t>
      </w:r>
      <w:r w:rsidRPr="00B46084">
        <w:t>Grekland ö</w:t>
      </w:r>
      <w:r w:rsidR="00751DCF" w:rsidRPr="00B46084">
        <w:t>nskade se förebyggande studier av</w:t>
      </w:r>
      <w:r w:rsidRPr="00B46084">
        <w:t xml:space="preserve"> kommissionen</w:t>
      </w:r>
      <w:r w:rsidR="00751DCF" w:rsidRPr="00B46084">
        <w:t xml:space="preserve"> och globala projekt. </w:t>
      </w:r>
      <w:r w:rsidRPr="00B46084">
        <w:t xml:space="preserve">Österrike </w:t>
      </w:r>
      <w:r w:rsidR="00751DCF" w:rsidRPr="00B46084">
        <w:t xml:space="preserve">menade att </w:t>
      </w:r>
      <w:r w:rsidR="007E14AA" w:rsidRPr="00B46084">
        <w:t>EU</w:t>
      </w:r>
      <w:r w:rsidR="00751DCF" w:rsidRPr="00B46084">
        <w:t xml:space="preserve"> inte bör fokusera på enskilda medlemsstaters problem, utan ta ett gemensamt initiativ som täcker alla aspekter av hållbar utveckling. </w:t>
      </w:r>
    </w:p>
    <w:p w:rsidR="00751DCF" w:rsidRPr="00B46084" w:rsidRDefault="00751DCF" w:rsidP="00751DCF"/>
    <w:p w:rsidR="00751DCF" w:rsidRPr="00B46084" w:rsidRDefault="00B26942" w:rsidP="00751DCF">
      <w:r w:rsidRPr="00B46084">
        <w:t>Kommissionen</w:t>
      </w:r>
      <w:r w:rsidR="00751DCF" w:rsidRPr="00B46084">
        <w:t xml:space="preserve"> menade att problemet ökar med klimatförändringarna, men att kompetensen vad gäller skogsbruk ligger hos medlemsstaterna. </w:t>
      </w:r>
      <w:r w:rsidRPr="00B46084">
        <w:t>Det  hindrar dock inte att kommissionen är aktiv i f</w:t>
      </w:r>
      <w:r w:rsidR="00751DCF" w:rsidRPr="00B46084">
        <w:t>rågan och avser komplettera de nationella åtgärderna</w:t>
      </w:r>
      <w:r w:rsidRPr="00B46084">
        <w:t xml:space="preserve">. Kommissionen framhöll </w:t>
      </w:r>
      <w:r w:rsidR="00751DCF" w:rsidRPr="00B46084">
        <w:t>att skogsbränder ökat nio gånger på senare tid</w:t>
      </w:r>
      <w:r w:rsidRPr="00B46084">
        <w:t xml:space="preserve"> och att ett </w:t>
      </w:r>
      <w:r w:rsidR="00751DCF" w:rsidRPr="00B46084">
        <w:t xml:space="preserve">gemensamt informationssystem ska lanseras. </w:t>
      </w:r>
      <w:r w:rsidRPr="00B46084">
        <w:t xml:space="preserve"> </w:t>
      </w:r>
      <w:r w:rsidRPr="00B46084">
        <w:br/>
      </w:r>
    </w:p>
    <w:p w:rsidR="00161B3D" w:rsidRPr="00B46084" w:rsidRDefault="00161B3D" w:rsidP="00161B3D">
      <w:pPr>
        <w:pStyle w:val="RKnormal"/>
        <w:rPr>
          <w:rFonts w:ascii="Times New Roman" w:hAnsi="Times New Roman"/>
          <w:i/>
          <w:color w:val="000000"/>
        </w:rPr>
      </w:pPr>
    </w:p>
    <w:p w:rsidR="00161B3D" w:rsidRPr="00B46084" w:rsidRDefault="00161B3D" w:rsidP="00161B3D">
      <w:pPr>
        <w:pStyle w:val="RKnormal"/>
        <w:ind w:left="1134" w:hanging="1134"/>
        <w:rPr>
          <w:rFonts w:ascii="TradeGothic" w:hAnsi="TradeGothic"/>
          <w:b/>
          <w:sz w:val="22"/>
        </w:rPr>
      </w:pPr>
      <w:r w:rsidRPr="00B46084">
        <w:rPr>
          <w:rFonts w:ascii="TradeGothic" w:hAnsi="TradeGothic"/>
          <w:b/>
          <w:sz w:val="22"/>
        </w:rPr>
        <w:t>c)</w:t>
      </w:r>
      <w:r w:rsidRPr="00B46084">
        <w:rPr>
          <w:rFonts w:ascii="TradeGothic" w:hAnsi="TradeGothic"/>
          <w:b/>
          <w:sz w:val="22"/>
        </w:rPr>
        <w:tab/>
      </w:r>
      <w:r w:rsidR="00751DCF" w:rsidRPr="00B46084">
        <w:rPr>
          <w:rFonts w:ascii="TradeGothic" w:hAnsi="TradeGothic"/>
          <w:b/>
          <w:sz w:val="22"/>
        </w:rPr>
        <w:t xml:space="preserve">Plastsoppa: problemet med plastavfall till sjöss </w:t>
      </w:r>
    </w:p>
    <w:p w:rsidR="00161B3D" w:rsidRPr="00B46084" w:rsidRDefault="00161B3D" w:rsidP="00161B3D">
      <w:pPr>
        <w:pStyle w:val="RKrubrik"/>
        <w:spacing w:before="120" w:after="0" w:line="240" w:lineRule="auto"/>
        <w:rPr>
          <w:b w:val="0"/>
        </w:rPr>
      </w:pPr>
      <w:r w:rsidRPr="00B46084">
        <w:sym w:font="Symbol" w:char="F02D"/>
      </w:r>
      <w:r w:rsidRPr="00B46084">
        <w:rPr>
          <w:b w:val="0"/>
        </w:rPr>
        <w:tab/>
      </w:r>
      <w:r w:rsidR="00751DCF" w:rsidRPr="00B46084">
        <w:rPr>
          <w:b w:val="0"/>
        </w:rPr>
        <w:t>Information från den nederländska delegationen</w:t>
      </w:r>
    </w:p>
    <w:p w:rsidR="00751DCF" w:rsidRPr="00B46084" w:rsidRDefault="00751DCF" w:rsidP="00751DCF">
      <w:pPr>
        <w:pStyle w:val="RKnormal"/>
      </w:pPr>
    </w:p>
    <w:p w:rsidR="00751DCF" w:rsidRPr="00B46084" w:rsidRDefault="00751DCF" w:rsidP="00751DCF">
      <w:r w:rsidRPr="00B46084">
        <w:t>N</w:t>
      </w:r>
      <w:r w:rsidR="00B26942" w:rsidRPr="00B46084">
        <w:t xml:space="preserve">ederländerna </w:t>
      </w:r>
      <w:r w:rsidRPr="00B46084">
        <w:t xml:space="preserve">framhöll att plastsoppa inte är ett nytt nederländskt matrecept utan ett verkligt problem, som växer varje dag. Endast genom internationell samverkan kan problemet åtgärdas. </w:t>
      </w:r>
      <w:r w:rsidR="00B26942" w:rsidRPr="00B46084">
        <w:t xml:space="preserve">Nederländerna framhöll </w:t>
      </w:r>
      <w:r w:rsidRPr="00B46084">
        <w:t xml:space="preserve">att </w:t>
      </w:r>
      <w:r w:rsidR="00B26942" w:rsidRPr="00B46084">
        <w:t>kommissionen</w:t>
      </w:r>
      <w:r w:rsidRPr="00B46084">
        <w:t xml:space="preserve"> redan gör studier relaterat till detta, och att så fort resultaten har kommit bör EU ta fram en gemensam </w:t>
      </w:r>
      <w:r w:rsidR="00B927E7" w:rsidRPr="00B46084">
        <w:t>handlingsplan</w:t>
      </w:r>
      <w:r w:rsidRPr="00B46084">
        <w:t xml:space="preserve"> för att </w:t>
      </w:r>
      <w:r w:rsidR="00503E99" w:rsidRPr="00B46084">
        <w:t>ta sig an</w:t>
      </w:r>
      <w:r w:rsidRPr="00B46084">
        <w:t xml:space="preserve"> problemet. </w:t>
      </w:r>
    </w:p>
    <w:p w:rsidR="00751DCF" w:rsidRPr="00B46084" w:rsidRDefault="00751DCF" w:rsidP="00751DCF"/>
    <w:p w:rsidR="00751DCF" w:rsidRPr="00B46084" w:rsidRDefault="00B26942" w:rsidP="00751DCF">
      <w:r w:rsidRPr="00B46084">
        <w:t xml:space="preserve">Portugal, Belgien, Grekland och Danmark </w:t>
      </w:r>
      <w:r w:rsidR="00751DCF" w:rsidRPr="00B46084">
        <w:t>gjorde inlägg till stöd för N</w:t>
      </w:r>
      <w:r w:rsidRPr="00B46084">
        <w:t>ederländerna</w:t>
      </w:r>
      <w:r w:rsidR="00751DCF" w:rsidRPr="00B46084">
        <w:t>. P</w:t>
      </w:r>
      <w:r w:rsidRPr="00B46084">
        <w:t>ortugal</w:t>
      </w:r>
      <w:r w:rsidR="00751DCF" w:rsidRPr="00B46084">
        <w:t xml:space="preserve"> påpekade att plastskräp i havet påverkar plankton och ekosystem. Plastpåsar ett av de största problemen, </w:t>
      </w:r>
      <w:r w:rsidRPr="00B46084">
        <w:t xml:space="preserve">och </w:t>
      </w:r>
      <w:r w:rsidR="00751DCF" w:rsidRPr="00B46084">
        <w:t xml:space="preserve">inte så enkelt </w:t>
      </w:r>
      <w:r w:rsidRPr="00B46084">
        <w:t xml:space="preserve">att </w:t>
      </w:r>
      <w:r w:rsidR="00751DCF" w:rsidRPr="00B46084">
        <w:t>åtgärda. B</w:t>
      </w:r>
      <w:r w:rsidRPr="00B46084">
        <w:t>elgien</w:t>
      </w:r>
      <w:r w:rsidR="00751DCF" w:rsidRPr="00B46084">
        <w:t xml:space="preserve"> menade att EU kan hjälpa till att höja frågan på internationell nivå så att vi kan agera gemensamt för att lösa problemet. </w:t>
      </w:r>
    </w:p>
    <w:p w:rsidR="00751DCF" w:rsidRPr="00B46084" w:rsidRDefault="00751DCF" w:rsidP="00751DCF"/>
    <w:p w:rsidR="00751DCF" w:rsidRPr="00B46084" w:rsidRDefault="00751DCF" w:rsidP="00751DCF">
      <w:r w:rsidRPr="00B46084">
        <w:t>K</w:t>
      </w:r>
      <w:r w:rsidR="00B26942" w:rsidRPr="00B46084">
        <w:t>ommissionen</w:t>
      </w:r>
      <w:r w:rsidRPr="00B46084">
        <w:t xml:space="preserve"> tackade N</w:t>
      </w:r>
      <w:r w:rsidR="00B26942" w:rsidRPr="00B46084">
        <w:t>ederländerna</w:t>
      </w:r>
      <w:r w:rsidRPr="00B46084">
        <w:t xml:space="preserve"> för att de uppmärksammar detta problem som ännu är relativt okänt, varför en lösning också är svår att finna. K</w:t>
      </w:r>
      <w:r w:rsidR="00B26942" w:rsidRPr="00B46084">
        <w:t>ommissionen</w:t>
      </w:r>
      <w:r w:rsidRPr="00B46084">
        <w:t xml:space="preserve"> är medveten om det</w:t>
      </w:r>
      <w:r w:rsidR="00B26942" w:rsidRPr="00B46084">
        <w:t xml:space="preserve"> och</w:t>
      </w:r>
      <w:r w:rsidRPr="00B46084">
        <w:t xml:space="preserve"> har följt detta med stort intresse. </w:t>
      </w:r>
      <w:r w:rsidR="00B26942" w:rsidRPr="00B46084">
        <w:t xml:space="preserve">Kommissionen pekade på att man bör </w:t>
      </w:r>
      <w:r w:rsidRPr="00B46084">
        <w:t xml:space="preserve">agera inom regionala havskonventioner.  </w:t>
      </w:r>
      <w:r w:rsidR="00B26942" w:rsidRPr="00B46084">
        <w:t xml:space="preserve"> </w:t>
      </w:r>
    </w:p>
    <w:p w:rsidR="00751DCF" w:rsidRPr="00B46084" w:rsidRDefault="00751DCF" w:rsidP="00751DCF"/>
    <w:p w:rsidR="00161B3D" w:rsidRPr="00B46084" w:rsidRDefault="00161B3D" w:rsidP="00161B3D">
      <w:pPr>
        <w:pStyle w:val="RKrubrik"/>
        <w:ind w:left="1134" w:hanging="1134"/>
      </w:pPr>
      <w:r w:rsidRPr="00B46084">
        <w:t>d)</w:t>
      </w:r>
      <w:r w:rsidRPr="00B46084">
        <w:tab/>
      </w:r>
      <w:r w:rsidR="00751DCF" w:rsidRPr="00B46084">
        <w:t xml:space="preserve">Kombinationseffekter av kemiska ämnen – barn som är exponerade mot multipla endokrinstörande ämnen </w:t>
      </w:r>
    </w:p>
    <w:p w:rsidR="00161B3D" w:rsidRPr="00B46084" w:rsidRDefault="00161B3D" w:rsidP="00161B3D">
      <w:pPr>
        <w:pStyle w:val="RKrubrik"/>
        <w:spacing w:before="40"/>
        <w:rPr>
          <w:b w:val="0"/>
        </w:rPr>
      </w:pPr>
      <w:r w:rsidRPr="00B46084">
        <w:sym w:font="Symbol" w:char="F02D"/>
      </w:r>
      <w:r w:rsidRPr="00B46084">
        <w:rPr>
          <w:b w:val="0"/>
        </w:rPr>
        <w:tab/>
      </w:r>
      <w:r w:rsidR="00751DCF" w:rsidRPr="00B46084">
        <w:rPr>
          <w:b w:val="0"/>
        </w:rPr>
        <w:t>Information från den danska delegationen</w:t>
      </w:r>
    </w:p>
    <w:p w:rsidR="00751DCF" w:rsidRPr="00B46084" w:rsidRDefault="00751DCF" w:rsidP="00751DCF"/>
    <w:p w:rsidR="00751DCF" w:rsidRPr="00B46084" w:rsidRDefault="00751DCF" w:rsidP="00751DCF">
      <w:r w:rsidRPr="00B46084">
        <w:t>D</w:t>
      </w:r>
      <w:r w:rsidR="00B26942" w:rsidRPr="00B46084">
        <w:t xml:space="preserve">anmark </w:t>
      </w:r>
      <w:r w:rsidRPr="00B46084">
        <w:t xml:space="preserve">informerade om </w:t>
      </w:r>
      <w:r w:rsidR="00B927E7" w:rsidRPr="00B46084">
        <w:t xml:space="preserve">problemet med att kemikalier som släpps ut i mängder som var för sig understiger gränsvärdena ändå får skadliga effekter när de kombineras och att dagens regelverk inte tar hänsyn till detta. </w:t>
      </w:r>
      <w:r w:rsidR="00E27CC3" w:rsidRPr="00B46084">
        <w:t>Danmark framhöll att särskilt hormonstörande</w:t>
      </w:r>
      <w:r w:rsidR="007601B5" w:rsidRPr="00B46084">
        <w:t xml:space="preserve"> </w:t>
      </w:r>
      <w:r w:rsidR="00E27CC3" w:rsidRPr="00B46084">
        <w:t xml:space="preserve">ämnen tenderar att ofta få skadliga effekter när de kombineras och redogjorde för en dansk rapport om effekten på barn. Kommissionen arbetar redan med detta och Danmark uppmanade rådet att anta slutsatser. Danmark fick bland annat </w:t>
      </w:r>
      <w:r w:rsidRPr="00B46084">
        <w:t>stöd av F</w:t>
      </w:r>
      <w:r w:rsidR="00B26942" w:rsidRPr="00B46084">
        <w:t>rankrike</w:t>
      </w:r>
      <w:r w:rsidR="00E27CC3" w:rsidRPr="00B46084">
        <w:t xml:space="preserve">, som menade </w:t>
      </w:r>
      <w:r w:rsidR="00B26942" w:rsidRPr="00B46084">
        <w:t xml:space="preserve">att </w:t>
      </w:r>
      <w:r w:rsidRPr="00B46084">
        <w:t>man bör titta på både sociala och miljömässiga konsekvenser. O</w:t>
      </w:r>
      <w:r w:rsidR="00B26942" w:rsidRPr="00B46084">
        <w:t xml:space="preserve">rdföranden </w:t>
      </w:r>
      <w:r w:rsidRPr="00B46084">
        <w:t>tackade för D</w:t>
      </w:r>
      <w:r w:rsidR="00B26942" w:rsidRPr="00B46084">
        <w:t>anmarks</w:t>
      </w:r>
      <w:r w:rsidRPr="00B46084">
        <w:t xml:space="preserve"> initiativ och informerade rådet att rådsslutsatser planeras till miljörådet den 22 december.</w:t>
      </w:r>
      <w:r w:rsidR="00B26942" w:rsidRPr="00B46084">
        <w:t xml:space="preserve"> </w:t>
      </w:r>
      <w:r w:rsidRPr="00B46084">
        <w:t xml:space="preserve"> </w:t>
      </w:r>
    </w:p>
    <w:p w:rsidR="00161B3D" w:rsidRPr="00B46084" w:rsidRDefault="00161B3D" w:rsidP="00161B3D">
      <w:pPr>
        <w:pStyle w:val="RKnormal"/>
        <w:spacing w:line="240" w:lineRule="auto"/>
        <w:rPr>
          <w:lang w:eastAsia="sv-SE"/>
        </w:rPr>
      </w:pPr>
    </w:p>
    <w:p w:rsidR="00161B3D" w:rsidRPr="00B46084" w:rsidRDefault="00161B3D" w:rsidP="00161B3D">
      <w:pPr>
        <w:pStyle w:val="RKrubrik"/>
        <w:ind w:left="1134" w:hanging="1134"/>
      </w:pPr>
      <w:r w:rsidRPr="00B46084">
        <w:t>e)</w:t>
      </w:r>
      <w:r w:rsidRPr="00B46084">
        <w:tab/>
      </w:r>
      <w:r w:rsidR="00B61D3E" w:rsidRPr="00B46084">
        <w:t>Förberedelse av andra möten i rådgivande gruppen av ministrar eller deras företrädare på hög nivå om internationell miljöförvaltning (Rom, 26-29 oktober 2009)</w:t>
      </w:r>
    </w:p>
    <w:p w:rsidR="00161B3D" w:rsidRPr="00B46084" w:rsidRDefault="00161B3D" w:rsidP="00161B3D">
      <w:pPr>
        <w:pStyle w:val="RKrubrik"/>
        <w:spacing w:before="40"/>
        <w:rPr>
          <w:b w:val="0"/>
        </w:rPr>
      </w:pPr>
      <w:r w:rsidRPr="00B46084">
        <w:rPr>
          <w:b w:val="0"/>
        </w:rPr>
        <w:sym w:font="Symbol" w:char="F02D"/>
      </w:r>
      <w:r w:rsidRPr="00B46084">
        <w:rPr>
          <w:b w:val="0"/>
        </w:rPr>
        <w:tab/>
        <w:t>Inform</w:t>
      </w:r>
      <w:r w:rsidR="00B61D3E" w:rsidRPr="00B46084">
        <w:rPr>
          <w:b w:val="0"/>
        </w:rPr>
        <w:t>ation från den italienska delegationen</w:t>
      </w:r>
    </w:p>
    <w:p w:rsidR="00B61D3E" w:rsidRPr="00B46084" w:rsidRDefault="00B26942" w:rsidP="00B61D3E">
      <w:r w:rsidRPr="00B46084">
        <w:br/>
      </w:r>
      <w:r w:rsidR="00B61D3E" w:rsidRPr="00B46084">
        <w:t>I</w:t>
      </w:r>
      <w:r w:rsidRPr="00B46084">
        <w:t>talien</w:t>
      </w:r>
      <w:r w:rsidR="00B61D3E" w:rsidRPr="00B46084">
        <w:t xml:space="preserve"> informerade om syftet med det kommande mötet, som är att förmå EU att agera gemensamt inför UNEP:s </w:t>
      </w:r>
      <w:r w:rsidR="00503E99" w:rsidRPr="00B46084">
        <w:t>styrelsemöte</w:t>
      </w:r>
      <w:r w:rsidR="00B61D3E" w:rsidRPr="00B46084">
        <w:t xml:space="preserve"> i februari 2010. Det råder bred konsensus om olika </w:t>
      </w:r>
      <w:r w:rsidR="00E76B70" w:rsidRPr="00B46084">
        <w:t>förslag</w:t>
      </w:r>
      <w:r w:rsidR="00B61D3E" w:rsidRPr="00B46084">
        <w:t xml:space="preserve"> för reformering. </w:t>
      </w:r>
      <w:r w:rsidRPr="00B46084">
        <w:t>Italien m</w:t>
      </w:r>
      <w:r w:rsidR="00B61D3E" w:rsidRPr="00B46084">
        <w:t xml:space="preserve">enade att innan </w:t>
      </w:r>
      <w:r w:rsidR="00E76B70" w:rsidRPr="00B46084">
        <w:t>EU</w:t>
      </w:r>
      <w:r w:rsidR="00B61D3E" w:rsidRPr="00B46084">
        <w:t xml:space="preserve"> startar en diskussion om formen bör </w:t>
      </w:r>
      <w:r w:rsidR="00572591" w:rsidRPr="00B46084">
        <w:t>EU</w:t>
      </w:r>
      <w:r w:rsidR="00B61D3E" w:rsidRPr="00B46084">
        <w:t xml:space="preserve"> vara överens om vad som ska förbättras. Stegen däremellan behöver sedan utarbetas. I</w:t>
      </w:r>
      <w:r w:rsidRPr="00B46084">
        <w:t>talien</w:t>
      </w:r>
      <w:r w:rsidR="00B61D3E" w:rsidRPr="00B46084">
        <w:t xml:space="preserve"> hoppades att alla </w:t>
      </w:r>
      <w:r w:rsidRPr="00B46084">
        <w:t>medlemsstater</w:t>
      </w:r>
      <w:r w:rsidR="00B61D3E" w:rsidRPr="00B46084">
        <w:t xml:space="preserve"> tar detta i beaktande på högsta politiska nivå och att miljöministrar personligen </w:t>
      </w:r>
      <w:r w:rsidR="00572591" w:rsidRPr="00B46084">
        <w:t xml:space="preserve">kan delta </w:t>
      </w:r>
      <w:r w:rsidR="00B61D3E" w:rsidRPr="00B46084">
        <w:t xml:space="preserve">i mötet i Rom. </w:t>
      </w:r>
      <w:r w:rsidR="00572591" w:rsidRPr="00B46084">
        <w:t xml:space="preserve"> </w:t>
      </w:r>
    </w:p>
    <w:p w:rsidR="00B61D3E" w:rsidRPr="00B46084" w:rsidRDefault="00B61D3E" w:rsidP="00B61D3E"/>
    <w:p w:rsidR="00B61D3E" w:rsidRPr="00B46084" w:rsidRDefault="00B61D3E" w:rsidP="005C07A0">
      <w:r w:rsidRPr="00B46084">
        <w:t>K</w:t>
      </w:r>
      <w:r w:rsidR="00B26942" w:rsidRPr="00B46084">
        <w:t>ommissionen</w:t>
      </w:r>
      <w:r w:rsidRPr="00B46084">
        <w:t xml:space="preserve"> tackade I</w:t>
      </w:r>
      <w:r w:rsidR="00B26942" w:rsidRPr="00B46084">
        <w:t>talien</w:t>
      </w:r>
      <w:r w:rsidRPr="00B46084">
        <w:t xml:space="preserve"> för initiativet och menade att UNEP måste förstärkas och att FN behöver en stark miljöpelare. K</w:t>
      </w:r>
      <w:r w:rsidR="00B26942" w:rsidRPr="00B46084">
        <w:t>ommissionen</w:t>
      </w:r>
      <w:r w:rsidRPr="00B46084">
        <w:t xml:space="preserve"> ser fram emot mötet i Rom och UNEP:s </w:t>
      </w:r>
      <w:r w:rsidR="00503E99" w:rsidRPr="00B46084">
        <w:t>styrelsemöte</w:t>
      </w:r>
      <w:r w:rsidRPr="00B46084">
        <w:t xml:space="preserve"> i februari. </w:t>
      </w:r>
      <w:r w:rsidR="005C07A0" w:rsidRPr="00B46084">
        <w:br/>
      </w:r>
    </w:p>
    <w:p w:rsidR="00161B3D" w:rsidRPr="00B46084" w:rsidRDefault="00161B3D" w:rsidP="00161B3D">
      <w:pPr>
        <w:pStyle w:val="RKrubrik"/>
        <w:ind w:left="1134" w:hanging="1134"/>
      </w:pPr>
      <w:r w:rsidRPr="00B46084">
        <w:t>f)</w:t>
      </w:r>
      <w:r w:rsidRPr="00B46084">
        <w:tab/>
      </w:r>
      <w:r w:rsidR="00B61D3E" w:rsidRPr="00B46084">
        <w:t>’Green economy Ambassadors Forum</w:t>
      </w:r>
      <w:r w:rsidR="00737141" w:rsidRPr="00B46084">
        <w:t>’</w:t>
      </w:r>
      <w:r w:rsidR="00B61D3E" w:rsidRPr="00B46084">
        <w:t xml:space="preserve"> (Prag, 7 oktober 2009)</w:t>
      </w:r>
    </w:p>
    <w:p w:rsidR="00161B3D" w:rsidRPr="00B46084" w:rsidRDefault="00161B3D" w:rsidP="00161B3D">
      <w:pPr>
        <w:pStyle w:val="RKrubrik"/>
        <w:spacing w:before="40"/>
        <w:rPr>
          <w:b w:val="0"/>
        </w:rPr>
      </w:pPr>
      <w:r w:rsidRPr="00B46084">
        <w:rPr>
          <w:b w:val="0"/>
        </w:rPr>
        <w:sym w:font="Symbol" w:char="F02D"/>
      </w:r>
      <w:r w:rsidRPr="00B46084">
        <w:rPr>
          <w:b w:val="0"/>
        </w:rPr>
        <w:tab/>
      </w:r>
      <w:r w:rsidR="00B61D3E" w:rsidRPr="00B46084">
        <w:rPr>
          <w:b w:val="0"/>
        </w:rPr>
        <w:t>Information från den tjeckiska delegationen</w:t>
      </w:r>
    </w:p>
    <w:p w:rsidR="00161B3D" w:rsidRPr="00B46084" w:rsidRDefault="00161B3D" w:rsidP="00161B3D">
      <w:pPr>
        <w:pStyle w:val="RKnormal"/>
      </w:pPr>
    </w:p>
    <w:p w:rsidR="00B61D3E" w:rsidRPr="00B46084" w:rsidRDefault="00B26942" w:rsidP="00B61D3E">
      <w:r w:rsidRPr="00B46084">
        <w:t xml:space="preserve">Tjeckien </w:t>
      </w:r>
      <w:r w:rsidR="00B61D3E" w:rsidRPr="00B46084">
        <w:t xml:space="preserve">informerade om den konferens som president Vaclav Havel inbjöd till i Prag </w:t>
      </w:r>
      <w:r w:rsidRPr="00B46084">
        <w:t xml:space="preserve">den </w:t>
      </w:r>
      <w:r w:rsidR="00B61D3E" w:rsidRPr="00B46084">
        <w:t xml:space="preserve">7 oktober. Vid konferensen diskuterades hur konceptet ”Grön ekonomi” kan implementeras och hur en grön politik kan ge fördelar inte bara för hållbar ekonomisk tillväxt utan även för miljön. De två kommande </w:t>
      </w:r>
      <w:r w:rsidRPr="00B46084">
        <w:t xml:space="preserve">ordförandeskapen Spanien och Belgien </w:t>
      </w:r>
      <w:r w:rsidR="00B61D3E" w:rsidRPr="00B46084">
        <w:t>kommer att följa upp ämnet.</w:t>
      </w:r>
      <w:r w:rsidRPr="00B46084">
        <w:t xml:space="preserve"> </w:t>
      </w:r>
      <w:r w:rsidR="00B61D3E" w:rsidRPr="00B46084">
        <w:t xml:space="preserve">  </w:t>
      </w:r>
    </w:p>
    <w:p w:rsidR="00B61D3E" w:rsidRPr="00B46084" w:rsidRDefault="00B61D3E" w:rsidP="00B61D3E"/>
    <w:p w:rsidR="00161B3D" w:rsidRPr="00B46084" w:rsidRDefault="00161B3D" w:rsidP="00161B3D">
      <w:pPr>
        <w:pStyle w:val="RKrubrik"/>
        <w:ind w:left="1134" w:hanging="1134"/>
      </w:pPr>
      <w:r w:rsidRPr="00B46084">
        <w:t>g)</w:t>
      </w:r>
      <w:r w:rsidRPr="00B46084">
        <w:tab/>
      </w:r>
      <w:r w:rsidR="00B61D3E" w:rsidRPr="00B46084">
        <w:t xml:space="preserve">Certifiering av importerade biobränslen </w:t>
      </w:r>
    </w:p>
    <w:p w:rsidR="00161B3D" w:rsidRPr="00B46084" w:rsidRDefault="00161B3D" w:rsidP="00161B3D">
      <w:pPr>
        <w:pStyle w:val="RKrubrik"/>
        <w:spacing w:before="40"/>
        <w:rPr>
          <w:b w:val="0"/>
        </w:rPr>
      </w:pPr>
      <w:r w:rsidRPr="00B46084">
        <w:rPr>
          <w:b w:val="0"/>
        </w:rPr>
        <w:sym w:font="Symbol" w:char="F02D"/>
      </w:r>
      <w:r w:rsidR="00B61D3E" w:rsidRPr="00B46084">
        <w:rPr>
          <w:b w:val="0"/>
        </w:rPr>
        <w:tab/>
        <w:t>Information</w:t>
      </w:r>
      <w:r w:rsidRPr="00B46084">
        <w:rPr>
          <w:b w:val="0"/>
        </w:rPr>
        <w:t xml:space="preserve"> från den fran</w:t>
      </w:r>
      <w:r w:rsidR="00B61D3E" w:rsidRPr="00B46084">
        <w:rPr>
          <w:b w:val="0"/>
        </w:rPr>
        <w:t>ska delegationen</w:t>
      </w:r>
    </w:p>
    <w:p w:rsidR="00D047BD" w:rsidRPr="00B46084" w:rsidRDefault="00D047BD" w:rsidP="00D047BD"/>
    <w:p w:rsidR="00D047BD" w:rsidRPr="00B46084" w:rsidRDefault="00D047BD" w:rsidP="00D047BD">
      <w:r w:rsidRPr="00B46084">
        <w:t>F</w:t>
      </w:r>
      <w:r w:rsidR="00B26942" w:rsidRPr="00B46084">
        <w:t xml:space="preserve">rankrike </w:t>
      </w:r>
      <w:r w:rsidR="00E27CC3" w:rsidRPr="00B46084">
        <w:t>framhöll att b</w:t>
      </w:r>
      <w:r w:rsidRPr="00B46084">
        <w:t>iobränslen som importeras till EU måste garanteras hålla samma miljöstandard som den som produceras inom EU</w:t>
      </w:r>
      <w:r w:rsidR="00B26942" w:rsidRPr="00B46084">
        <w:t>. Frankrike</w:t>
      </w:r>
      <w:r w:rsidRPr="00B46084">
        <w:t xml:space="preserve"> uppmanade </w:t>
      </w:r>
      <w:r w:rsidR="00B26942" w:rsidRPr="00B46084">
        <w:t>kommissionen</w:t>
      </w:r>
      <w:r w:rsidRPr="00B46084">
        <w:t xml:space="preserve"> att studera den internationella utvecklingen och samverka mer med </w:t>
      </w:r>
      <w:r w:rsidR="00B26942" w:rsidRPr="00B46084">
        <w:t>medlemsstaterna</w:t>
      </w:r>
      <w:r w:rsidRPr="00B46084">
        <w:t xml:space="preserve"> i bedömningen av kriterierna. </w:t>
      </w:r>
      <w:r w:rsidR="00E27CC3" w:rsidRPr="00B46084">
        <w:t xml:space="preserve">Frankrike framhöll också frågans vikt i klimatförhandlingarna. </w:t>
      </w:r>
    </w:p>
    <w:p w:rsidR="00D047BD" w:rsidRPr="00B46084" w:rsidRDefault="00D047BD" w:rsidP="00D047BD"/>
    <w:p w:rsidR="00D047BD" w:rsidRPr="00B46084" w:rsidRDefault="00D047BD" w:rsidP="00D047BD">
      <w:r w:rsidRPr="00B46084">
        <w:t>K</w:t>
      </w:r>
      <w:r w:rsidR="00B26942" w:rsidRPr="00B46084">
        <w:t>ommissionen</w:t>
      </w:r>
      <w:r w:rsidRPr="00B46084">
        <w:t xml:space="preserve"> svarade att den självklart involverar </w:t>
      </w:r>
      <w:r w:rsidR="00B26942" w:rsidRPr="00B46084">
        <w:t>medlemsstaterna</w:t>
      </w:r>
      <w:r w:rsidRPr="00B46084">
        <w:t xml:space="preserve"> genom kommittologiprocessen. Bedömningsprocessen syftar till att garantera att importerade biobränslen lever upp till de krav som EU ställer.  </w:t>
      </w:r>
      <w:r w:rsidR="00B26942" w:rsidRPr="00B46084">
        <w:t xml:space="preserve"> </w:t>
      </w:r>
    </w:p>
    <w:p w:rsidR="00D047BD" w:rsidRPr="00B46084" w:rsidRDefault="00D047BD" w:rsidP="00D047BD"/>
    <w:p w:rsidR="00F80916" w:rsidRPr="00B46084" w:rsidRDefault="00F80916" w:rsidP="00F80916">
      <w:pPr>
        <w:pStyle w:val="RKnormal"/>
      </w:pPr>
    </w:p>
    <w:p w:rsidR="002141E5" w:rsidRPr="00B46084" w:rsidRDefault="002141E5" w:rsidP="008A1ADF">
      <w:pPr>
        <w:pStyle w:val="RKnormal"/>
      </w:pPr>
    </w:p>
    <w:sectPr w:rsidR="002141E5" w:rsidRPr="00B4608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0C8" w:rsidRPr="00B46084" w:rsidRDefault="004B70C8">
      <w:r w:rsidRPr="00B46084">
        <w:separator/>
      </w:r>
    </w:p>
  </w:endnote>
  <w:endnote w:type="continuationSeparator" w:id="0">
    <w:p w:rsidR="004B70C8" w:rsidRPr="00B46084" w:rsidRDefault="004B70C8">
      <w:r w:rsidRPr="00B460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0C8" w:rsidRPr="00B46084" w:rsidRDefault="004B70C8">
      <w:r w:rsidRPr="00B46084">
        <w:separator/>
      </w:r>
    </w:p>
  </w:footnote>
  <w:footnote w:type="continuationSeparator" w:id="0">
    <w:p w:rsidR="004B70C8" w:rsidRPr="00B46084" w:rsidRDefault="004B70C8">
      <w:r w:rsidRPr="00B460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C30" w:rsidRPr="00B46084" w:rsidRDefault="001F6C30">
    <w:pPr>
      <w:pStyle w:val="Sidhuvud"/>
      <w:framePr w:wrap="around" w:vAnchor="text" w:hAnchor="margin" w:xAlign="right" w:y="1"/>
      <w:rPr>
        <w:rStyle w:val="Sidnummer"/>
      </w:rPr>
    </w:pPr>
    <w:r w:rsidRPr="00B46084">
      <w:rPr>
        <w:rStyle w:val="Sidnummer"/>
      </w:rPr>
      <w:fldChar w:fldCharType="begin" w:fldLock="1"/>
    </w:r>
    <w:r w:rsidRPr="00B46084">
      <w:rPr>
        <w:rStyle w:val="Sidnummer"/>
      </w:rPr>
      <w:instrText xml:space="preserve">PAGE  </w:instrText>
    </w:r>
    <w:r w:rsidRPr="00B46084">
      <w:rPr>
        <w:rStyle w:val="Sidnummer"/>
      </w:rPr>
      <w:fldChar w:fldCharType="separate"/>
    </w:r>
    <w:r w:rsidR="007D3F4B" w:rsidRPr="00B46084">
      <w:rPr>
        <w:rStyle w:val="Sidnummer"/>
      </w:rPr>
      <w:t>2</w:t>
    </w:r>
    <w:r w:rsidRPr="00B4608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6C30" w:rsidRPr="00B46084">
      <w:tblPrEx>
        <w:tblCellMar>
          <w:top w:w="0" w:type="dxa"/>
          <w:bottom w:w="0" w:type="dxa"/>
        </w:tblCellMar>
      </w:tblPrEx>
      <w:trPr>
        <w:cantSplit/>
      </w:trPr>
      <w:tc>
        <w:tcPr>
          <w:tcW w:w="3119" w:type="dxa"/>
        </w:tcPr>
        <w:p w:rsidR="001F6C30" w:rsidRPr="00B46084" w:rsidRDefault="001F6C30">
          <w:pPr>
            <w:pStyle w:val="Sidhuvud"/>
            <w:spacing w:line="200" w:lineRule="atLeast"/>
            <w:ind w:right="357"/>
            <w:rPr>
              <w:rFonts w:ascii="TradeGothic" w:hAnsi="TradeGothic"/>
              <w:b/>
              <w:bCs/>
              <w:sz w:val="16"/>
            </w:rPr>
          </w:pPr>
        </w:p>
      </w:tc>
      <w:tc>
        <w:tcPr>
          <w:tcW w:w="4111" w:type="dxa"/>
          <w:tcMar>
            <w:left w:w="567" w:type="dxa"/>
          </w:tcMar>
        </w:tcPr>
        <w:p w:rsidR="001F6C30" w:rsidRPr="00B46084" w:rsidRDefault="001F6C30">
          <w:pPr>
            <w:pStyle w:val="Sidhuvud"/>
            <w:ind w:right="360"/>
          </w:pPr>
        </w:p>
      </w:tc>
      <w:tc>
        <w:tcPr>
          <w:tcW w:w="1525" w:type="dxa"/>
        </w:tcPr>
        <w:p w:rsidR="001F6C30" w:rsidRPr="00B46084" w:rsidRDefault="001F6C30">
          <w:pPr>
            <w:pStyle w:val="Sidhuvud"/>
            <w:ind w:right="360"/>
          </w:pPr>
        </w:p>
      </w:tc>
    </w:tr>
  </w:tbl>
  <w:p w:rsidR="001F6C30" w:rsidRPr="00B46084" w:rsidRDefault="001F6C3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C30" w:rsidRPr="00B46084" w:rsidRDefault="001F6C30">
    <w:pPr>
      <w:pStyle w:val="Sidhuvud"/>
      <w:framePr w:wrap="around" w:vAnchor="text" w:hAnchor="margin" w:xAlign="right" w:y="1"/>
      <w:rPr>
        <w:rStyle w:val="Sidnummer"/>
      </w:rPr>
    </w:pPr>
    <w:r w:rsidRPr="00B46084">
      <w:rPr>
        <w:rStyle w:val="Sidnummer"/>
      </w:rPr>
      <w:fldChar w:fldCharType="begin" w:fldLock="1"/>
    </w:r>
    <w:r w:rsidRPr="00B46084">
      <w:rPr>
        <w:rStyle w:val="Sidnummer"/>
      </w:rPr>
      <w:instrText xml:space="preserve">PAGE  </w:instrText>
    </w:r>
    <w:r w:rsidRPr="00B46084">
      <w:rPr>
        <w:rStyle w:val="Sidnummer"/>
      </w:rPr>
      <w:fldChar w:fldCharType="separate"/>
    </w:r>
    <w:r w:rsidR="007D3F4B" w:rsidRPr="00B46084">
      <w:rPr>
        <w:rStyle w:val="Sidnummer"/>
      </w:rPr>
      <w:t>3</w:t>
    </w:r>
    <w:r w:rsidRPr="00B4608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6C30" w:rsidRPr="00B46084">
      <w:tblPrEx>
        <w:tblCellMar>
          <w:top w:w="0" w:type="dxa"/>
          <w:bottom w:w="0" w:type="dxa"/>
        </w:tblCellMar>
      </w:tblPrEx>
      <w:trPr>
        <w:cantSplit/>
      </w:trPr>
      <w:tc>
        <w:tcPr>
          <w:tcW w:w="3119" w:type="dxa"/>
        </w:tcPr>
        <w:p w:rsidR="001F6C30" w:rsidRPr="00B46084" w:rsidRDefault="001F6C30">
          <w:pPr>
            <w:pStyle w:val="Sidhuvud"/>
            <w:spacing w:line="200" w:lineRule="atLeast"/>
            <w:ind w:right="357"/>
            <w:rPr>
              <w:rFonts w:ascii="TradeGothic" w:hAnsi="TradeGothic"/>
              <w:b/>
              <w:bCs/>
              <w:sz w:val="16"/>
            </w:rPr>
          </w:pPr>
        </w:p>
      </w:tc>
      <w:tc>
        <w:tcPr>
          <w:tcW w:w="4111" w:type="dxa"/>
          <w:tcMar>
            <w:left w:w="567" w:type="dxa"/>
          </w:tcMar>
        </w:tcPr>
        <w:p w:rsidR="001F6C30" w:rsidRPr="00B46084" w:rsidRDefault="001F6C30">
          <w:pPr>
            <w:pStyle w:val="Sidhuvud"/>
            <w:ind w:right="360"/>
          </w:pPr>
        </w:p>
      </w:tc>
      <w:tc>
        <w:tcPr>
          <w:tcW w:w="1525" w:type="dxa"/>
        </w:tcPr>
        <w:p w:rsidR="001F6C30" w:rsidRPr="00B46084" w:rsidRDefault="001F6C30">
          <w:pPr>
            <w:pStyle w:val="Sidhuvud"/>
            <w:ind w:right="360"/>
          </w:pPr>
        </w:p>
      </w:tc>
    </w:tr>
  </w:tbl>
  <w:p w:rsidR="001F6C30" w:rsidRPr="00B46084" w:rsidRDefault="001F6C3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C30" w:rsidRPr="00B46084" w:rsidRDefault="00B46084">
    <w:pPr>
      <w:framePr w:w="2948" w:h="1321" w:hRule="exact" w:wrap="notBeside" w:vAnchor="page" w:hAnchor="page" w:x="1362" w:y="653"/>
    </w:pPr>
    <w:r w:rsidRPr="00B4608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F6C30" w:rsidRPr="00B46084" w:rsidRDefault="001F6C30">
    <w:pPr>
      <w:pStyle w:val="RKrubrik"/>
      <w:keepNext w:val="0"/>
      <w:tabs>
        <w:tab w:val="clear" w:pos="1134"/>
        <w:tab w:val="clear" w:pos="2835"/>
      </w:tabs>
      <w:spacing w:before="0" w:after="0" w:line="320" w:lineRule="atLeast"/>
      <w:rPr>
        <w:bCs/>
      </w:rPr>
    </w:pPr>
  </w:p>
  <w:p w:rsidR="001F6C30" w:rsidRPr="00B46084" w:rsidRDefault="001F6C30">
    <w:pPr>
      <w:rPr>
        <w:rFonts w:ascii="TradeGothic" w:hAnsi="TradeGothic"/>
        <w:b/>
        <w:bCs/>
        <w:spacing w:val="12"/>
        <w:sz w:val="22"/>
      </w:rPr>
    </w:pPr>
  </w:p>
  <w:p w:rsidR="001F6C30" w:rsidRPr="00B46084" w:rsidRDefault="001F6C30">
    <w:pPr>
      <w:pStyle w:val="RKrubrik"/>
      <w:keepNext w:val="0"/>
      <w:tabs>
        <w:tab w:val="clear" w:pos="1134"/>
        <w:tab w:val="clear" w:pos="2835"/>
      </w:tabs>
      <w:spacing w:before="0" w:after="0" w:line="320" w:lineRule="atLeast"/>
      <w:rPr>
        <w:bCs/>
      </w:rPr>
    </w:pPr>
  </w:p>
  <w:p w:rsidR="001F6C30" w:rsidRPr="00B46084" w:rsidRDefault="001F6C3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2"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AC0"/>
    <w:multiLevelType w:val="hybridMultilevel"/>
    <w:tmpl w:val="D1705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8968F6"/>
    <w:multiLevelType w:val="hybridMultilevel"/>
    <w:tmpl w:val="018C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F34ACC"/>
    <w:multiLevelType w:val="hybridMultilevel"/>
    <w:tmpl w:val="6D50ECE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6" w15:restartNumberingAfterBreak="0">
    <w:nsid w:val="5CEA584F"/>
    <w:multiLevelType w:val="hybridMultilevel"/>
    <w:tmpl w:val="1AB0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894340592">
    <w:abstractNumId w:val="4"/>
  </w:num>
  <w:num w:numId="2" w16cid:durableId="1556509247">
    <w:abstractNumId w:val="2"/>
  </w:num>
  <w:num w:numId="3" w16cid:durableId="1040662964">
    <w:abstractNumId w:val="7"/>
  </w:num>
  <w:num w:numId="4" w16cid:durableId="1450322156">
    <w:abstractNumId w:val="3"/>
  </w:num>
  <w:num w:numId="5" w16cid:durableId="820269032">
    <w:abstractNumId w:val="5"/>
  </w:num>
  <w:num w:numId="6" w16cid:durableId="1069841018">
    <w:abstractNumId w:val="6"/>
  </w:num>
  <w:num w:numId="7" w16cid:durableId="1778018738">
    <w:abstractNumId w:val="1"/>
  </w:num>
  <w:num w:numId="8" w16cid:durableId="46303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F35FA7"/>
    <w:rsid w:val="00016554"/>
    <w:rsid w:val="000331EA"/>
    <w:rsid w:val="00042CD6"/>
    <w:rsid w:val="00084DC1"/>
    <w:rsid w:val="000B5836"/>
    <w:rsid w:val="000E2CCA"/>
    <w:rsid w:val="0010278D"/>
    <w:rsid w:val="00115949"/>
    <w:rsid w:val="00126BDD"/>
    <w:rsid w:val="00142CCC"/>
    <w:rsid w:val="001454DF"/>
    <w:rsid w:val="00150384"/>
    <w:rsid w:val="001505A1"/>
    <w:rsid w:val="00152AEA"/>
    <w:rsid w:val="00161B3D"/>
    <w:rsid w:val="00174446"/>
    <w:rsid w:val="0018046D"/>
    <w:rsid w:val="001805B7"/>
    <w:rsid w:val="00183271"/>
    <w:rsid w:val="00184296"/>
    <w:rsid w:val="0019114B"/>
    <w:rsid w:val="001D2E5C"/>
    <w:rsid w:val="001D7C3F"/>
    <w:rsid w:val="001F66AC"/>
    <w:rsid w:val="001F6C30"/>
    <w:rsid w:val="001F75FA"/>
    <w:rsid w:val="00204BBB"/>
    <w:rsid w:val="002141E5"/>
    <w:rsid w:val="0021634F"/>
    <w:rsid w:val="00217CA2"/>
    <w:rsid w:val="00234C7A"/>
    <w:rsid w:val="00236406"/>
    <w:rsid w:val="00241C9F"/>
    <w:rsid w:val="00246BBA"/>
    <w:rsid w:val="00247AA5"/>
    <w:rsid w:val="00250D81"/>
    <w:rsid w:val="00257C3B"/>
    <w:rsid w:val="00265334"/>
    <w:rsid w:val="00273D5D"/>
    <w:rsid w:val="002817E5"/>
    <w:rsid w:val="00287AC7"/>
    <w:rsid w:val="002C7826"/>
    <w:rsid w:val="002D5932"/>
    <w:rsid w:val="00311CF9"/>
    <w:rsid w:val="00325C0D"/>
    <w:rsid w:val="00334A2E"/>
    <w:rsid w:val="00334E91"/>
    <w:rsid w:val="00340F59"/>
    <w:rsid w:val="00342117"/>
    <w:rsid w:val="003467FA"/>
    <w:rsid w:val="00352504"/>
    <w:rsid w:val="003574B2"/>
    <w:rsid w:val="00366986"/>
    <w:rsid w:val="00374EE6"/>
    <w:rsid w:val="00375D9E"/>
    <w:rsid w:val="00376010"/>
    <w:rsid w:val="003823B2"/>
    <w:rsid w:val="0038558B"/>
    <w:rsid w:val="003B3CB9"/>
    <w:rsid w:val="003C1664"/>
    <w:rsid w:val="003D3B73"/>
    <w:rsid w:val="003E191D"/>
    <w:rsid w:val="003F45F1"/>
    <w:rsid w:val="00425664"/>
    <w:rsid w:val="004318E2"/>
    <w:rsid w:val="00432741"/>
    <w:rsid w:val="004358BB"/>
    <w:rsid w:val="00437D5B"/>
    <w:rsid w:val="00442FA7"/>
    <w:rsid w:val="00443979"/>
    <w:rsid w:val="00452661"/>
    <w:rsid w:val="00453F68"/>
    <w:rsid w:val="00457F33"/>
    <w:rsid w:val="004627AE"/>
    <w:rsid w:val="00462AEF"/>
    <w:rsid w:val="004804ED"/>
    <w:rsid w:val="00480CE6"/>
    <w:rsid w:val="004A328D"/>
    <w:rsid w:val="004B3969"/>
    <w:rsid w:val="004B70C8"/>
    <w:rsid w:val="004C0E5F"/>
    <w:rsid w:val="004D069C"/>
    <w:rsid w:val="004D7ABB"/>
    <w:rsid w:val="005028BE"/>
    <w:rsid w:val="00503E99"/>
    <w:rsid w:val="0051109F"/>
    <w:rsid w:val="005237B3"/>
    <w:rsid w:val="005502BB"/>
    <w:rsid w:val="00555A5F"/>
    <w:rsid w:val="0055690D"/>
    <w:rsid w:val="00572591"/>
    <w:rsid w:val="00584D30"/>
    <w:rsid w:val="00585AD2"/>
    <w:rsid w:val="00585BDA"/>
    <w:rsid w:val="00586840"/>
    <w:rsid w:val="00591D64"/>
    <w:rsid w:val="005969A9"/>
    <w:rsid w:val="005977D8"/>
    <w:rsid w:val="005A08EB"/>
    <w:rsid w:val="005A14ED"/>
    <w:rsid w:val="005B0578"/>
    <w:rsid w:val="005C07A0"/>
    <w:rsid w:val="005D0B87"/>
    <w:rsid w:val="005D269C"/>
    <w:rsid w:val="005E1ED1"/>
    <w:rsid w:val="005E551F"/>
    <w:rsid w:val="005F3E83"/>
    <w:rsid w:val="0060622F"/>
    <w:rsid w:val="00644A2A"/>
    <w:rsid w:val="00654F36"/>
    <w:rsid w:val="006569CC"/>
    <w:rsid w:val="0066243F"/>
    <w:rsid w:val="0067583D"/>
    <w:rsid w:val="006800E3"/>
    <w:rsid w:val="006867A6"/>
    <w:rsid w:val="00687C2D"/>
    <w:rsid w:val="006B5395"/>
    <w:rsid w:val="006B542A"/>
    <w:rsid w:val="006B66CE"/>
    <w:rsid w:val="006C3AA0"/>
    <w:rsid w:val="006D0FE3"/>
    <w:rsid w:val="006D4385"/>
    <w:rsid w:val="006E1BA3"/>
    <w:rsid w:val="006E34B1"/>
    <w:rsid w:val="006E4E11"/>
    <w:rsid w:val="007242A3"/>
    <w:rsid w:val="00726179"/>
    <w:rsid w:val="00736E83"/>
    <w:rsid w:val="00737141"/>
    <w:rsid w:val="00751DCF"/>
    <w:rsid w:val="007601B5"/>
    <w:rsid w:val="0076754F"/>
    <w:rsid w:val="00782985"/>
    <w:rsid w:val="00782B40"/>
    <w:rsid w:val="00794638"/>
    <w:rsid w:val="007B0B8E"/>
    <w:rsid w:val="007B3C76"/>
    <w:rsid w:val="007B58C9"/>
    <w:rsid w:val="007D3F4B"/>
    <w:rsid w:val="007E14AA"/>
    <w:rsid w:val="007E4D5D"/>
    <w:rsid w:val="00802BBE"/>
    <w:rsid w:val="00824F8E"/>
    <w:rsid w:val="00844F45"/>
    <w:rsid w:val="008904D8"/>
    <w:rsid w:val="00891313"/>
    <w:rsid w:val="00892C1B"/>
    <w:rsid w:val="00894D29"/>
    <w:rsid w:val="008A1ADF"/>
    <w:rsid w:val="008B0B10"/>
    <w:rsid w:val="008B1E18"/>
    <w:rsid w:val="008C6B0D"/>
    <w:rsid w:val="008D256A"/>
    <w:rsid w:val="008D71AA"/>
    <w:rsid w:val="008D7379"/>
    <w:rsid w:val="008E5A60"/>
    <w:rsid w:val="009051A9"/>
    <w:rsid w:val="00905D56"/>
    <w:rsid w:val="0091133C"/>
    <w:rsid w:val="00932458"/>
    <w:rsid w:val="00933C72"/>
    <w:rsid w:val="009435BB"/>
    <w:rsid w:val="0094585B"/>
    <w:rsid w:val="00947EB4"/>
    <w:rsid w:val="00961AC3"/>
    <w:rsid w:val="009649B4"/>
    <w:rsid w:val="00964D78"/>
    <w:rsid w:val="00992108"/>
    <w:rsid w:val="009A4FDB"/>
    <w:rsid w:val="009A7663"/>
    <w:rsid w:val="009C05FB"/>
    <w:rsid w:val="009E1472"/>
    <w:rsid w:val="009F606D"/>
    <w:rsid w:val="009F6F5F"/>
    <w:rsid w:val="00A01680"/>
    <w:rsid w:val="00A0733A"/>
    <w:rsid w:val="00A17A70"/>
    <w:rsid w:val="00A2702C"/>
    <w:rsid w:val="00A3005F"/>
    <w:rsid w:val="00A54BF3"/>
    <w:rsid w:val="00A7164C"/>
    <w:rsid w:val="00A947D8"/>
    <w:rsid w:val="00A978FA"/>
    <w:rsid w:val="00AA6F10"/>
    <w:rsid w:val="00AC0046"/>
    <w:rsid w:val="00AC2742"/>
    <w:rsid w:val="00AD1C54"/>
    <w:rsid w:val="00AE2DEB"/>
    <w:rsid w:val="00B027E9"/>
    <w:rsid w:val="00B26942"/>
    <w:rsid w:val="00B46084"/>
    <w:rsid w:val="00B572F2"/>
    <w:rsid w:val="00B60012"/>
    <w:rsid w:val="00B61D3E"/>
    <w:rsid w:val="00B73522"/>
    <w:rsid w:val="00B91DBD"/>
    <w:rsid w:val="00B920AB"/>
    <w:rsid w:val="00B927E7"/>
    <w:rsid w:val="00BB1EEB"/>
    <w:rsid w:val="00BB4363"/>
    <w:rsid w:val="00BE5F49"/>
    <w:rsid w:val="00BE76EC"/>
    <w:rsid w:val="00C006CF"/>
    <w:rsid w:val="00C038D6"/>
    <w:rsid w:val="00C05752"/>
    <w:rsid w:val="00C24209"/>
    <w:rsid w:val="00C44958"/>
    <w:rsid w:val="00C449AD"/>
    <w:rsid w:val="00C500E4"/>
    <w:rsid w:val="00C52BDD"/>
    <w:rsid w:val="00C55A1D"/>
    <w:rsid w:val="00C56488"/>
    <w:rsid w:val="00C61760"/>
    <w:rsid w:val="00C61879"/>
    <w:rsid w:val="00C7130E"/>
    <w:rsid w:val="00C83267"/>
    <w:rsid w:val="00C84573"/>
    <w:rsid w:val="00C926C4"/>
    <w:rsid w:val="00CA4A9D"/>
    <w:rsid w:val="00CA5B4F"/>
    <w:rsid w:val="00CA5D67"/>
    <w:rsid w:val="00CB2F16"/>
    <w:rsid w:val="00CD5095"/>
    <w:rsid w:val="00D02C42"/>
    <w:rsid w:val="00D047BD"/>
    <w:rsid w:val="00D12DAC"/>
    <w:rsid w:val="00D43429"/>
    <w:rsid w:val="00D508A7"/>
    <w:rsid w:val="00D9648F"/>
    <w:rsid w:val="00DA062F"/>
    <w:rsid w:val="00DA7626"/>
    <w:rsid w:val="00DD0DEB"/>
    <w:rsid w:val="00DD0ECA"/>
    <w:rsid w:val="00DD2CC7"/>
    <w:rsid w:val="00DF073A"/>
    <w:rsid w:val="00DF327A"/>
    <w:rsid w:val="00DF3F48"/>
    <w:rsid w:val="00DF62FF"/>
    <w:rsid w:val="00DF7C58"/>
    <w:rsid w:val="00E11752"/>
    <w:rsid w:val="00E223C3"/>
    <w:rsid w:val="00E2554E"/>
    <w:rsid w:val="00E27CC3"/>
    <w:rsid w:val="00E331FE"/>
    <w:rsid w:val="00E338E9"/>
    <w:rsid w:val="00E52F8E"/>
    <w:rsid w:val="00E76B70"/>
    <w:rsid w:val="00E91D90"/>
    <w:rsid w:val="00E93E59"/>
    <w:rsid w:val="00EA0D1F"/>
    <w:rsid w:val="00EA4D7D"/>
    <w:rsid w:val="00EA584E"/>
    <w:rsid w:val="00EC25F9"/>
    <w:rsid w:val="00EC4C11"/>
    <w:rsid w:val="00EF428E"/>
    <w:rsid w:val="00F01C8B"/>
    <w:rsid w:val="00F07FC7"/>
    <w:rsid w:val="00F17E1E"/>
    <w:rsid w:val="00F32743"/>
    <w:rsid w:val="00F33D67"/>
    <w:rsid w:val="00F35FA7"/>
    <w:rsid w:val="00F366BF"/>
    <w:rsid w:val="00F557A0"/>
    <w:rsid w:val="00F67154"/>
    <w:rsid w:val="00F724D1"/>
    <w:rsid w:val="00F80916"/>
    <w:rsid w:val="00F901AA"/>
    <w:rsid w:val="00F9333D"/>
    <w:rsid w:val="00F952D9"/>
    <w:rsid w:val="00FA1D24"/>
    <w:rsid w:val="00FB4D85"/>
    <w:rsid w:val="00FD3DD2"/>
    <w:rsid w:val="00FE5074"/>
    <w:rsid w:val="00FF37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174DA9-631C-418F-BC4E-A9FCB2E3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57F33"/>
    <w:rPr>
      <w:rFonts w:ascii="OrigGarmnd BT" w:hAnsi="OrigGarmnd BT"/>
      <w:sz w:val="24"/>
      <w:lang w:val="sv-SE" w:eastAsia="en-US" w:bidi="ar-SA"/>
    </w:rPr>
  </w:style>
  <w:style w:type="character" w:customStyle="1" w:styleId="RKrubrikChar">
    <w:name w:val="RKrubrik Char"/>
    <w:basedOn w:val="RKnormalChar"/>
    <w:link w:val="RKrubrik"/>
    <w:rsid w:val="00AE2DEB"/>
    <w:rPr>
      <w:rFonts w:ascii="TradeGothic" w:hAnsi="TradeGothic"/>
      <w:b/>
      <w:sz w:val="22"/>
      <w:lang w:val="sv-SE" w:eastAsia="en-US" w:bidi="ar-SA"/>
    </w:rPr>
  </w:style>
  <w:style w:type="paragraph" w:customStyle="1" w:styleId="Par-number1">
    <w:name w:val="Par-number 1."/>
    <w:basedOn w:val="Normal"/>
    <w:next w:val="Normal"/>
    <w:link w:val="Par-number1Char"/>
    <w:rsid w:val="00AE2DEB"/>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AE2DEB"/>
    <w:rPr>
      <w:sz w:val="24"/>
      <w:lang w:val="sv-SE" w:eastAsia="fr-BE" w:bidi="ar-SA"/>
    </w:rPr>
  </w:style>
  <w:style w:type="paragraph" w:customStyle="1" w:styleId="EntRefer">
    <w:name w:val="EntRefer"/>
    <w:basedOn w:val="Normal"/>
    <w:rsid w:val="00726179"/>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numberI">
    <w:name w:val="Par-number I."/>
    <w:basedOn w:val="Normal"/>
    <w:next w:val="Normal"/>
    <w:rsid w:val="00F724D1"/>
    <w:pPr>
      <w:widowControl w:val="0"/>
      <w:tabs>
        <w:tab w:val="num" w:pos="567"/>
      </w:tabs>
      <w:overflowPunct/>
      <w:autoSpaceDE/>
      <w:autoSpaceDN/>
      <w:adjustRightInd/>
      <w:spacing w:line="360" w:lineRule="auto"/>
      <w:ind w:left="567" w:hanging="567"/>
      <w:textAlignment w:val="auto"/>
    </w:pPr>
    <w:rPr>
      <w:rFonts w:ascii="Times New Roman" w:hAnsi="Times New Roman"/>
      <w:lang w:eastAsia="fr-BE"/>
    </w:rPr>
  </w:style>
  <w:style w:type="paragraph" w:customStyle="1" w:styleId="Par-dash">
    <w:name w:val="Par-dash"/>
    <w:basedOn w:val="Normal"/>
    <w:next w:val="Normal"/>
    <w:rsid w:val="00F724D1"/>
    <w:pPr>
      <w:widowControl w:val="0"/>
      <w:numPr>
        <w:numId w:val="8"/>
      </w:numPr>
      <w:overflowPunct/>
      <w:autoSpaceDE/>
      <w:autoSpaceDN/>
      <w:adjustRightInd/>
      <w:spacing w:line="360" w:lineRule="auto"/>
      <w:textAlignment w:val="auto"/>
    </w:pPr>
    <w:rPr>
      <w:rFonts w:ascii="Times New Roman" w:hAnsi="Times New Roman"/>
      <w:lang w:eastAsia="fr-BE"/>
    </w:rPr>
  </w:style>
  <w:style w:type="paragraph" w:customStyle="1" w:styleId="EntLogo">
    <w:name w:val="EntLogo"/>
    <w:basedOn w:val="Normal"/>
    <w:next w:val="Normal"/>
    <w:rsid w:val="00F724D1"/>
    <w:pPr>
      <w:widowControl w:val="0"/>
      <w:numPr>
        <w:numId w:val="7"/>
      </w:numPr>
      <w:tabs>
        <w:tab w:val="clear" w:pos="567"/>
      </w:tabs>
      <w:overflowPunct/>
      <w:autoSpaceDE/>
      <w:autoSpaceDN/>
      <w:adjustRightInd/>
      <w:spacing w:line="360" w:lineRule="auto"/>
      <w:ind w:left="0" w:firstLine="0"/>
      <w:textAlignment w:val="auto"/>
    </w:pPr>
    <w:rPr>
      <w:rFonts w:ascii="Times New Roman" w:hAnsi="Times New Roman"/>
      <w:b/>
      <w:lang w:eastAsia="fr-BE"/>
    </w:rPr>
  </w:style>
  <w:style w:type="paragraph" w:styleId="Normaltindrag">
    <w:name w:val="Normal Indent"/>
    <w:basedOn w:val="Normal"/>
    <w:rsid w:val="00F80916"/>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6226">
      <w:bodyDiv w:val="1"/>
      <w:marLeft w:val="0"/>
      <w:marRight w:val="0"/>
      <w:marTop w:val="0"/>
      <w:marBottom w:val="0"/>
      <w:divBdr>
        <w:top w:val="none" w:sz="0" w:space="0" w:color="auto"/>
        <w:left w:val="none" w:sz="0" w:space="0" w:color="auto"/>
        <w:bottom w:val="none" w:sz="0" w:space="0" w:color="auto"/>
        <w:right w:val="none" w:sz="0" w:space="0" w:color="auto"/>
      </w:divBdr>
    </w:div>
    <w:div w:id="16585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2458</Words>
  <Characters>15043</Characters>
  <Application>Microsoft Office Word</Application>
  <DocSecurity>4</DocSecurity>
  <Lines>358</Lines>
  <Paragraphs>79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2009-10-28T15:53:00Z</cp:lastPrinted>
  <dcterms:created xsi:type="dcterms:W3CDTF">2025-12-17T23:56:00Z</dcterms:created>
  <dcterms:modified xsi:type="dcterms:W3CDTF">2025-12-17T23:56:00Z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