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E77" w:rsidRPr="003F6E77" w:rsidRDefault="003F6E77">
      <w:pPr>
        <w:pStyle w:val="Frslagsrubrik"/>
      </w:pPr>
      <w:r w:rsidRPr="003F6E77">
        <w:t>Förslag till riksdagsbeslut</w:t>
      </w:r>
    </w:p>
    <w:p w:rsidR="003F6E77" w:rsidRPr="003F6E77" w:rsidRDefault="003F6E77">
      <w:pPr>
        <w:pStyle w:val="Hemstlatt"/>
        <w:numPr>
          <w:ilvl w:val="0"/>
          <w:numId w:val="1"/>
        </w:numPr>
      </w:pPr>
      <w:r w:rsidRPr="003F6E77">
        <w:t xml:space="preserve">Riksdagen tillkännager för regeringen som sin mening vad som anförs i motionen om </w:t>
      </w:r>
      <w:r w:rsidRPr="003F6E77">
        <w:rPr>
          <w:color w:val="000000"/>
          <w:szCs w:val="24"/>
        </w:rPr>
        <w:t>att tillförsäkra patienter med amalgamfyllningsproblem lika behandling i hela landet.</w:t>
      </w:r>
    </w:p>
    <w:p w:rsidR="003F6E77" w:rsidRPr="003F6E77" w:rsidRDefault="003F6E77">
      <w:pPr>
        <w:pStyle w:val="Hemstlatt"/>
        <w:numPr>
          <w:ilvl w:val="0"/>
          <w:numId w:val="1"/>
        </w:numPr>
      </w:pPr>
      <w:r w:rsidRPr="003F6E77">
        <w:t xml:space="preserve">Riksdagen tillkännager för regeringen som sin mening vad som anförs i motionen om </w:t>
      </w:r>
      <w:r w:rsidRPr="003F6E77">
        <w:rPr>
          <w:color w:val="000000"/>
          <w:szCs w:val="24"/>
        </w:rPr>
        <w:t>att undanröja de låsningar som förhindrar möjligheten att utnyttja högkostnadsskydd vid amalgamsan</w:t>
      </w:r>
      <w:r w:rsidRPr="003F6E77">
        <w:rPr>
          <w:color w:val="000000"/>
          <w:szCs w:val="24"/>
        </w:rPr>
        <w:t>e</w:t>
      </w:r>
      <w:r w:rsidRPr="003F6E77">
        <w:rPr>
          <w:color w:val="000000"/>
          <w:szCs w:val="24"/>
        </w:rPr>
        <w:t>ring.</w:t>
      </w:r>
    </w:p>
    <w:p w:rsidR="003F6E77" w:rsidRPr="003F6E77" w:rsidRDefault="003F6E77">
      <w:pPr>
        <w:pStyle w:val="Hemstlatt"/>
        <w:numPr>
          <w:ilvl w:val="0"/>
          <w:numId w:val="1"/>
        </w:numPr>
      </w:pPr>
      <w:r w:rsidRPr="003F6E77">
        <w:t xml:space="preserve">Riksdagen tillkännager för regeringen som sin mening vad som anförs i motionen om </w:t>
      </w:r>
      <w:r w:rsidRPr="003F6E77">
        <w:rPr>
          <w:color w:val="000000"/>
          <w:szCs w:val="24"/>
        </w:rPr>
        <w:t>angelägenheten av att sambandet ohälsa–kvick</w:t>
      </w:r>
      <w:r w:rsidRPr="003F6E77">
        <w:rPr>
          <w:color w:val="000000"/>
          <w:szCs w:val="24"/>
        </w:rPr>
        <w:softHyphen/>
        <w:t>silver</w:t>
      </w:r>
      <w:r w:rsidRPr="003F6E77">
        <w:rPr>
          <w:color w:val="000000"/>
          <w:szCs w:val="24"/>
        </w:rPr>
        <w:softHyphen/>
        <w:t>expo</w:t>
      </w:r>
      <w:r w:rsidRPr="003F6E77">
        <w:rPr>
          <w:color w:val="000000"/>
          <w:szCs w:val="24"/>
        </w:rPr>
        <w:softHyphen/>
        <w:t>nering för tandvårdspersonal utreds för att de som dra</w:t>
      </w:r>
      <w:r w:rsidRPr="003F6E77">
        <w:rPr>
          <w:color w:val="000000"/>
          <w:szCs w:val="24"/>
        </w:rPr>
        <w:t>b</w:t>
      </w:r>
      <w:r w:rsidRPr="003F6E77">
        <w:rPr>
          <w:color w:val="000000"/>
          <w:szCs w:val="24"/>
        </w:rPr>
        <w:t>bats ska kunna åberopa arbetsskada.</w:t>
      </w:r>
    </w:p>
    <w:p w:rsidR="003F6E77" w:rsidRPr="003F6E77" w:rsidRDefault="003F6E77">
      <w:pPr>
        <w:pStyle w:val="Rubrik1"/>
      </w:pPr>
      <w:r w:rsidRPr="003F6E77">
        <w:t>Motivering</w:t>
      </w:r>
    </w:p>
    <w:p w:rsidR="003F6E77" w:rsidRPr="003F6E77" w:rsidRDefault="003F6E77">
      <w:r w:rsidRPr="003F6E77">
        <w:t xml:space="preserve">Från </w:t>
      </w:r>
      <w:smartTag w:uri="urn:schemas-microsoft-com:office:smarttags" w:element="date">
        <w:smartTagPr>
          <w:attr w:name="ls" w:val="trans"/>
          <w:attr w:name="Month" w:val="6"/>
          <w:attr w:name="Day" w:val="1"/>
          <w:attr w:name="Year" w:val="2009"/>
        </w:smartTagPr>
        <w:r w:rsidRPr="003F6E77">
          <w:t>den 1 juni 2009</w:t>
        </w:r>
      </w:smartTag>
      <w:r w:rsidRPr="003F6E77">
        <w:t xml:space="preserve"> är det av både miljö- och hälsoskäl förbjudet för tandl</w:t>
      </w:r>
      <w:r w:rsidRPr="003F6E77">
        <w:t>ä</w:t>
      </w:r>
      <w:r w:rsidRPr="003F6E77">
        <w:t>karna att sätta in nya amalgamfyllningar. Debatten om amalgamförbud som pågått i årtionden är därmed över, dock inte de problem som en del personer med amalgamfyllningar lider av samt de hälsoproblem som tandvårdspersonal som tidigare hanterat amalgam, lider av.</w:t>
      </w:r>
    </w:p>
    <w:p w:rsidR="003F6E77" w:rsidRPr="003F6E77" w:rsidRDefault="003F6E77">
      <w:pPr>
        <w:pStyle w:val="Rubrik2"/>
      </w:pPr>
      <w:r w:rsidRPr="003F6E77">
        <w:t>Patientperspektiv</w:t>
      </w:r>
    </w:p>
    <w:p w:rsidR="003F6E77" w:rsidRPr="003F6E77" w:rsidRDefault="003F6E77">
      <w:r w:rsidRPr="003F6E77">
        <w:t>Ett flertal observationsstudier visar att mellan 70 och 80 % av dem som up</w:t>
      </w:r>
      <w:r w:rsidRPr="003F6E77">
        <w:t>p</w:t>
      </w:r>
      <w:r w:rsidRPr="003F6E77">
        <w:t>levt hälsoproblem på grund av amalgamfyllningar och som genomfört en amalgamsanering får en markant förbättrad hälsa inom några månader eller upp till något år efter avslutad sanering.</w:t>
      </w:r>
    </w:p>
    <w:p w:rsidR="003F6E77" w:rsidRPr="003F6E77" w:rsidRDefault="003F6E77">
      <w:pPr>
        <w:pStyle w:val="Normaltindrag"/>
      </w:pPr>
      <w:r w:rsidRPr="003F6E77">
        <w:t xml:space="preserve">Genom reglerna i tandvårdsförordningen finns det sedan flera år tillbaka en möjlighet för patienterna att få sin amalgamsanering betald av landstingen </w:t>
      </w:r>
      <w:r w:rsidRPr="003F6E77">
        <w:lastRenderedPageBreak/>
        <w:t>genom högkostnadsskyddet. Det har dock visat sig att det är mycket svårt för patienterna att komma i åtnjutan av detta.</w:t>
      </w:r>
    </w:p>
    <w:p w:rsidR="003F6E77" w:rsidRPr="003F6E77" w:rsidRDefault="003F6E77">
      <w:pPr>
        <w:pStyle w:val="Normaltindrag"/>
      </w:pPr>
      <w:r w:rsidRPr="003F6E77">
        <w:t>Det är därför angeläget att undanröja de låsningar som förhindrar möjli</w:t>
      </w:r>
      <w:r w:rsidRPr="003F6E77">
        <w:t>g</w:t>
      </w:r>
      <w:r w:rsidRPr="003F6E77">
        <w:t>heter att utnyttja högkostnadsskydd vid amalgamsanering</w:t>
      </w:r>
    </w:p>
    <w:p w:rsidR="003F6E77" w:rsidRPr="003F6E77" w:rsidRDefault="003F6E77">
      <w:pPr>
        <w:pStyle w:val="Normaltindrag"/>
      </w:pPr>
      <w:r w:rsidRPr="003F6E77">
        <w:t>Landstingen och Socialstyrelsen har konstaterat att den genomsnittliga u</w:t>
      </w:r>
      <w:r w:rsidRPr="003F6E77">
        <w:t>t</w:t>
      </w:r>
      <w:r w:rsidRPr="003F6E77">
        <w:t>giften för att amalgamsanera ligger på ca 10 000 kronor. En person som tvingas till sjukskrivning på grund av amalgamrelaterad ohälsa kostar samhä</w:t>
      </w:r>
      <w:r w:rsidRPr="003F6E77">
        <w:t>l</w:t>
      </w:r>
      <w:r w:rsidRPr="003F6E77">
        <w:t xml:space="preserve">let mångdubbelt. </w:t>
      </w:r>
    </w:p>
    <w:p w:rsidR="003F6E77" w:rsidRPr="003F6E77" w:rsidRDefault="003F6E77">
      <w:pPr>
        <w:pStyle w:val="Normaltindrag"/>
      </w:pPr>
      <w:r w:rsidRPr="003F6E77">
        <w:t>I Dentalmaterialutredningen (SOU 2003:53) framkom att det behövs rege</w:t>
      </w:r>
      <w:r w:rsidRPr="003F6E77">
        <w:t>l</w:t>
      </w:r>
      <w:r w:rsidRPr="003F6E77">
        <w:t>förändringar för att tillförsäkra patienter med amalgamfyllningsproblem lika behandling i hela landet. Det är angeläget att dessa regelförändringar snarast införs. Detta bör riksdagen som sin mening ge regeringen tillkänna.</w:t>
      </w:r>
    </w:p>
    <w:p w:rsidR="003F6E77" w:rsidRPr="003F6E77" w:rsidRDefault="003F6E77">
      <w:pPr>
        <w:pStyle w:val="Rubrik2"/>
      </w:pPr>
      <w:r w:rsidRPr="003F6E77">
        <w:t>Personalperspektiv</w:t>
      </w:r>
    </w:p>
    <w:p w:rsidR="003F6E77" w:rsidRPr="003F6E77" w:rsidRDefault="003F6E77">
      <w:pPr>
        <w:rPr>
          <w:color w:val="000000"/>
        </w:rPr>
      </w:pPr>
      <w:r w:rsidRPr="003F6E77">
        <w:t>Frågan om exponering för kvicksilver har under den senaste tiden fått förnyad aktualitet då nordiska tandsköterskor agerat och där våra grannländers rege</w:t>
      </w:r>
      <w:r w:rsidRPr="003F6E77">
        <w:t>r</w:t>
      </w:r>
      <w:r w:rsidRPr="003F6E77">
        <w:t>ingar tagit frågan på stort allvar. Många tandsköterskor har på grund av bristande information under ett stort antal år utsatts för inte minst kvicksilve</w:t>
      </w:r>
      <w:r w:rsidRPr="003F6E77">
        <w:t>r</w:t>
      </w:r>
      <w:r w:rsidRPr="003F6E77">
        <w:t xml:space="preserve">ångor och hudpenetration i arbetet med att framställa amalgamfyllningar. Inom EU har man arbetat med dessa frågor på ett långsiktigt sätt vad gäller Reach men också genom EU:s kvicksilverstrategi. Det som framkommit där är bland annat följande: </w:t>
      </w:r>
      <w:r w:rsidRPr="003F6E77">
        <w:rPr>
          <w:color w:val="000000"/>
        </w:rPr>
        <w:t xml:space="preserve">”… relativt låga doser kan få allvarliga följder för nervsystemets utveckling. Låga doser kopplas till skadliga </w:t>
      </w:r>
      <w:r w:rsidRPr="003F6E77">
        <w:rPr>
          <w:color w:val="000000"/>
        </w:rPr>
        <w:t xml:space="preserve">effekter på hjärt- och kärlsystem samt immun- och fortplantningssystemen.” </w:t>
      </w:r>
    </w:p>
    <w:p w:rsidR="003F6E77" w:rsidRPr="003F6E77" w:rsidRDefault="003F6E77">
      <w:pPr>
        <w:pStyle w:val="Normaltindrag"/>
      </w:pPr>
      <w:r w:rsidRPr="003F6E77">
        <w:t>Kvicksilvret är svårnedbrytbart och kan i miljön ändra form till mety</w:t>
      </w:r>
      <w:r w:rsidRPr="003F6E77">
        <w:t>l</w:t>
      </w:r>
      <w:r w:rsidRPr="003F6E77">
        <w:t>kvicksilver, som är den giftigaste formen av kvicksilver. Metylkvicksilver tar sig lätt in i moderkakan, och genom blodhjärnbarriären och kan på så sätt hindra den mentala utvecklingen även hos foster. Följaktligen måste probl</w:t>
      </w:r>
      <w:r w:rsidRPr="003F6E77">
        <w:t>e</w:t>
      </w:r>
      <w:r w:rsidRPr="003F6E77">
        <w:t>met att kvinnor i fruktsam ålder och barn exponeras för kvicksilver tas på största allvar. Den största källan till kvicksilverexponering är för de flesta människor inandning av kvicksilverångor från amalgamfyllningar.</w:t>
      </w:r>
    </w:p>
    <w:p w:rsidR="003F6E77" w:rsidRPr="003F6E77" w:rsidRDefault="003F6E77">
      <w:pPr>
        <w:pStyle w:val="Normaltindrag"/>
      </w:pPr>
      <w:r w:rsidRPr="003F6E77">
        <w:t>Den norska slutrapporten som publicerats bekräftar den bild som ti</w:t>
      </w:r>
      <w:r w:rsidRPr="003F6E77">
        <w:t>digare framkommit avseende samband mellan kvicksilverexponering och ohälsopr</w:t>
      </w:r>
      <w:r w:rsidRPr="003F6E77">
        <w:t>o</w:t>
      </w:r>
      <w:r w:rsidRPr="003F6E77">
        <w:t>blem</w:t>
      </w:r>
    </w:p>
    <w:p w:rsidR="003F6E77" w:rsidRPr="003F6E77" w:rsidRDefault="003F6E77">
      <w:pPr>
        <w:pStyle w:val="Normaltindrag"/>
      </w:pPr>
      <w:r w:rsidRPr="003F6E77">
        <w:t>Det är angeläget sambandet ohälsa–kvicksilverexponering för tandvård</w:t>
      </w:r>
      <w:r w:rsidRPr="003F6E77">
        <w:t>s</w:t>
      </w:r>
      <w:r w:rsidRPr="003F6E77">
        <w:t>personal utreds för att de som drabbats ska kunna åberopa arbetsskada. Detta bör riksdagen som sin mening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6E77">
        <w:trPr>
          <w:cantSplit/>
        </w:trPr>
        <w:tc>
          <w:tcPr>
            <w:tcW w:w="3046" w:type="dxa"/>
          </w:tcPr>
          <w:p w:rsidR="003F6E77" w:rsidRPr="003F6E77" w:rsidRDefault="003F6E77">
            <w:pPr>
              <w:pStyle w:val="UnderskriftDatum"/>
              <w:spacing w:before="240"/>
            </w:pPr>
            <w:r w:rsidRPr="003F6E77">
              <w:t>Stockholm den 2 oktober 2009</w:t>
            </w:r>
          </w:p>
        </w:tc>
        <w:tc>
          <w:tcPr>
            <w:tcW w:w="3047" w:type="dxa"/>
          </w:tcPr>
          <w:p w:rsidR="003F6E77" w:rsidRPr="003F6E77" w:rsidRDefault="003F6E77">
            <w:pPr>
              <w:pStyle w:val="Underskrifter"/>
              <w:spacing w:before="240"/>
            </w:pPr>
          </w:p>
        </w:tc>
      </w:tr>
      <w:tr w:rsidR="00000000" w:rsidRPr="003F6E77">
        <w:trPr>
          <w:cantSplit/>
        </w:trPr>
        <w:tc>
          <w:tcPr>
            <w:tcW w:w="3046" w:type="dxa"/>
          </w:tcPr>
          <w:p w:rsidR="003F6E77" w:rsidRPr="003F6E77" w:rsidRDefault="003F6E77">
            <w:pPr>
              <w:pStyle w:val="Underskrifter"/>
            </w:pPr>
            <w:r w:rsidRPr="003F6E77">
              <w:t>Anita Brodén (fp)</w:t>
            </w:r>
          </w:p>
        </w:tc>
        <w:tc>
          <w:tcPr>
            <w:tcW w:w="3046" w:type="dxa"/>
          </w:tcPr>
          <w:p w:rsidR="003F6E77" w:rsidRPr="003F6E77" w:rsidRDefault="003F6E77">
            <w:pPr>
              <w:pStyle w:val="Underskrifter"/>
            </w:pPr>
          </w:p>
        </w:tc>
      </w:tr>
    </w:tbl>
    <w:p w:rsidR="003F6E77" w:rsidRPr="003F6E77" w:rsidRDefault="003F6E77">
      <w:pPr>
        <w:pStyle w:val="Normaltindrag"/>
      </w:pPr>
    </w:p>
    <w:sectPr w:rsidR="00000000" w:rsidRPr="003F6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E77" w:rsidRPr="003F6E77" w:rsidRDefault="003F6E77">
      <w:r w:rsidRPr="003F6E77">
        <w:separator/>
      </w:r>
    </w:p>
  </w:endnote>
  <w:endnote w:type="continuationSeparator" w:id="0">
    <w:p w:rsidR="003F6E77" w:rsidRPr="003F6E77" w:rsidRDefault="003F6E77">
      <w:r w:rsidRPr="003F6E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E77" w:rsidRPr="003F6E77" w:rsidRDefault="003F6E77">
    <w:pPr>
      <w:pStyle w:val="Sidfot"/>
    </w:pPr>
    <w:r w:rsidRPr="003F6E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06506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E77" w:rsidRDefault="003F6E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6E77" w:rsidRDefault="003F6E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E77" w:rsidRPr="003F6E77" w:rsidRDefault="003F6E77">
    <w:pPr>
      <w:pStyle w:val="Sidfot"/>
    </w:pPr>
    <w:r w:rsidRPr="003F6E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23971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E77" w:rsidRDefault="003F6E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6E77" w:rsidRDefault="003F6E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E77" w:rsidRPr="003F6E77" w:rsidRDefault="003F6E77">
    <w:pPr>
      <w:pStyle w:val="Sidfot"/>
    </w:pPr>
    <w:r w:rsidRPr="003F6E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97291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E77" w:rsidRDefault="003F6E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6E77" w:rsidRDefault="003F6E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E77" w:rsidRPr="003F6E77" w:rsidRDefault="003F6E77">
      <w:r w:rsidRPr="003F6E77">
        <w:separator/>
      </w:r>
    </w:p>
  </w:footnote>
  <w:footnote w:type="continuationSeparator" w:id="0">
    <w:p w:rsidR="003F6E77" w:rsidRPr="003F6E77" w:rsidRDefault="003F6E77">
      <w:r w:rsidRPr="003F6E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E77" w:rsidRPr="003F6E77" w:rsidRDefault="003F6E77">
    <w:pPr>
      <w:pStyle w:val="Sidhuvud"/>
    </w:pPr>
    <w:r w:rsidRPr="003F6E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46707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E77" w:rsidRDefault="003F6E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6E77" w:rsidRDefault="003F6E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E77" w:rsidRPr="003F6E77" w:rsidRDefault="003F6E77">
    <w:pPr>
      <w:pStyle w:val="Sidhuvud"/>
    </w:pPr>
    <w:r w:rsidRPr="003F6E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40482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E77" w:rsidRDefault="003F6E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6E77" w:rsidRDefault="003F6E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E77" w:rsidRPr="003F6E77" w:rsidRDefault="003F6E77">
    <w:pPr>
      <w:pStyle w:val="FSHNormal"/>
      <w:tabs>
        <w:tab w:val="right" w:pos="5840"/>
      </w:tabs>
    </w:pPr>
    <w:r w:rsidRPr="003F6E77">
      <w:br/>
    </w:r>
    <w:r w:rsidRPr="003F6E77">
      <w:fldChar w:fldCharType="begin" w:fldLock="1"/>
    </w:r>
    <w:r w:rsidRPr="003F6E77">
      <w:instrText xml:space="preserve"> DOCPROPERTY</w:instrText>
    </w:r>
    <w:r w:rsidRPr="003F6E77">
      <w:rPr>
        <w:sz w:val="18"/>
      </w:rPr>
      <w:instrText xml:space="preserve"> "YearUser" *\charformat </w:instrText>
    </w:r>
    <w:r w:rsidRPr="003F6E77">
      <w:fldChar w:fldCharType="separate"/>
    </w:r>
    <w:r w:rsidRPr="003F6E77">
      <w:t>2009/10</w:t>
    </w:r>
    <w:r w:rsidRPr="003F6E77">
      <w:fldChar w:fldCharType="end"/>
    </w:r>
    <w:r w:rsidRPr="003F6E77">
      <w:t xml:space="preserve"> </w:t>
    </w:r>
    <w:r w:rsidRPr="003F6E77">
      <w:tab/>
      <w:t xml:space="preserve">mnr: </w:t>
    </w:r>
    <w:r w:rsidRPr="003F6E77">
      <w:fldChar w:fldCharType="begin" w:fldLock="1"/>
    </w:r>
    <w:r w:rsidRPr="003F6E77">
      <w:instrText xml:space="preserve"> DOCPROPERTY</w:instrText>
    </w:r>
    <w:r w:rsidRPr="003F6E77">
      <w:rPr>
        <w:sz w:val="18"/>
      </w:rPr>
      <w:instrText xml:space="preserve"> "Motionsnummer" *\charformat </w:instrText>
    </w:r>
    <w:r w:rsidRPr="003F6E77">
      <w:fldChar w:fldCharType="separate"/>
    </w:r>
    <w:r w:rsidRPr="003F6E77">
      <w:t>So518</w:t>
    </w:r>
    <w:r w:rsidRPr="003F6E77">
      <w:fldChar w:fldCharType="end"/>
    </w:r>
    <w:r w:rsidRPr="003F6E77">
      <w:br/>
    </w:r>
    <w:r w:rsidRPr="003F6E77">
      <w:fldChar w:fldCharType="begin" w:fldLock="1"/>
    </w:r>
    <w:r w:rsidRPr="003F6E77">
      <w:instrText xml:space="preserve"> DOCPROPERTY</w:instrText>
    </w:r>
    <w:r w:rsidRPr="003F6E77">
      <w:rPr>
        <w:sz w:val="18"/>
      </w:rPr>
      <w:instrText xml:space="preserve"> "Samling" *\charformat </w:instrText>
    </w:r>
    <w:r w:rsidRPr="003F6E77">
      <w:fldChar w:fldCharType="end"/>
    </w:r>
    <w:r w:rsidRPr="003F6E77">
      <w:tab/>
      <w:t xml:space="preserve">pnr: </w:t>
    </w:r>
    <w:r w:rsidRPr="003F6E77">
      <w:fldChar w:fldCharType="begin" w:fldLock="1"/>
    </w:r>
    <w:r w:rsidRPr="003F6E77">
      <w:instrText xml:space="preserve"> DOCPROPERTY</w:instrText>
    </w:r>
    <w:r w:rsidRPr="003F6E77">
      <w:rPr>
        <w:sz w:val="18"/>
      </w:rPr>
      <w:instrText xml:space="preserve"> "Partinummer" *\charformat </w:instrText>
    </w:r>
    <w:r w:rsidRPr="003F6E77">
      <w:fldChar w:fldCharType="separate"/>
    </w:r>
    <w:r w:rsidRPr="003F6E77">
      <w:t>fp1145</w:t>
    </w:r>
    <w:r w:rsidRPr="003F6E77">
      <w:fldChar w:fldCharType="end"/>
    </w:r>
  </w:p>
  <w:p w:rsidR="003F6E77" w:rsidRPr="003F6E77" w:rsidRDefault="003F6E77">
    <w:pPr>
      <w:pStyle w:val="FSHRub1"/>
    </w:pPr>
    <w:r w:rsidRPr="003F6E77">
      <w:t>Motion till riksdagen</w:t>
    </w:r>
    <w:r w:rsidRPr="003F6E77">
      <w:br/>
    </w:r>
    <w:r w:rsidRPr="003F6E77">
      <w:fldChar w:fldCharType="begin" w:fldLock="1"/>
    </w:r>
    <w:r w:rsidRPr="003F6E77">
      <w:instrText xml:space="preserve"> DOCPROPERTY "YearUser" *\charformat </w:instrText>
    </w:r>
    <w:r w:rsidRPr="003F6E77">
      <w:fldChar w:fldCharType="separate"/>
    </w:r>
    <w:r w:rsidRPr="003F6E77">
      <w:t>2009/10</w:t>
    </w:r>
    <w:r w:rsidRPr="003F6E77">
      <w:fldChar w:fldCharType="end"/>
    </w:r>
    <w:r w:rsidRPr="003F6E77">
      <w:t>:</w:t>
    </w:r>
    <w:r w:rsidRPr="003F6E77">
      <w:fldChar w:fldCharType="begin" w:fldLock="1"/>
    </w:r>
    <w:r w:rsidRPr="003F6E77">
      <w:instrText xml:space="preserve"> DOCPROPERTY "Motionsnummer" *\charformat </w:instrText>
    </w:r>
    <w:r w:rsidRPr="003F6E77">
      <w:fldChar w:fldCharType="separate"/>
    </w:r>
    <w:r w:rsidRPr="003F6E77">
      <w:t>So518</w:t>
    </w:r>
    <w:r w:rsidRPr="003F6E77">
      <w:fldChar w:fldCharType="end"/>
    </w:r>
  </w:p>
  <w:p w:rsidR="003F6E77" w:rsidRPr="003F6E77" w:rsidRDefault="003F6E77">
    <w:pPr>
      <w:pStyle w:val="FSHNormalS5"/>
    </w:pPr>
    <w:r w:rsidRPr="003F6E77">
      <w:fldChar w:fldCharType="begin" w:fldLock="1"/>
    </w:r>
    <w:r w:rsidRPr="003F6E77">
      <w:instrText xml:space="preserve"> DOCPROPERTY "MotionarText" *\charformat </w:instrText>
    </w:r>
    <w:r w:rsidRPr="003F6E77">
      <w:fldChar w:fldCharType="separate"/>
    </w:r>
    <w:r w:rsidRPr="003F6E77">
      <w:t>av Anita Brodén (fp)</w:t>
    </w:r>
    <w:r w:rsidRPr="003F6E77">
      <w:fldChar w:fldCharType="end"/>
    </w:r>
    <w:r w:rsidRPr="003F6E77">
      <w:br/>
    </w:r>
    <w:r w:rsidRPr="003F6E77">
      <w:fldChar w:fldCharType="begin" w:fldLock="1"/>
    </w:r>
    <w:r w:rsidRPr="003F6E77">
      <w:instrText xml:space="preserve"> DOCPROPERTY "SvarFrasKort" *\charformat </w:instrText>
    </w:r>
    <w:r w:rsidRPr="003F6E77">
      <w:fldChar w:fldCharType="end"/>
    </w:r>
  </w:p>
  <w:p w:rsidR="003F6E77" w:rsidRPr="003F6E77" w:rsidRDefault="003F6E77">
    <w:pPr>
      <w:pStyle w:val="FSHTitel"/>
    </w:pPr>
    <w:r w:rsidRPr="003F6E77">
      <w:fldChar w:fldCharType="begin" w:fldLock="1"/>
    </w:r>
    <w:r w:rsidRPr="003F6E77">
      <w:instrText xml:space="preserve"> DOCPROPERTY</w:instrText>
    </w:r>
    <w:r w:rsidRPr="003F6E77">
      <w:rPr>
        <w:sz w:val="18"/>
      </w:rPr>
      <w:instrText xml:space="preserve"> "RubrikSvar" *\charformat </w:instrText>
    </w:r>
    <w:r w:rsidRPr="003F6E77">
      <w:fldChar w:fldCharType="separate"/>
    </w:r>
    <w:r w:rsidRPr="003F6E77">
      <w:t>Amalgam och ohälsa</w:t>
    </w:r>
    <w:r w:rsidRPr="003F6E77">
      <w:fldChar w:fldCharType="end"/>
    </w:r>
  </w:p>
  <w:p w:rsidR="003F6E77" w:rsidRPr="003F6E77" w:rsidRDefault="003F6E77">
    <w:pPr>
      <w:pStyle w:val="Normal00"/>
    </w:pPr>
  </w:p>
  <w:p w:rsidR="003F6E77" w:rsidRPr="003F6E77" w:rsidRDefault="003F6E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2F063B92"/>
    <w:multiLevelType w:val="hybridMultilevel"/>
    <w:tmpl w:val="0C4ABDD4"/>
    <w:lvl w:ilvl="0" w:tplc="4E568C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31A33"/>
    <w:multiLevelType w:val="hybridMultilevel"/>
    <w:tmpl w:val="7FE852EA"/>
    <w:lvl w:ilvl="0" w:tplc="0E8671C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0840509">
    <w:abstractNumId w:val="8"/>
  </w:num>
  <w:num w:numId="2" w16cid:durableId="2047439688">
    <w:abstractNumId w:val="9"/>
  </w:num>
  <w:num w:numId="3" w16cid:durableId="1322347818">
    <w:abstractNumId w:val="8"/>
  </w:num>
  <w:num w:numId="4" w16cid:durableId="726226457">
    <w:abstractNumId w:val="9"/>
  </w:num>
  <w:num w:numId="5" w16cid:durableId="1224869283">
    <w:abstractNumId w:val="15"/>
  </w:num>
  <w:num w:numId="6" w16cid:durableId="1797483410">
    <w:abstractNumId w:val="10"/>
  </w:num>
  <w:num w:numId="7" w16cid:durableId="200288520">
    <w:abstractNumId w:val="11"/>
  </w:num>
  <w:num w:numId="8" w16cid:durableId="1479883259">
    <w:abstractNumId w:val="14"/>
  </w:num>
  <w:num w:numId="9" w16cid:durableId="477694226">
    <w:abstractNumId w:val="8"/>
  </w:num>
  <w:num w:numId="10" w16cid:durableId="687678806">
    <w:abstractNumId w:val="3"/>
  </w:num>
  <w:num w:numId="11" w16cid:durableId="545993589">
    <w:abstractNumId w:val="2"/>
  </w:num>
  <w:num w:numId="12" w16cid:durableId="1372418385">
    <w:abstractNumId w:val="1"/>
  </w:num>
  <w:num w:numId="13" w16cid:durableId="63265537">
    <w:abstractNumId w:val="0"/>
  </w:num>
  <w:num w:numId="14" w16cid:durableId="216599518">
    <w:abstractNumId w:val="9"/>
  </w:num>
  <w:num w:numId="15" w16cid:durableId="2136436706">
    <w:abstractNumId w:val="7"/>
  </w:num>
  <w:num w:numId="16" w16cid:durableId="263464227">
    <w:abstractNumId w:val="6"/>
  </w:num>
  <w:num w:numId="17" w16cid:durableId="1666276229">
    <w:abstractNumId w:val="5"/>
  </w:num>
  <w:num w:numId="18" w16cid:durableId="1146051614">
    <w:abstractNumId w:val="4"/>
  </w:num>
  <w:num w:numId="19" w16cid:durableId="949552219">
    <w:abstractNumId w:val="12"/>
  </w:num>
  <w:num w:numId="20" w16cid:durableId="1082222845">
    <w:abstractNumId w:val="11"/>
  </w:num>
  <w:num w:numId="21" w16cid:durableId="2016571521">
    <w:abstractNumId w:val="10"/>
  </w:num>
  <w:num w:numId="22" w16cid:durableId="1548419209">
    <w:abstractNumId w:val="14"/>
  </w:num>
  <w:num w:numId="23" w16cid:durableId="1191257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8"/>
    <w:docVar w:name="PersonGUIDs" w:val="{7EF8F305-E5EC-4D88-A3F3-0EBCBA593D5F}"/>
  </w:docVars>
  <w:rsids>
    <w:rsidRoot w:val="00545203"/>
    <w:rsid w:val="003F6E77"/>
    <w:rsid w:val="0054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94A7C10-FABE-4176-8720-559F392D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citat0">
    <w:name w:val="citat"/>
    <w:basedOn w:val="Normal"/>
    <w:link w:val="citatChar0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character" w:customStyle="1" w:styleId="citatChar0">
    <w:name w:val="citat Char"/>
    <w:basedOn w:val="Standardstycketeckensnitt"/>
    <w:link w:val="citat0"/>
    <w:rPr>
      <w:rFonts w:ascii="Verdana" w:hAnsi="Verdana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3311</Characters>
  <Application>Microsoft Office Word</Application>
  <DocSecurity>4</DocSecurity>
  <Lines>64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fp1145</vt:lpstr>
    </vt:vector>
  </TitlesOfParts>
  <Company>Riksdagen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fp1145</dc:title>
  <dc:subject>fp1145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2009-12-18T07:49:00Z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mot2000_515_2009-12-18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Amalgam och ohälsa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Amalgam och ohälsa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fp1145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20092010000001020112000011450069</vt:lpwstr>
  </property>
  <property fmtid="{D5CDD505-2E9C-101B-9397-08002B2CF9AE}" pid="47" name="datum">
    <vt:lpwstr>091002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20092010000001020112000011450069</vt:lpwstr>
  </property>
  <property fmtid="{D5CDD505-2E9C-101B-9397-08002B2CF9AE}" pid="50" name="nummer">
    <vt:lpwstr>518</vt:lpwstr>
  </property>
  <property fmtid="{D5CDD505-2E9C-101B-9397-08002B2CF9AE}" pid="51" name="utskottsbeteckning">
    <vt:lpwstr>So</vt:lpwstr>
  </property>
  <property fmtid="{D5CDD505-2E9C-101B-9397-08002B2CF9AE}" pid="52" name="GlobalUID">
    <vt:lpwstr>{434037CA-DB36-40E5-8D57-6DFBF559DBC4}</vt:lpwstr>
  </property>
  <property fmtid="{D5CDD505-2E9C-101B-9397-08002B2CF9AE}" pid="53" name="Överföringar">
    <vt:i4>0</vt:i4>
  </property>
  <property fmtid="{D5CDD505-2E9C-101B-9397-08002B2CF9AE}" pid="54" name="Checksum">
    <vt:lpwstr>*1013502418197*</vt:lpwstr>
  </property>
  <property fmtid="{D5CDD505-2E9C-101B-9397-08002B2CF9AE}" pid="55" name="skuggnummer">
    <vt:lpwstr>2530</vt:lpwstr>
  </property>
  <property fmtid="{D5CDD505-2E9C-101B-9397-08002B2CF9AE}" pid="56" name="urixVersion">
    <vt:lpwstr>4.0.0.9</vt:lpwstr>
  </property>
  <property fmtid="{D5CDD505-2E9C-101B-9397-08002B2CF9AE}" pid="57" name="urixOrigin">
    <vt:lpwstr>091218 08:49:57.219</vt:lpwstr>
  </property>
  <property fmtid="{D5CDD505-2E9C-101B-9397-08002B2CF9AE}" pid="58" name="urixGuid">
    <vt:lpwstr>{31119FDE-74DB-47E4-BB1E-FB7BBD48D4E5}</vt:lpwstr>
  </property>
</Properties>
</file>