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CF6028">
        <w:tc>
          <w:tcPr>
            <w:tcW w:w="2268" w:type="dxa"/>
          </w:tcPr>
          <w:p w:rsidR="00CF6028" w:rsidRDefault="00CF6028">
            <w:pPr>
              <w:framePr w:w="4400" w:h="1644" w:wrap="notBeside" w:vAnchor="page" w:hAnchor="page" w:x="6573" w:y="721"/>
              <w:rPr>
                <w:rFonts w:ascii="TradeGothic" w:hAnsi="TradeGothic"/>
                <w:i/>
                <w:sz w:val="18"/>
              </w:rPr>
            </w:pPr>
          </w:p>
        </w:tc>
        <w:tc>
          <w:tcPr>
            <w:tcW w:w="2347" w:type="dxa"/>
            <w:gridSpan w:val="2"/>
          </w:tcPr>
          <w:p w:rsidR="00CF6028" w:rsidRDefault="00CF6028">
            <w:pPr>
              <w:framePr w:w="4400" w:h="1644" w:wrap="notBeside" w:vAnchor="page" w:hAnchor="page" w:x="6573" w:y="721"/>
              <w:rPr>
                <w:rFonts w:ascii="TradeGothic" w:hAnsi="TradeGothic"/>
                <w:i/>
                <w:sz w:val="18"/>
              </w:rPr>
            </w:pPr>
          </w:p>
        </w:tc>
      </w:tr>
      <w:tr w:rsidR="00CF6028">
        <w:tc>
          <w:tcPr>
            <w:tcW w:w="2268" w:type="dxa"/>
          </w:tcPr>
          <w:p w:rsidR="00CF6028" w:rsidRDefault="00CF6028">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CF6028" w:rsidRDefault="00CF6028">
            <w:pPr>
              <w:framePr w:w="4400" w:h="1644" w:wrap="notBeside" w:vAnchor="page" w:hAnchor="page" w:x="6573" w:y="721"/>
              <w:rPr>
                <w:rFonts w:ascii="TradeGothic" w:hAnsi="TradeGothic"/>
                <w:b/>
                <w:sz w:val="22"/>
              </w:rPr>
            </w:pPr>
          </w:p>
        </w:tc>
      </w:tr>
      <w:tr w:rsidR="00CF6028">
        <w:trPr>
          <w:trHeight w:val="343"/>
        </w:trPr>
        <w:tc>
          <w:tcPr>
            <w:tcW w:w="3402" w:type="dxa"/>
            <w:gridSpan w:val="2"/>
          </w:tcPr>
          <w:p w:rsidR="00CF6028" w:rsidRDefault="00CF6028">
            <w:pPr>
              <w:framePr w:w="4400" w:h="1644" w:wrap="notBeside" w:vAnchor="page" w:hAnchor="page" w:x="6573" w:y="721"/>
            </w:pPr>
          </w:p>
        </w:tc>
        <w:tc>
          <w:tcPr>
            <w:tcW w:w="1213" w:type="dxa"/>
          </w:tcPr>
          <w:p w:rsidR="00CF6028" w:rsidRDefault="00CF6028">
            <w:pPr>
              <w:framePr w:w="4400" w:h="1644" w:wrap="notBeside" w:vAnchor="page" w:hAnchor="page" w:x="6573" w:y="721"/>
            </w:pPr>
          </w:p>
        </w:tc>
      </w:tr>
      <w:tr w:rsidR="00CF6028">
        <w:tc>
          <w:tcPr>
            <w:tcW w:w="2268" w:type="dxa"/>
          </w:tcPr>
          <w:p w:rsidR="00CF6028" w:rsidRDefault="00CF6028">
            <w:pPr>
              <w:framePr w:w="4400" w:h="1644" w:wrap="notBeside" w:vAnchor="page" w:hAnchor="page" w:x="6573" w:y="721"/>
            </w:pPr>
            <w:fldSimple w:instr=" CREATEDATE  \@ &quot;yyyy-MM-dd&quot;  \* MERGEFORMAT ">
              <w:r>
                <w:rPr>
                  <w:noProof/>
                </w:rPr>
                <w:t>2013-11-28</w:t>
              </w:r>
            </w:fldSimple>
          </w:p>
        </w:tc>
        <w:tc>
          <w:tcPr>
            <w:tcW w:w="2347" w:type="dxa"/>
            <w:gridSpan w:val="2"/>
          </w:tcPr>
          <w:p w:rsidR="00CF6028" w:rsidRDefault="00CF6028">
            <w:pPr>
              <w:framePr w:w="4400" w:h="1644" w:wrap="notBeside" w:vAnchor="page" w:hAnchor="page" w:x="6573" w:y="721"/>
            </w:pPr>
          </w:p>
        </w:tc>
      </w:tr>
      <w:tr w:rsidR="00CF6028">
        <w:tc>
          <w:tcPr>
            <w:tcW w:w="2268" w:type="dxa"/>
          </w:tcPr>
          <w:p w:rsidR="00CF6028" w:rsidRDefault="00CF6028">
            <w:pPr>
              <w:framePr w:w="4400" w:h="1644" w:wrap="notBeside" w:vAnchor="page" w:hAnchor="page" w:x="6573" w:y="721"/>
            </w:pPr>
          </w:p>
        </w:tc>
        <w:tc>
          <w:tcPr>
            <w:tcW w:w="2347" w:type="dxa"/>
            <w:gridSpan w:val="2"/>
          </w:tcPr>
          <w:p w:rsidR="00CF6028" w:rsidRDefault="00CF6028">
            <w:pPr>
              <w:framePr w:w="4400" w:h="1644" w:wrap="notBeside" w:vAnchor="page" w:hAnchor="page" w:x="6573" w:y="721"/>
            </w:pPr>
          </w:p>
        </w:tc>
      </w:tr>
    </w:tbl>
    <w:tbl>
      <w:tblPr>
        <w:tblW w:w="0" w:type="auto"/>
        <w:tblLayout w:type="fixed"/>
        <w:tblLook w:val="0000"/>
      </w:tblPr>
      <w:tblGrid>
        <w:gridCol w:w="4911"/>
      </w:tblGrid>
      <w:tr w:rsidR="00CF6028">
        <w:trPr>
          <w:trHeight w:val="2400"/>
        </w:trPr>
        <w:tc>
          <w:tcPr>
            <w:tcW w:w="4911" w:type="dxa"/>
          </w:tcPr>
          <w:p w:rsidR="00CF6028" w:rsidRDefault="00CF6028">
            <w:pPr>
              <w:pStyle w:val="Avsndare"/>
              <w:framePr w:h="2483" w:wrap="notBeside" w:x="1504"/>
              <w:rPr>
                <w:b/>
                <w:i w:val="0"/>
                <w:sz w:val="22"/>
              </w:rPr>
            </w:pPr>
            <w:r>
              <w:rPr>
                <w:b/>
                <w:i w:val="0"/>
                <w:sz w:val="22"/>
              </w:rPr>
              <w:t>Statsrådsberedningen</w:t>
            </w:r>
          </w:p>
          <w:p w:rsidR="00CF6028" w:rsidRDefault="00CF6028">
            <w:pPr>
              <w:pStyle w:val="Avsndare"/>
              <w:framePr w:h="2483" w:wrap="notBeside" w:x="1504"/>
            </w:pPr>
          </w:p>
          <w:p w:rsidR="00CF6028" w:rsidRDefault="00CF6028">
            <w:pPr>
              <w:pStyle w:val="Avsndare"/>
              <w:framePr w:h="2483" w:wrap="notBeside" w:x="1504"/>
            </w:pPr>
            <w:r>
              <w:t>EU-kansliet</w:t>
            </w:r>
          </w:p>
          <w:p w:rsidR="00CF6028" w:rsidRDefault="00CF6028">
            <w:pPr>
              <w:pStyle w:val="Avsndare"/>
              <w:framePr w:h="2483" w:wrap="notBeside" w:x="1504"/>
            </w:pPr>
          </w:p>
          <w:p w:rsidR="00CF6028" w:rsidRDefault="00CF6028">
            <w:pPr>
              <w:pStyle w:val="Avsndare"/>
              <w:framePr w:h="2483" w:wrap="notBeside" w:x="1504"/>
            </w:pPr>
          </w:p>
          <w:p w:rsidR="00CF6028" w:rsidRDefault="00CF6028">
            <w:pPr>
              <w:pStyle w:val="Avsndare"/>
              <w:framePr w:h="2483" w:wrap="notBeside" w:x="1504"/>
            </w:pPr>
          </w:p>
          <w:p w:rsidR="00CF6028" w:rsidRDefault="00CF6028">
            <w:pPr>
              <w:pStyle w:val="Avsndare"/>
              <w:framePr w:h="2483" w:wrap="notBeside" w:x="1504"/>
              <w:rPr>
                <w:b/>
                <w:i w:val="0"/>
                <w:sz w:val="22"/>
              </w:rPr>
            </w:pPr>
          </w:p>
        </w:tc>
      </w:tr>
    </w:tbl>
    <w:p w:rsidR="00CF6028" w:rsidRDefault="00CF6028">
      <w:pPr>
        <w:framePr w:w="4400" w:h="2523" w:wrap="notBeside" w:vAnchor="page" w:hAnchor="page" w:x="6453" w:y="2445"/>
        <w:ind w:left="142"/>
      </w:pPr>
    </w:p>
    <w:p w:rsidR="00CF6028" w:rsidRPr="00047638" w:rsidRDefault="00CF6028" w:rsidP="00047638">
      <w:pPr>
        <w:pStyle w:val="Heading1"/>
      </w:pPr>
      <w:bookmarkStart w:id="0" w:name="_Toc67391946"/>
      <w:bookmarkStart w:id="1" w:name="_Toc70473239"/>
      <w:bookmarkStart w:id="2" w:name="_Toc373409343"/>
      <w:r>
        <w:t>Troliga A-punkter inför kommande rådsmöten som godkändes vid Coreper I och Coreper II</w:t>
      </w:r>
      <w:bookmarkEnd w:id="0"/>
      <w:bookmarkEnd w:id="1"/>
      <w:r>
        <w:t xml:space="preserve"> vecka 48 samt troliga A-punkter inför kommande rådsmöten som godkändes vid Särskilda jordbrukskommittén.</w:t>
      </w:r>
      <w:bookmarkEnd w:id="2"/>
    </w:p>
    <w:p w:rsidR="00CF6028" w:rsidRPr="009F56F7" w:rsidRDefault="00CF6028" w:rsidP="009F56F7">
      <w:pPr>
        <w:pStyle w:val="BodyText"/>
      </w:pPr>
      <w:r>
        <w:t>Översänds för skriftligt samråd till fredagen den 29 november 2013, kl 14.00.</w:t>
      </w:r>
    </w:p>
    <w:p w:rsidR="00CF6028" w:rsidRDefault="00CF6028">
      <w:pPr>
        <w:spacing w:line="240" w:lineRule="auto"/>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r>
        <w:rPr>
          <w:b/>
          <w:bCs/>
        </w:rPr>
        <w:br w:type="page"/>
      </w:r>
    </w:p>
    <w:p w:rsidR="00CF6028" w:rsidRDefault="00CF6028">
      <w:pPr>
        <w:pStyle w:val="RKnormal"/>
        <w:ind w:left="0"/>
        <w:rPr>
          <w:b/>
          <w:bCs/>
        </w:rPr>
      </w:pPr>
    </w:p>
    <w:p w:rsidR="00CF6028" w:rsidRDefault="00CF6028">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3409343" w:history="1">
        <w:r w:rsidRPr="00E04A84">
          <w:rPr>
            <w:rStyle w:val="Hyperlink"/>
            <w:noProof/>
          </w:rPr>
          <w:t>Troliga A-punkter inför kommande rådsmöten som godkändes vid Coreper I och Coreper II vecka 48 samt troliga A-punkter inför kommande rådsmöten som godkändes vid Särskilda jordbrukskommittén.</w:t>
        </w:r>
        <w:r>
          <w:rPr>
            <w:noProof/>
            <w:webHidden/>
          </w:rPr>
          <w:tab/>
        </w:r>
        <w:r>
          <w:rPr>
            <w:noProof/>
            <w:webHidden/>
          </w:rPr>
          <w:fldChar w:fldCharType="begin"/>
        </w:r>
        <w:r>
          <w:rPr>
            <w:noProof/>
            <w:webHidden/>
          </w:rPr>
          <w:instrText xml:space="preserve"> PAGEREF _Toc373409343 \h </w:instrText>
        </w:r>
        <w:r>
          <w:rPr>
            <w:noProof/>
          </w:rPr>
        </w:r>
        <w:r>
          <w:rPr>
            <w:noProof/>
            <w:webHidden/>
          </w:rPr>
          <w:fldChar w:fldCharType="separate"/>
        </w:r>
        <w:r>
          <w:rPr>
            <w:noProof/>
            <w:webHidden/>
          </w:rPr>
          <w:t>1</w:t>
        </w:r>
        <w:r>
          <w:rPr>
            <w:noProof/>
            <w:webHidden/>
          </w:rPr>
          <w:fldChar w:fldCharType="end"/>
        </w:r>
      </w:hyperlink>
    </w:p>
    <w:p w:rsidR="00CF6028" w:rsidRDefault="00CF6028">
      <w:pPr>
        <w:pStyle w:val="TOC1"/>
        <w:tabs>
          <w:tab w:val="right" w:leader="dot" w:pos="7644"/>
        </w:tabs>
        <w:rPr>
          <w:rFonts w:ascii="Calibri" w:hAnsi="Calibri"/>
          <w:b w:val="0"/>
          <w:bCs w:val="0"/>
          <w:caps w:val="0"/>
          <w:noProof/>
          <w:sz w:val="22"/>
          <w:szCs w:val="22"/>
          <w:lang w:eastAsia="sv-SE"/>
        </w:rPr>
      </w:pPr>
      <w:hyperlink w:anchor="_Toc373409344" w:history="1">
        <w:r w:rsidRPr="00E04A84">
          <w:rPr>
            <w:rStyle w:val="Hyperlink"/>
            <w:noProof/>
          </w:rPr>
          <w:t>Frågor som lösts i förberedande instanser</w:t>
        </w:r>
        <w:r>
          <w:rPr>
            <w:noProof/>
            <w:webHidden/>
          </w:rPr>
          <w:tab/>
        </w:r>
        <w:r>
          <w:rPr>
            <w:noProof/>
            <w:webHidden/>
          </w:rPr>
          <w:fldChar w:fldCharType="begin"/>
        </w:r>
        <w:r>
          <w:rPr>
            <w:noProof/>
            <w:webHidden/>
          </w:rPr>
          <w:instrText xml:space="preserve"> PAGEREF _Toc373409344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1"/>
        <w:tabs>
          <w:tab w:val="right" w:leader="dot" w:pos="7644"/>
        </w:tabs>
        <w:rPr>
          <w:rFonts w:ascii="Calibri" w:hAnsi="Calibri"/>
          <w:b w:val="0"/>
          <w:bCs w:val="0"/>
          <w:caps w:val="0"/>
          <w:noProof/>
          <w:sz w:val="22"/>
          <w:szCs w:val="22"/>
          <w:lang w:eastAsia="sv-SE"/>
        </w:rPr>
      </w:pPr>
      <w:hyperlink w:anchor="_Toc373409345" w:history="1">
        <w:r w:rsidRPr="00E04A84">
          <w:rPr>
            <w:rStyle w:val="Hyperlink"/>
            <w:noProof/>
          </w:rPr>
          <w:t>Troliga A-punkter inför kommande rådsmöten som godkändes vid Coreper I 2013-11-27</w:t>
        </w:r>
        <w:r>
          <w:rPr>
            <w:noProof/>
            <w:webHidden/>
          </w:rPr>
          <w:tab/>
        </w:r>
        <w:r>
          <w:rPr>
            <w:noProof/>
            <w:webHidden/>
          </w:rPr>
          <w:fldChar w:fldCharType="begin"/>
        </w:r>
        <w:r>
          <w:rPr>
            <w:noProof/>
            <w:webHidden/>
          </w:rPr>
          <w:instrText xml:space="preserve"> PAGEREF _Toc373409345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46" w:history="1">
        <w:r w:rsidRPr="00E04A84">
          <w:rPr>
            <w:rStyle w:val="Hyperlink"/>
            <w:noProof/>
            <w:lang w:val="en-US"/>
          </w:rPr>
          <w:t>1. Replies to written questions put to the Council by Members of the European Parliament</w:t>
        </w:r>
        <w:r>
          <w:rPr>
            <w:noProof/>
            <w:webHidden/>
          </w:rPr>
          <w:tab/>
        </w:r>
        <w:r>
          <w:rPr>
            <w:noProof/>
            <w:webHidden/>
          </w:rPr>
          <w:fldChar w:fldCharType="begin"/>
        </w:r>
        <w:r>
          <w:rPr>
            <w:noProof/>
            <w:webHidden/>
          </w:rPr>
          <w:instrText xml:space="preserve"> PAGEREF _Toc373409346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47" w:history="1">
        <w:r w:rsidRPr="00E04A84">
          <w:rPr>
            <w:rStyle w:val="Hyperlink"/>
            <w:noProof/>
            <w:lang w:val="en-US"/>
          </w:rPr>
          <w:t>2. Advisory Committee on Safety and Health at Work Appointment of the members and alternate members for Croatia, Hungary, Portugal and United Kingdom = Adoption</w:t>
        </w:r>
        <w:r>
          <w:rPr>
            <w:noProof/>
            <w:webHidden/>
          </w:rPr>
          <w:tab/>
        </w:r>
        <w:r>
          <w:rPr>
            <w:noProof/>
            <w:webHidden/>
          </w:rPr>
          <w:fldChar w:fldCharType="begin"/>
        </w:r>
        <w:r>
          <w:rPr>
            <w:noProof/>
            <w:webHidden/>
          </w:rPr>
          <w:instrText xml:space="preserve"> PAGEREF _Toc373409347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48" w:history="1">
        <w:r w:rsidRPr="00E04A84">
          <w:rPr>
            <w:rStyle w:val="Hyperlink"/>
            <w:noProof/>
            <w:lang w:val="en-US"/>
          </w:rPr>
          <w:t>3. Governing Board of the European Agency for Safety and Health at Work Appointment of the members and alternate members = Adoption</w:t>
        </w:r>
        <w:r>
          <w:rPr>
            <w:noProof/>
            <w:webHidden/>
          </w:rPr>
          <w:tab/>
        </w:r>
        <w:r>
          <w:rPr>
            <w:noProof/>
            <w:webHidden/>
          </w:rPr>
          <w:fldChar w:fldCharType="begin"/>
        </w:r>
        <w:r>
          <w:rPr>
            <w:noProof/>
            <w:webHidden/>
          </w:rPr>
          <w:instrText xml:space="preserve"> PAGEREF _Toc373409348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49" w:history="1">
        <w:r w:rsidRPr="00E04A84">
          <w:rPr>
            <w:rStyle w:val="Hyperlink"/>
            <w:noProof/>
            <w:lang w:val="en-US"/>
          </w:rPr>
          <w:t>4. European Foundation for the Improvement of Living and Working Conditions Appointment of the members and alternate members of the Governing Board = Adoption</w:t>
        </w:r>
        <w:r>
          <w:rPr>
            <w:noProof/>
            <w:webHidden/>
          </w:rPr>
          <w:tab/>
        </w:r>
        <w:r>
          <w:rPr>
            <w:noProof/>
            <w:webHidden/>
          </w:rPr>
          <w:fldChar w:fldCharType="begin"/>
        </w:r>
        <w:r>
          <w:rPr>
            <w:noProof/>
            <w:webHidden/>
          </w:rPr>
          <w:instrText xml:space="preserve"> PAGEREF _Toc373409349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0" w:history="1">
        <w:r w:rsidRPr="00E04A84">
          <w:rPr>
            <w:rStyle w:val="Hyperlink"/>
            <w:noProof/>
            <w:lang w:val="en-US"/>
          </w:rPr>
          <w:t>5. Advisory Committee on Safety and Health at Work Appointment of Mr Argo SOON, alternate member for Estonia, in place of Mr Ülo KRISTJUHAN, who has resigned = Adoption</w:t>
        </w:r>
        <w:r>
          <w:rPr>
            <w:noProof/>
            <w:webHidden/>
          </w:rPr>
          <w:tab/>
        </w:r>
        <w:r>
          <w:rPr>
            <w:noProof/>
            <w:webHidden/>
          </w:rPr>
          <w:fldChar w:fldCharType="begin"/>
        </w:r>
        <w:r>
          <w:rPr>
            <w:noProof/>
            <w:webHidden/>
          </w:rPr>
          <w:instrText xml:space="preserve"> PAGEREF _Toc373409350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1" w:history="1">
        <w:r w:rsidRPr="00E04A84">
          <w:rPr>
            <w:rStyle w:val="Hyperlink"/>
            <w:noProof/>
            <w:lang w:val="en-US"/>
          </w:rPr>
          <w:t>6. Advisory Committee on Safety and Health at Work Appointment of Ms Elina REEDI, alternate member for Estonia, in place of Mr Peeter ROSS , who has resigned = Adoption</w:t>
        </w:r>
        <w:r>
          <w:rPr>
            <w:noProof/>
            <w:webHidden/>
          </w:rPr>
          <w:tab/>
        </w:r>
        <w:r>
          <w:rPr>
            <w:noProof/>
            <w:webHidden/>
          </w:rPr>
          <w:fldChar w:fldCharType="begin"/>
        </w:r>
        <w:r>
          <w:rPr>
            <w:noProof/>
            <w:webHidden/>
          </w:rPr>
          <w:instrText xml:space="preserve"> PAGEREF _Toc373409351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2" w:history="1">
        <w:r w:rsidRPr="00E04A84">
          <w:rPr>
            <w:rStyle w:val="Hyperlink"/>
            <w:noProof/>
            <w:lang w:val="en-US"/>
          </w:rPr>
          <w:t>7. Commission Decision of XXX authorising Sweden and the United Kingdom to derogate from certain common aviation safety rules pursuant to Article 14(6) of Regulation (EC) No216/2008 of the European Parliament and of the Council = Decision not to oppose the adoption</w:t>
        </w:r>
        <w:r>
          <w:rPr>
            <w:noProof/>
            <w:webHidden/>
          </w:rPr>
          <w:tab/>
        </w:r>
        <w:r>
          <w:rPr>
            <w:noProof/>
            <w:webHidden/>
          </w:rPr>
          <w:fldChar w:fldCharType="begin"/>
        </w:r>
        <w:r>
          <w:rPr>
            <w:noProof/>
            <w:webHidden/>
          </w:rPr>
          <w:instrText xml:space="preserve"> PAGEREF _Toc373409352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3" w:history="1">
        <w:r w:rsidRPr="00E04A84">
          <w:rPr>
            <w:rStyle w:val="Hyperlink"/>
            <w:noProof/>
            <w:lang w:val="en-US"/>
          </w:rPr>
          <w:t>8. Commission Regulation (EU) No .../.. of XXX amending Commission Regulation (EU) No 965/2012 laying down technical requirements and administrative procedures related to Air Operations pursuant to Regulation (EC) No216/2008 of the European Parliament and of the Council = Decision not to oppose the adoption</w:t>
        </w:r>
        <w:r>
          <w:rPr>
            <w:noProof/>
            <w:webHidden/>
          </w:rPr>
          <w:tab/>
        </w:r>
        <w:r>
          <w:rPr>
            <w:noProof/>
            <w:webHidden/>
          </w:rPr>
          <w:fldChar w:fldCharType="begin"/>
        </w:r>
        <w:r>
          <w:rPr>
            <w:noProof/>
            <w:webHidden/>
          </w:rPr>
          <w:instrText xml:space="preserve"> PAGEREF _Toc373409353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4" w:history="1">
        <w:r w:rsidRPr="00E04A84">
          <w:rPr>
            <w:rStyle w:val="Hyperlink"/>
            <w:noProof/>
            <w:lang w:val="en-US"/>
          </w:rPr>
          <w:t>9. Commission Regulation (EU) No .../.. of XXX amending Commission Regulation (EU) No 748/2012 laying down implementing rules for the airworthiness and environmental certification of aircraft and related products, parts and appliances, as well as for the certification of design and production organisations = Decision not to oppose the adoption</w:t>
        </w:r>
        <w:r>
          <w:rPr>
            <w:noProof/>
            <w:webHidden/>
          </w:rPr>
          <w:tab/>
        </w:r>
        <w:r>
          <w:rPr>
            <w:noProof/>
            <w:webHidden/>
          </w:rPr>
          <w:fldChar w:fldCharType="begin"/>
        </w:r>
        <w:r>
          <w:rPr>
            <w:noProof/>
            <w:webHidden/>
          </w:rPr>
          <w:instrText xml:space="preserve"> PAGEREF _Toc373409354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5" w:history="1">
        <w:r w:rsidRPr="00E04A84">
          <w:rPr>
            <w:rStyle w:val="Hyperlink"/>
            <w:noProof/>
            <w:lang w:val="en-US"/>
          </w:rPr>
          <w:t>10. Commission Regulation (EU) No .../.. of XXX of (xxx) laying down requirements and administrative procedures related to aerodromes pursuant to Regulation (EC) No216/2008 of the European Parliament and of the Council = Decision not to oppose the adoption</w:t>
        </w:r>
        <w:r>
          <w:rPr>
            <w:noProof/>
            <w:webHidden/>
          </w:rPr>
          <w:tab/>
        </w:r>
        <w:r>
          <w:rPr>
            <w:noProof/>
            <w:webHidden/>
          </w:rPr>
          <w:fldChar w:fldCharType="begin"/>
        </w:r>
        <w:r>
          <w:rPr>
            <w:noProof/>
            <w:webHidden/>
          </w:rPr>
          <w:instrText xml:space="preserve"> PAGEREF _Toc373409355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6" w:history="1">
        <w:r w:rsidRPr="00E04A84">
          <w:rPr>
            <w:rStyle w:val="Hyperlink"/>
            <w:noProof/>
            <w:lang w:val="en-US"/>
          </w:rPr>
          <w:t>11. Commission Regulation (EU) No .../.. of XXX amending Commission Regulation (EU) No 1178/2011 laying down technical requirements and administrative procedures related to civil aviation aircrew pursuant to Regulation (EC) No 216/2008 of the European Parliament and of the Council = Decision not to oppose the adoption</w:t>
        </w:r>
        <w:r>
          <w:rPr>
            <w:noProof/>
            <w:webHidden/>
          </w:rPr>
          <w:tab/>
        </w:r>
        <w:r>
          <w:rPr>
            <w:noProof/>
            <w:webHidden/>
          </w:rPr>
          <w:fldChar w:fldCharType="begin"/>
        </w:r>
        <w:r>
          <w:rPr>
            <w:noProof/>
            <w:webHidden/>
          </w:rPr>
          <w:instrText xml:space="preserve"> PAGEREF _Toc373409356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7" w:history="1">
        <w:r w:rsidRPr="00E04A84">
          <w:rPr>
            <w:rStyle w:val="Hyperlink"/>
            <w:noProof/>
            <w:lang w:val="en-US"/>
          </w:rPr>
          <w:t>12. Commission Regulation (EU) No .../.. of XXX amending Annexes II and III to Regulation (EC) No 110/2008 of the European Parliament and of the Council on the definition, description, presentation, labelling and the protection of geographical indications of spirit drinks = Decision not to oppose the adoption</w:t>
        </w:r>
        <w:r>
          <w:rPr>
            <w:noProof/>
            <w:webHidden/>
          </w:rPr>
          <w:tab/>
        </w:r>
        <w:r>
          <w:rPr>
            <w:noProof/>
            <w:webHidden/>
          </w:rPr>
          <w:fldChar w:fldCharType="begin"/>
        </w:r>
        <w:r>
          <w:rPr>
            <w:noProof/>
            <w:webHidden/>
          </w:rPr>
          <w:instrText xml:space="preserve"> PAGEREF _Toc373409357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8" w:history="1">
        <w:r w:rsidRPr="00E04A84">
          <w:rPr>
            <w:rStyle w:val="Hyperlink"/>
            <w:noProof/>
            <w:lang w:val="en-US"/>
          </w:rPr>
          <w:t>13. Commission Regulation (EU) No .../.. of XXX amending Annex III to Regulation (EC) No 110/2008 of the European Parliament and of the Council on the definition, description, presentation, labelling and the protection of geographical indications of spirit drinks = Decision not to oppose the adoption</w:t>
        </w:r>
        <w:r>
          <w:rPr>
            <w:noProof/>
            <w:webHidden/>
          </w:rPr>
          <w:tab/>
        </w:r>
        <w:r>
          <w:rPr>
            <w:noProof/>
            <w:webHidden/>
          </w:rPr>
          <w:fldChar w:fldCharType="begin"/>
        </w:r>
        <w:r>
          <w:rPr>
            <w:noProof/>
            <w:webHidden/>
          </w:rPr>
          <w:instrText xml:space="preserve"> PAGEREF _Toc373409358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59" w:history="1">
        <w:r w:rsidRPr="00E04A84">
          <w:rPr>
            <w:rStyle w:val="Hyperlink"/>
            <w:noProof/>
            <w:lang w:val="en-US"/>
          </w:rPr>
          <w:t>14. Commission Regulation (EU) No .../.. of XXX amending Annex I to Regulation (EC) No 689/2008 of the European Parliament and of the Council concerning the export and import of dangerous chemicals = Decision not to oppose adoption</w:t>
        </w:r>
        <w:r>
          <w:rPr>
            <w:noProof/>
            <w:webHidden/>
          </w:rPr>
          <w:tab/>
        </w:r>
        <w:r>
          <w:rPr>
            <w:noProof/>
            <w:webHidden/>
          </w:rPr>
          <w:fldChar w:fldCharType="begin"/>
        </w:r>
        <w:r>
          <w:rPr>
            <w:noProof/>
            <w:webHidden/>
          </w:rPr>
          <w:instrText xml:space="preserve"> PAGEREF _Toc373409359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0" w:history="1">
        <w:r w:rsidRPr="00E04A84">
          <w:rPr>
            <w:rStyle w:val="Hyperlink"/>
            <w:noProof/>
            <w:lang w:val="en-US"/>
          </w:rPr>
          <w:t>15. Draft Council Decision on the acceptance on behalf of the European Union of the Amendment to Articles 25 and 26 of the Convention on the Protection and Use of Transboundary Watercourses and International Lakes = Adoption</w:t>
        </w:r>
        <w:r>
          <w:rPr>
            <w:noProof/>
            <w:webHidden/>
          </w:rPr>
          <w:tab/>
        </w:r>
        <w:r>
          <w:rPr>
            <w:noProof/>
            <w:webHidden/>
          </w:rPr>
          <w:fldChar w:fldCharType="begin"/>
        </w:r>
        <w:r>
          <w:rPr>
            <w:noProof/>
            <w:webHidden/>
          </w:rPr>
          <w:instrText xml:space="preserve"> PAGEREF _Toc373409360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1" w:history="1">
        <w:r w:rsidRPr="00E04A84">
          <w:rPr>
            <w:rStyle w:val="Hyperlink"/>
            <w:noProof/>
            <w:lang w:val="en-US"/>
          </w:rPr>
          <w:t>16. Draft Council Decision establishing the Specific Programme implementing Horizon 2020 - The Framework Programme for Research and Innovation (2014-2020) = Adoption</w:t>
        </w:r>
        <w:r>
          <w:rPr>
            <w:noProof/>
            <w:webHidden/>
          </w:rPr>
          <w:tab/>
        </w:r>
        <w:r>
          <w:rPr>
            <w:noProof/>
            <w:webHidden/>
          </w:rPr>
          <w:fldChar w:fldCharType="begin"/>
        </w:r>
        <w:r>
          <w:rPr>
            <w:noProof/>
            <w:webHidden/>
          </w:rPr>
          <w:instrText xml:space="preserve"> PAGEREF _Toc373409361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2" w:history="1">
        <w:r w:rsidRPr="00E04A84">
          <w:rPr>
            <w:rStyle w:val="Hyperlink"/>
            <w:noProof/>
            <w:lang w:val="en-US"/>
          </w:rPr>
          <w:t>17. Draft Council Regulation amending Regulation (EC) No 723/2009 concerning the Community legal framework for a European Research Infrastructures Consortium (ERIC) = Adoption</w:t>
        </w:r>
        <w:r>
          <w:rPr>
            <w:noProof/>
            <w:webHidden/>
          </w:rPr>
          <w:tab/>
        </w:r>
        <w:r>
          <w:rPr>
            <w:noProof/>
            <w:webHidden/>
          </w:rPr>
          <w:fldChar w:fldCharType="begin"/>
        </w:r>
        <w:r>
          <w:rPr>
            <w:noProof/>
            <w:webHidden/>
          </w:rPr>
          <w:instrText xml:space="preserve"> PAGEREF _Toc373409362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3" w:history="1">
        <w:r w:rsidRPr="00E04A84">
          <w:rPr>
            <w:rStyle w:val="Hyperlink"/>
            <w:noProof/>
            <w:lang w:val="en-US"/>
          </w:rPr>
          <w:t>18. Proposal for a Regulation of the European Parliament and of the Council establishing an action programme for customs in the European Union for the period 2014-2020 (Customs 2020) and repealing Decision N° 624/2007/EC (First reading) (Legislative deliberation + Statement) = Adoption of the legislative act</w:t>
        </w:r>
        <w:r>
          <w:rPr>
            <w:noProof/>
            <w:webHidden/>
          </w:rPr>
          <w:tab/>
        </w:r>
        <w:r>
          <w:rPr>
            <w:noProof/>
            <w:webHidden/>
          </w:rPr>
          <w:fldChar w:fldCharType="begin"/>
        </w:r>
        <w:r>
          <w:rPr>
            <w:noProof/>
            <w:webHidden/>
          </w:rPr>
          <w:instrText xml:space="preserve"> PAGEREF _Toc373409363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4" w:history="1">
        <w:r w:rsidRPr="00E04A84">
          <w:rPr>
            <w:rStyle w:val="Hyperlink"/>
            <w:noProof/>
            <w:lang w:val="en-US"/>
          </w:rPr>
          <w:t>19. Proposal for a Regulation of the European Parliament and of the Council on the European Union Programme for Social Change and Innovation (First reading) (Legislative deliberation) = Adoption of the legislative act</w:t>
        </w:r>
        <w:r>
          <w:rPr>
            <w:noProof/>
            <w:webHidden/>
          </w:rPr>
          <w:tab/>
        </w:r>
        <w:r>
          <w:rPr>
            <w:noProof/>
            <w:webHidden/>
          </w:rPr>
          <w:fldChar w:fldCharType="begin"/>
        </w:r>
        <w:r>
          <w:rPr>
            <w:noProof/>
            <w:webHidden/>
          </w:rPr>
          <w:instrText xml:space="preserve"> PAGEREF _Toc373409364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5" w:history="1">
        <w:r w:rsidRPr="00E04A84">
          <w:rPr>
            <w:rStyle w:val="Hyperlink"/>
            <w:noProof/>
            <w:lang w:val="en-US"/>
          </w:rPr>
          <w:t>20. Proposal for a Regulation of the European Parliament and of the Council establishing the Connecting Europe Facility (First reading) (Legislative deliberation) = Adoption of the legislative act</w:t>
        </w:r>
        <w:r>
          <w:rPr>
            <w:noProof/>
            <w:webHidden/>
          </w:rPr>
          <w:tab/>
        </w:r>
        <w:r>
          <w:rPr>
            <w:noProof/>
            <w:webHidden/>
          </w:rPr>
          <w:fldChar w:fldCharType="begin"/>
        </w:r>
        <w:r>
          <w:rPr>
            <w:noProof/>
            <w:webHidden/>
          </w:rPr>
          <w:instrText xml:space="preserve"> PAGEREF _Toc373409365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6" w:history="1">
        <w:r w:rsidRPr="00E04A84">
          <w:rPr>
            <w:rStyle w:val="Hyperlink"/>
            <w:noProof/>
            <w:lang w:val="en-US"/>
          </w:rPr>
          <w:t>21. Proposal for a Regulation of the European Parliament and of the Council on the implementation and exploitation of European satellite navigation systems (First reading) (Legislative deliberation + Statement) = Adoption of the legislative act</w:t>
        </w:r>
        <w:r>
          <w:rPr>
            <w:noProof/>
            <w:webHidden/>
          </w:rPr>
          <w:tab/>
        </w:r>
        <w:r>
          <w:rPr>
            <w:noProof/>
            <w:webHidden/>
          </w:rPr>
          <w:fldChar w:fldCharType="begin"/>
        </w:r>
        <w:r>
          <w:rPr>
            <w:noProof/>
            <w:webHidden/>
          </w:rPr>
          <w:instrText xml:space="preserve"> PAGEREF _Toc373409366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7" w:history="1">
        <w:r w:rsidRPr="00E04A84">
          <w:rPr>
            <w:rStyle w:val="Hyperlink"/>
            <w:noProof/>
            <w:lang w:val="en-US"/>
          </w:rPr>
          <w:t>22. Proposal for a Regulation of the European Parliament and of the Council establishing a Programme for the Competitiveness of Enterprises and small and medium-sized enterprises (2014 - 2020) - COSME (First reading) (Legislative deliberation) = Adoption of the legislative act</w:t>
        </w:r>
        <w:r>
          <w:rPr>
            <w:noProof/>
            <w:webHidden/>
          </w:rPr>
          <w:tab/>
        </w:r>
        <w:r>
          <w:rPr>
            <w:noProof/>
            <w:webHidden/>
          </w:rPr>
          <w:fldChar w:fldCharType="begin"/>
        </w:r>
        <w:r>
          <w:rPr>
            <w:noProof/>
            <w:webHidden/>
          </w:rPr>
          <w:instrText xml:space="preserve"> PAGEREF _Toc373409367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8" w:history="1">
        <w:r w:rsidRPr="00E04A84">
          <w:rPr>
            <w:rStyle w:val="Hyperlink"/>
            <w:noProof/>
            <w:lang w:val="en-US"/>
          </w:rPr>
          <w:t>23. Proposal for Regulation of the European Parliament and of the Council laying down the rules for the participation and dissemination in 'Horizon 2020 - The Framework Programme for Research and Innovation (2014-2020)' (First reading) (Legislative deliberation) = Adoption of the legislative act</w:t>
        </w:r>
        <w:r>
          <w:rPr>
            <w:noProof/>
            <w:webHidden/>
          </w:rPr>
          <w:tab/>
        </w:r>
        <w:r>
          <w:rPr>
            <w:noProof/>
            <w:webHidden/>
          </w:rPr>
          <w:fldChar w:fldCharType="begin"/>
        </w:r>
        <w:r>
          <w:rPr>
            <w:noProof/>
            <w:webHidden/>
          </w:rPr>
          <w:instrText xml:space="preserve"> PAGEREF _Toc373409368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69" w:history="1">
        <w:r w:rsidRPr="00E04A84">
          <w:rPr>
            <w:rStyle w:val="Hyperlink"/>
            <w:noProof/>
            <w:lang w:val="en-US"/>
          </w:rPr>
          <w:t>24. Proposal for a Regulation of the European Parliament and the Council establishing Horizon 2020 - The Framework Programme for Research and Innovation (2014-2020) ' (First reading) (Legislative deliberation) = Adoption of the legislative act</w:t>
        </w:r>
        <w:r>
          <w:rPr>
            <w:noProof/>
            <w:webHidden/>
          </w:rPr>
          <w:tab/>
        </w:r>
        <w:r>
          <w:rPr>
            <w:noProof/>
            <w:webHidden/>
          </w:rPr>
          <w:fldChar w:fldCharType="begin"/>
        </w:r>
        <w:r>
          <w:rPr>
            <w:noProof/>
            <w:webHidden/>
          </w:rPr>
          <w:instrText xml:space="preserve"> PAGEREF _Toc373409369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0" w:history="1">
        <w:r w:rsidRPr="00E04A84">
          <w:rPr>
            <w:rStyle w:val="Hyperlink"/>
            <w:noProof/>
            <w:lang w:val="en-US"/>
          </w:rPr>
          <w:t>25. Proposal for a Regulation of the European Parliament and of the Council amending Regulation (EC) No 294/2008 establishing the European Institute of Innovation and Technology (First reading) (Legislative deliberation) = Adoption of the legislative act</w:t>
        </w:r>
        <w:r>
          <w:rPr>
            <w:noProof/>
            <w:webHidden/>
          </w:rPr>
          <w:tab/>
        </w:r>
        <w:r>
          <w:rPr>
            <w:noProof/>
            <w:webHidden/>
          </w:rPr>
          <w:fldChar w:fldCharType="begin"/>
        </w:r>
        <w:r>
          <w:rPr>
            <w:noProof/>
            <w:webHidden/>
          </w:rPr>
          <w:instrText xml:space="preserve"> PAGEREF _Toc373409370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1" w:history="1">
        <w:r w:rsidRPr="00E04A84">
          <w:rPr>
            <w:rStyle w:val="Hyperlink"/>
            <w:noProof/>
            <w:lang w:val="en-US"/>
          </w:rPr>
          <w:t>26. Proposal for a Decision of the European Parliament and of the Council on the Strategic Innovation Agenda of the European Institute of Innovation and Technology (EIT): the contribution of the EIT to a more innovative Europe (First reading) (Legislative deliberation) = Adoption of the legislative act</w:t>
        </w:r>
        <w:r>
          <w:rPr>
            <w:noProof/>
            <w:webHidden/>
          </w:rPr>
          <w:tab/>
        </w:r>
        <w:r>
          <w:rPr>
            <w:noProof/>
            <w:webHidden/>
          </w:rPr>
          <w:fldChar w:fldCharType="begin"/>
        </w:r>
        <w:r>
          <w:rPr>
            <w:noProof/>
            <w:webHidden/>
          </w:rPr>
          <w:instrText xml:space="preserve"> PAGEREF _Toc373409371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2" w:history="1">
        <w:r w:rsidRPr="00E04A84">
          <w:rPr>
            <w:rStyle w:val="Hyperlink"/>
            <w:noProof/>
            <w:lang w:val="en-US"/>
          </w:rPr>
          <w:t>27. Proposal for a Regulation of the European Parliament and of the Council on the establishment of a Programme for the Environment and Climate Action (LIFE) (First reading) (Legislative deliberation + Statement) = Adoption of the legislative act PE-CONS</w:t>
        </w:r>
        <w:r>
          <w:rPr>
            <w:noProof/>
            <w:webHidden/>
          </w:rPr>
          <w:tab/>
        </w:r>
        <w:r>
          <w:rPr>
            <w:noProof/>
            <w:webHidden/>
          </w:rPr>
          <w:fldChar w:fldCharType="begin"/>
        </w:r>
        <w:r>
          <w:rPr>
            <w:noProof/>
            <w:webHidden/>
          </w:rPr>
          <w:instrText xml:space="preserve"> PAGEREF _Toc373409372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3" w:history="1">
        <w:r w:rsidRPr="00E04A84">
          <w:rPr>
            <w:rStyle w:val="Hyperlink"/>
            <w:noProof/>
            <w:lang w:val="en-US"/>
          </w:rPr>
          <w:t>28. Proposal for a Regulation of the European Parliament and of the Council on Union guidelines for the development of the Trans-European Transport Network (First reading) (Legislative deliberation + Statement) = Adoption of the legislative act</w:t>
        </w:r>
        <w:r>
          <w:rPr>
            <w:noProof/>
            <w:webHidden/>
          </w:rPr>
          <w:tab/>
        </w:r>
        <w:r>
          <w:rPr>
            <w:noProof/>
            <w:webHidden/>
          </w:rPr>
          <w:fldChar w:fldCharType="begin"/>
        </w:r>
        <w:r>
          <w:rPr>
            <w:noProof/>
            <w:webHidden/>
          </w:rPr>
          <w:instrText xml:space="preserve"> PAGEREF _Toc373409373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4" w:history="1">
        <w:r w:rsidRPr="00E04A84">
          <w:rPr>
            <w:rStyle w:val="Hyperlink"/>
            <w:noProof/>
            <w:lang w:val="en-US"/>
          </w:rPr>
          <w:t>29. (poss.) Eurocontrol Provisional Council = European Union coordination of a common position</w:t>
        </w:r>
        <w:r>
          <w:rPr>
            <w:noProof/>
            <w:webHidden/>
          </w:rPr>
          <w:tab/>
        </w:r>
        <w:r>
          <w:rPr>
            <w:noProof/>
            <w:webHidden/>
          </w:rPr>
          <w:fldChar w:fldCharType="begin"/>
        </w:r>
        <w:r>
          <w:rPr>
            <w:noProof/>
            <w:webHidden/>
          </w:rPr>
          <w:instrText xml:space="preserve"> PAGEREF _Toc373409374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5" w:history="1">
        <w:r w:rsidRPr="00E04A84">
          <w:rPr>
            <w:rStyle w:val="Hyperlink"/>
            <w:noProof/>
            <w:lang w:val="en-US"/>
          </w:rPr>
          <w:t>30. Proposal for a Council Regulation adjusting, from 1 July 2012, the rate of contribution to the pension scheme of officials and other servants of the European Union = Adoption</w:t>
        </w:r>
        <w:r>
          <w:rPr>
            <w:noProof/>
            <w:webHidden/>
          </w:rPr>
          <w:tab/>
        </w:r>
        <w:r>
          <w:rPr>
            <w:noProof/>
            <w:webHidden/>
          </w:rPr>
          <w:fldChar w:fldCharType="begin"/>
        </w:r>
        <w:r>
          <w:rPr>
            <w:noProof/>
            <w:webHidden/>
          </w:rPr>
          <w:instrText xml:space="preserve"> PAGEREF _Toc373409375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6" w:history="1">
        <w:r w:rsidRPr="00E04A84">
          <w:rPr>
            <w:rStyle w:val="Hyperlink"/>
            <w:noProof/>
            <w:lang w:val="en-US"/>
          </w:rPr>
          <w:t>31. Proposal for a Regulation of the European Parliament and of the Council establishing "Erasmus+": the Union programme for education, training, youth and sport and repealing Decisions No 1719/2006/EC, No 1720/2006/EC and No 1298/2008/EC (First reading) (Legislative deliberation + Statement) Adoption of the legislative act</w:t>
        </w:r>
        <w:r>
          <w:rPr>
            <w:noProof/>
            <w:webHidden/>
          </w:rPr>
          <w:tab/>
        </w:r>
        <w:r>
          <w:rPr>
            <w:noProof/>
            <w:webHidden/>
          </w:rPr>
          <w:fldChar w:fldCharType="begin"/>
        </w:r>
        <w:r>
          <w:rPr>
            <w:noProof/>
            <w:webHidden/>
          </w:rPr>
          <w:instrText xml:space="preserve"> PAGEREF _Toc373409376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1"/>
        <w:tabs>
          <w:tab w:val="right" w:leader="dot" w:pos="7644"/>
        </w:tabs>
        <w:rPr>
          <w:rFonts w:ascii="Calibri" w:hAnsi="Calibri"/>
          <w:b w:val="0"/>
          <w:bCs w:val="0"/>
          <w:caps w:val="0"/>
          <w:noProof/>
          <w:sz w:val="22"/>
          <w:szCs w:val="22"/>
          <w:lang w:eastAsia="sv-SE"/>
        </w:rPr>
      </w:pPr>
      <w:hyperlink w:anchor="_Toc373409377" w:history="1">
        <w:r w:rsidRPr="00E04A84">
          <w:rPr>
            <w:rStyle w:val="Hyperlink"/>
            <w:noProof/>
          </w:rPr>
          <w:t>Troliga A-punkter inför kommande rådsmöten som godkändes vid Coreper II vecka 2013-11-27</w:t>
        </w:r>
        <w:r>
          <w:rPr>
            <w:noProof/>
            <w:webHidden/>
          </w:rPr>
          <w:tab/>
        </w:r>
        <w:r>
          <w:rPr>
            <w:noProof/>
            <w:webHidden/>
          </w:rPr>
          <w:fldChar w:fldCharType="begin"/>
        </w:r>
        <w:r>
          <w:rPr>
            <w:noProof/>
            <w:webHidden/>
          </w:rPr>
          <w:instrText xml:space="preserve"> PAGEREF _Toc373409377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8" w:history="1">
        <w:r w:rsidRPr="00E04A84">
          <w:rPr>
            <w:rStyle w:val="Hyperlink"/>
            <w:noProof/>
          </w:rPr>
          <w:t>32. 2014 EU security inspection programme</w:t>
        </w:r>
        <w:r>
          <w:rPr>
            <w:noProof/>
            <w:webHidden/>
          </w:rPr>
          <w:tab/>
        </w:r>
        <w:r>
          <w:rPr>
            <w:noProof/>
            <w:webHidden/>
          </w:rPr>
          <w:fldChar w:fldCharType="begin"/>
        </w:r>
        <w:r>
          <w:rPr>
            <w:noProof/>
            <w:webHidden/>
          </w:rPr>
          <w:instrText xml:space="preserve"> PAGEREF _Toc373409378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79" w:history="1">
        <w:r w:rsidRPr="00E04A84">
          <w:rPr>
            <w:rStyle w:val="Hyperlink"/>
            <w:noProof/>
            <w:lang w:val="en-US"/>
          </w:rPr>
          <w:t>33. Transparency - Public access to documentsa) Confirmatory application No 22/c/02/13b) Confirmatory application No 01/c/01/09 made by Ms Eva Moraga- New reply following the judgment of the General Court in Case C-280/11 P</w:t>
        </w:r>
        <w:r>
          <w:rPr>
            <w:noProof/>
            <w:webHidden/>
          </w:rPr>
          <w:tab/>
        </w:r>
        <w:r>
          <w:rPr>
            <w:noProof/>
            <w:webHidden/>
          </w:rPr>
          <w:fldChar w:fldCharType="begin"/>
        </w:r>
        <w:r>
          <w:rPr>
            <w:noProof/>
            <w:webHidden/>
          </w:rPr>
          <w:instrText xml:space="preserve"> PAGEREF _Toc373409379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0" w:history="1">
        <w:r w:rsidRPr="00E04A84">
          <w:rPr>
            <w:rStyle w:val="Hyperlink"/>
            <w:noProof/>
            <w:lang w:val="en-US"/>
          </w:rPr>
          <w:t>34. Multiannual Financial Framework (2014-2020)a) Council Regulation laying down the multiannual financial framework for the years 2014-2020b) Interinstitutional Agreement between the European Parliament, the Council and the Commission on budgetary discipline, cooperation in budgetary matters and on sound financial managementc) Council Regulation laying down the multiannual financial framework for the years 2014-2020 and draft Interinstitutional Agreement between the European Parliament, the Council and the Commission on budgetary discipline, cooperation in budgetary matters and on sound financial management – statements = Adoption</w:t>
        </w:r>
        <w:r>
          <w:rPr>
            <w:noProof/>
            <w:webHidden/>
          </w:rPr>
          <w:tab/>
        </w:r>
        <w:r>
          <w:rPr>
            <w:noProof/>
            <w:webHidden/>
          </w:rPr>
          <w:fldChar w:fldCharType="begin"/>
        </w:r>
        <w:r>
          <w:rPr>
            <w:noProof/>
            <w:webHidden/>
          </w:rPr>
          <w:instrText xml:space="preserve"> PAGEREF _Toc373409380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1" w:history="1">
        <w:r w:rsidRPr="00E04A84">
          <w:rPr>
            <w:rStyle w:val="Hyperlink"/>
            <w:noProof/>
            <w:lang w:val="en-US"/>
          </w:rPr>
          <w:t>35. ECOFIN report to the European Council on Tax issues = Endorsement</w:t>
        </w:r>
        <w:r>
          <w:rPr>
            <w:noProof/>
            <w:webHidden/>
          </w:rPr>
          <w:tab/>
        </w:r>
        <w:r>
          <w:rPr>
            <w:noProof/>
            <w:webHidden/>
          </w:rPr>
          <w:fldChar w:fldCharType="begin"/>
        </w:r>
        <w:r>
          <w:rPr>
            <w:noProof/>
            <w:webHidden/>
          </w:rPr>
          <w:instrText xml:space="preserve"> PAGEREF _Toc373409381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2" w:history="1">
        <w:r w:rsidRPr="00E04A84">
          <w:rPr>
            <w:rStyle w:val="Hyperlink"/>
            <w:noProof/>
            <w:lang w:val="en-US"/>
          </w:rPr>
          <w:t>36. Report by Finance Ministers on Tax issues in the framework of the Euro Plus Pact = Endorsement</w:t>
        </w:r>
        <w:r>
          <w:rPr>
            <w:noProof/>
            <w:webHidden/>
          </w:rPr>
          <w:tab/>
        </w:r>
        <w:r>
          <w:rPr>
            <w:noProof/>
            <w:webHidden/>
          </w:rPr>
          <w:fldChar w:fldCharType="begin"/>
        </w:r>
        <w:r>
          <w:rPr>
            <w:noProof/>
            <w:webHidden/>
          </w:rPr>
          <w:instrText xml:space="preserve"> PAGEREF _Toc373409382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3" w:history="1">
        <w:r w:rsidRPr="00E04A84">
          <w:rPr>
            <w:rStyle w:val="Hyperlink"/>
            <w:noProof/>
            <w:lang w:val="en-US"/>
          </w:rPr>
          <w:t>37. Draft Council conclusions on Special Report No 23/2012 by the European Court of Auditors: "Have EU Structural Measures Successfully Supported the Regeneration of Industrial and Military Brownfield Sites?"</w:t>
        </w:r>
        <w:r>
          <w:rPr>
            <w:noProof/>
            <w:webHidden/>
          </w:rPr>
          <w:tab/>
        </w:r>
        <w:r>
          <w:rPr>
            <w:noProof/>
            <w:webHidden/>
          </w:rPr>
          <w:fldChar w:fldCharType="begin"/>
        </w:r>
        <w:r>
          <w:rPr>
            <w:noProof/>
            <w:webHidden/>
          </w:rPr>
          <w:instrText xml:space="preserve"> PAGEREF _Toc373409383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4" w:history="1">
        <w:r w:rsidRPr="00E04A84">
          <w:rPr>
            <w:rStyle w:val="Hyperlink"/>
            <w:noProof/>
            <w:lang w:val="en-US"/>
          </w:rPr>
          <w:t>38. Proposal for a Regulation of the European Parliament and of the Council amending Regulation (EU) No 99/2013 on the European statistical programme 2013-17 [First reading] = Approval of the final compromise text</w:t>
        </w:r>
        <w:r>
          <w:rPr>
            <w:noProof/>
            <w:webHidden/>
          </w:rPr>
          <w:tab/>
        </w:r>
        <w:r>
          <w:rPr>
            <w:noProof/>
            <w:webHidden/>
          </w:rPr>
          <w:fldChar w:fldCharType="begin"/>
        </w:r>
        <w:r>
          <w:rPr>
            <w:noProof/>
            <w:webHidden/>
          </w:rPr>
          <w:instrText xml:space="preserve"> PAGEREF _Toc373409384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5" w:history="1">
        <w:r w:rsidRPr="00E04A84">
          <w:rPr>
            <w:rStyle w:val="Hyperlink"/>
            <w:noProof/>
            <w:lang w:val="en-US"/>
          </w:rPr>
          <w:t>39. Commission Proposal for a Directive of the European Parliament and of the Council amending Directives 2003/71/EC and 2009/138/EC in respect of the powers of the European Insurance and Occupational Pensions Authority and the European Securities and Markets Authority (Omnibus 2) [First reading]</w:t>
        </w:r>
        <w:r>
          <w:rPr>
            <w:noProof/>
            <w:webHidden/>
          </w:rPr>
          <w:tab/>
        </w:r>
        <w:r>
          <w:rPr>
            <w:noProof/>
            <w:webHidden/>
          </w:rPr>
          <w:fldChar w:fldCharType="begin"/>
        </w:r>
        <w:r>
          <w:rPr>
            <w:noProof/>
            <w:webHidden/>
          </w:rPr>
          <w:instrText xml:space="preserve"> PAGEREF _Toc373409385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6" w:history="1">
        <w:r w:rsidRPr="00E04A84">
          <w:rPr>
            <w:rStyle w:val="Hyperlink"/>
            <w:noProof/>
            <w:lang w:val="en-US"/>
          </w:rPr>
          <w:t>40. Proposal for a Directive of the European Parliament and of the Council on credit agreements relating to residential property (Mortgage Credit Directive- MCD) [First reading]- Approval of the final compromise texts</w:t>
        </w:r>
        <w:r>
          <w:rPr>
            <w:noProof/>
            <w:webHidden/>
          </w:rPr>
          <w:tab/>
        </w:r>
        <w:r>
          <w:rPr>
            <w:noProof/>
            <w:webHidden/>
          </w:rPr>
          <w:fldChar w:fldCharType="begin"/>
        </w:r>
        <w:r>
          <w:rPr>
            <w:noProof/>
            <w:webHidden/>
          </w:rPr>
          <w:instrText xml:space="preserve"> PAGEREF _Toc373409386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7" w:history="1">
        <w:r w:rsidRPr="00E04A84">
          <w:rPr>
            <w:rStyle w:val="Hyperlink"/>
            <w:noProof/>
            <w:lang w:val="en-US"/>
          </w:rPr>
          <w:t>41. Proposal for a Regulation of the European Parliament and of the Council establishing an action programme for taxation in the European Union for the period 2014-2020 (Fiscalis 2020) and repealing Decision No 1482/2007/EC [First reading] (LA + S) = Adoption of the legislative act</w:t>
        </w:r>
        <w:r>
          <w:rPr>
            <w:noProof/>
            <w:webHidden/>
          </w:rPr>
          <w:tab/>
        </w:r>
        <w:r>
          <w:rPr>
            <w:noProof/>
            <w:webHidden/>
          </w:rPr>
          <w:fldChar w:fldCharType="begin"/>
        </w:r>
        <w:r>
          <w:rPr>
            <w:noProof/>
            <w:webHidden/>
          </w:rPr>
          <w:instrText xml:space="preserve"> PAGEREF _Toc373409387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8" w:history="1">
        <w:r w:rsidRPr="00E04A84">
          <w:rPr>
            <w:rStyle w:val="Hyperlink"/>
            <w:noProof/>
            <w:lang w:val="en-US"/>
          </w:rPr>
          <w:t>42. Proposal for a Regulation of the European Parliament and of the Council amending Council Regulation (EC) No 539/2001 listing the third countries whose nationals must be in possession of visas when crossing the external borders and those whose nationals are exempt from that requirement [First reading] (LA + S) = Adoption of the legislative act</w:t>
        </w:r>
        <w:r>
          <w:rPr>
            <w:noProof/>
            <w:webHidden/>
          </w:rPr>
          <w:tab/>
        </w:r>
        <w:r>
          <w:rPr>
            <w:noProof/>
            <w:webHidden/>
          </w:rPr>
          <w:fldChar w:fldCharType="begin"/>
        </w:r>
        <w:r>
          <w:rPr>
            <w:noProof/>
            <w:webHidden/>
          </w:rPr>
          <w:instrText xml:space="preserve"> PAGEREF _Toc373409388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89" w:history="1">
        <w:r w:rsidRPr="00E04A84">
          <w:rPr>
            <w:rStyle w:val="Hyperlink"/>
            <w:noProof/>
            <w:lang w:val="en-US"/>
          </w:rPr>
          <w:t>43. Proposal for a Regulation of the European Parliament and of the Council amending Council Regulation (EC) No 1083/2006 as regards certain provisions relating to financial management for certain Member States experiencing or threatened with serious difficulties with respect to their financial stability and to the decommitment rules for certain Member States [First reading] (LA) = Adoption of the legislative act</w:t>
        </w:r>
        <w:r>
          <w:rPr>
            <w:noProof/>
            <w:webHidden/>
          </w:rPr>
          <w:tab/>
        </w:r>
        <w:r>
          <w:rPr>
            <w:noProof/>
            <w:webHidden/>
          </w:rPr>
          <w:fldChar w:fldCharType="begin"/>
        </w:r>
        <w:r>
          <w:rPr>
            <w:noProof/>
            <w:webHidden/>
          </w:rPr>
          <w:instrText xml:space="preserve"> PAGEREF _Toc373409389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0" w:history="1">
        <w:r w:rsidRPr="00E04A84">
          <w:rPr>
            <w:rStyle w:val="Hyperlink"/>
            <w:noProof/>
            <w:lang w:val="en-US"/>
          </w:rPr>
          <w:t>44. Proposal for a Regulation of the European Parliament and of the Council amending Council Regulation (EC) No 1083/2006 as regards the financial allocation for certain Member States from the European Social Fund [First reading] (LA) = Adoption of the legislative act</w:t>
        </w:r>
        <w:r>
          <w:rPr>
            <w:noProof/>
            <w:webHidden/>
          </w:rPr>
          <w:tab/>
        </w:r>
        <w:r>
          <w:rPr>
            <w:noProof/>
            <w:webHidden/>
          </w:rPr>
          <w:fldChar w:fldCharType="begin"/>
        </w:r>
        <w:r>
          <w:rPr>
            <w:noProof/>
            <w:webHidden/>
          </w:rPr>
          <w:instrText xml:space="preserve"> PAGEREF _Toc373409390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1" w:history="1">
        <w:r w:rsidRPr="00E04A84">
          <w:rPr>
            <w:rStyle w:val="Hyperlink"/>
            <w:noProof/>
            <w:lang w:val="en-US"/>
          </w:rPr>
          <w:t>45. Joint Declaration on the Mobility Partnership between Tunisia and the European Union and its Member States</w:t>
        </w:r>
        <w:r>
          <w:rPr>
            <w:noProof/>
            <w:webHidden/>
          </w:rPr>
          <w:tab/>
        </w:r>
        <w:r>
          <w:rPr>
            <w:noProof/>
            <w:webHidden/>
          </w:rPr>
          <w:fldChar w:fldCharType="begin"/>
        </w:r>
        <w:r>
          <w:rPr>
            <w:noProof/>
            <w:webHidden/>
          </w:rPr>
          <w:instrText xml:space="preserve"> PAGEREF _Toc373409391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2" w:history="1">
        <w:r w:rsidRPr="00E04A84">
          <w:rPr>
            <w:rStyle w:val="Hyperlink"/>
            <w:noProof/>
            <w:lang w:val="en-US"/>
          </w:rPr>
          <w:t>46. Joint Declaration on a Mobility Partnership between the Republic of Azerbaijan and the European Union and its Member States</w:t>
        </w:r>
        <w:r>
          <w:rPr>
            <w:noProof/>
            <w:webHidden/>
          </w:rPr>
          <w:tab/>
        </w:r>
        <w:r>
          <w:rPr>
            <w:noProof/>
            <w:webHidden/>
          </w:rPr>
          <w:fldChar w:fldCharType="begin"/>
        </w:r>
        <w:r>
          <w:rPr>
            <w:noProof/>
            <w:webHidden/>
          </w:rPr>
          <w:instrText xml:space="preserve"> PAGEREF _Toc373409392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3" w:history="1">
        <w:r w:rsidRPr="00E04A84">
          <w:rPr>
            <w:rStyle w:val="Hyperlink"/>
            <w:noProof/>
            <w:lang w:val="en-US"/>
          </w:rPr>
          <w:t>47. Council Decision on the signing, on behalf of the European Union, of the Agreement between Canada and the European Union on the transfer and processing of Passenger Name Record data- Adoption = Council Decision on the conclusion, on behalf of the European Union, of the Agreement between Canada and the European Union on the transfer and processing of Passenger Name Record data- Request by the Council for the consent of the European Parliament</w:t>
        </w:r>
        <w:r>
          <w:rPr>
            <w:noProof/>
            <w:webHidden/>
          </w:rPr>
          <w:tab/>
        </w:r>
        <w:r>
          <w:rPr>
            <w:noProof/>
            <w:webHidden/>
          </w:rPr>
          <w:fldChar w:fldCharType="begin"/>
        </w:r>
        <w:r>
          <w:rPr>
            <w:noProof/>
            <w:webHidden/>
          </w:rPr>
          <w:instrText xml:space="preserve"> PAGEREF _Toc373409393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4" w:history="1">
        <w:r w:rsidRPr="00E04A84">
          <w:rPr>
            <w:rStyle w:val="Hyperlink"/>
            <w:noProof/>
            <w:lang w:val="en-US"/>
          </w:rPr>
          <w:t>48. Adoption of a Council Decision authorising the Commission to open negotiations on the conclusion of an agreement between the European Union and the Kingdom of Morocco on the facilitation of the issuance of short-stay visas</w:t>
        </w:r>
        <w:r>
          <w:rPr>
            <w:noProof/>
            <w:webHidden/>
          </w:rPr>
          <w:tab/>
        </w:r>
        <w:r>
          <w:rPr>
            <w:noProof/>
            <w:webHidden/>
          </w:rPr>
          <w:fldChar w:fldCharType="begin"/>
        </w:r>
        <w:r>
          <w:rPr>
            <w:noProof/>
            <w:webHidden/>
          </w:rPr>
          <w:instrText xml:space="preserve"> PAGEREF _Toc373409394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5" w:history="1">
        <w:r w:rsidRPr="00E04A84">
          <w:rPr>
            <w:rStyle w:val="Hyperlink"/>
            <w:noProof/>
            <w:lang w:val="en-US"/>
          </w:rPr>
          <w:t>49. Draft declaration updating the EU-Western Balkans commitment to fight against drugs</w:t>
        </w:r>
        <w:r>
          <w:rPr>
            <w:noProof/>
            <w:webHidden/>
          </w:rPr>
          <w:tab/>
        </w:r>
        <w:r>
          <w:rPr>
            <w:noProof/>
            <w:webHidden/>
          </w:rPr>
          <w:fldChar w:fldCharType="begin"/>
        </w:r>
        <w:r>
          <w:rPr>
            <w:noProof/>
            <w:webHidden/>
          </w:rPr>
          <w:instrText xml:space="preserve"> PAGEREF _Toc373409395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6" w:history="1">
        <w:r w:rsidRPr="00E04A84">
          <w:rPr>
            <w:rStyle w:val="Hyperlink"/>
            <w:noProof/>
            <w:lang w:val="en-US"/>
          </w:rPr>
          <w:t>50. Draft Agreement on Operational and Strategic Co-operation between the Republic of Serbia and the European Police Office</w:t>
        </w:r>
        <w:r>
          <w:rPr>
            <w:noProof/>
            <w:webHidden/>
          </w:rPr>
          <w:tab/>
        </w:r>
        <w:r>
          <w:rPr>
            <w:noProof/>
            <w:webHidden/>
          </w:rPr>
          <w:fldChar w:fldCharType="begin"/>
        </w:r>
        <w:r>
          <w:rPr>
            <w:noProof/>
            <w:webHidden/>
          </w:rPr>
          <w:instrText xml:space="preserve"> PAGEREF _Toc373409396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7" w:history="1">
        <w:r w:rsidRPr="00E04A84">
          <w:rPr>
            <w:rStyle w:val="Hyperlink"/>
            <w:noProof/>
            <w:lang w:val="en-US"/>
          </w:rPr>
          <w:t>51. Draft Agreement on Operational and Strategic Co-operation between the Republic of Albania and the European Police Office</w:t>
        </w:r>
        <w:r>
          <w:rPr>
            <w:noProof/>
            <w:webHidden/>
          </w:rPr>
          <w:tab/>
        </w:r>
        <w:r>
          <w:rPr>
            <w:noProof/>
            <w:webHidden/>
          </w:rPr>
          <w:fldChar w:fldCharType="begin"/>
        </w:r>
        <w:r>
          <w:rPr>
            <w:noProof/>
            <w:webHidden/>
          </w:rPr>
          <w:instrText xml:space="preserve"> PAGEREF _Toc373409397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8" w:history="1">
        <w:r w:rsidRPr="00E04A84">
          <w:rPr>
            <w:rStyle w:val="Hyperlink"/>
            <w:noProof/>
            <w:lang w:val="en-US"/>
          </w:rPr>
          <w:t>52. Draft Council Conclusions adopting the 2014-2016 EU work programme on minimising risks to safety, security and public order in connection with sports events, in particular football matches, with an international dimension</w:t>
        </w:r>
        <w:r>
          <w:rPr>
            <w:noProof/>
            <w:webHidden/>
          </w:rPr>
          <w:tab/>
        </w:r>
        <w:r>
          <w:rPr>
            <w:noProof/>
            <w:webHidden/>
          </w:rPr>
          <w:fldChar w:fldCharType="begin"/>
        </w:r>
        <w:r>
          <w:rPr>
            <w:noProof/>
            <w:webHidden/>
          </w:rPr>
          <w:instrText xml:space="preserve"> PAGEREF _Toc373409398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399" w:history="1">
        <w:r w:rsidRPr="00E04A84">
          <w:rPr>
            <w:rStyle w:val="Hyperlink"/>
            <w:noProof/>
            <w:lang w:val="en-US"/>
          </w:rPr>
          <w:t>53. Initiative of Belgium, Bulgaria, the Czech Republic, Germany, Estonia, Greece, Spain, France, Croatia, Italy, Cyprus, Latvia, Lithuania, Luxembourg, Hungary, Malta, the Netherlands, Austria, Poland, Portugal, Romania, Slovenia, Slovakia, Finland and Sweden for a Regulation of the European Parliament and of the Council amending Decision 2005/681/JHA establishing the European Police College (CEPOL)</w:t>
        </w:r>
        <w:r>
          <w:rPr>
            <w:noProof/>
            <w:webHidden/>
          </w:rPr>
          <w:tab/>
        </w:r>
        <w:r>
          <w:rPr>
            <w:noProof/>
            <w:webHidden/>
          </w:rPr>
          <w:fldChar w:fldCharType="begin"/>
        </w:r>
        <w:r>
          <w:rPr>
            <w:noProof/>
            <w:webHidden/>
          </w:rPr>
          <w:instrText xml:space="preserve"> PAGEREF _Toc373409399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0" w:history="1">
        <w:r w:rsidRPr="00E04A84">
          <w:rPr>
            <w:rStyle w:val="Hyperlink"/>
            <w:noProof/>
            <w:lang w:val="en-US"/>
          </w:rPr>
          <w:t>54. Draft Council Conclusions on stepping up the fight against cigarette smuggling and other forms of illicit trade in tobacco products in the EU</w:t>
        </w:r>
        <w:r>
          <w:rPr>
            <w:noProof/>
            <w:webHidden/>
          </w:rPr>
          <w:tab/>
        </w:r>
        <w:r>
          <w:rPr>
            <w:noProof/>
            <w:webHidden/>
          </w:rPr>
          <w:fldChar w:fldCharType="begin"/>
        </w:r>
        <w:r>
          <w:rPr>
            <w:noProof/>
            <w:webHidden/>
          </w:rPr>
          <w:instrText xml:space="preserve"> PAGEREF _Toc373409400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1" w:history="1">
        <w:r w:rsidRPr="00E04A84">
          <w:rPr>
            <w:rStyle w:val="Hyperlink"/>
            <w:noProof/>
            <w:lang w:val="en-US"/>
          </w:rPr>
          <w:t>55. Proposal for a Council Directive laying down basic safety standards for protection against the dangers arising from exposure to ionising radiation = Adoption</w:t>
        </w:r>
        <w:r>
          <w:rPr>
            <w:noProof/>
            <w:webHidden/>
          </w:rPr>
          <w:tab/>
        </w:r>
        <w:r>
          <w:rPr>
            <w:noProof/>
            <w:webHidden/>
          </w:rPr>
          <w:fldChar w:fldCharType="begin"/>
        </w:r>
        <w:r>
          <w:rPr>
            <w:noProof/>
            <w:webHidden/>
          </w:rPr>
          <w:instrText xml:space="preserve"> PAGEREF _Toc373409401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2" w:history="1">
        <w:r w:rsidRPr="00E04A84">
          <w:rPr>
            <w:rStyle w:val="Hyperlink"/>
            <w:noProof/>
            <w:lang w:val="en-US"/>
          </w:rPr>
          <w:t>56. Enlargement = Accession negotiations with Montenegro- Outcome of screening on Chapter 32: Financial control</w:t>
        </w:r>
        <w:r>
          <w:rPr>
            <w:noProof/>
            <w:webHidden/>
          </w:rPr>
          <w:tab/>
        </w:r>
        <w:r>
          <w:rPr>
            <w:noProof/>
            <w:webHidden/>
          </w:rPr>
          <w:fldChar w:fldCharType="begin"/>
        </w:r>
        <w:r>
          <w:rPr>
            <w:noProof/>
            <w:webHidden/>
          </w:rPr>
          <w:instrText xml:space="preserve"> PAGEREF _Toc373409402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3" w:history="1">
        <w:r w:rsidRPr="00E04A84">
          <w:rPr>
            <w:rStyle w:val="Hyperlink"/>
            <w:noProof/>
            <w:lang w:val="en-US"/>
          </w:rPr>
          <w:t>57. Anti-dumping = Proposal for a Council Implementing Regulation imposing a definitive anti-dumping duty and collecting definitively the provisional duty imposed on imports of crystalline silicon photovoltaic modules and key components (i.e. cells) originating in or consigned from the People's Republic of China</w:t>
        </w:r>
        <w:r>
          <w:rPr>
            <w:noProof/>
            <w:webHidden/>
          </w:rPr>
          <w:tab/>
        </w:r>
        <w:r>
          <w:rPr>
            <w:noProof/>
            <w:webHidden/>
          </w:rPr>
          <w:fldChar w:fldCharType="begin"/>
        </w:r>
        <w:r>
          <w:rPr>
            <w:noProof/>
            <w:webHidden/>
          </w:rPr>
          <w:instrText xml:space="preserve"> PAGEREF _Toc373409403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4" w:history="1">
        <w:r w:rsidRPr="00E04A84">
          <w:rPr>
            <w:rStyle w:val="Hyperlink"/>
            <w:noProof/>
            <w:lang w:val="en-US"/>
          </w:rPr>
          <w:t>58. Anti-subsidies = Proposal for a Council Implementing Regulation imposing a definitive countervailing duty on imports of crystalline silicon photovoltaic modules and key components (i.e. cells) originating in or consigned from the People's Republic of China</w:t>
        </w:r>
        <w:r>
          <w:rPr>
            <w:noProof/>
            <w:webHidden/>
          </w:rPr>
          <w:tab/>
        </w:r>
        <w:r>
          <w:rPr>
            <w:noProof/>
            <w:webHidden/>
          </w:rPr>
          <w:fldChar w:fldCharType="begin"/>
        </w:r>
        <w:r>
          <w:rPr>
            <w:noProof/>
            <w:webHidden/>
          </w:rPr>
          <w:instrText xml:space="preserve"> PAGEREF _Toc373409404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5" w:history="1">
        <w:r w:rsidRPr="00E04A84">
          <w:rPr>
            <w:rStyle w:val="Hyperlink"/>
            <w:noProof/>
            <w:lang w:val="en-US"/>
          </w:rPr>
          <w:t>59. Proposal for a Council Decision on the conclusion of the Protocol Amending the Agreement on Government Procurement</w:t>
        </w:r>
        <w:r>
          <w:rPr>
            <w:noProof/>
            <w:webHidden/>
          </w:rPr>
          <w:tab/>
        </w:r>
        <w:r>
          <w:rPr>
            <w:noProof/>
            <w:webHidden/>
          </w:rPr>
          <w:fldChar w:fldCharType="begin"/>
        </w:r>
        <w:r>
          <w:rPr>
            <w:noProof/>
            <w:webHidden/>
          </w:rPr>
          <w:instrText xml:space="preserve"> PAGEREF _Toc373409405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6" w:history="1">
        <w:r w:rsidRPr="00E04A84">
          <w:rPr>
            <w:rStyle w:val="Hyperlink"/>
            <w:noProof/>
            <w:lang w:val="en-US"/>
          </w:rPr>
          <w:t>60. Proposal for a Council Decision establishing the position to be taken by the European Union within the Committee on Government Procurement with respect to decisions implementing certain provisions of the Protocol Amending the Agreement on Government Procurement</w:t>
        </w:r>
        <w:r>
          <w:rPr>
            <w:noProof/>
            <w:webHidden/>
          </w:rPr>
          <w:tab/>
        </w:r>
        <w:r>
          <w:rPr>
            <w:noProof/>
            <w:webHidden/>
          </w:rPr>
          <w:fldChar w:fldCharType="begin"/>
        </w:r>
        <w:r>
          <w:rPr>
            <w:noProof/>
            <w:webHidden/>
          </w:rPr>
          <w:instrText xml:space="preserve"> PAGEREF _Toc373409406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7" w:history="1">
        <w:r w:rsidRPr="00E04A84">
          <w:rPr>
            <w:rStyle w:val="Hyperlink"/>
            <w:noProof/>
            <w:lang w:val="en-US"/>
          </w:rPr>
          <w:t>61. Proposal for a Council Decision establishing the position to be taken by the European Union within the Ministerial Conference of the World Trade Organization as regards an extension of the moratorium on customs duties on electronic transmissions and the moratorium on non-violation and situation complaints</w:t>
        </w:r>
        <w:r>
          <w:rPr>
            <w:noProof/>
            <w:webHidden/>
          </w:rPr>
          <w:tab/>
        </w:r>
        <w:r>
          <w:rPr>
            <w:noProof/>
            <w:webHidden/>
          </w:rPr>
          <w:fldChar w:fldCharType="begin"/>
        </w:r>
        <w:r>
          <w:rPr>
            <w:noProof/>
            <w:webHidden/>
          </w:rPr>
          <w:instrText xml:space="preserve"> PAGEREF _Toc373409407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08" w:history="1">
        <w:r w:rsidRPr="00E04A84">
          <w:rPr>
            <w:rStyle w:val="Hyperlink"/>
            <w:noProof/>
            <w:lang w:val="en-US"/>
          </w:rPr>
          <w:t>62. Council Decision in support of SEESAC disarmament and arms control activities in South East Europe in the framework of the EU Strategy to Combat the Illicit Accumulation and Trafficking of SALW and their Ammunition</w:t>
        </w:r>
        <w:r>
          <w:rPr>
            <w:noProof/>
            <w:webHidden/>
          </w:rPr>
          <w:tab/>
        </w:r>
        <w:r>
          <w:rPr>
            <w:noProof/>
            <w:webHidden/>
          </w:rPr>
          <w:fldChar w:fldCharType="begin"/>
        </w:r>
        <w:r>
          <w:rPr>
            <w:noProof/>
            <w:webHidden/>
          </w:rPr>
          <w:instrText xml:space="preserve"> PAGEREF _Toc373409408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1"/>
        <w:tabs>
          <w:tab w:val="right" w:leader="dot" w:pos="7644"/>
        </w:tabs>
        <w:rPr>
          <w:rFonts w:ascii="Calibri" w:hAnsi="Calibri"/>
          <w:b w:val="0"/>
          <w:bCs w:val="0"/>
          <w:caps w:val="0"/>
          <w:noProof/>
          <w:sz w:val="22"/>
          <w:szCs w:val="22"/>
          <w:lang w:eastAsia="sv-SE"/>
        </w:rPr>
      </w:pPr>
      <w:hyperlink w:anchor="_Toc373409409" w:history="1">
        <w:r w:rsidRPr="00E04A84">
          <w:rPr>
            <w:rStyle w:val="Hyperlink"/>
            <w:noProof/>
          </w:rPr>
          <w:t>Troliga A-punkter inför kommande rådsmöten som godkändes vid Särskilda jordbrukskommittén 2013-10-28</w:t>
        </w:r>
        <w:r>
          <w:rPr>
            <w:noProof/>
            <w:webHidden/>
          </w:rPr>
          <w:tab/>
        </w:r>
        <w:r>
          <w:rPr>
            <w:noProof/>
            <w:webHidden/>
          </w:rPr>
          <w:fldChar w:fldCharType="begin"/>
        </w:r>
        <w:r>
          <w:rPr>
            <w:noProof/>
            <w:webHidden/>
          </w:rPr>
          <w:instrText xml:space="preserve"> PAGEREF _Toc373409409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10" w:history="1">
        <w:r w:rsidRPr="00E04A84">
          <w:rPr>
            <w:rStyle w:val="Hyperlink"/>
            <w:noProof/>
          </w:rPr>
          <w:t>63. Förslag till förordning om import av olivolja och andra jordbruksprodukter från Turkiet</w:t>
        </w:r>
        <w:r>
          <w:rPr>
            <w:noProof/>
            <w:webHidden/>
          </w:rPr>
          <w:tab/>
        </w:r>
        <w:r>
          <w:rPr>
            <w:noProof/>
            <w:webHidden/>
          </w:rPr>
          <w:fldChar w:fldCharType="begin"/>
        </w:r>
        <w:r>
          <w:rPr>
            <w:noProof/>
            <w:webHidden/>
          </w:rPr>
          <w:instrText xml:space="preserve"> PAGEREF _Toc373409410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TOC2"/>
        <w:tabs>
          <w:tab w:val="right" w:leader="dot" w:pos="7644"/>
        </w:tabs>
        <w:rPr>
          <w:rFonts w:ascii="Calibri" w:hAnsi="Calibri"/>
          <w:b w:val="0"/>
          <w:bCs w:val="0"/>
          <w:noProof/>
          <w:sz w:val="22"/>
          <w:szCs w:val="22"/>
          <w:lang w:eastAsia="sv-SE"/>
        </w:rPr>
      </w:pPr>
      <w:hyperlink w:anchor="_Toc373409411" w:history="1">
        <w:r w:rsidRPr="00E04A84">
          <w:rPr>
            <w:rStyle w:val="Hyperlink"/>
            <w:noProof/>
          </w:rPr>
          <w:t>64. Förslag till förordning om importkvoter av jordbruksprodukter</w:t>
        </w:r>
        <w:r>
          <w:rPr>
            <w:noProof/>
            <w:webHidden/>
          </w:rPr>
          <w:tab/>
        </w:r>
        <w:r>
          <w:rPr>
            <w:noProof/>
            <w:webHidden/>
          </w:rPr>
          <w:fldChar w:fldCharType="begin"/>
        </w:r>
        <w:r>
          <w:rPr>
            <w:noProof/>
            <w:webHidden/>
          </w:rPr>
          <w:instrText xml:space="preserve"> PAGEREF _Toc373409411 \h </w:instrText>
        </w:r>
        <w:r>
          <w:rPr>
            <w:noProof/>
          </w:rPr>
        </w:r>
        <w:r>
          <w:rPr>
            <w:noProof/>
            <w:webHidden/>
          </w:rPr>
          <w:fldChar w:fldCharType="separate"/>
        </w:r>
        <w:r>
          <w:rPr>
            <w:noProof/>
            <w:webHidden/>
          </w:rPr>
          <w:t>4</w:t>
        </w:r>
        <w:r>
          <w:rPr>
            <w:noProof/>
            <w:webHidden/>
          </w:rPr>
          <w:fldChar w:fldCharType="end"/>
        </w:r>
      </w:hyperlink>
    </w:p>
    <w:p w:rsidR="00CF6028" w:rsidRDefault="00CF6028">
      <w:pPr>
        <w:pStyle w:val="RKnormal"/>
        <w:ind w:left="0"/>
        <w:rPr>
          <w:b/>
          <w:bCs/>
        </w:rPr>
      </w:pPr>
      <w:r>
        <w:rPr>
          <w:b/>
          <w:bCs/>
        </w:rPr>
        <w:fldChar w:fldCharType="end"/>
      </w:r>
    </w:p>
    <w:p w:rsidR="00CF6028" w:rsidRDefault="00CF6028">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3409344"/>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F6028" w:rsidRPr="000D1693" w:rsidRDefault="00CF6028">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0D1693">
        <w:t xml:space="preserve">Vissa A-punkter föranleder inga annoteringar. </w:t>
      </w:r>
    </w:p>
    <w:p w:rsidR="00CF6028" w:rsidRPr="000D1693" w:rsidRDefault="00CF6028">
      <w:pPr>
        <w:pStyle w:val="Heading1"/>
        <w:spacing w:before="0" w:after="0"/>
      </w:pPr>
      <w:bookmarkStart w:id="55" w:name="Punkt"/>
      <w:bookmarkEnd w:id="55"/>
    </w:p>
    <w:p w:rsidR="00CF6028" w:rsidRDefault="00CF6028" w:rsidP="009F56F7">
      <w:pPr>
        <w:pStyle w:val="Heading1"/>
      </w:pPr>
      <w:bookmarkStart w:id="56" w:name="_Toc373409345"/>
      <w:r>
        <w:t>Troliga A-punkter inför kommande rådsmöten som godkändes vid Coreper I 2013-11-27</w:t>
      </w:r>
      <w:bookmarkEnd w:id="56"/>
    </w:p>
    <w:p w:rsidR="00CF6028" w:rsidRDefault="00CF6028" w:rsidP="00510ECA">
      <w:pPr>
        <w:pStyle w:val="Heading2"/>
        <w:rPr>
          <w:lang w:val="en-US"/>
        </w:rPr>
      </w:pPr>
      <w:bookmarkStart w:id="57" w:name="_Toc373409346"/>
      <w:r w:rsidRPr="00510ECA">
        <w:rPr>
          <w:lang w:val="en-US"/>
        </w:rPr>
        <w:t>1. Replies to written questions put to the Council by Members of the European Parliament</w:t>
      </w:r>
      <w:bookmarkEnd w:id="57"/>
    </w:p>
    <w:p w:rsidR="00CF6028" w:rsidRPr="00510ECA" w:rsidRDefault="00CF6028" w:rsidP="009F56F7">
      <w:pPr>
        <w:rPr>
          <w:lang w:val="en-US"/>
        </w:rPr>
      </w:pPr>
      <w:r w:rsidRPr="00510ECA">
        <w:rPr>
          <w:lang w:val="en-US"/>
        </w:rPr>
        <w:t xml:space="preserve">a) E-010768/2013 - Antigoni Papadopoulou (S&amp;D) Economic situation in Cyprus and ways of addressing itb) E-011386/2013 - Antigoni Papadopoulou (S&amp;D) Concerning question E-006740/13 </w:t>
      </w:r>
    </w:p>
    <w:p w:rsidR="00CF6028" w:rsidRDefault="00CF6028">
      <w:pPr>
        <w:pStyle w:val="RKnormal"/>
        <w:tabs>
          <w:tab w:val="clear" w:pos="1843"/>
          <w:tab w:val="left" w:pos="0"/>
        </w:tabs>
        <w:ind w:left="0"/>
        <w:rPr>
          <w:lang w:val="en-US"/>
        </w:rPr>
      </w:pPr>
    </w:p>
    <w:p w:rsidR="00CF6028" w:rsidRPr="00510ECA" w:rsidRDefault="00CF6028" w:rsidP="00510ECA">
      <w:r>
        <w:t xml:space="preserve">15657/13, </w:t>
      </w:r>
      <w:r w:rsidRPr="00510ECA">
        <w:t>15664/13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Statsrådsberedningen</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Birgitta Ohlsson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Pr="00510ECA" w:rsidRDefault="00CF6028" w:rsidP="009F56F7">
      <w:pPr>
        <w:rPr>
          <w:lang w:val="en-US"/>
        </w:rPr>
      </w:pPr>
      <w:r w:rsidRPr="00510ECA">
        <w:rPr>
          <w:lang w:val="en-US"/>
        </w:rPr>
        <w:t xml:space="preserve">Föranleder ingen annotering. </w:t>
      </w:r>
    </w:p>
    <w:p w:rsidR="00CF6028" w:rsidRPr="00510ECA" w:rsidRDefault="00CF6028" w:rsidP="00510ECA">
      <w:pPr>
        <w:pStyle w:val="Heading2"/>
        <w:rPr>
          <w:lang w:val="en-US"/>
        </w:rPr>
      </w:pPr>
      <w:bookmarkStart w:id="58" w:name="_Toc373409347"/>
      <w:r w:rsidRPr="00510ECA">
        <w:rPr>
          <w:lang w:val="en-US"/>
        </w:rPr>
        <w:t>2. Advisory Committee on Safety and Health at Work Appointment of the members and alternate members for Croatia, Hungary, Portugal and United Kingdom= Adoption</w:t>
      </w:r>
      <w:bookmarkEnd w:id="58"/>
    </w:p>
    <w:p w:rsidR="00CF6028" w:rsidRPr="00510ECA" w:rsidRDefault="00CF6028" w:rsidP="00510ECA">
      <w:r w:rsidRPr="00510ECA">
        <w:t>15606/13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Arbetsmarknadsdepartementet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Elisabeth Svantesson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Pr="00510ECA" w:rsidRDefault="00CF6028" w:rsidP="009F56F7">
      <w:pPr>
        <w:rPr>
          <w:lang w:val="en-US"/>
        </w:rPr>
      </w:pPr>
      <w:r w:rsidRPr="00510ECA">
        <w:rPr>
          <w:lang w:val="en-US"/>
        </w:rPr>
        <w:t>Föranleder ingen annotering</w:t>
      </w:r>
      <w:r>
        <w:rPr>
          <w:lang w:val="en-US"/>
        </w:rPr>
        <w:t>.</w:t>
      </w:r>
    </w:p>
    <w:p w:rsidR="00CF6028" w:rsidRPr="00510ECA" w:rsidRDefault="00CF6028" w:rsidP="00510ECA">
      <w:pPr>
        <w:pStyle w:val="Heading2"/>
        <w:rPr>
          <w:lang w:val="en-US"/>
        </w:rPr>
      </w:pPr>
      <w:bookmarkStart w:id="59" w:name="_Toc373409348"/>
      <w:r w:rsidRPr="00510ECA">
        <w:rPr>
          <w:lang w:val="en-US"/>
        </w:rPr>
        <w:t>3. Governing Board of the European Agency for Safety and Health at Work Appointment of the members and alternate members= Adoption</w:t>
      </w:r>
      <w:bookmarkEnd w:id="59"/>
    </w:p>
    <w:p w:rsidR="00CF6028" w:rsidRPr="00510ECA" w:rsidRDefault="00CF6028" w:rsidP="00510ECA">
      <w:r w:rsidRPr="00510ECA">
        <w:t>15780/1/13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Arbetsmarknadsdepartementet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Elisabeth Svantesson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Rådet föreslås anta beslut om utnämning av ledamöter och suppleanter i styrelsen för Europeiska arbetsmiljöbyrån. </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beslut om utnämning av ledamöter och suppleanter i styrelsen för Europeiska arbetsmiljöbyrån.</w:t>
      </w:r>
    </w:p>
    <w:p w:rsidR="00CF6028" w:rsidRDefault="00CF6028" w:rsidP="00510ECA"/>
    <w:p w:rsidR="00CF6028" w:rsidRDefault="00CF6028" w:rsidP="00510ECA">
      <w:r>
        <w:t xml:space="preserve">Bakgrund: </w:t>
      </w:r>
    </w:p>
    <w:p w:rsidR="00CF6028" w:rsidRDefault="00CF6028" w:rsidP="00510ECA">
      <w:r>
        <w:t xml:space="preserve">Europeiska arbetsmiljöbyrån i Bilbao samarbetar med regeringar, arbetsgivare och arbetstagare för att främja en riskförebyggande kultur. De analyserar nya vetenskapliga undersökningar och statistik över arbetsplatsrisker och sprider information, god praxis och råd till olika målgrupper, bland annat till arbetsmarknadens parter. Styrelsen består av företrädare för regeringar, arbetsgivare och arbetstagare i de olika EU-medlemsstaterna, företrädare för Europeiska kommissionen samt observatörer. </w:t>
      </w:r>
    </w:p>
    <w:p w:rsidR="00CF6028" w:rsidRDefault="00CF6028" w:rsidP="00510ECA"/>
    <w:p w:rsidR="00CF6028" w:rsidRDefault="00CF6028" w:rsidP="00510ECA">
      <w:r>
        <w:t xml:space="preserve">Sverige nominerar Mikael Sjöberg som ledamot och Per Ewaldsson som suppleant. </w:t>
      </w:r>
    </w:p>
    <w:p w:rsidR="00CF6028" w:rsidRDefault="00CF6028" w:rsidP="00510ECA"/>
    <w:p w:rsidR="00CF6028" w:rsidRPr="00510ECA" w:rsidRDefault="00CF6028" w:rsidP="009F56F7">
      <w:r>
        <w:t>Från arbetstagarsidan nomineras Christina Järnstedt (LO) som ledamot. Från arbetsgivarsidan nomineras Bodil Mellblom (Svenskt Näringsliv) som ledamot och Cecilia Andersson (Industriarbetsgivarna) som suppleant.</w:t>
      </w:r>
    </w:p>
    <w:p w:rsidR="00CF6028" w:rsidRDefault="00CF6028">
      <w:pPr>
        <w:spacing w:line="240" w:lineRule="auto"/>
        <w:rPr>
          <w:rFonts w:ascii="Arial" w:hAnsi="Arial" w:cs="Arial"/>
          <w:b/>
          <w:i/>
          <w:iCs/>
          <w:kern w:val="28"/>
        </w:rPr>
      </w:pPr>
      <w:r>
        <w:br w:type="page"/>
      </w:r>
    </w:p>
    <w:p w:rsidR="00CF6028" w:rsidRPr="00510ECA" w:rsidRDefault="00CF6028" w:rsidP="00510ECA">
      <w:pPr>
        <w:pStyle w:val="Heading2"/>
        <w:rPr>
          <w:lang w:val="en-US"/>
        </w:rPr>
      </w:pPr>
      <w:bookmarkStart w:id="60" w:name="_Toc373409349"/>
      <w:r w:rsidRPr="00510ECA">
        <w:rPr>
          <w:lang w:val="en-US"/>
        </w:rPr>
        <w:t>4. European Foundation for the Improvement of Living and Working Conditions Appointment of the members and alternate members of the Governing Board= Adoption</w:t>
      </w:r>
      <w:bookmarkEnd w:id="60"/>
    </w:p>
    <w:p w:rsidR="00CF6028" w:rsidRPr="00510ECA" w:rsidRDefault="00CF6028" w:rsidP="00510ECA">
      <w:r w:rsidRPr="00510ECA">
        <w:t>15778/13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Arbetsmarknadsdepartementet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Elisabeth Svantesson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Rådet föreslås anta de föreslagna ledamöterna och suppleanterna. </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w:t>
      </w:r>
    </w:p>
    <w:p w:rsidR="00CF6028" w:rsidRDefault="00CF6028" w:rsidP="00510ECA"/>
    <w:p w:rsidR="00CF6028" w:rsidRDefault="00CF6028" w:rsidP="00510ECA">
      <w:r>
        <w:t xml:space="preserve">Bakgrund: </w:t>
      </w:r>
    </w:p>
    <w:p w:rsidR="00CF6028" w:rsidRDefault="00CF6028" w:rsidP="00510ECA">
      <w:r>
        <w:t>Europeiska fonden för förbättring av levnads- och arbetsvillkor (Eurofound) är en s.k. trepartsmyndighet. Dess styrelse består av tre ledamöter från varje medlemsstat. En som företräder regeringen, en som företräder arbetstagarorganisationerna samt en som företräder arbetsgivarorganisationerna. Varje ledamot har en suppleant.</w:t>
      </w:r>
    </w:p>
    <w:p w:rsidR="00CF6028" w:rsidRDefault="00CF6028" w:rsidP="00510ECA"/>
    <w:p w:rsidR="00CF6028" w:rsidRDefault="00CF6028" w:rsidP="00510ECA">
      <w:r>
        <w:t>Som företrädare för regeringen har som ledamot utsetts Hannes Kantelius vid Arbetsmarknadsdepartementet och som suppleant Håkan Nyman vid Socialdepartementet.</w:t>
      </w:r>
    </w:p>
    <w:p w:rsidR="00CF6028" w:rsidRDefault="00CF6028" w:rsidP="00510ECA"/>
    <w:p w:rsidR="00CF6028" w:rsidRPr="00510ECA" w:rsidRDefault="00CF6028" w:rsidP="009F56F7">
      <w:r>
        <w:t>Som företrädare för arbetstagarna utses Mats Essemyr (TCO) som ledamot och Sten Gellerstedt (LO) som suppleant. Från arbetstagarna utses Sverker Rudeberg (Svenskt Näringsliv) som ledamot och Niklas Beckman (Svenskt Näringsliv) som suppleant.</w:t>
      </w:r>
    </w:p>
    <w:p w:rsidR="00CF6028" w:rsidRPr="009F56F7" w:rsidRDefault="00CF6028">
      <w:pPr>
        <w:spacing w:line="240" w:lineRule="auto"/>
        <w:rPr>
          <w:rFonts w:ascii="Arial" w:hAnsi="Arial" w:cs="Arial"/>
          <w:b/>
          <w:i/>
          <w:iCs/>
          <w:kern w:val="28"/>
        </w:rPr>
      </w:pPr>
      <w:r w:rsidRPr="009F56F7">
        <w:br w:type="page"/>
      </w:r>
    </w:p>
    <w:p w:rsidR="00CF6028" w:rsidRPr="00510ECA" w:rsidRDefault="00CF6028" w:rsidP="00510ECA">
      <w:pPr>
        <w:pStyle w:val="Heading2"/>
        <w:rPr>
          <w:lang w:val="en-US"/>
        </w:rPr>
      </w:pPr>
      <w:bookmarkStart w:id="61" w:name="_Toc373409350"/>
      <w:r w:rsidRPr="00510ECA">
        <w:rPr>
          <w:lang w:val="en-US"/>
        </w:rPr>
        <w:t>5. Advisory Committee on Safety and Health at Work Appointment of Mr Argo SOON, alternate member for Estonia, in place of Mr Ülo KRISTJUHAN, who has resigned= Adoption</w:t>
      </w:r>
      <w:bookmarkEnd w:id="61"/>
    </w:p>
    <w:p w:rsidR="00CF6028" w:rsidRPr="00510ECA" w:rsidRDefault="00CF6028" w:rsidP="00510ECA">
      <w:r w:rsidRPr="00510ECA">
        <w:t>16699/13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Arbetsmarknadsdepartementet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Elisabeth Svantesson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Pr="00510ECA" w:rsidRDefault="00CF6028" w:rsidP="009F56F7">
      <w:pPr>
        <w:rPr>
          <w:lang w:val="en-US"/>
        </w:rPr>
      </w:pPr>
      <w:r w:rsidRPr="00510ECA">
        <w:rPr>
          <w:lang w:val="en-US"/>
        </w:rPr>
        <w:t xml:space="preserve">Föranleder ingen annotering. </w:t>
      </w:r>
    </w:p>
    <w:p w:rsidR="00CF6028" w:rsidRPr="00510ECA" w:rsidRDefault="00CF6028" w:rsidP="00510ECA">
      <w:pPr>
        <w:pStyle w:val="Heading2"/>
        <w:rPr>
          <w:lang w:val="en-US"/>
        </w:rPr>
      </w:pPr>
      <w:bookmarkStart w:id="62" w:name="_Toc373409351"/>
      <w:r w:rsidRPr="00510ECA">
        <w:rPr>
          <w:lang w:val="en-US"/>
        </w:rPr>
        <w:t>6. Advisory Committee on Safety and Health at Work Appointment of Ms Elina REEDI, alternate member for Estonia, in place of Mr Peeter ROSS , who has resigned= Adoption</w:t>
      </w:r>
      <w:bookmarkEnd w:id="62"/>
    </w:p>
    <w:p w:rsidR="00CF6028" w:rsidRPr="00510ECA" w:rsidRDefault="00CF6028" w:rsidP="00510ECA">
      <w:r w:rsidRPr="00510ECA">
        <w:t>16712/13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Arbetsmarknadsdepartementet</w:t>
      </w:r>
    </w:p>
    <w:p w:rsidR="00CF6028" w:rsidRPr="00510ECA" w:rsidRDefault="00CF6028">
      <w:pPr>
        <w:pStyle w:val="RKnormal"/>
        <w:tabs>
          <w:tab w:val="clear" w:pos="1843"/>
          <w:tab w:val="left" w:pos="0"/>
        </w:tabs>
        <w:ind w:left="0"/>
      </w:pPr>
    </w:p>
    <w:p w:rsidR="00CF6028" w:rsidRPr="00510ECA" w:rsidRDefault="00CF6028" w:rsidP="00510ECA">
      <w:r>
        <w:t>Ansvarigt statsråd: Elisabeth Sv</w:t>
      </w:r>
      <w:r w:rsidRPr="00510ECA">
        <w:t>antesson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Pr="00510ECA" w:rsidRDefault="00CF6028" w:rsidP="009F56F7">
      <w:pPr>
        <w:rPr>
          <w:lang w:val="en-US"/>
        </w:rPr>
      </w:pPr>
      <w:r w:rsidRPr="00510ECA">
        <w:rPr>
          <w:lang w:val="en-US"/>
        </w:rPr>
        <w:t xml:space="preserve">Föranleder ingen annotering. </w:t>
      </w:r>
    </w:p>
    <w:p w:rsidR="00CF6028" w:rsidRPr="00510ECA" w:rsidRDefault="00CF6028" w:rsidP="00510ECA">
      <w:pPr>
        <w:pStyle w:val="Heading2"/>
        <w:rPr>
          <w:lang w:val="en-US"/>
        </w:rPr>
      </w:pPr>
      <w:bookmarkStart w:id="63" w:name="_Toc373409352"/>
      <w:r w:rsidRPr="00510ECA">
        <w:rPr>
          <w:lang w:val="en-US"/>
        </w:rPr>
        <w:t>7. Commission Decision of XXX authorising Sweden and the United Kingdom to derogate from certain common aviation safety rules pursuant to Article 14(6) of Regulation (EC) No216/2008 of the European Parliament and of the Council= Decision not to oppose the adoption</w:t>
      </w:r>
      <w:bookmarkEnd w:id="63"/>
    </w:p>
    <w:p w:rsidR="00CF6028" w:rsidRPr="00510ECA" w:rsidRDefault="00CF6028" w:rsidP="00510ECA">
      <w:r w:rsidRPr="00510ECA">
        <w:t>16147/13, 14827/13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Näringsdepartementet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Catharina Elmsäter Svärd</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Att besluta att inte motsätta sig ett ikraftträdande av genomförandeakten.</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att rösta ja till förslaget. </w:t>
      </w:r>
    </w:p>
    <w:p w:rsidR="00CF6028" w:rsidRDefault="00CF6028" w:rsidP="00510ECA"/>
    <w:p w:rsidR="00CF6028" w:rsidRDefault="00CF6028" w:rsidP="00510ECA">
      <w:r>
        <w:t xml:space="preserve">Bakgrund: </w:t>
      </w:r>
    </w:p>
    <w:p w:rsidR="00CF6028" w:rsidRDefault="00CF6028" w:rsidP="00510ECA">
      <w:r>
        <w:t xml:space="preserve">EU-lagstiftningen om särskilda gemensamma säkerhetsregler för den europeiska luftfarten ger utrymme för medlemsstaterna att begära undantag från de gemensamma reglerna om särskilda skäl föreligger. Förenade konungariket har begärt undantag i fråga om behörigheter för flyginstruktörer och om förfaranden kring behörigheter för instrumentflygning. Sverige har begärt undantag i fråga om befintliga bestämmelser för utfärdande av luftvärdighetsbevis för importerade luftfartyg. </w:t>
      </w:r>
    </w:p>
    <w:p w:rsidR="00CF6028" w:rsidRDefault="00CF6028" w:rsidP="00510ECA"/>
    <w:p w:rsidR="00CF6028" w:rsidRPr="00510ECA" w:rsidRDefault="00CF6028" w:rsidP="009F56F7">
      <w:r>
        <w:t xml:space="preserve">Europaparlamentet ska också ge sitt samtycke innan genomförandeakten kan träda ikraft.  </w:t>
      </w:r>
    </w:p>
    <w:p w:rsidR="00CF6028" w:rsidRPr="00510ECA" w:rsidRDefault="00CF6028" w:rsidP="00510ECA">
      <w:pPr>
        <w:pStyle w:val="Heading2"/>
        <w:rPr>
          <w:lang w:val="en-US"/>
        </w:rPr>
      </w:pPr>
      <w:bookmarkStart w:id="64" w:name="_Toc373409353"/>
      <w:r w:rsidRPr="00510ECA">
        <w:rPr>
          <w:lang w:val="en-US"/>
        </w:rPr>
        <w:t>8. Commission Regulation (EU) No .../.. of XXX amending Commission Regulation (EU) No 965/2012 laying down technical requirements and administrative procedures related to Air Operations pursuant to Regulation (EC) No216/2008 of the European Parliament and of the Council= Decision not to oppose the adoption</w:t>
      </w:r>
      <w:bookmarkEnd w:id="64"/>
    </w:p>
    <w:p w:rsidR="00CF6028" w:rsidRPr="00510ECA" w:rsidRDefault="00CF6028" w:rsidP="00510ECA">
      <w:r w:rsidRPr="00510ECA">
        <w:t>16422/13, 14552/13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Näringsdepartementet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Catharina Elmsäter Svärd</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Att besluta att inte motsätta sig ett ikraftträdande av genomförandeakten.</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att röst ja till förslaget. </w:t>
      </w:r>
    </w:p>
    <w:p w:rsidR="00CF6028" w:rsidRDefault="00CF6028" w:rsidP="00510ECA"/>
    <w:p w:rsidR="00CF6028" w:rsidRDefault="00CF6028" w:rsidP="00510ECA">
      <w:r>
        <w:t xml:space="preserve">Bakgrund: </w:t>
      </w:r>
    </w:p>
    <w:p w:rsidR="00CF6028" w:rsidRDefault="00CF6028" w:rsidP="00510ECA">
      <w:r>
        <w:t>Kommissionen föreslår att revidera genomförandeakten 965/2012 om tekniska krav och administrativa bestämmelser i samband med flygdrift som upprättats på basis av Europaparlamentets och rådets förordning 216/2008 om den europeiska byrån för luftfartssäkerhet. De föreslagna ändringarna rör krav på listor för minimi utrustning och kraven på utbildning av flyg- och kabinbesättningar.</w:t>
      </w:r>
    </w:p>
    <w:p w:rsidR="00CF6028" w:rsidRDefault="00CF6028" w:rsidP="00510ECA"/>
    <w:p w:rsidR="00CF6028" w:rsidRPr="00510ECA" w:rsidRDefault="00CF6028" w:rsidP="009F56F7">
      <w:r>
        <w:t xml:space="preserve">Europaparlamentet ska också ge sitt samtycke innan genomförandeakten kan träda ikraft. </w:t>
      </w:r>
    </w:p>
    <w:p w:rsidR="00CF6028" w:rsidRPr="00510ECA" w:rsidRDefault="00CF6028" w:rsidP="00510ECA">
      <w:pPr>
        <w:pStyle w:val="Heading2"/>
        <w:rPr>
          <w:lang w:val="en-US"/>
        </w:rPr>
      </w:pPr>
      <w:bookmarkStart w:id="65" w:name="_Toc373409354"/>
      <w:r w:rsidRPr="00510ECA">
        <w:rPr>
          <w:lang w:val="en-US"/>
        </w:rPr>
        <w:t>9. Commission Regulation (EU) No .../.. of XXX amending Commission Regulation (EU) No 748/2012 laying down implementing rules for the airworthiness and environmental certification of aircraft and related products, parts and appliances, as well as for the certification of design and production organisations= Decision not to oppose the adoption</w:t>
      </w:r>
      <w:bookmarkEnd w:id="65"/>
    </w:p>
    <w:p w:rsidR="00CF6028" w:rsidRPr="00510ECA" w:rsidRDefault="00CF6028" w:rsidP="00510ECA">
      <w:r w:rsidRPr="00510ECA">
        <w:t>14449/13, 16433/13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Näringsdepartementet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Catharina Elmsäter Svärd</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Att besluta att inte motsätta sig ett ikraftträdande av genomförandeakten.</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att rösta ja till förslaget. </w:t>
      </w:r>
    </w:p>
    <w:p w:rsidR="00CF6028" w:rsidRDefault="00CF6028" w:rsidP="00510ECA"/>
    <w:p w:rsidR="00CF6028" w:rsidRDefault="00CF6028" w:rsidP="00510ECA">
      <w:r>
        <w:t xml:space="preserve">Bakgrund: </w:t>
      </w:r>
    </w:p>
    <w:p w:rsidR="00CF6028" w:rsidRDefault="00CF6028" w:rsidP="00510ECA">
      <w:r>
        <w:t>Kommissionen har föreslagit en ändring i förordning 748/2012 om fastställande av tillämpningsföreskrifter för luftvärdighets- och miljöcertifiering av luftfartyg och tillhörande produkter, delar och anordningar samt för certifiering av konstruktions- och tillverkningsorganisationer. Förordning 748/2012 är upprättad på basis av Europaparlamentets och rådets förordning 216/2008 om den europeiska byrån för luftfartssäkerhet. Förslaget innebär ändring av reglerna för tillämpning av typcertifieringsgrund av främst produkter och ändring av formerna rapportering av uppgifter om driftslämplighet.</w:t>
      </w:r>
    </w:p>
    <w:p w:rsidR="00CF6028" w:rsidRDefault="00CF6028" w:rsidP="00510ECA"/>
    <w:p w:rsidR="00CF6028" w:rsidRPr="00510ECA" w:rsidRDefault="00CF6028" w:rsidP="009F56F7">
      <w:r>
        <w:t xml:space="preserve">Europaparlamentet ska också ge sitt samtycke innan genomförandeakten kan träda ikraft.  </w:t>
      </w:r>
    </w:p>
    <w:p w:rsidR="00CF6028" w:rsidRPr="000D1693" w:rsidRDefault="00CF6028">
      <w:pPr>
        <w:spacing w:line="240" w:lineRule="auto"/>
        <w:rPr>
          <w:rFonts w:ascii="Arial" w:hAnsi="Arial" w:cs="Arial"/>
          <w:b/>
          <w:i/>
          <w:iCs/>
          <w:kern w:val="28"/>
        </w:rPr>
      </w:pPr>
      <w:r w:rsidRPr="000D1693">
        <w:br w:type="page"/>
      </w:r>
    </w:p>
    <w:p w:rsidR="00CF6028" w:rsidRPr="00510ECA" w:rsidRDefault="00CF6028" w:rsidP="00510ECA">
      <w:pPr>
        <w:pStyle w:val="Heading2"/>
        <w:rPr>
          <w:lang w:val="en-US"/>
        </w:rPr>
      </w:pPr>
      <w:bookmarkStart w:id="66" w:name="_Toc373409355"/>
      <w:r w:rsidRPr="00510ECA">
        <w:rPr>
          <w:lang w:val="en-US"/>
        </w:rPr>
        <w:t>10. Commission Regulation (EU) No .../.. of XXX of (xxx) laying down requirements and administrative procedures related to aerodromes pursuant to Regulation (EC) No216/2008 of the European Parliament and of the Council= Decision not to oppose the adoption</w:t>
      </w:r>
      <w:bookmarkEnd w:id="66"/>
    </w:p>
    <w:p w:rsidR="00CF6028" w:rsidRPr="00510ECA" w:rsidRDefault="00CF6028" w:rsidP="00510ECA">
      <w:r w:rsidRPr="00510ECA">
        <w:t>14429/13, 16387/13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Näringsdepartementet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Catharina Elmsäter Svärd</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Att besluta att inte motsätta sig ett ikraftträdande av genomförandeakten.</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att rösta ja till förslaget. </w:t>
      </w:r>
    </w:p>
    <w:p w:rsidR="00CF6028" w:rsidRDefault="00CF6028" w:rsidP="00510ECA"/>
    <w:p w:rsidR="00CF6028" w:rsidRDefault="00CF6028" w:rsidP="00510ECA">
      <w:r>
        <w:t xml:space="preserve">Bakgrund: </w:t>
      </w:r>
    </w:p>
    <w:p w:rsidR="00CF6028" w:rsidRDefault="00CF6028" w:rsidP="00510ECA">
      <w:r>
        <w:t xml:space="preserve">Kommissionen föreslår en genomförandeakt om krav och administrativa rutiner för flygplatser enligt Europaparlamentets och rådets förordning (EG) nr 216/2008 om den europeiska byrån för luftfartssäkerhet. Föreslaget omfattar villkor som ska uppfyllas för certifiering men även drift av flygplatser. </w:t>
      </w:r>
    </w:p>
    <w:p w:rsidR="00CF6028" w:rsidRDefault="00CF6028" w:rsidP="00510ECA"/>
    <w:p w:rsidR="00CF6028" w:rsidRPr="00510ECA" w:rsidRDefault="00CF6028" w:rsidP="00764BEC">
      <w:r>
        <w:t xml:space="preserve">Europaparlamentet ska också ge sitt samtycke innan genomförandeakten kan träda ikraft. </w:t>
      </w:r>
    </w:p>
    <w:p w:rsidR="00CF6028" w:rsidRPr="00510ECA" w:rsidRDefault="00CF6028" w:rsidP="00510ECA">
      <w:pPr>
        <w:pStyle w:val="Heading2"/>
        <w:rPr>
          <w:lang w:val="en-US"/>
        </w:rPr>
      </w:pPr>
      <w:bookmarkStart w:id="67" w:name="_Toc373409356"/>
      <w:r w:rsidRPr="00510ECA">
        <w:rPr>
          <w:lang w:val="en-US"/>
        </w:rPr>
        <w:t>11. Commission Regulation (EU) No .../.. of XXX amending Commission Regulation (EU) No 1178/2011 laying down technical requirements and administrative procedures related to civil aviation aircrew pursuant to Regulation (EC) No 216/2008 of the European Parliament and of the Council= Decision not to oppose the adoption</w:t>
      </w:r>
      <w:bookmarkEnd w:id="67"/>
    </w:p>
    <w:p w:rsidR="00CF6028" w:rsidRPr="00510ECA" w:rsidRDefault="00CF6028" w:rsidP="00510ECA">
      <w:r w:rsidRPr="00510ECA">
        <w:t>16457/13, 14557/13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Näringsdepartementet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Catharina Elmsäter Svärd</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Att besluta att inte motsätta sig ett ikraftträdande av genomförandeakten.</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att rösta ja till förslaget. </w:t>
      </w:r>
    </w:p>
    <w:p w:rsidR="00CF6028" w:rsidRDefault="00CF6028" w:rsidP="00510ECA"/>
    <w:p w:rsidR="00CF6028" w:rsidRDefault="00CF6028" w:rsidP="00510ECA">
      <w:r>
        <w:t xml:space="preserve">Bakgrund: </w:t>
      </w:r>
    </w:p>
    <w:p w:rsidR="00CF6028" w:rsidRDefault="00CF6028" w:rsidP="00510ECA">
      <w:r>
        <w:t xml:space="preserve">Kommissionen föreslår en ändring av förordning 1178/2011 om tekniska krav och administrativa förfaranden i samband med flygdrift rörande flygande personal. Förordningen är upprättad enligt Europaparlamentets och rådets förordning (EG) nr 216/2008 om den europeiska byrån för luftfartssäkerhet. Förslaget ändrar reglerna för utbildning för typbehörighet och för uppgifter om driftslämplighet.  </w:t>
      </w:r>
    </w:p>
    <w:p w:rsidR="00CF6028" w:rsidRDefault="00CF6028" w:rsidP="00510ECA"/>
    <w:p w:rsidR="00CF6028" w:rsidRPr="00510ECA" w:rsidRDefault="00CF6028" w:rsidP="00764BEC">
      <w:r>
        <w:t xml:space="preserve">Europaparlamentet ska också ge sitt samtycke innan genomförandeakten kan träda ikraft.  </w:t>
      </w:r>
    </w:p>
    <w:p w:rsidR="00CF6028" w:rsidRPr="00510ECA" w:rsidRDefault="00CF6028" w:rsidP="00510ECA">
      <w:pPr>
        <w:pStyle w:val="Heading2"/>
        <w:rPr>
          <w:lang w:val="en-US"/>
        </w:rPr>
      </w:pPr>
      <w:bookmarkStart w:id="68" w:name="_Toc373409357"/>
      <w:r w:rsidRPr="00510ECA">
        <w:rPr>
          <w:lang w:val="en-US"/>
        </w:rPr>
        <w:t>12. Commission Regulation (EU) No .../.. of XXX amending Annexes II and III to Regulation (EC) No 110/2008 of the European Parliament and of the Council on the definition, description, presentation, labelling and the protection of geographical indications of spirit drinks= Decision not to oppose the adoption</w:t>
      </w:r>
      <w:bookmarkEnd w:id="68"/>
    </w:p>
    <w:p w:rsidR="00CF6028" w:rsidRPr="00510ECA" w:rsidRDefault="00CF6028" w:rsidP="00510ECA">
      <w:r w:rsidRPr="00510ECA">
        <w:t>15404/13, 16184/13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Landsbygdsdepartementet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Eskil Erlandsson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Pr="00510ECA" w:rsidRDefault="00CF6028" w:rsidP="00510ECA">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CF6028" w:rsidRPr="00510ECA" w:rsidRDefault="00CF6028">
      <w:pPr>
        <w:pStyle w:val="RKnormal"/>
        <w:tabs>
          <w:tab w:val="clear" w:pos="1843"/>
          <w:tab w:val="left" w:pos="0"/>
        </w:tabs>
        <w:ind w:left="0"/>
      </w:pPr>
    </w:p>
    <w:p w:rsidR="00CF6028" w:rsidRPr="00510ECA" w:rsidRDefault="00CF6028" w:rsidP="00510ECA">
      <w:pPr>
        <w:pStyle w:val="Heading2"/>
        <w:rPr>
          <w:lang w:val="en-US"/>
        </w:rPr>
      </w:pPr>
      <w:bookmarkStart w:id="69" w:name="_Toc373409358"/>
      <w:r w:rsidRPr="00510ECA">
        <w:rPr>
          <w:lang w:val="en-US"/>
        </w:rPr>
        <w:t>13. Commission Regulation (EU) No .../.. of XXX amending Annex III to Regulation (EC) No 110/2008 of the European Parliament and of the Council on the definition, description, presentation, labelling and the protection of geographical indications of spirit drinks= Decision not to oppose the adoption</w:t>
      </w:r>
      <w:bookmarkEnd w:id="69"/>
    </w:p>
    <w:p w:rsidR="00CF6028" w:rsidRPr="00510ECA" w:rsidRDefault="00CF6028" w:rsidP="00510ECA">
      <w:r w:rsidRPr="00510ECA">
        <w:t>15405/13, 16185/13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Landsbygdsdepartementet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Eskil Erlandsson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Pr="00510ECA" w:rsidRDefault="00CF6028" w:rsidP="00764BEC">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CF6028" w:rsidRPr="00510ECA" w:rsidRDefault="00CF6028" w:rsidP="00510ECA">
      <w:pPr>
        <w:pStyle w:val="Heading2"/>
        <w:rPr>
          <w:lang w:val="en-US"/>
        </w:rPr>
      </w:pPr>
      <w:bookmarkStart w:id="70" w:name="_Toc373409359"/>
      <w:r w:rsidRPr="00510ECA">
        <w:rPr>
          <w:lang w:val="en-US"/>
        </w:rPr>
        <w:t>14. Commission Regulation (EU) No .../.. of XXX amending Annex I to Regulation (EC) No 689/2008 of the European Parliament and of the Council concerning the export and import of dangerous chemicals= Decision not to oppose adoption</w:t>
      </w:r>
      <w:bookmarkEnd w:id="70"/>
    </w:p>
    <w:p w:rsidR="00CF6028" w:rsidRPr="00510ECA" w:rsidRDefault="00CF6028" w:rsidP="00510ECA">
      <w:r w:rsidRPr="00510ECA">
        <w:t>15479/13, 16335/1/13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Miljödepartementet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Lena Ek</w:t>
      </w:r>
    </w:p>
    <w:p w:rsidR="00CF6028" w:rsidRPr="00510ECA" w:rsidRDefault="00CF6028">
      <w:pPr>
        <w:pStyle w:val="RKnormal"/>
        <w:tabs>
          <w:tab w:val="clear" w:pos="1843"/>
          <w:tab w:val="left" w:pos="0"/>
        </w:tabs>
        <w:ind w:left="0"/>
      </w:pPr>
    </w:p>
    <w:p w:rsidR="00CF6028" w:rsidRPr="00510ECA" w:rsidRDefault="00CF6028" w:rsidP="00510ECA">
      <w:r w:rsidRPr="00510ECA">
        <w:t>Tidigare behandling vid rådsmöte: Miljörådet</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förväntas inte motsätta sig antagandet av utkastet till kommissionsförordning.</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inte att motsätta sig att kommissionsförordningen antas av kommissionen. </w:t>
      </w:r>
    </w:p>
    <w:p w:rsidR="00CF6028" w:rsidRDefault="00CF6028" w:rsidP="00510ECA"/>
    <w:p w:rsidR="00CF6028" w:rsidRDefault="00CF6028" w:rsidP="00510ECA">
      <w:r>
        <w:t xml:space="preserve">Bakgrund: </w:t>
      </w:r>
    </w:p>
    <w:p w:rsidR="00CF6028" w:rsidRDefault="00CF6028" w:rsidP="00510ECA">
      <w:r>
        <w:t xml:space="preserve">Förslaget till kommissionsförordning är en ändring av Europaparlamentets och rådets förordning (EG) nr 689/2008 av den 17 juni 2008 om export och import av farliga kemikalier. </w:t>
      </w:r>
    </w:p>
    <w:p w:rsidR="00CF6028" w:rsidRDefault="00CF6028" w:rsidP="00510ECA"/>
    <w:p w:rsidR="00CF6028" w:rsidRPr="00510ECA" w:rsidRDefault="00CF6028" w:rsidP="00764BEC">
      <w:r>
        <w:t>Ändringen innebär att ämnen som förbjudits eller vars användning starkt begränsats inom EU under det senaste året också kräver att ett EU-land som avser att exportera ett sådant ämne notifierar exporten till det importerande landet. I vissa fall krävs ett uttryckligt godkännande från det mottagande landet för att exporten ska kunna ske. Ändringen är också en anpassning till det beslut som fattades vid det senaste partsmötet i maj 2013 för Rotterdamkonventionen om hantering av förhandsgodkännande för vissa farliga kemikalier och bekämpningsmedel i internationell handel.</w:t>
      </w:r>
    </w:p>
    <w:p w:rsidR="00CF6028" w:rsidRPr="00510ECA" w:rsidRDefault="00CF6028" w:rsidP="00510ECA">
      <w:pPr>
        <w:pStyle w:val="Heading2"/>
        <w:rPr>
          <w:lang w:val="en-US"/>
        </w:rPr>
      </w:pPr>
      <w:bookmarkStart w:id="71" w:name="_Toc373409360"/>
      <w:r w:rsidRPr="00510ECA">
        <w:rPr>
          <w:lang w:val="en-US"/>
        </w:rPr>
        <w:t>15. Draft Council Decision on the acceptance on behalf of the European Union of the Amendment to Articles 25 and 26 of the Convention on the Protection and Use of Transboundary Watercourses and International Lakes= Adoption</w:t>
      </w:r>
      <w:bookmarkEnd w:id="71"/>
    </w:p>
    <w:p w:rsidR="00CF6028" w:rsidRPr="00510ECA" w:rsidRDefault="00CF6028" w:rsidP="00510ECA">
      <w:r w:rsidRPr="00510ECA">
        <w:t>12713/13, 16464/13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Miljödepartementet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Lena Ek</w:t>
      </w:r>
    </w:p>
    <w:p w:rsidR="00CF6028" w:rsidRPr="00510ECA" w:rsidRDefault="00CF6028">
      <w:pPr>
        <w:pStyle w:val="RKnormal"/>
        <w:tabs>
          <w:tab w:val="clear" w:pos="1843"/>
          <w:tab w:val="left" w:pos="0"/>
        </w:tabs>
        <w:ind w:left="0"/>
      </w:pPr>
    </w:p>
    <w:p w:rsidR="00CF6028" w:rsidRPr="00510ECA" w:rsidRDefault="00CF6028" w:rsidP="00510ECA">
      <w:r w:rsidRPr="00510ECA">
        <w:t>Tidigare behandling vid rådsmöte: Miljörådet</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Avsikt med behandlingen i rådet:</w:t>
      </w:r>
    </w:p>
    <w:p w:rsidR="00CF6028" w:rsidRDefault="00CF6028" w:rsidP="00510ECA">
      <w:r>
        <w:t>Rådet föreslås anta direktivet.</w:t>
      </w:r>
    </w:p>
    <w:p w:rsidR="00CF6028" w:rsidRDefault="00CF6028" w:rsidP="00510ECA"/>
    <w:p w:rsidR="00CF6028" w:rsidRDefault="00CF6028" w:rsidP="00510ECA">
      <w:r>
        <w:t>Hur regeringen ställer sig till den blivande a-punkten:</w:t>
      </w:r>
    </w:p>
    <w:p w:rsidR="00CF6028" w:rsidRDefault="00CF6028" w:rsidP="00510ECA">
      <w:r>
        <w:t>Regeringen avser rösta ja till förslaget.</w:t>
      </w:r>
    </w:p>
    <w:p w:rsidR="00CF6028" w:rsidRDefault="00CF6028" w:rsidP="00510ECA"/>
    <w:p w:rsidR="00CF6028" w:rsidRDefault="00CF6028" w:rsidP="00510ECA">
      <w:r>
        <w:t>Bakgrund:</w:t>
      </w:r>
    </w:p>
    <w:p w:rsidR="00CF6028" w:rsidRDefault="00CF6028" w:rsidP="00510ECA">
      <w:r>
        <w:t xml:space="preserve">EU är part i UNECE:s (FN:s ekonomiska konvention för Europa) konvention om skydd och användning av gränsöverskridande vattendrag och internationella sjöar (Vattenkonventionen). Konventionens syfte är att skapa en ram för bilateralt och multilateralt samarbete i syfte att förebygga och kontrollera förorening av gränsöverskridande vattendrag. </w:t>
      </w:r>
    </w:p>
    <w:p w:rsidR="00CF6028" w:rsidRDefault="00CF6028" w:rsidP="00510ECA"/>
    <w:p w:rsidR="00CF6028" w:rsidRDefault="00CF6028" w:rsidP="00510ECA">
      <w:r>
        <w:t>Vid 2003 års möte uttrycktes det önskemål om att öppna konventionen för stater utanför UNECE, d.v.s. att öppna konventionen globalt, och parterna antog en ändring genom vilken varje stat som är medlem av FN också kan bli part i konventionen på villkor att detta godkänns av parterna vid ett möte. EU och dess medlemsstater har i egenskap av konventionsparter deltagit i ett sådant möte och ställer sig bakom ändringen. Ändringen kommer att träda i kraft så snart den har godkänts av alla stater och organisationer som var parter i konventionen den 28 november 2003.</w:t>
      </w:r>
    </w:p>
    <w:p w:rsidR="00CF6028" w:rsidRDefault="00CF6028" w:rsidP="00510ECA"/>
    <w:p w:rsidR="00CF6028" w:rsidRDefault="00CF6028" w:rsidP="00510ECA">
      <w:r>
        <w:t>Flertalet av konventionsparterna har redan formellt godkänt ändringen som antogs 2003. Sverige ratificerade ändringen 2004.  Europeiska unionen är en av ett fåtal konventionsparter som fortfarande inte godkänt ändringen. Mot bakgrund av ovanstående är det lämpligt att Sverige stödjer att EU nu godkänner ändringen så att konventionen kan öppnas upp globalt och så att de länder utanför FN/ECE:s område som önskar bli parter i konventionen kan bli det.</w:t>
      </w:r>
    </w:p>
    <w:p w:rsidR="00CF6028" w:rsidRDefault="00CF6028" w:rsidP="00510ECA"/>
    <w:p w:rsidR="00CF6028" w:rsidRPr="00510ECA" w:rsidRDefault="00CF6028" w:rsidP="00764BEC">
      <w:r>
        <w:t>Den 19 november 2013 gav Europaparlamentet sitt samtycke till beslut om anslutning till ändringarna i protokollet.</w:t>
      </w:r>
    </w:p>
    <w:p w:rsidR="00CF6028" w:rsidRPr="00510ECA" w:rsidRDefault="00CF6028" w:rsidP="00510ECA">
      <w:pPr>
        <w:pStyle w:val="Heading2"/>
        <w:rPr>
          <w:lang w:val="en-US"/>
        </w:rPr>
      </w:pPr>
      <w:bookmarkStart w:id="72" w:name="_Toc373409361"/>
      <w:r w:rsidRPr="00510ECA">
        <w:rPr>
          <w:lang w:val="en-US"/>
        </w:rPr>
        <w:t>16. Draft Council Decision establishing the Specific Programme implementing Horizon 2020 - The Framework Programme for Research and Innovation (2014-2020)= Adoption</w:t>
      </w:r>
      <w:bookmarkEnd w:id="72"/>
    </w:p>
    <w:p w:rsidR="00CF6028" w:rsidRPr="00510ECA" w:rsidRDefault="00CF6028" w:rsidP="00510ECA">
      <w:r w:rsidRPr="00510ECA">
        <w:t>15401/13, 16557/13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Utbildningsdepartementet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Jan Björklund</w:t>
      </w:r>
    </w:p>
    <w:p w:rsidR="00CF6028" w:rsidRPr="00510ECA" w:rsidRDefault="00CF6028">
      <w:pPr>
        <w:pStyle w:val="RKnormal"/>
        <w:tabs>
          <w:tab w:val="clear" w:pos="1843"/>
          <w:tab w:val="left" w:pos="0"/>
        </w:tabs>
        <w:ind w:left="0"/>
      </w:pPr>
    </w:p>
    <w:p w:rsidR="00CF6028" w:rsidRPr="00510ECA" w:rsidRDefault="00CF6028" w:rsidP="00510ECA">
      <w:r w:rsidRPr="00510ECA">
        <w:t>Tidigare behandling i EU -nämnden: 2012-12-07</w:t>
      </w:r>
    </w:p>
    <w:p w:rsidR="00CF6028" w:rsidRDefault="00CF6028">
      <w:pPr>
        <w:pStyle w:val="RKnormal"/>
        <w:tabs>
          <w:tab w:val="clear" w:pos="1843"/>
          <w:tab w:val="left" w:pos="0"/>
        </w:tabs>
        <w:ind w:left="0"/>
      </w:pPr>
    </w:p>
    <w:p w:rsidR="00CF6028" w:rsidRPr="00510ECA" w:rsidRDefault="00CF6028" w:rsidP="00510ECA">
      <w:r>
        <w:t>Tidigare behandling vid rådsmöte: Konkurrenskraftsrådet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Anta det särskilda programmet för EU:s nästa program för forskning och innovation (Horisont 2020).</w:t>
      </w:r>
    </w:p>
    <w:p w:rsidR="00CF6028" w:rsidRDefault="00CF6028" w:rsidP="00510ECA"/>
    <w:p w:rsidR="00CF6028" w:rsidRDefault="00CF6028" w:rsidP="00510ECA">
      <w:r>
        <w:t xml:space="preserve">Hur regeringen ställer sig till den blivande A-punkten: </w:t>
      </w:r>
    </w:p>
    <w:p w:rsidR="00CF6028" w:rsidRDefault="00CF6028" w:rsidP="00510ECA">
      <w:r>
        <w:t>Regeringen anser att Sverige bör rösta ja.</w:t>
      </w:r>
    </w:p>
    <w:p w:rsidR="00CF6028" w:rsidRDefault="00CF6028" w:rsidP="00510ECA"/>
    <w:p w:rsidR="00CF6028" w:rsidRDefault="00CF6028" w:rsidP="00510ECA">
      <w:r>
        <w:t xml:space="preserve">Bakgrund: </w:t>
      </w:r>
    </w:p>
    <w:p w:rsidR="00CF6028" w:rsidRPr="00510ECA" w:rsidRDefault="00CF6028" w:rsidP="00764BEC">
      <w:r>
        <w:t>Det särskilda programmet, som rådet beslutar om, anger mer detaljerat än ramprogrammet vilka aktiviteter som ska rymmas inom Horisont 2020. Rådet antog en allmän inriktning gällande det särskilda programmet vid KKR den 10 december 2012. Rådet och parlamentet enades i juni 2013 om ett kompromissförslag gällande ramprogrammet för H2020, för vilket det ordinarie lagstiftningsförfarandet gäller. Det särskilda programmet har nu anpassats till överenskommelsen om ramprogrammet och rådet ska nu bekräfta denna anpassning.</w:t>
      </w:r>
    </w:p>
    <w:p w:rsidR="00CF6028" w:rsidRPr="00510ECA" w:rsidRDefault="00CF6028" w:rsidP="00510ECA">
      <w:pPr>
        <w:pStyle w:val="Heading2"/>
        <w:rPr>
          <w:lang w:val="en-US"/>
        </w:rPr>
      </w:pPr>
      <w:bookmarkStart w:id="73" w:name="_Toc373409362"/>
      <w:r w:rsidRPr="00510ECA">
        <w:rPr>
          <w:lang w:val="en-US"/>
        </w:rPr>
        <w:t>17. Draft Council Regulation amending Regulation (EC) No 723/2009 concerning the Community legal framework for a European Research Infrastructures Consortium (ERIC)= Adoption</w:t>
      </w:r>
      <w:bookmarkEnd w:id="73"/>
    </w:p>
    <w:p w:rsidR="00CF6028" w:rsidRPr="00510ECA" w:rsidRDefault="00CF6028" w:rsidP="00510ECA">
      <w:r w:rsidRPr="00510ECA">
        <w:t>15660/13, 16605/13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Utbildningsdepartementet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Jan Björklund</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Anta en ändring i förordningen om det legala ramverket för konsortier gällande europeisk forskningsinfrastruktur.</w:t>
      </w:r>
    </w:p>
    <w:p w:rsidR="00CF6028" w:rsidRDefault="00CF6028" w:rsidP="00510ECA"/>
    <w:p w:rsidR="00CF6028" w:rsidRDefault="00CF6028" w:rsidP="00510ECA">
      <w:r>
        <w:t xml:space="preserve">Hur regeringen ställer sig till den blivande A-punkten: </w:t>
      </w:r>
    </w:p>
    <w:p w:rsidR="00CF6028" w:rsidRDefault="00CF6028" w:rsidP="00510ECA">
      <w:r>
        <w:t>Regeringen anser att Sverige bör rösta ja.</w:t>
      </w:r>
    </w:p>
    <w:p w:rsidR="00CF6028" w:rsidRDefault="00CF6028" w:rsidP="00510ECA"/>
    <w:p w:rsidR="00CF6028" w:rsidRDefault="00CF6028" w:rsidP="00510ECA">
      <w:r>
        <w:t xml:space="preserve">Bakgrund: </w:t>
      </w:r>
    </w:p>
    <w:p w:rsidR="00CF6028" w:rsidRPr="00510ECA" w:rsidRDefault="00CF6028" w:rsidP="00764BEC">
      <w:r>
        <w:t>År 2009 antog rådet en förordning som skapar ett legalt ramverk för europeisk forskningsinfrastruktur (ERIC). Syftet var att skapa gemensamma regler som gäller i alla medlemsstater. Den nu föreslagna ändringen syftar till att göra det mer attraktivt för associerade länder att delta i, eller vara värd för, forskningsinfrastrukturer som använder detta legala ramverk.</w:t>
      </w:r>
    </w:p>
    <w:p w:rsidR="00CF6028" w:rsidRPr="000D1693" w:rsidRDefault="00CF6028" w:rsidP="00764BEC">
      <w:pPr>
        <w:pStyle w:val="RKnormal"/>
        <w:rPr>
          <w:rFonts w:ascii="Arial" w:hAnsi="Arial" w:cs="Arial"/>
          <w:kern w:val="28"/>
        </w:rPr>
      </w:pPr>
      <w:r w:rsidRPr="000D1693">
        <w:br w:type="page"/>
      </w:r>
    </w:p>
    <w:p w:rsidR="00CF6028" w:rsidRPr="00510ECA" w:rsidRDefault="00CF6028" w:rsidP="00510ECA">
      <w:pPr>
        <w:pStyle w:val="Heading2"/>
        <w:rPr>
          <w:lang w:val="en-US"/>
        </w:rPr>
      </w:pPr>
      <w:bookmarkStart w:id="74" w:name="_Toc373409363"/>
      <w:r w:rsidRPr="00510ECA">
        <w:rPr>
          <w:lang w:val="en-US"/>
        </w:rPr>
        <w:t>18. Proposal for a Regulation of the European Parliament and of the Council establishing an action programme for customs in the European Union for the period 2014-2020 (Customs 2020) and repealing Decision N° 624/2007/EC (First reading) (Legislative deliberation + Statement)= Adoption of the legislative act</w:t>
      </w:r>
      <w:bookmarkEnd w:id="74"/>
    </w:p>
    <w:p w:rsidR="00CF6028" w:rsidRPr="00510ECA" w:rsidRDefault="00CF6028" w:rsidP="00510ECA">
      <w:r w:rsidRPr="00510ECA">
        <w:t>72/13, 16094/13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Finansdepartementet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Anders Borg</w:t>
      </w:r>
    </w:p>
    <w:p w:rsidR="00CF6028" w:rsidRPr="00510ECA" w:rsidRDefault="00CF6028">
      <w:pPr>
        <w:pStyle w:val="RKnormal"/>
        <w:tabs>
          <w:tab w:val="clear" w:pos="1843"/>
          <w:tab w:val="left" w:pos="0"/>
        </w:tabs>
        <w:ind w:left="0"/>
      </w:pPr>
    </w:p>
    <w:p w:rsidR="00CF6028" w:rsidRPr="00510ECA" w:rsidRDefault="00CF6028" w:rsidP="00510ECA">
      <w:r w:rsidRPr="00510ECA">
        <w:t>Tidigare behandling i EU -nämnden: 2012-12-07</w:t>
      </w:r>
    </w:p>
    <w:p w:rsidR="00CF6028" w:rsidRDefault="00CF6028">
      <w:pPr>
        <w:pStyle w:val="RKnormal"/>
        <w:tabs>
          <w:tab w:val="clear" w:pos="1843"/>
          <w:tab w:val="left" w:pos="0"/>
        </w:tabs>
        <w:ind w:left="0"/>
      </w:pPr>
    </w:p>
    <w:p w:rsidR="00CF6028" w:rsidRPr="00510ECA" w:rsidRDefault="00CF6028" w:rsidP="00510ECA">
      <w:r>
        <w:t>Tidigare behandling vid rådsmöte: Konkurrenskraftsrådet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godkänna förordningen.</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att rösta ja till att rådet godkänner förordningen.</w:t>
      </w:r>
    </w:p>
    <w:p w:rsidR="00CF6028" w:rsidRDefault="00CF6028" w:rsidP="00510ECA"/>
    <w:p w:rsidR="00CF6028" w:rsidRDefault="00CF6028" w:rsidP="00510ECA">
      <w:r>
        <w:t xml:space="preserve">Bakgrund: </w:t>
      </w:r>
    </w:p>
    <w:p w:rsidR="00CF6028" w:rsidRDefault="00CF6028" w:rsidP="00510ECA">
      <w:r>
        <w:t>Kommissionen lämnade den 29 augusti 2012 ett förslag till nytt åtgärdsprogram inom tullområdet, Tull 2020, som ska ersätta det nuvarande programmet, Tull 2013. Ett antal medlemsstater, i huvudsak med yttre gräns mot öster, har drivit att programmet bör utökas till att även omfatta bistånd till inköp av tekniska stöd. Sverige och flera andra medlemsstater har motsatt sig detta utifrån behovet av att fokusera på de stora och kostsamma IT-projekt som behöver utvecklas i syfte att skapa den papperslösa tullen och införandet den nya tullagstiftningen.</w:t>
      </w:r>
    </w:p>
    <w:p w:rsidR="00CF6028" w:rsidRDefault="00CF6028" w:rsidP="00510ECA"/>
    <w:p w:rsidR="00CF6028" w:rsidRDefault="00CF6028" w:rsidP="00510ECA">
      <w:r>
        <w:t xml:space="preserve">Sverige ser, inom ramen för en restriktiv budget, positivt på förslaget till nytt åtgärdsprogram, efter goda erfarenheter av tidigare program. </w:t>
      </w:r>
    </w:p>
    <w:p w:rsidR="00CF6028" w:rsidRDefault="00CF6028" w:rsidP="00510ECA"/>
    <w:p w:rsidR="00CF6028" w:rsidRDefault="00CF6028" w:rsidP="00510ECA">
      <w:r>
        <w:t xml:space="preserve">Ett kompromissförslag godkändes av konkurrenskraftsrådet </w:t>
      </w:r>
    </w:p>
    <w:p w:rsidR="00CF6028" w:rsidRPr="00510ECA" w:rsidRDefault="00CF6028" w:rsidP="00764BEC">
      <w:r>
        <w:t>den 10 december 2012. Under våren har triloger genomförts mellan Europaparlamentet, rådet och kommissionen och en överenskommelse nåddes den 26 juni. Den 21 november höll Europaparlamentet en omröstning i plenum där Tull 2020 antogs.</w:t>
      </w:r>
    </w:p>
    <w:p w:rsidR="00CF6028" w:rsidRPr="00510ECA" w:rsidRDefault="00CF6028" w:rsidP="00510ECA">
      <w:pPr>
        <w:pStyle w:val="Heading2"/>
        <w:rPr>
          <w:lang w:val="en-US"/>
        </w:rPr>
      </w:pPr>
      <w:bookmarkStart w:id="75" w:name="_Toc373409364"/>
      <w:r w:rsidRPr="00510ECA">
        <w:rPr>
          <w:lang w:val="en-US"/>
        </w:rPr>
        <w:t>19. Proposal for a Regulation of the European Parliament and of the Council on the European Union Programme for Social Change and Innovation (First reading) (Legislative deliberation)= Adoption of the legislative act</w:t>
      </w:r>
      <w:bookmarkEnd w:id="75"/>
    </w:p>
    <w:p w:rsidR="00CF6028" w:rsidRPr="00510ECA" w:rsidRDefault="00CF6028" w:rsidP="00510ECA">
      <w:r w:rsidRPr="00510ECA">
        <w:t>80/13, 16095/13</w:t>
      </w:r>
    </w:p>
    <w:p w:rsidR="00CF6028" w:rsidRPr="00510ECA" w:rsidRDefault="00CF6028">
      <w:pPr>
        <w:pStyle w:val="RKnormal"/>
        <w:tabs>
          <w:tab w:val="clear" w:pos="1843"/>
          <w:tab w:val="left" w:pos="0"/>
        </w:tabs>
        <w:ind w:left="0"/>
      </w:pPr>
    </w:p>
    <w:p w:rsidR="00CF6028" w:rsidRPr="00510ECA" w:rsidRDefault="00CF6028" w:rsidP="00510ECA">
      <w:r w:rsidRPr="00510ECA">
        <w:t>Ansvarigt departement: Arbetsmarknadsdepartementet</w:t>
      </w:r>
    </w:p>
    <w:p w:rsidR="00CF6028" w:rsidRPr="00510ECA" w:rsidRDefault="00CF6028">
      <w:pPr>
        <w:pStyle w:val="RKnormal"/>
        <w:tabs>
          <w:tab w:val="clear" w:pos="1843"/>
          <w:tab w:val="left" w:pos="0"/>
        </w:tabs>
        <w:ind w:left="0"/>
      </w:pPr>
    </w:p>
    <w:p w:rsidR="00CF6028" w:rsidRPr="00510ECA" w:rsidRDefault="00CF6028" w:rsidP="00510ECA">
      <w:r w:rsidRPr="00510ECA">
        <w:t>Ansvarigt statsråd: Elisabeth Svantesson</w:t>
      </w:r>
    </w:p>
    <w:p w:rsidR="00CF6028" w:rsidRPr="00510ECA" w:rsidRDefault="00CF6028">
      <w:pPr>
        <w:pStyle w:val="RKnormal"/>
        <w:tabs>
          <w:tab w:val="clear" w:pos="1843"/>
          <w:tab w:val="left" w:pos="0"/>
        </w:tabs>
        <w:ind w:left="0"/>
      </w:pPr>
    </w:p>
    <w:p w:rsidR="00CF6028" w:rsidRPr="00510ECA" w:rsidRDefault="00CF6028" w:rsidP="00510ECA">
      <w:r w:rsidRPr="00510ECA">
        <w:t>Godkänd av Coreper I den 27 november 2013</w:t>
      </w:r>
    </w:p>
    <w:p w:rsidR="00CF6028" w:rsidRDefault="00CF6028">
      <w:pPr>
        <w:pStyle w:val="RKnormal"/>
        <w:tabs>
          <w:tab w:val="clear" w:pos="1843"/>
          <w:tab w:val="left" w:pos="0"/>
        </w:tabs>
        <w:ind w:left="0"/>
      </w:pPr>
    </w:p>
    <w:p w:rsidR="00CF6028" w:rsidRDefault="00CF6028" w:rsidP="00510ECA">
      <w:r>
        <w:t xml:space="preserve">Tidigare behandling i riksdagen: </w:t>
      </w:r>
    </w:p>
    <w:p w:rsidR="00CF6028" w:rsidRDefault="00CF6028" w:rsidP="00510ECA">
      <w:r>
        <w:t xml:space="preserve">EUN den 15 juni 2012 samt den 30 november 2012. Vidare har regeringen överlagt om förslaget med arbetsmarknadsutskottet den 20 december 2011 samt informerat den 5 juni 2012, 27 september 2012, 24 januari 2013. </w:t>
      </w:r>
    </w:p>
    <w:p w:rsidR="00CF6028" w:rsidRDefault="00CF6028" w:rsidP="00510ECA"/>
    <w:p w:rsidR="00CF6028" w:rsidRDefault="00CF6028" w:rsidP="00510ECA">
      <w:r>
        <w:t xml:space="preserve">Tidigare behandling vid rådsmöte: </w:t>
      </w:r>
    </w:p>
    <w:p w:rsidR="00CF6028" w:rsidRDefault="00CF6028" w:rsidP="00510ECA">
      <w:r>
        <w:t xml:space="preserve">21 juni 2012. 6 december 2012. </w:t>
      </w:r>
    </w:p>
    <w:p w:rsidR="00CF6028" w:rsidRDefault="00CF6028" w:rsidP="00510ECA"/>
    <w:p w:rsidR="00CF6028" w:rsidRDefault="00CF6028" w:rsidP="00510ECA">
      <w:r>
        <w:t>Avsikt med behandlingen i rådet: Antagande</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att rådet antar förordningen med beteckningen PE-CONS 80/13.</w:t>
      </w:r>
    </w:p>
    <w:p w:rsidR="00CF6028" w:rsidRDefault="00CF6028" w:rsidP="00510ECA"/>
    <w:p w:rsidR="00CF6028" w:rsidRDefault="00CF6028" w:rsidP="00510ECA">
      <w:r>
        <w:t>Bakgrund</w:t>
      </w:r>
    </w:p>
    <w:p w:rsidR="00CF6028" w:rsidRDefault="00CF6028" w:rsidP="00510ECA">
      <w:r>
        <w:t xml:space="preserve">Den 6 oktober 2011 presenterade EU-kommissionen förslag till ett nytt program för social förändring och social innovation. Vid EPSCO-rådet i juni 2012 antogs en partiell allmän riktlinje.  Den 10 juli 2013 godkände Coreper en kompromisstext som Europaparlamentet antog i plenum den 21 november 2013. </w:t>
      </w:r>
    </w:p>
    <w:p w:rsidR="00CF6028" w:rsidRDefault="00CF6028" w:rsidP="00510ECA"/>
    <w:p w:rsidR="00CF6028" w:rsidRDefault="00CF6028" w:rsidP="00510ECA">
      <w:r>
        <w:t xml:space="preserve">Programmets för sysselsättning och social innovation (EaSI) bygger på och utvidgar omfattningen av tre befintliga instrument på det sysselsättnings- och socialpolitiska området: Progress-programmet, Eures samt EU:s instrument för mikrokrediter. Syftet är att bidra till genomförandet av Europa 2020-strategin. EaSI ska pågå från 2014 till 2020. Programmets första del, Progress, ska stödja utveckling, genomförande, övervakning och utvärdering av Europa 2020-strategin och lagstiftning om arbetsvillkor, dels ska främja evidensbaserat beslutsfattande och social innovation, i partnerskap med arbetsmarknadens parter, det civila samhällets organisationer och andra berörda organ. Programdelen Eures ska stödja verksamhet som utförs av Eures för att utveckla utbyte och spridning av information och andra former av samarbete för att främja arbetstagarnas frivilliga geografiska rörlighet. Den tredje delen av programmen, programdelen Mikrofinansiering och socialt entreprenörskap, ska öka tillgången till och utbudet av finansiering för utsatta personer, bygga upp institutionella kapaciteten för mikrokreditgivare och stödja utvecklingen av sociala företag.  Förordningen innehåller också en ändring av beslutet om inrättandet av det befintliga EU:s instrument för mikrokrediter. Denna ändring görs eftersom att det befintliga instrumentet förlängs genom EaSI. </w:t>
      </w:r>
    </w:p>
    <w:p w:rsidR="00CF6028" w:rsidRPr="00510ECA" w:rsidRDefault="00CF6028" w:rsidP="00764BEC">
      <w:r>
        <w:t xml:space="preserve">Det nya programmet ska förvaltas av kommissionen, men kommissionen kommer att biträdas av en kommitté med representanter från medlemsstaterna som bl.a. kommer att ha i uppgift att godkänna arbetsprogrammen.  </w:t>
      </w:r>
    </w:p>
    <w:p w:rsidR="00CF6028" w:rsidRPr="00510ECA" w:rsidRDefault="00CF6028" w:rsidP="00510ECA">
      <w:pPr>
        <w:pStyle w:val="Heading2"/>
        <w:rPr>
          <w:lang w:val="en-US"/>
        </w:rPr>
      </w:pPr>
      <w:bookmarkStart w:id="76" w:name="_Toc373409365"/>
      <w:r w:rsidRPr="00510ECA">
        <w:rPr>
          <w:lang w:val="en-US"/>
        </w:rPr>
        <w:t>20. Proposal for a Regulation of the European Parliament and of the Council establishing the Connecting Europe Facility (First reading) (Legislative deliberation)= Adoption of the legislative act</w:t>
      </w:r>
      <w:bookmarkEnd w:id="76"/>
    </w:p>
    <w:p w:rsidR="00CF6028" w:rsidRPr="00BD597D" w:rsidRDefault="00CF6028" w:rsidP="00510ECA">
      <w:r w:rsidRPr="00BD597D">
        <w:t>76/13, 16096/13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Catharina Elmsäter Svärd</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2013-06-05</w:t>
      </w:r>
    </w:p>
    <w:p w:rsidR="00CF6028" w:rsidRDefault="00CF6028">
      <w:pPr>
        <w:pStyle w:val="RKnormal"/>
        <w:tabs>
          <w:tab w:val="clear" w:pos="1843"/>
          <w:tab w:val="left" w:pos="0"/>
        </w:tabs>
        <w:ind w:left="0"/>
      </w:pPr>
    </w:p>
    <w:p w:rsidR="00CF6028" w:rsidRPr="00510ECA" w:rsidRDefault="00CF6028" w:rsidP="00510ECA">
      <w:r>
        <w:t>Tidigare behandling vid rådsmöte: Transport-, telekom- och energifrågor</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Rådet föreslås anta förordningen. </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att rådet antar Europaparlamentets och rådets förordning om att upprätta fonden för ett sammanlänkat Europa (CEF).</w:t>
      </w:r>
    </w:p>
    <w:p w:rsidR="00CF6028" w:rsidRDefault="00CF6028" w:rsidP="00510ECA"/>
    <w:p w:rsidR="00CF6028" w:rsidRDefault="00CF6028" w:rsidP="00510ECA">
      <w:r>
        <w:t xml:space="preserve">Bakgrund: </w:t>
      </w:r>
    </w:p>
    <w:p w:rsidR="00CF6028" w:rsidRDefault="00CF6028" w:rsidP="00510ECA">
      <w:r>
        <w:t xml:space="preserve">Förslaget att inrätta fonden för ett sammanlänkat Europa presenterades av kommissionen i oktober 2011 och avser en gemensam fond för infrastrukturinvesteringar inom transport, energi och digitala nät. Tillsammans med förslag om förordningar med riktlinjer för respektive sektor och ett förslag om att inrätta en pilotfas för projektobligationer bildar förslaget ett paket inom ramen för EU:s nästa fleråriga budgetram 2014-2020. Utöver budget för infrastrukturinvesteringarna anges i förordningen även administrativa villkor för fonden exempelvis vilka stödformer som är aktuella, kriterier för stödberättigande och vilka EU-finansieringsnivåer som ska gälla liksom mål för utvärdering av fonden. </w:t>
      </w:r>
    </w:p>
    <w:p w:rsidR="00CF6028" w:rsidRDefault="00CF6028" w:rsidP="00510ECA"/>
    <w:p w:rsidR="00CF6028" w:rsidRPr="00510ECA" w:rsidRDefault="00CF6028" w:rsidP="00764BEC">
      <w:r>
        <w:t xml:space="preserve">Vid rådets möte (TTE transport) den 7 juni 2012 enades man om en allmän inriktning för merparten av förslaget. Under hösten 2012 pågick förhandlingar i rådet främst om det kapitel i förordningen som rör användningen av finansiella instrument. Under våren 2013 slutfördes dessa förhandlingar i rådet samtidigt som trepartsförhandlingar mellan Europaparlamentet, rådet och kommissionen genomfördes. I juni 2013 nåddes en överenskommelse mellan parterna om förordningstexten. I november 2013 godkände Europaparlamentet formellt den politiska överenskommelsen om EU:s fleråriga budgetram 2014-2020, inklusive de slutliga beloppen för CEF. </w:t>
      </w:r>
    </w:p>
    <w:p w:rsidR="00CF6028" w:rsidRPr="00510ECA" w:rsidRDefault="00CF6028" w:rsidP="00510ECA">
      <w:pPr>
        <w:pStyle w:val="Heading2"/>
        <w:rPr>
          <w:lang w:val="en-US"/>
        </w:rPr>
      </w:pPr>
      <w:bookmarkStart w:id="77" w:name="_Toc373409366"/>
      <w:r w:rsidRPr="00510ECA">
        <w:rPr>
          <w:lang w:val="en-US"/>
        </w:rPr>
        <w:t>21. Proposal for a Regulation of the European Parliament and of the Council on the implementation and exploitation of European satellite navigation systems (First reading) (Legislative deliberation + Statement)= Adoption of the legislative act</w:t>
      </w:r>
      <w:bookmarkEnd w:id="77"/>
    </w:p>
    <w:p w:rsidR="00CF6028" w:rsidRPr="00BD597D" w:rsidRDefault="00CF6028" w:rsidP="00510ECA">
      <w:r w:rsidRPr="00BD597D">
        <w:t>26/13, 16097/13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Catharina Elmsäter Svärd</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2012-05-30</w:t>
      </w:r>
    </w:p>
    <w:p w:rsidR="00CF6028" w:rsidRDefault="00CF6028">
      <w:pPr>
        <w:pStyle w:val="RKnormal"/>
        <w:tabs>
          <w:tab w:val="clear" w:pos="1843"/>
          <w:tab w:val="left" w:pos="0"/>
        </w:tabs>
        <w:ind w:left="0"/>
      </w:pPr>
    </w:p>
    <w:p w:rsidR="00CF6028" w:rsidRPr="00510ECA" w:rsidRDefault="00CF6028" w:rsidP="00510ECA">
      <w:r>
        <w:t>Tidigare behandling vid rådsmöte: Transport-, telekom- och energifrågor</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bekräfta den uppgörelse som är resultatet av informella överläggningar med Europaparlamentet genom att anta de ändringar till förslaget som parlamentet röstade för i sin första behandling av förslaget vid plenarsessionen i Strasbourg den 18-21 november 2013. Med rådets beslut blir förslaget slutligt antaget.</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rösta ja till att rådet antar Europaparlamentets och rådets förordning om uppbyggnad och drift av de europeiska satellitnavigeringssystemen. </w:t>
      </w:r>
    </w:p>
    <w:p w:rsidR="00CF6028" w:rsidRDefault="00CF6028" w:rsidP="00510ECA"/>
    <w:p w:rsidR="00CF6028" w:rsidRDefault="00CF6028" w:rsidP="00510ECA"/>
    <w:p w:rsidR="00CF6028" w:rsidRDefault="00CF6028">
      <w:pPr>
        <w:spacing w:line="240" w:lineRule="auto"/>
      </w:pPr>
      <w:r>
        <w:br w:type="page"/>
      </w:r>
    </w:p>
    <w:p w:rsidR="00CF6028" w:rsidRDefault="00CF6028" w:rsidP="00510ECA">
      <w:r>
        <w:t xml:space="preserve">Bakgrund: </w:t>
      </w:r>
    </w:p>
    <w:p w:rsidR="00CF6028" w:rsidRPr="00510ECA" w:rsidRDefault="00CF6028" w:rsidP="00764BEC">
      <w:r>
        <w:t>Förslaget gäller framtida styrning och finansiering av de europeiska satellitnavigeringsprogrammen under perioden för kommande långtidsbudget. Förslaget innehåller bl.a. målen för Galileo- och Egnosprogrammen, en struktur för styrningen av dem och arbetsfördelningen mellan de tre huvudaktörerna kommissionen, Europeiska byrån för satellitnavigering och Europeiska rymdorganisationen, bestämmelser om systemens säkerhet, bestämmelser om upphandlingar samt ett finansiellt äskande för den kommande budgetperioden. Sverige har verkat för att få till stånd effektiv och säker styrning av programmen till lägsta möjliga kostnad.</w:t>
      </w:r>
    </w:p>
    <w:p w:rsidR="00CF6028" w:rsidRPr="00510ECA" w:rsidRDefault="00CF6028" w:rsidP="00510ECA">
      <w:pPr>
        <w:pStyle w:val="Heading2"/>
        <w:rPr>
          <w:lang w:val="en-US"/>
        </w:rPr>
      </w:pPr>
      <w:bookmarkStart w:id="78" w:name="_Toc373409367"/>
      <w:r w:rsidRPr="00510ECA">
        <w:rPr>
          <w:lang w:val="en-US"/>
        </w:rPr>
        <w:t>22. Proposal for a Regulation of the European Parliament and of the Council establishing a Programme for the Competitiveness of Enterprises and small and medium-sized enterprises (2014 - 2020) - COSME (First reading) (Legislative deliberation)= Adoption of the legislative act</w:t>
      </w:r>
      <w:bookmarkEnd w:id="78"/>
    </w:p>
    <w:p w:rsidR="00CF6028" w:rsidRPr="00BD597D" w:rsidRDefault="00CF6028" w:rsidP="00510ECA">
      <w:r w:rsidRPr="00BD597D">
        <w:t>58/13, 16098/13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Annie Lööf</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2013-05-24</w:t>
      </w:r>
    </w:p>
    <w:p w:rsidR="00CF6028" w:rsidRDefault="00CF6028">
      <w:pPr>
        <w:pStyle w:val="RKnormal"/>
        <w:tabs>
          <w:tab w:val="clear" w:pos="1843"/>
          <w:tab w:val="left" w:pos="0"/>
        </w:tabs>
        <w:ind w:left="0"/>
      </w:pPr>
    </w:p>
    <w:p w:rsidR="00CF6028" w:rsidRPr="00510ECA" w:rsidRDefault="00CF6028" w:rsidP="00510ECA">
      <w:r>
        <w:t>Tidigare behandling vid rådsmöte: Konkurrenskraftsrådet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anta förordningen om Program för företagens konkurrenskraft och små och medelstora företag (2014-2020) - COSME</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att anta Europaparlamentets och rådets förordning om Program för företagens konkurrenskraft och små och medelstora företag (2014-2020) - COSME</w:t>
      </w:r>
    </w:p>
    <w:p w:rsidR="00CF6028" w:rsidRDefault="00CF6028" w:rsidP="00510ECA"/>
    <w:p w:rsidR="00CF6028" w:rsidRDefault="00CF6028" w:rsidP="00510ECA">
      <w:r>
        <w:t xml:space="preserve">Bakgrund: </w:t>
      </w:r>
    </w:p>
    <w:p w:rsidR="00CF6028" w:rsidRDefault="00CF6028" w:rsidP="00510ECA">
      <w:r>
        <w:t>Europaparlamentets och Rådets förordning med program för företagens konkurrenskraft och små och medelstora företag (2014-2020) - COSME är ett program inom ramen för nästa långtidsbudget. Programmet tar vid efter det nuvarande Ramprogrammet för konkurrenskraft och innovation. Det nya programmet är dock i större utsträckning mer allmänt fokuserat på att stärka konkurrenskraften i små och medelstora företag.</w:t>
      </w:r>
    </w:p>
    <w:p w:rsidR="00CF6028" w:rsidRDefault="00CF6028" w:rsidP="00510ECA"/>
    <w:p w:rsidR="00CF6028" w:rsidRDefault="00CF6028" w:rsidP="00510ECA">
      <w:r>
        <w:t>Programmet vilar på fyra ben:</w:t>
      </w:r>
    </w:p>
    <w:p w:rsidR="00CF6028" w:rsidRDefault="00CF6028" w:rsidP="00510ECA">
      <w:r>
        <w:t>– Tillgång till finansiering</w:t>
      </w:r>
    </w:p>
    <w:p w:rsidR="00CF6028" w:rsidRDefault="00CF6028" w:rsidP="00510ECA">
      <w:r>
        <w:t xml:space="preserve">– Tillgång till marknader </w:t>
      </w:r>
    </w:p>
    <w:p w:rsidR="00CF6028" w:rsidRDefault="00CF6028" w:rsidP="00510ECA">
      <w:r>
        <w:t>– Främjande av entreprenörskap</w:t>
      </w:r>
    </w:p>
    <w:p w:rsidR="00CF6028" w:rsidRDefault="00CF6028" w:rsidP="00510ECA">
      <w:r>
        <w:t>– Ramvillkor för företagande</w:t>
      </w:r>
    </w:p>
    <w:p w:rsidR="00CF6028" w:rsidRDefault="00CF6028" w:rsidP="00510ECA"/>
    <w:p w:rsidR="00CF6028" w:rsidRDefault="00CF6028" w:rsidP="00510ECA">
      <w:r>
        <w:t>Programmets budget är föreslagen till 2,03 mdr Euro.</w:t>
      </w:r>
    </w:p>
    <w:p w:rsidR="00CF6028" w:rsidRDefault="00CF6028" w:rsidP="00510ECA"/>
    <w:p w:rsidR="00CF6028" w:rsidRDefault="00CF6028" w:rsidP="00510ECA">
      <w:r>
        <w:t>Huvuddelen av programmets budget är avsedd att gå till att främja tillgången till finansiering. Finansiering kommer att tillhandahållas via finansiella instrument i formen av riskkapital och lånegarantier. De finansiella instrumenten ska ägas av Europeiska investeringsfonden som ska arbeta via nationella intermediärer. Vidare kommer kommissionen via programmet genomföra aktiviteter som underlättar för småföretag att nå ut på marknaden, främst genom Enterprise Europé Network.</w:t>
      </w:r>
    </w:p>
    <w:p w:rsidR="00CF6028" w:rsidRDefault="00CF6028" w:rsidP="00510ECA"/>
    <w:p w:rsidR="00CF6028" w:rsidRDefault="00CF6028" w:rsidP="00510ECA">
      <w:r>
        <w:t>Inom ramen för de resterande benen kommer satsningar att genomföras för att främja entreprenörskap hos olika målgrupper som kvinnor, unga och utrikes födda. Dessutom kommer satsningar göras för att förenkla för företag.</w:t>
      </w:r>
    </w:p>
    <w:p w:rsidR="00CF6028" w:rsidRDefault="00CF6028" w:rsidP="00510ECA"/>
    <w:p w:rsidR="00CF6028" w:rsidRPr="00510ECA" w:rsidRDefault="00CF6028" w:rsidP="00764BEC">
      <w:r>
        <w:t>I förhandlingarna har regeringen drivit och fått gehör för att satsningar och aktiviteter som görs ska komplettera medlemsstaternas egna aktiviteter samt att satsningarna så långt det är möjligt ska ha horisontell karaktär för att nå så många företag som möjligt. Vidare har regeringen fokuserat på att programmet ska ha fokus på företag med tillväxtpotential, speciellt när det gäller tillgång till finansiering samt att de finansiella instrumenten ska arbeta enligt strikta kriterier och genom nationella intermediärer.</w:t>
      </w:r>
    </w:p>
    <w:p w:rsidR="00CF6028" w:rsidRPr="00510ECA" w:rsidRDefault="00CF6028" w:rsidP="00510ECA">
      <w:pPr>
        <w:pStyle w:val="Heading2"/>
        <w:rPr>
          <w:lang w:val="en-US"/>
        </w:rPr>
      </w:pPr>
      <w:bookmarkStart w:id="79" w:name="_Toc373409368"/>
      <w:r w:rsidRPr="00510ECA">
        <w:rPr>
          <w:lang w:val="en-US"/>
        </w:rPr>
        <w:t>23. Proposal for Regulation of the European Parliament and of the Council laying down the rules for the participation and dissemination in 'Horizon 2020 - The Framework Programme for Research and Innovation (2014-2020)' (First reading) (Legislative deliberation)= Adoption of the legislative act</w:t>
      </w:r>
      <w:bookmarkEnd w:id="79"/>
    </w:p>
    <w:p w:rsidR="00CF6028" w:rsidRPr="00BD597D" w:rsidRDefault="00CF6028" w:rsidP="00510ECA">
      <w:r w:rsidRPr="00BD597D">
        <w:t>66/13, 16099/13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Utbildningsdepartementet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Jan Björklund</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2012-10-10</w:t>
      </w:r>
    </w:p>
    <w:p w:rsidR="00CF6028" w:rsidRDefault="00CF6028">
      <w:pPr>
        <w:pStyle w:val="RKnormal"/>
        <w:tabs>
          <w:tab w:val="clear" w:pos="1843"/>
          <w:tab w:val="left" w:pos="0"/>
        </w:tabs>
        <w:ind w:left="0"/>
      </w:pPr>
    </w:p>
    <w:p w:rsidR="00CF6028" w:rsidRPr="00510ECA" w:rsidRDefault="00CF6028" w:rsidP="00510ECA">
      <w:r>
        <w:t>Tidigare behandling vid rådsmöte: Konkurrenskraftsrådet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Anta förordning gällande regler för deltagande inom ramprogrammet för forskning och innovation (Horisont 2020)</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att rösta ja.</w:t>
      </w:r>
    </w:p>
    <w:p w:rsidR="00CF6028" w:rsidRDefault="00CF6028" w:rsidP="00510ECA"/>
    <w:p w:rsidR="00CF6028" w:rsidRDefault="00CF6028" w:rsidP="00510ECA">
      <w:r>
        <w:t>Bakgrund:</w:t>
      </w:r>
    </w:p>
    <w:p w:rsidR="00CF6028" w:rsidRPr="00510ECA" w:rsidRDefault="00CF6028" w:rsidP="00764BEC">
      <w:pPr>
        <w:rPr>
          <w:lang w:val="en-US"/>
        </w:rPr>
      </w:pPr>
      <w:r>
        <w:t xml:space="preserve">KKR tog ställning till kommissionens förslag till deltaganderegler för Horisont 2020 i oktober 2012. Parlamentet tog ställning till förslaget i november 2012. Under våren 2013 har triloger hållits. </w:t>
      </w:r>
      <w:r w:rsidRPr="00510ECA">
        <w:rPr>
          <w:lang w:val="en-US"/>
        </w:rPr>
        <w:t xml:space="preserve">En överenskommelse nåddes i juni 2013. </w:t>
      </w:r>
    </w:p>
    <w:p w:rsidR="00CF6028" w:rsidRPr="00510ECA" w:rsidRDefault="00CF6028" w:rsidP="00510ECA">
      <w:pPr>
        <w:pStyle w:val="Heading2"/>
        <w:rPr>
          <w:lang w:val="en-US"/>
        </w:rPr>
      </w:pPr>
      <w:bookmarkStart w:id="80" w:name="_Toc373409369"/>
      <w:r w:rsidRPr="00510ECA">
        <w:rPr>
          <w:lang w:val="en-US"/>
        </w:rPr>
        <w:t>24. Proposal for a Regulation of the European Parliament and the Council establishing Horizon 2020 - The Framework Programme for Research and Innovation (2014-2020) ' (First reading) (Legislative deliberation)= Adoption of the legislative act</w:t>
      </w:r>
      <w:bookmarkEnd w:id="80"/>
    </w:p>
    <w:p w:rsidR="00CF6028" w:rsidRPr="00BD597D" w:rsidRDefault="00CF6028" w:rsidP="00510ECA">
      <w:r w:rsidRPr="00BD597D">
        <w:t>67/13, 16100/13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Utbildningsdepartementet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Jan Björklund</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2012-05-31</w:t>
      </w:r>
    </w:p>
    <w:p w:rsidR="00CF6028" w:rsidRDefault="00CF6028">
      <w:pPr>
        <w:pStyle w:val="RKnormal"/>
        <w:tabs>
          <w:tab w:val="clear" w:pos="1843"/>
          <w:tab w:val="left" w:pos="0"/>
        </w:tabs>
        <w:ind w:left="0"/>
      </w:pPr>
    </w:p>
    <w:p w:rsidR="00CF6028" w:rsidRPr="00510ECA" w:rsidRDefault="00CF6028" w:rsidP="00510ECA">
      <w:r>
        <w:t>Tidigare behandling vid rådsmöte: Konkurrenskraftsrådet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Anta förordningen om EU:s kommande ramprogram för forskning och innovation (Horisont 2020).</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att rösta ja.</w:t>
      </w:r>
    </w:p>
    <w:p w:rsidR="00CF6028" w:rsidRDefault="00CF6028" w:rsidP="00510ECA">
      <w:r>
        <w:t>Bakgrund:</w:t>
      </w:r>
    </w:p>
    <w:p w:rsidR="00CF6028" w:rsidRPr="00510ECA" w:rsidRDefault="00CF6028" w:rsidP="00764BEC">
      <w:pPr>
        <w:rPr>
          <w:lang w:val="en-US"/>
        </w:rPr>
      </w:pPr>
      <w:r>
        <w:t xml:space="preserve">Rådet tog ställning till kommissionens förslag till ramprogram i maj 2012. Parlamentet tog ställning till förslaget i november 2012. Triloger har hållit under våren 2013. </w:t>
      </w:r>
      <w:r w:rsidRPr="00510ECA">
        <w:rPr>
          <w:lang w:val="en-US"/>
        </w:rPr>
        <w:t xml:space="preserve">En överenskommelse nåddes i juni i år. </w:t>
      </w:r>
    </w:p>
    <w:p w:rsidR="00CF6028" w:rsidRPr="00510ECA" w:rsidRDefault="00CF6028" w:rsidP="00510ECA">
      <w:pPr>
        <w:pStyle w:val="Heading2"/>
        <w:rPr>
          <w:lang w:val="en-US"/>
        </w:rPr>
      </w:pPr>
      <w:bookmarkStart w:id="81" w:name="_Toc373409370"/>
      <w:r w:rsidRPr="00510ECA">
        <w:rPr>
          <w:lang w:val="en-US"/>
        </w:rPr>
        <w:t>25. Proposal for a Regulation of the European Parliament and of the Council amending Regulation (EC) No 294/2008 establishing the European Institute of Innovation and Technology (First reading) (Legislative deliberation)= Adoption of the legislative act</w:t>
      </w:r>
      <w:bookmarkEnd w:id="81"/>
    </w:p>
    <w:p w:rsidR="00CF6028" w:rsidRPr="00BD597D" w:rsidRDefault="00CF6028" w:rsidP="00510ECA">
      <w:r w:rsidRPr="00BD597D">
        <w:t>68/13, 16101/13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Annie Lööf</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2013-05-24</w:t>
      </w:r>
    </w:p>
    <w:p w:rsidR="00CF6028" w:rsidRDefault="00CF6028">
      <w:pPr>
        <w:pStyle w:val="RKnormal"/>
        <w:tabs>
          <w:tab w:val="clear" w:pos="1843"/>
          <w:tab w:val="left" w:pos="0"/>
        </w:tabs>
        <w:ind w:left="0"/>
      </w:pPr>
    </w:p>
    <w:p w:rsidR="00CF6028" w:rsidRPr="00510ECA" w:rsidRDefault="00CF6028" w:rsidP="00510ECA">
      <w:r>
        <w:t>Tidigare behandling vid rådsmöte: Konkurrenskraftsrådet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anta förordningen.</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att rådet antar Europaparlamentets och rådets förordning om ändring av förordning (EG) nr 294/2008 om inrättande av Europeiska institutet för innovation och teknik.</w:t>
      </w:r>
    </w:p>
    <w:p w:rsidR="00CF6028" w:rsidRDefault="00CF6028" w:rsidP="00510ECA"/>
    <w:p w:rsidR="00CF6028" w:rsidRDefault="00CF6028" w:rsidP="00510ECA">
      <w:r>
        <w:t xml:space="preserve">Bakgrund: </w:t>
      </w:r>
    </w:p>
    <w:p w:rsidR="00CF6028" w:rsidRDefault="00CF6028" w:rsidP="00510ECA">
      <w:r>
        <w:t>Förslaget till förändring av EIT:s regelverk som presenterades av kommissionen den 30 november 2011, har under 2012 behandlats i rådets arbetsgrupp och i samband med ett antal triloger mellan rådet, kommissionen och Europaparlamentet. Förhandlingarna har skett i anslutning till behandlingen av hela förslaget till ramprogram för forskning och innovation, Horisont 2020, där EIT ingår. Huvudfrågan i förhandlingarna har varit det sätt på vilket etableringen av nya kunskaps- och innovationsplattformar (KIC-ar) i EIT bör ske, hur många de ska vara, vilken finansiering som ska gälla och när de ska starta.</w:t>
      </w:r>
    </w:p>
    <w:p w:rsidR="00CF6028" w:rsidRDefault="00CF6028" w:rsidP="00510ECA">
      <w:r>
        <w:t>Rådet tog ställning till kommissionens ursprungliga förslag till förändring i EITs regelverk i oktober 2012 och till EITs strategiska innovationsprogram i december 2012 genom att anta en partiell allmän inriktning för bägge. Under 2013 har ett antal triloger hållits och vid Coreper den 17 juli godkändes ett utkast till slutlig överenskommelse om Horisont 2020 med sikte på antagande i Europaparlamentet och rådet.</w:t>
      </w:r>
    </w:p>
    <w:p w:rsidR="00CF6028" w:rsidRDefault="00CF6028" w:rsidP="00764BEC">
      <w:r>
        <w:t xml:space="preserve">ITRE-utskottet (industrifrågor, forskning och energi) i Europaparlamentet antog lagstiftningspaketet för Horisont 2020 den 26 september och Europaparlamentet antog lagstiftningspaketet i plenum den 21 november. </w:t>
      </w:r>
    </w:p>
    <w:p w:rsidR="00CF6028" w:rsidRPr="00510ECA" w:rsidRDefault="00CF6028" w:rsidP="00510ECA">
      <w:pPr>
        <w:pStyle w:val="Heading2"/>
        <w:rPr>
          <w:lang w:val="en-US"/>
        </w:rPr>
      </w:pPr>
      <w:bookmarkStart w:id="82" w:name="_Toc373409371"/>
      <w:r w:rsidRPr="00510ECA">
        <w:rPr>
          <w:lang w:val="en-US"/>
        </w:rPr>
        <w:t>26. Proposal for a Decision of the European Parliament and of the Council on the Strategic Innovation Agenda of the European Institute of Innovation and Technology (EIT): the contribution of the EIT to a more innovative Europe (First reading) (Legislative deliberation)= Adoption of the legislative act</w:t>
      </w:r>
      <w:bookmarkEnd w:id="82"/>
    </w:p>
    <w:p w:rsidR="00CF6028" w:rsidRPr="00BD597D" w:rsidRDefault="00CF6028" w:rsidP="00510ECA">
      <w:r w:rsidRPr="00BD597D">
        <w:t>69/13, 16102/13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Annie Lööf</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2013-05-24</w:t>
      </w:r>
    </w:p>
    <w:p w:rsidR="00CF6028" w:rsidRDefault="00CF6028">
      <w:pPr>
        <w:pStyle w:val="RKnormal"/>
        <w:tabs>
          <w:tab w:val="clear" w:pos="1843"/>
          <w:tab w:val="left" w:pos="0"/>
        </w:tabs>
        <w:ind w:left="0"/>
      </w:pPr>
    </w:p>
    <w:p w:rsidR="00CF6028" w:rsidRPr="00510ECA" w:rsidRDefault="00CF6028" w:rsidP="00510ECA">
      <w:r>
        <w:t>Tidigare behandling vid rådsmöte: Konkurrenskraftsrådet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Rådet föreslås anta beslutet. </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att rådet antar Europaparlamentets och rådets beslut om det strategiska innovationsprogrammet för Europeiska institutet för innovation och teknik (EIT): institutets bidrag till ett mer innovativt Europa</w:t>
      </w:r>
    </w:p>
    <w:p w:rsidR="00CF6028" w:rsidRDefault="00CF6028" w:rsidP="00510ECA"/>
    <w:p w:rsidR="00CF6028" w:rsidRDefault="00CF6028" w:rsidP="00510ECA">
      <w:r>
        <w:t xml:space="preserve">Bakgrund: </w:t>
      </w:r>
    </w:p>
    <w:p w:rsidR="00CF6028" w:rsidRDefault="00CF6028" w:rsidP="00510ECA">
      <w:r>
        <w:t xml:space="preserve">Förslaget till strategiskt innovationsprogram för perioden 2014-2020 för Europeiska institutet för innovation och teknik (EIT) som presenterades av kommissionen den 30 november 2011, har under 2012 och 2013 behandlats i rådets arbetsgrupp och i samband med ett antal triloger mellan rådet, kommissionen och Europaparlamentet. Förhandlingarna har skett i anslutning till behandlingen av hela förslaget till ramprogram för forskning och innovation, Horisont 2020, där EIT ingår. </w:t>
      </w:r>
    </w:p>
    <w:p w:rsidR="00CF6028" w:rsidRDefault="00CF6028" w:rsidP="00510ECA"/>
    <w:p w:rsidR="00CF6028" w:rsidRDefault="00CF6028" w:rsidP="00510ECA">
      <w:r>
        <w:t xml:space="preserve">Huvudfrågan i förhandlingarna har varit det sätt på vilket etableringen av nya kunskaps- och innovationsplattformar (KIC-ar) i EIT bör ske, hur många de ska vara, vilken finansiering som ska gälla och när de ska starta. </w:t>
      </w:r>
    </w:p>
    <w:p w:rsidR="00CF6028" w:rsidRDefault="00CF6028" w:rsidP="00510ECA">
      <w:r>
        <w:t>Rådet tog ställning till kommissionens ursprungliga förslag till förändring i EITs regelverk i oktober 2012 och till EITs strategiska innovationsprogram i december 2012 genom att anta en partiell allmän inriktning för bägge. Under 2013 har ett antal triloger hållits och vid Coreper den 17 juli godkändes ett utkast till slutlig överenskommelse om Horisont 2020 med sikte på antagande i Europaparlamentet och rådet.</w:t>
      </w:r>
    </w:p>
    <w:p w:rsidR="00CF6028" w:rsidRPr="00510ECA" w:rsidRDefault="00CF6028" w:rsidP="00764BEC">
      <w:r>
        <w:t>ITRE-utskottet (industrifrågor, forskning och energi) i Europaparlamentet antog lagstiftningspaketet för Horisont 2020 den 26 september och Europaparlamentet antog lagstiftningspaketet i plenum den 21 november.</w:t>
      </w:r>
    </w:p>
    <w:p w:rsidR="00CF6028" w:rsidRPr="00510ECA" w:rsidRDefault="00CF6028" w:rsidP="00510ECA">
      <w:pPr>
        <w:pStyle w:val="Heading2"/>
        <w:rPr>
          <w:lang w:val="en-US"/>
        </w:rPr>
      </w:pPr>
      <w:bookmarkStart w:id="83" w:name="_Toc373409372"/>
      <w:r w:rsidRPr="00510ECA">
        <w:rPr>
          <w:lang w:val="en-US"/>
        </w:rPr>
        <w:t>27. Proposal for a Regulation of the European Parliament and of the Council on the establishment of a Programme for the Environment and Climate Action (LIFE) (First reading) (Legislative deliberation + Statement)= Adoption of the legislative act PE-CONS</w:t>
      </w:r>
      <w:bookmarkEnd w:id="83"/>
    </w:p>
    <w:p w:rsidR="00CF6028" w:rsidRPr="00BD597D" w:rsidRDefault="00CF6028" w:rsidP="00510ECA">
      <w:r w:rsidRPr="00BD597D">
        <w:t>70/13, 16103/13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Miljödepartementet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Lena Ek</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2012-12-14</w:t>
      </w:r>
    </w:p>
    <w:p w:rsidR="00CF6028" w:rsidRDefault="00CF6028">
      <w:pPr>
        <w:pStyle w:val="RKnormal"/>
        <w:tabs>
          <w:tab w:val="clear" w:pos="1843"/>
          <w:tab w:val="left" w:pos="0"/>
        </w:tabs>
        <w:ind w:left="0"/>
      </w:pPr>
    </w:p>
    <w:p w:rsidR="00CF6028" w:rsidRPr="00510ECA" w:rsidRDefault="00CF6028" w:rsidP="00510ECA">
      <w:r>
        <w:t>Tidigare behandling vid rådsmöte: Miljörådet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anta förordningen om LIFE, EU:s instrument för finansiering av miljö- och klimatåtgärder.</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rösta ja till att rådet antar förordningen om LIFE. </w:t>
      </w:r>
    </w:p>
    <w:p w:rsidR="00CF6028" w:rsidRDefault="00CF6028" w:rsidP="00510ECA"/>
    <w:p w:rsidR="00CF6028" w:rsidRDefault="00CF6028" w:rsidP="00510ECA">
      <w:r>
        <w:t xml:space="preserve">Bakgrund: </w:t>
      </w:r>
    </w:p>
    <w:p w:rsidR="00CF6028" w:rsidRPr="00510ECA" w:rsidRDefault="00CF6028" w:rsidP="00764BEC">
      <w:r>
        <w:t>Kommissionen presenterade i december 2011 ett förslag till ny LIFE-förordning för perioden 2014–2020. Den nuvarande programperioden sträcker sig mellan 2007–2013. LIFE är ett finansieringsprogram inom EU för miljö- och klimatåtgärder, som en del i genomförandet av EU:s miljö- och klimatpolitik. Den nya LIFE-förordningen ska enligt förslaget stärka genomförandet av denna politik samt i större utsträckning mobilisera andra medel och fonder för att få största möjliga genomslag. Förslaget till nya LIFE har två delprogram, ett för miljö och ett för klimat, där klimat som eget delprogram är nytt. En överenskommelse mellan rådet och Europaparlamentet nåddes i juli 2013. Sverige har i förhandlingarna fått gott gehör för sina ståndpunkter. Bl.a. har Sverige verkat för fortsatt möjlighet att söka stöd till projekt för miljöteknik, åtgärder på kemikalieområdet, att majoriteten av medel ska gå till konkreta projekt, ett stegvis införande av den nya projektformen "integrerade projekt" samt att kvalité och EU-mervärde ska vara grundläggande för bedömning av alla projekt.</w:t>
      </w:r>
    </w:p>
    <w:p w:rsidR="00CF6028" w:rsidRPr="00510ECA" w:rsidRDefault="00CF6028" w:rsidP="00510ECA">
      <w:pPr>
        <w:pStyle w:val="Heading2"/>
        <w:rPr>
          <w:lang w:val="en-US"/>
        </w:rPr>
      </w:pPr>
      <w:bookmarkStart w:id="84" w:name="_Toc373409373"/>
      <w:r w:rsidRPr="00510ECA">
        <w:rPr>
          <w:lang w:val="en-US"/>
        </w:rPr>
        <w:t>28. Proposal for a Regulation of the European Parliament and of the Council on Union guidelines for the development of the Trans-European Transport Network (First reading) (Legislative deliberation + Statement)= Adoption of the legislative act</w:t>
      </w:r>
      <w:bookmarkEnd w:id="84"/>
    </w:p>
    <w:p w:rsidR="00CF6028" w:rsidRPr="00BD597D" w:rsidRDefault="00CF6028" w:rsidP="00510ECA">
      <w:r w:rsidRPr="00BD597D">
        <w:t>42/13, 16563/13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Catharina Elmsäter Svärd</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2013-05-10</w:t>
      </w:r>
    </w:p>
    <w:p w:rsidR="00CF6028" w:rsidRDefault="00CF6028">
      <w:pPr>
        <w:pStyle w:val="RKnormal"/>
        <w:tabs>
          <w:tab w:val="clear" w:pos="1843"/>
          <w:tab w:val="left" w:pos="0"/>
        </w:tabs>
        <w:ind w:left="0"/>
      </w:pPr>
    </w:p>
    <w:p w:rsidR="00CF6028" w:rsidRPr="00510ECA" w:rsidRDefault="00CF6028" w:rsidP="00510ECA">
      <w:r>
        <w:t>Tidigare behandling vid rådsmöte: Utbildning, ungdom och kulturrådet</w:t>
      </w:r>
    </w:p>
    <w:p w:rsidR="00CF6028" w:rsidRDefault="00CF6028">
      <w:pPr>
        <w:pStyle w:val="RKnormal"/>
        <w:tabs>
          <w:tab w:val="clear" w:pos="1843"/>
          <w:tab w:val="left" w:pos="0"/>
        </w:tabs>
        <w:ind w:left="0"/>
      </w:pPr>
    </w:p>
    <w:p w:rsidR="00CF6028" w:rsidRPr="00510ECA" w:rsidRDefault="00CF6028" w:rsidP="00510ECA">
      <w:r>
        <w:t>Godkänd av Coreper 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förväntas anta Europaparlamentets och kommissionens förslag om TEN-T.</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w:t>
      </w:r>
    </w:p>
    <w:p w:rsidR="00CF6028" w:rsidRDefault="00CF6028" w:rsidP="00510ECA"/>
    <w:p w:rsidR="00CF6028" w:rsidRDefault="00CF6028" w:rsidP="00510ECA">
      <w:r>
        <w:t xml:space="preserve">Bakgrund: </w:t>
      </w:r>
    </w:p>
    <w:p w:rsidR="00CF6028" w:rsidRDefault="00CF6028" w:rsidP="00510ECA">
      <w:r>
        <w:t>Kommissionen beslutade den 19 oktober 2011 om ett förslag till förordning för nya TEN-T-riktlinjer.  Det beskriver det transeuropeiska transportnätet som innefattar alla trafikslag. Nätet består av ett stomnät (core network), med de prioriterade huvudstråken i det europeiska transportnätet som ska vara genomfört till 2030, och ett övergripande nät (comprehensive network), som är mer heltäckande och som ska genomföras till 2050. Förslaget till förordning kommer att sätta upp ett nytt regelverk för bindande standarder för interoperabilitet m.m. Det finns ett antal ”skall”-krav föreslagna som ska vara uppfyllda till 2030 vad gäller stomnätet och 2050 vad gäller det övergripande nätet. Dessa krav är till vissa delar högt ställda och skulle innebära kostnader för medlemsstaterna att uppfylla. Förordningen introducerar också ett nytt bindande korridorbaserat planeringsramverk för genomförande av åtgärder i infrastrukturen.</w:t>
      </w:r>
    </w:p>
    <w:p w:rsidR="00CF6028" w:rsidRDefault="00CF6028" w:rsidP="00510ECA"/>
    <w:p w:rsidR="00CF6028" w:rsidRDefault="00CF6028" w:rsidP="00510ECA">
      <w:r>
        <w:t>I mars 2012 antog rådet en allmän inriktning om TEN-T-förordningen. Stora förändringar av substans har under rådets behandling gjorts i TEN-T-förordningen. Bl.a. har kraven för nätverket sänkts och flera möjligheter till undantag införts. Färdigställandedatumen 2030 och 2050 har skrivits om så att de inte längre är lika bindande för medlemsstaterna. Dessutom har kraven på genomförande av projekt mjukats upp och gjorts avhängigt projekts mognadsgrad och tillgången till finansiella resurser. Stomnätskorridorerna och de europeiska koordinatorerna finns kvar men stora förändringar har gjorts för att minska administrationen av korridorerna.</w:t>
      </w:r>
    </w:p>
    <w:p w:rsidR="00CF6028" w:rsidRDefault="00CF6028" w:rsidP="00510ECA"/>
    <w:p w:rsidR="00CF6028" w:rsidRDefault="00CF6028" w:rsidP="00510ECA">
      <w:r>
        <w:t>TRAN-utskottet röstade om förordningarna den 18 december 2012, vilket ledde till ett stort antal ändringsförslag. Generellt ligger dock Europaparlamentets position mycket nära kommissionens ursprungsförslag.</w:t>
      </w:r>
    </w:p>
    <w:p w:rsidR="00CF6028" w:rsidRDefault="00CF6028" w:rsidP="00510ECA"/>
    <w:p w:rsidR="00CF6028" w:rsidRDefault="00CF6028" w:rsidP="00510ECA">
      <w:r>
        <w:t>Inför trilogerna identifierade ORDF sju kärnelement (core principles) i rådets tidigare allmänna inriktning som de bedömde måste bevaras för att kunna nå en kvalificerad majoritet i rådet. Dessa har utgjort ”red lines” i de förhandlingarna med Europaparlamentet. De stora kvarvarande frågorna i slutskedet av förhandlingarna har handlat om hur bindande nätverket ska vara för medlemsstaterna samt vilka befogenheter som ska ges till kommissionen och till de europeiska samordnarna. Framförallt är det i kapitel IV om stomnätskorridorer och europeiska koordinatorer som det gjorts kompromisser om.</w:t>
      </w:r>
    </w:p>
    <w:p w:rsidR="00CF6028" w:rsidRDefault="00CF6028" w:rsidP="00510ECA"/>
    <w:p w:rsidR="00CF6028" w:rsidRPr="00510ECA" w:rsidRDefault="00CF6028" w:rsidP="00764BEC">
      <w:r>
        <w:t>IE ORDF nådde en överenskommelse med Europaparlamentet under våren 2013 och Europaparlamentet har nu 19 november 2013 röstat för en text som SE kan godkänna.</w:t>
      </w:r>
    </w:p>
    <w:p w:rsidR="00CF6028" w:rsidRPr="00510ECA" w:rsidRDefault="00CF6028" w:rsidP="00510ECA">
      <w:pPr>
        <w:pStyle w:val="Heading2"/>
        <w:rPr>
          <w:lang w:val="en-US"/>
        </w:rPr>
      </w:pPr>
      <w:bookmarkStart w:id="85" w:name="_Toc373409374"/>
      <w:r w:rsidRPr="00510ECA">
        <w:rPr>
          <w:lang w:val="en-US"/>
        </w:rPr>
        <w:t>29. (poss.) Eurocontrol Provisional Council= European Union coordination of a common position</w:t>
      </w:r>
      <w:bookmarkEnd w:id="85"/>
    </w:p>
    <w:p w:rsidR="00CF6028" w:rsidRPr="00BD597D" w:rsidRDefault="00CF6028" w:rsidP="00510ECA">
      <w:r w:rsidRPr="00BD597D">
        <w:t>16774/13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Catharina Elmsäter Svärd</w:t>
      </w:r>
    </w:p>
    <w:p w:rsidR="00CF6028" w:rsidRPr="00BD597D" w:rsidRDefault="00CF6028">
      <w:pPr>
        <w:pStyle w:val="RKnormal"/>
        <w:tabs>
          <w:tab w:val="clear" w:pos="1843"/>
          <w:tab w:val="left" w:pos="0"/>
        </w:tabs>
        <w:ind w:left="0"/>
      </w:pPr>
    </w:p>
    <w:p w:rsidR="00CF6028" w:rsidRPr="00510ECA" w:rsidRDefault="00CF6028" w:rsidP="00510ECA">
      <w:r>
        <w:t>Förväntas godkännas av Coreper I den 29</w:t>
      </w:r>
      <w:r w:rsidRPr="00510ECA">
        <w:t xml:space="preserve"> november 2013</w:t>
      </w:r>
    </w:p>
    <w:p w:rsidR="00CF6028" w:rsidRDefault="00CF6028">
      <w:pPr>
        <w:pStyle w:val="RKnormal"/>
        <w:tabs>
          <w:tab w:val="clear" w:pos="1843"/>
          <w:tab w:val="left" w:pos="0"/>
        </w:tabs>
        <w:ind w:left="0"/>
      </w:pPr>
    </w:p>
    <w:p w:rsidR="00CF6028" w:rsidRPr="00510ECA" w:rsidRDefault="00CF6028" w:rsidP="00764BEC">
      <w:pPr>
        <w:rPr>
          <w:lang w:val="en-US"/>
        </w:rPr>
      </w:pPr>
      <w:r>
        <w:rPr>
          <w:lang w:val="en-US"/>
        </w:rPr>
        <w:t>F</w:t>
      </w:r>
      <w:r w:rsidRPr="00510ECA">
        <w:rPr>
          <w:lang w:val="en-US"/>
        </w:rPr>
        <w:t>öranleder ingen annotering</w:t>
      </w:r>
      <w:r>
        <w:rPr>
          <w:lang w:val="en-US"/>
        </w:rPr>
        <w:t>.</w:t>
      </w:r>
    </w:p>
    <w:p w:rsidR="00CF6028" w:rsidRPr="00510ECA" w:rsidRDefault="00CF6028" w:rsidP="00510ECA">
      <w:pPr>
        <w:pStyle w:val="Heading2"/>
        <w:rPr>
          <w:lang w:val="en-US"/>
        </w:rPr>
      </w:pPr>
      <w:bookmarkStart w:id="86" w:name="_Toc373409375"/>
      <w:r w:rsidRPr="00510ECA">
        <w:rPr>
          <w:lang w:val="en-US"/>
        </w:rPr>
        <w:t>30. Proposal for a Council Regulation adjusting, from 1 July 2012, the rate of contribution to the pension scheme of officials and other servants of the European Union= Adoption</w:t>
      </w:r>
      <w:bookmarkEnd w:id="86"/>
    </w:p>
    <w:p w:rsidR="00CF6028" w:rsidRPr="00BD597D" w:rsidRDefault="00CF6028" w:rsidP="00510ECA">
      <w:r w:rsidRPr="00BD597D">
        <w:t>16208/13, 16685/13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Socialdepartementet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Stefan Attefall</w:t>
      </w:r>
    </w:p>
    <w:p w:rsidR="00CF6028" w:rsidRPr="00BD597D" w:rsidRDefault="00CF6028">
      <w:pPr>
        <w:pStyle w:val="RKnormal"/>
        <w:tabs>
          <w:tab w:val="clear" w:pos="1843"/>
          <w:tab w:val="left" w:pos="0"/>
        </w:tabs>
        <w:ind w:left="0"/>
      </w:pPr>
    </w:p>
    <w:p w:rsidR="00CF6028" w:rsidRPr="00510ECA" w:rsidRDefault="00CF6028" w:rsidP="00510ECA">
      <w:r>
        <w:t>Förväntas godkännas av Coreper I den 29</w:t>
      </w:r>
      <w:r w:rsidRPr="00510ECA">
        <w:t xml:space="preserve"> november 2013</w:t>
      </w:r>
    </w:p>
    <w:p w:rsidR="00CF6028" w:rsidRDefault="00CF6028">
      <w:pPr>
        <w:pStyle w:val="RKnormal"/>
        <w:tabs>
          <w:tab w:val="clear" w:pos="1843"/>
          <w:tab w:val="left" w:pos="0"/>
        </w:tabs>
        <w:ind w:left="0"/>
      </w:pPr>
    </w:p>
    <w:p w:rsidR="00CF6028" w:rsidRDefault="00CF6028" w:rsidP="00510ECA">
      <w:r>
        <w:t>Enligt artikel 83 (2) i tjänsteföreskrifterna ska tjänstemännen i EU:s institutioner betala en pensionsavgift som motsvarar 1/3 av pensionskostnaderna. I enlighet med föreskrifterna görs varje år en försäkringsteknisk bedömning av avgiftens storlek för att tillförsäkra att systemet är i försäkringsteknisk balans. Med hänvisning till gällande regelverk, föreslår KOM en sänkning av pensionsavgiften från 11,6 till 10,6 procent, med verkan från den 1 juli 2012.</w:t>
      </w:r>
    </w:p>
    <w:p w:rsidR="00CF6028" w:rsidRDefault="00CF6028" w:rsidP="00510ECA"/>
    <w:p w:rsidR="00CF6028" w:rsidRDefault="00CF6028" w:rsidP="00510ECA">
      <w:r>
        <w:t>I samband med beslutet i rådsarbetsgruppen för tjänsteföreskrifterna den 11 november om pensionsavgiften från den 1 juli 2012 uppmanades Kommissionen att utfärda en deklaration om att KOM ska beakta EU-domstolens domar och kommande domar i de ärenden om löneuppräkning och justering av pensionsavgifter för de anställda i EU-institutioner som för närvarande behandlas av EU-domstolen.</w:t>
      </w:r>
    </w:p>
    <w:p w:rsidR="00CF6028" w:rsidRDefault="00CF6028" w:rsidP="00510ECA"/>
    <w:p w:rsidR="00CF6028" w:rsidRDefault="00CF6028" w:rsidP="00510ECA">
      <w:r>
        <w:t xml:space="preserve">Den 19 november meddelade EU-domstolens dom i ärendet om löneuppräkning för 2011. Kommissionen hade stämt rådet för att rådet med stöd av undantagsklausulen i tjänsteföreskrifterna vägrat att anta kommissionens förslag om en uppräkning av lönerna på 1,7 % mot bakgrund av den plötsliga nedgången i den ekonomiska situationen i Europa. Kommissionen hävdade att en sådan plötslig nedgång i ekonomin inte var för handen. Domstolen har i domen C-63/12 konstaterat att det är rådet som ska göra den bedömningen. </w:t>
      </w:r>
    </w:p>
    <w:p w:rsidR="00CF6028" w:rsidRDefault="00CF6028" w:rsidP="00510ECA"/>
    <w:p w:rsidR="00CF6028" w:rsidRDefault="00CF6028" w:rsidP="00510ECA">
      <w:r>
        <w:t xml:space="preserve">Rådet ska nu besluta om storleken på pensionsavgiften från och med den 1 juli 2012. </w:t>
      </w:r>
    </w:p>
    <w:p w:rsidR="00CF6028" w:rsidRDefault="00CF6028" w:rsidP="00510ECA"/>
    <w:p w:rsidR="00CF6028" w:rsidRDefault="00CF6028" w:rsidP="00510ECA">
      <w:r>
        <w:t xml:space="preserve">Med anslutning till beslut om fastställande av pensionsavgiften har Kommissionen utfärdat en deklaration om att vid den slutliga beräkningen av avgifterna beakta EU-domstolens domar i de ärenden om lön och pension som beslutats eller är föremål för behandling i EU-domstolen. </w:t>
      </w:r>
    </w:p>
    <w:p w:rsidR="00CF6028" w:rsidRDefault="00CF6028" w:rsidP="00510ECA"/>
    <w:p w:rsidR="00CF6028" w:rsidRPr="00BD597D" w:rsidRDefault="00CF6028" w:rsidP="00764BEC">
      <w:pPr>
        <w:rPr>
          <w:lang w:val="en-US"/>
        </w:rPr>
      </w:pPr>
      <w:r>
        <w:t xml:space="preserve">Regeringen avser att anta förslaget. Då förslaget baseras på gällande tjänsteföreskrifter och en försäkringsteknisk analys av balansen i systemet har Regeringen inga synpunkter på förslaget såvida uträkningen i sig är korrekt. </w:t>
      </w:r>
      <w:r w:rsidRPr="00BD597D">
        <w:rPr>
          <w:lang w:val="en-US"/>
        </w:rPr>
        <w:t xml:space="preserve">Regeringen kan notera Kommissionens deklaration. </w:t>
      </w:r>
    </w:p>
    <w:p w:rsidR="00CF6028" w:rsidRPr="00510ECA" w:rsidRDefault="00CF6028" w:rsidP="00510ECA">
      <w:pPr>
        <w:pStyle w:val="Heading2"/>
        <w:rPr>
          <w:lang w:val="en-US"/>
        </w:rPr>
      </w:pPr>
      <w:bookmarkStart w:id="87" w:name="_Toc373409376"/>
      <w:r w:rsidRPr="00510ECA">
        <w:rPr>
          <w:lang w:val="en-US"/>
        </w:rPr>
        <w:t>31. Proposal for a Regulation of the European Parliament and of the Council establishing "Erasmus+": the Union programme for education, training, youth and sport and repealing Decisions No 1719/2006/EC, No 1720/2006/EC and No 1298/2008/EC (First reading) (Legislative deliberation + Statement) Adoption of the legislative act</w:t>
      </w:r>
      <w:bookmarkEnd w:id="87"/>
    </w:p>
    <w:p w:rsidR="00CF6028" w:rsidRPr="00BD597D" w:rsidRDefault="00CF6028" w:rsidP="00510ECA">
      <w:r w:rsidRPr="00BD597D">
        <w:t>63/13, 16931/13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Utbildningsdepartementet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Jan Björklund</w:t>
      </w:r>
    </w:p>
    <w:p w:rsidR="00CF6028" w:rsidRPr="00BD597D" w:rsidRDefault="00CF6028">
      <w:pPr>
        <w:pStyle w:val="RKnormal"/>
        <w:tabs>
          <w:tab w:val="clear" w:pos="1843"/>
          <w:tab w:val="left" w:pos="0"/>
        </w:tabs>
        <w:ind w:left="0"/>
      </w:pPr>
    </w:p>
    <w:p w:rsidR="00CF6028" w:rsidRPr="00510ECA" w:rsidRDefault="00CF6028" w:rsidP="00510ECA">
      <w:r w:rsidRPr="00510ECA">
        <w:t>Tidigare behandling i EU -nämnden: 2012-05-04</w:t>
      </w:r>
    </w:p>
    <w:p w:rsidR="00CF6028" w:rsidRDefault="00CF6028">
      <w:pPr>
        <w:pStyle w:val="RKnormal"/>
        <w:tabs>
          <w:tab w:val="clear" w:pos="1843"/>
          <w:tab w:val="left" w:pos="0"/>
        </w:tabs>
        <w:ind w:left="0"/>
      </w:pPr>
    </w:p>
    <w:p w:rsidR="00CF6028" w:rsidRPr="00510ECA" w:rsidRDefault="00CF6028" w:rsidP="00510ECA">
      <w:r>
        <w:t>Tidigare behandling vid rådsmöte: Utbildning, ungdom och kulturrådet</w:t>
      </w:r>
    </w:p>
    <w:p w:rsidR="00CF6028" w:rsidRDefault="00CF6028">
      <w:pPr>
        <w:pStyle w:val="RKnormal"/>
        <w:tabs>
          <w:tab w:val="clear" w:pos="1843"/>
          <w:tab w:val="left" w:pos="0"/>
        </w:tabs>
        <w:ind w:left="0"/>
      </w:pPr>
    </w:p>
    <w:p w:rsidR="00CF6028" w:rsidRPr="00510ECA" w:rsidRDefault="00CF6028" w:rsidP="00510ECA">
      <w:r>
        <w:t>Förväntas godkännas av Coreper I den 29 november 2013</w:t>
      </w:r>
    </w:p>
    <w:p w:rsidR="00CF6028" w:rsidRDefault="00CF6028">
      <w:pPr>
        <w:pStyle w:val="RKnormal"/>
        <w:tabs>
          <w:tab w:val="clear" w:pos="1843"/>
          <w:tab w:val="left" w:pos="0"/>
        </w:tabs>
        <w:ind w:left="0"/>
      </w:pPr>
    </w:p>
    <w:p w:rsidR="00CF6028" w:rsidRDefault="00CF6028" w:rsidP="00510ECA">
      <w:r>
        <w:t>Avsikt med behandlingen i rådet: Antagande</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att rådet antar förordningen med beteckningen PE-CONS 63/13.</w:t>
      </w:r>
    </w:p>
    <w:p w:rsidR="00CF6028" w:rsidRDefault="00CF6028" w:rsidP="00510ECA"/>
    <w:p w:rsidR="00CF6028" w:rsidRDefault="00CF6028" w:rsidP="00510ECA">
      <w:r>
        <w:t>Bakgrund</w:t>
      </w:r>
    </w:p>
    <w:p w:rsidR="00CF6028" w:rsidRDefault="00CF6028" w:rsidP="00510ECA">
      <w:r>
        <w:t xml:space="preserve">Den 23 november 2011 presenterade kommissionen förslag till förordning för programmet ”Erasmus för alla”. Under förhandlingarna om programmet har namnet ändrats till ”Erasmus+”. Programmet ska gälla för perioden 2014-2020 och omfattar allmän utbildning, yrkesutbildning, ungdom och idrott. </w:t>
      </w:r>
    </w:p>
    <w:p w:rsidR="00CF6028" w:rsidRDefault="00CF6028" w:rsidP="00510ECA"/>
    <w:p w:rsidR="00CF6028" w:rsidRDefault="00CF6028" w:rsidP="00510ECA">
      <w:r>
        <w:t xml:space="preserve">Vid EYCS-rådet den 11 maj 2012 antogs en partiell allmän riktlinje. </w:t>
      </w:r>
    </w:p>
    <w:p w:rsidR="00CF6028" w:rsidRDefault="00CF6028" w:rsidP="00510ECA"/>
    <w:p w:rsidR="00CF6028" w:rsidRDefault="00CF6028" w:rsidP="00510ECA">
      <w:r>
        <w:t xml:space="preserve">Den 26 juni 2013 godkände Coreper en kompromisstext som Europaparlamentet, efter mindre justeringar gjorda i överenskommelse med kommissionen och rådet, antog i plenum den 19 november 2013. </w:t>
      </w:r>
    </w:p>
    <w:p w:rsidR="00CF6028" w:rsidRDefault="00CF6028" w:rsidP="00510ECA"/>
    <w:p w:rsidR="00CF6028" w:rsidRDefault="00CF6028" w:rsidP="00510ECA">
      <w:r>
        <w:t xml:space="preserve">Programmet Erasmus+ ska främja internationellt samarbete inom utbildning, yrkesutbildning, ungdom och idrott. Programmet fokuserar på tre former av samarbete – mobilitet, utvecklingsprojekt och stöd till policyutveckling. Programmet ska bidra till att stärka EU:s tillväxt och konkurrenskraft genom att understödja de utbildningspolitiska mål som beslutats inom ramen för Europa 2020-strategin och inom Utbildning 2020. </w:t>
      </w:r>
    </w:p>
    <w:p w:rsidR="00CF6028" w:rsidRDefault="00CF6028" w:rsidP="00510ECA"/>
    <w:p w:rsidR="00CF6028" w:rsidRDefault="00CF6028" w:rsidP="00764BEC">
      <w:r>
        <w:t>SE har under förhandlingarna motsatt sig att programmet ska finansiera en europeisk studielånsgaranti. Studielånegarantin inkluderas nu i programmet och SE har lagt fram en deklaration tillsammans med FR, FI, DK, PL och SI.</w:t>
      </w:r>
    </w:p>
    <w:p w:rsidR="00CF6028" w:rsidRDefault="00CF6028" w:rsidP="00764BEC"/>
    <w:p w:rsidR="00CF6028" w:rsidRDefault="00CF6028" w:rsidP="00764BEC">
      <w:pPr>
        <w:pStyle w:val="Heading1"/>
      </w:pPr>
      <w:bookmarkStart w:id="88" w:name="_Toc373409377"/>
      <w:r>
        <w:t>Troliga A-punkter inför kommande rådsmöten som godkändes vid Coreper II vecka 2013-11-27</w:t>
      </w:r>
      <w:bookmarkEnd w:id="88"/>
    </w:p>
    <w:p w:rsidR="00CF6028" w:rsidRPr="00510ECA" w:rsidRDefault="00CF6028" w:rsidP="00510ECA">
      <w:pPr>
        <w:pStyle w:val="Heading2"/>
      </w:pPr>
      <w:bookmarkStart w:id="89" w:name="_Toc373409378"/>
      <w:r>
        <w:t>32. 2014 EU security inspection programme</w:t>
      </w:r>
      <w:bookmarkEnd w:id="89"/>
    </w:p>
    <w:p w:rsidR="00CF6028" w:rsidRPr="00510ECA" w:rsidRDefault="00CF6028" w:rsidP="00510ECA">
      <w:r>
        <w:t>16381/13</w:t>
      </w:r>
    </w:p>
    <w:p w:rsidR="00CF6028" w:rsidRDefault="00CF6028">
      <w:pPr>
        <w:pStyle w:val="RKnormal"/>
        <w:tabs>
          <w:tab w:val="clear" w:pos="1843"/>
          <w:tab w:val="left" w:pos="0"/>
        </w:tabs>
        <w:ind w:left="0"/>
      </w:pPr>
    </w:p>
    <w:p w:rsidR="00CF6028" w:rsidRPr="00510ECA" w:rsidRDefault="00CF6028" w:rsidP="00510ECA">
      <w:r>
        <w:t>Ansvarigt departement: Utrikesdepartementet</w:t>
      </w:r>
    </w:p>
    <w:p w:rsidR="00CF6028" w:rsidRDefault="00CF6028">
      <w:pPr>
        <w:pStyle w:val="RKnormal"/>
        <w:tabs>
          <w:tab w:val="clear" w:pos="1843"/>
          <w:tab w:val="left" w:pos="0"/>
        </w:tabs>
        <w:ind w:left="0"/>
      </w:pPr>
    </w:p>
    <w:p w:rsidR="00CF6028" w:rsidRPr="00510ECA" w:rsidRDefault="00CF6028" w:rsidP="00510ECA">
      <w:r>
        <w:t>Ansvarigt statsråd: Carl Bildt</w:t>
      </w:r>
    </w:p>
    <w:p w:rsidR="00CF6028" w:rsidRDefault="00CF6028">
      <w:pPr>
        <w:pStyle w:val="RKnormal"/>
        <w:tabs>
          <w:tab w:val="clear" w:pos="1843"/>
          <w:tab w:val="left" w:pos="0"/>
        </w:tabs>
        <w:ind w:left="0"/>
      </w:pPr>
    </w:p>
    <w:p w:rsidR="00CF6028" w:rsidRPr="00510ECA" w:rsidRDefault="00CF6028" w:rsidP="00510ECA">
      <w:r>
        <w:t>Godkänd av Coreper II den 27 november 2013</w:t>
      </w:r>
    </w:p>
    <w:p w:rsidR="00CF6028" w:rsidRDefault="00CF6028">
      <w:pPr>
        <w:pStyle w:val="RKnormal"/>
        <w:tabs>
          <w:tab w:val="clear" w:pos="1843"/>
          <w:tab w:val="left" w:pos="0"/>
        </w:tabs>
        <w:ind w:left="0"/>
      </w:pPr>
    </w:p>
    <w:p w:rsidR="00CF6028" w:rsidRDefault="00CF6028" w:rsidP="00510ECA">
      <w:r>
        <w:t>Avsikten med behandlingen i rådet:</w:t>
      </w:r>
    </w:p>
    <w:p w:rsidR="00CF6028" w:rsidRDefault="00CF6028" w:rsidP="00510ECA">
      <w:r>
        <w:t>Med förbehåll för bekräftelse i Coreper uppmanas rådet att godkänna EU:s program för säkerhetsinspektioner 2014, vilket dock kan komma att revideras om utvecklingen motiverar detta.</w:t>
      </w:r>
    </w:p>
    <w:p w:rsidR="00CF6028" w:rsidRDefault="00CF6028" w:rsidP="00510ECA"/>
    <w:p w:rsidR="00CF6028" w:rsidRDefault="00CF6028" w:rsidP="00510ECA">
      <w:r>
        <w:t>Hur ställer sig regeringen till blivande A-punkten:</w:t>
      </w:r>
    </w:p>
    <w:p w:rsidR="00CF6028" w:rsidRDefault="00CF6028" w:rsidP="00510ECA">
      <w:r>
        <w:t>Sverige godkänner förslaget från CSC.</w:t>
      </w:r>
    </w:p>
    <w:p w:rsidR="00CF6028" w:rsidRDefault="00CF6028" w:rsidP="00510ECA"/>
    <w:p w:rsidR="00CF6028" w:rsidRDefault="00CF6028" w:rsidP="00510ECA">
      <w:r>
        <w:t>Bakgrund:</w:t>
      </w:r>
    </w:p>
    <w:p w:rsidR="00CF6028" w:rsidRDefault="00CF6028" w:rsidP="00510ECA">
      <w:r>
        <w:t xml:space="preserve">I artikel 15.2 g i rådets säkerhetsbestämmelser föreskrivs att det periodiskt ska genomföras inspektion av säkerhetsarrangemangen för skydd av säkerhetsskyddsklassificerade EU-uppgifter i medlemsstaternas enheter och utrymmen. </w:t>
      </w:r>
    </w:p>
    <w:p w:rsidR="00CF6028" w:rsidRDefault="00CF6028" w:rsidP="00510ECA"/>
    <w:p w:rsidR="00CF6028" w:rsidRDefault="00CF6028" w:rsidP="00510ECA">
      <w:r>
        <w:t>Som man enades om 2011 bör fyra besök (Estland, Bulgarien, Österrike och Rumänien) ske under 2014. Besökens förlopp följer även fortsättningsvis ordförandeskapens ordningsföljd. Dessutom kommer Kroatien att inkluderas som en följd av landets anslutning till EU den 1 juli 2013.</w:t>
      </w:r>
    </w:p>
    <w:p w:rsidR="00CF6028" w:rsidRDefault="00CF6028" w:rsidP="00510ECA">
      <w:r>
        <w:t>Kanada, Ryssland och Occar: Säkerhetsutvärderingsbesök planerades för 2013. I avvaktan på slutförandet av förhandlingarna om ett informationssäkerhetsavtal med Kanada och om tekniska åtgärder med Ryska federationen och Occar uppsköts emellertid dessa till 2014.</w:t>
      </w:r>
    </w:p>
    <w:p w:rsidR="00CF6028" w:rsidRDefault="00CF6028" w:rsidP="00670954">
      <w:r>
        <w:t>Norge: Ett säkerhetsbesök genomfördes i Norge 2005. En anslutningspunkt för Fadosystemet har sedan dess installerats vilket gör ett uppföljningsbesök nödvändigt.</w:t>
      </w:r>
    </w:p>
    <w:p w:rsidR="00CF6028" w:rsidRPr="00510ECA" w:rsidRDefault="00CF6028" w:rsidP="00510ECA">
      <w:pPr>
        <w:pStyle w:val="Heading2"/>
        <w:rPr>
          <w:lang w:val="en-US"/>
        </w:rPr>
      </w:pPr>
      <w:bookmarkStart w:id="90" w:name="_Toc373409379"/>
      <w:r w:rsidRPr="00510ECA">
        <w:rPr>
          <w:lang w:val="en-US"/>
        </w:rPr>
        <w:t>33. Transparency - Public access to documentsa) Confirmatory application No 22/c/02/13b) Confirmatory application No 01/c/01/09 made by Ms Eva Moraga- New reply following the judgment of the General Court in Case C-280/11 P</w:t>
      </w:r>
      <w:bookmarkEnd w:id="90"/>
    </w:p>
    <w:p w:rsidR="00CF6028" w:rsidRPr="00BD597D" w:rsidRDefault="00CF6028" w:rsidP="00510ECA">
      <w:r>
        <w:t xml:space="preserve">15831/13, </w:t>
      </w:r>
      <w:r w:rsidRPr="00BD597D">
        <w:t>16166/13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Beatrice Ask</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Pr="00510ECA" w:rsidRDefault="00CF6028" w:rsidP="00670954">
      <w:pPr>
        <w:rPr>
          <w:lang w:val="en-US"/>
        </w:rPr>
      </w:pPr>
      <w:r w:rsidRPr="00510ECA">
        <w:rPr>
          <w:lang w:val="en-US"/>
        </w:rPr>
        <w:t xml:space="preserve">Föranleder ingen annotering. </w:t>
      </w:r>
    </w:p>
    <w:p w:rsidR="00CF6028" w:rsidRPr="00510ECA" w:rsidRDefault="00CF6028" w:rsidP="00510ECA">
      <w:pPr>
        <w:pStyle w:val="Heading2"/>
        <w:rPr>
          <w:lang w:val="en-US"/>
        </w:rPr>
      </w:pPr>
      <w:bookmarkStart w:id="91" w:name="_Toc373409380"/>
      <w:r w:rsidRPr="00510ECA">
        <w:rPr>
          <w:lang w:val="en-US"/>
        </w:rPr>
        <w:t xml:space="preserve">34. Multiannual Financial Framework (2014-2020)a) Council Regulation laying down the multiannual financial framework for the years 2014-2020b) Interinstitutional Agreement between the European Parliament, the Council and the Commission on budgetary discipline, cooperation in budgetary matters and on sound financial managementc) Council Regulation laying down the multiannual financial framework for the years 2014-2020 and draft Interinstitutional Agreement between the European Parliament, the Council and the Commission on budgetary discipline, cooperation in budgetary matters and on sound financial management </w:t>
      </w:r>
      <w:r>
        <w:rPr>
          <w:lang w:val="en-US"/>
        </w:rPr>
        <w:t>–</w:t>
      </w:r>
      <w:r w:rsidRPr="00510ECA">
        <w:rPr>
          <w:lang w:val="en-US"/>
        </w:rPr>
        <w:t xml:space="preserve"> statements= Adoption</w:t>
      </w:r>
      <w:bookmarkEnd w:id="91"/>
    </w:p>
    <w:p w:rsidR="00CF6028" w:rsidRDefault="00CF6028">
      <w:pPr>
        <w:pStyle w:val="RKnormal"/>
        <w:tabs>
          <w:tab w:val="clear" w:pos="1843"/>
          <w:tab w:val="left" w:pos="0"/>
        </w:tabs>
        <w:ind w:left="0"/>
        <w:rPr>
          <w:lang w:val="en-US"/>
        </w:rPr>
      </w:pPr>
    </w:p>
    <w:p w:rsidR="00CF6028" w:rsidRPr="00BD597D" w:rsidRDefault="00CF6028" w:rsidP="00510ECA">
      <w:r w:rsidRPr="00BD597D">
        <w:t>15997/13, 11791/7/13, 11838/13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Statsrådsberedningen</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Birgitta Ohlsson</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Tidigare behandling i riksdagen: 2013-06-26, 2013-06-24 (EU-nämnden inför möten i Europeiska rådet resp. Allmänna rådet)</w:t>
      </w:r>
    </w:p>
    <w:p w:rsidR="00CF6028" w:rsidRDefault="00CF6028" w:rsidP="00510ECA"/>
    <w:p w:rsidR="00CF6028" w:rsidRDefault="00CF6028" w:rsidP="00510ECA">
      <w:r>
        <w:t xml:space="preserve">Tidigare behandling vid rådsmöte: 2013-06-27/28, 2013-06-25 vid rådets möten (Europeiska rådet resp. Allmänna rådet) </w:t>
      </w:r>
    </w:p>
    <w:p w:rsidR="00CF6028" w:rsidRDefault="00CF6028" w:rsidP="00510ECA"/>
    <w:p w:rsidR="00CF6028" w:rsidRDefault="00CF6028" w:rsidP="00510ECA">
      <w:r>
        <w:t xml:space="preserve">Avsikt med behandling i rådet: </w:t>
      </w:r>
    </w:p>
    <w:p w:rsidR="00CF6028" w:rsidRDefault="00CF6028" w:rsidP="00510ECA">
      <w:r>
        <w:t>Antagande av:</w:t>
      </w:r>
    </w:p>
    <w:p w:rsidR="00CF6028" w:rsidRDefault="00CF6028" w:rsidP="00510ECA">
      <w:r>
        <w:t>"</w:t>
      </w:r>
      <w:r>
        <w:tab/>
        <w:t>rådets förordning om den fleråriga budgetramen för åren 2014-2020,</w:t>
      </w:r>
    </w:p>
    <w:p w:rsidR="00CF6028" w:rsidRDefault="00CF6028" w:rsidP="00510ECA">
      <w:r>
        <w:t>"</w:t>
      </w:r>
      <w:r>
        <w:tab/>
        <w:t>det interinstitutionella avtalet mellan Europaparlamentet, rådet och kommissionen om budgetdisciplin, samarbete i budgetära frågor och sund ekonomisk förvaltning, samt</w:t>
      </w:r>
    </w:p>
    <w:p w:rsidR="00CF6028" w:rsidRDefault="00CF6028" w:rsidP="00510ECA">
      <w:r>
        <w:t>"</w:t>
      </w:r>
      <w:r>
        <w:tab/>
        <w:t xml:space="preserve">rådets förordning om den fleråriga budgetramen för åren 2014-2020 och utkastet till Interinstitutionellt avtal mellan Europaparlamentet, rådet och kommissionen om budgetdisciplin, samarbete i budgetära frågor och sund ekonomisk förvaltning - uttalanden. </w:t>
      </w:r>
    </w:p>
    <w:p w:rsidR="00CF6028" w:rsidRDefault="00CF6028" w:rsidP="00510ECA"/>
    <w:p w:rsidR="00CF6028" w:rsidRDefault="00CF6028" w:rsidP="00510ECA">
      <w:r>
        <w:t>Hur regeringen ställer sig till den blivande I-punkten:</w:t>
      </w:r>
    </w:p>
    <w:p w:rsidR="00CF6028" w:rsidRDefault="00CF6028" w:rsidP="00510ECA">
      <w:r>
        <w:t>Regeringen avser att rösta ja till den blivande I-punkten.</w:t>
      </w:r>
    </w:p>
    <w:p w:rsidR="00CF6028" w:rsidRDefault="00CF6028" w:rsidP="00510ECA"/>
    <w:p w:rsidR="00CF6028" w:rsidRDefault="00CF6028" w:rsidP="00510ECA">
      <w:r>
        <w:t>Bakgrund:</w:t>
      </w:r>
    </w:p>
    <w:p w:rsidR="00CF6028" w:rsidRDefault="00CF6028" w:rsidP="00510ECA">
      <w:r>
        <w:t xml:space="preserve">Kommissionen presenterade den 29 juni 2011 ett förslag till förordning för den fleråriga budgetramen för perioden 2014-2020 och ett utkast till interinstitutionellt avtal mellan Europaparlamentet, rådet och kommissionen om budgetdisciplin, samarbete i budgetfrågor och sund ekonomisk förvaltning. Budgetramen sätter tak för EU:s utgifter per utgiftsrubrik och år samt totalt för hela budgetperioden. Den nya budgetramen ska träda i kraft den 1 januari 2014. </w:t>
      </w:r>
    </w:p>
    <w:p w:rsidR="00CF6028" w:rsidRDefault="00CF6028" w:rsidP="00510ECA"/>
    <w:p w:rsidR="00CF6028" w:rsidRDefault="00CF6028" w:rsidP="00510ECA">
      <w:r>
        <w:t>Europeiska rådet nådde den 7-8 februari 2013 en uppgörelse i form av slutsatser för utformningen av den fleråriga budgetramen för kommande period. Under våren 2013 fokuserade arbetet i rådet på att införliva dessa slutsatser i kommissionens förslag till budgetramsförordning och interinstitutionellt avtal. För att budgetramen ska kunna träda i kraft krävs enligt fördraget att budgetramsförordningen godkänns av Europaparlamentet. Parallellt med behandlingen i rådet bedrevs därför under våren omfattande förhandlingar i trilogform mellan Europaparlamentet, rådet och kommissionen. I slutet av juni nåddes en politisk överenskommelse på högsta politiska nivå mellan de tre institutionerna. Europaparlamentet röstade formellt om förordningen om den fleråriga budgetramen och det nya interinstitutionella avtalet för perioden 2014-2020 den 19 november 2013.</w:t>
      </w:r>
    </w:p>
    <w:p w:rsidR="00CF6028" w:rsidRDefault="00CF6028" w:rsidP="00510ECA"/>
    <w:p w:rsidR="00CF6028" w:rsidRPr="00510ECA" w:rsidRDefault="00CF6028" w:rsidP="00670954">
      <w:r>
        <w:t xml:space="preserve">Sverige har i förhandlingarna varit pådrivande för en restriktiv utgiftsnivå och bevarade rabatter och i syfte att värna avgiften samt en modernisering av utgiftsstrukturen genom omprioriteringar mellan utgiftsområden, vilket också blev en del av resultatet. Inom ramen för en totalt sett minskad utgiftsnivå jämfört med föregående budgetperiod, ökar satsningarna på tillväxtfrämjande åtgärder som t.ex. forskning medan utgifterna för bl.a. EU:s gemensamma jordbrukspolitik minskar. </w:t>
      </w:r>
    </w:p>
    <w:p w:rsidR="00CF6028" w:rsidRPr="00510ECA" w:rsidRDefault="00CF6028" w:rsidP="00510ECA">
      <w:pPr>
        <w:pStyle w:val="Heading2"/>
        <w:rPr>
          <w:lang w:val="en-US"/>
        </w:rPr>
      </w:pPr>
      <w:bookmarkStart w:id="92" w:name="_Toc373409381"/>
      <w:r w:rsidRPr="00510ECA">
        <w:rPr>
          <w:lang w:val="en-US"/>
        </w:rPr>
        <w:t>35. ECOFIN report to the European Council on Tax issues= Endorsement</w:t>
      </w:r>
      <w:bookmarkEnd w:id="92"/>
    </w:p>
    <w:p w:rsidR="00CF6028" w:rsidRPr="00BD597D" w:rsidRDefault="00CF6028" w:rsidP="00510ECA">
      <w:r w:rsidRPr="00BD597D">
        <w:t>16657/13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Finansdepartementet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Anders Borg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Ekofinrådet ska godkänna en rapport om skattefrågor, vilken ska överlämnas till Europeiska rådet den 19 – 20 december 2013. </w:t>
      </w:r>
    </w:p>
    <w:p w:rsidR="00CF6028" w:rsidRDefault="00CF6028" w:rsidP="00510ECA"/>
    <w:p w:rsidR="00CF6028" w:rsidRDefault="00CF6028" w:rsidP="00510ECA">
      <w:r>
        <w:t xml:space="preserve">Hur ställer sig regeringen till den blivande A-punkten: </w:t>
      </w:r>
    </w:p>
    <w:p w:rsidR="00CF6028" w:rsidRDefault="00CF6028" w:rsidP="00510ECA">
      <w:r>
        <w:t>Regeringen har inga invändningar emot utkastet till rapport.</w:t>
      </w:r>
    </w:p>
    <w:p w:rsidR="00CF6028" w:rsidRDefault="00CF6028" w:rsidP="00510ECA"/>
    <w:p w:rsidR="00CF6028" w:rsidRDefault="00CF6028" w:rsidP="00510ECA">
      <w:r>
        <w:t xml:space="preserve">Bakgrund: </w:t>
      </w:r>
    </w:p>
    <w:p w:rsidR="00CF6028" w:rsidRDefault="00CF6028" w:rsidP="00510ECA">
      <w:r>
        <w:t xml:space="preserve">Rapporten tas fram efter uppmaning till finansministrarna från Europeiska rådet att återrapportera om arbetet med skattefrågor. </w:t>
      </w:r>
    </w:p>
    <w:p w:rsidR="00CF6028" w:rsidRDefault="00CF6028" w:rsidP="00510ECA"/>
    <w:p w:rsidR="00CF6028" w:rsidRPr="00BD597D" w:rsidRDefault="00CF6028" w:rsidP="00670954">
      <w:r>
        <w:t>Innehållet i rapporten, vilken beskriver det arbete som bedrivits på skatteområdet under det litauiska ordförandeskapet, har behandlats vid möte i rådets högnivågrupp för skattefrågor den 19 november 2013.</w:t>
      </w:r>
    </w:p>
    <w:p w:rsidR="00CF6028" w:rsidRPr="00510ECA" w:rsidRDefault="00CF6028" w:rsidP="00510ECA">
      <w:pPr>
        <w:pStyle w:val="Heading2"/>
        <w:rPr>
          <w:lang w:val="en-US"/>
        </w:rPr>
      </w:pPr>
      <w:bookmarkStart w:id="93" w:name="_Toc373409382"/>
      <w:r w:rsidRPr="00510ECA">
        <w:rPr>
          <w:lang w:val="en-US"/>
        </w:rPr>
        <w:t>36. Report by Finance Ministers on Tax issues in the framework of the Euro Plus Pact= Endorsement</w:t>
      </w:r>
      <w:bookmarkEnd w:id="93"/>
    </w:p>
    <w:p w:rsidR="00CF6028" w:rsidRPr="00BD597D" w:rsidRDefault="00CF6028" w:rsidP="00510ECA">
      <w:r w:rsidRPr="00BD597D">
        <w:t>16658/13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Finansdepartementet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Anders Borg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Ekofinrådet ska godkänna en rapport om det arbete som bedrivits på skatteområdet inom ramen för europluspakten. Rapporten ska överlämnas till Europeiska rådet den 19 – 20 december 2013. </w:t>
      </w:r>
    </w:p>
    <w:p w:rsidR="00CF6028" w:rsidRDefault="00CF6028" w:rsidP="00510ECA"/>
    <w:p w:rsidR="00CF6028" w:rsidRDefault="00CF6028" w:rsidP="00510ECA">
      <w:r>
        <w:t xml:space="preserve">Hur ställer sig regeringen till den blivande A-punkten: </w:t>
      </w:r>
    </w:p>
    <w:p w:rsidR="00CF6028" w:rsidRDefault="00CF6028" w:rsidP="00510ECA">
      <w:r>
        <w:t>Regeringen har inga invändningar emot utkastet till rapport.</w:t>
      </w:r>
    </w:p>
    <w:p w:rsidR="00CF6028" w:rsidRDefault="00CF6028" w:rsidP="00510ECA"/>
    <w:p w:rsidR="00CF6028" w:rsidRDefault="00CF6028" w:rsidP="00510ECA">
      <w:r>
        <w:t xml:space="preserve">Bakgrund: </w:t>
      </w:r>
    </w:p>
    <w:p w:rsidR="00CF6028" w:rsidRDefault="00CF6028" w:rsidP="00510ECA">
      <w:r>
        <w:t xml:space="preserve">Rapporten tas fram efter uppmaning till deltagande finansministrar i Europluspakten från Europeiska rådet att återrapportera om skattefrågor. </w:t>
      </w:r>
    </w:p>
    <w:p w:rsidR="00CF6028" w:rsidRDefault="00CF6028" w:rsidP="00510ECA"/>
    <w:p w:rsidR="00CF6028" w:rsidRPr="00BD597D" w:rsidRDefault="00CF6028" w:rsidP="00670954">
      <w:r>
        <w:t>Innehållet i rapporten, vilken beskriver det arbete som bedrivits inom ramen för europluspakten under det litauiska ordförandeskapet, har behandlats i anslutning till möte i rådets högnivågrupp för skattefrågor den 19 november 2013.</w:t>
      </w:r>
    </w:p>
    <w:p w:rsidR="00CF6028" w:rsidRPr="00510ECA" w:rsidRDefault="00CF6028" w:rsidP="00510ECA">
      <w:pPr>
        <w:pStyle w:val="Heading2"/>
        <w:rPr>
          <w:lang w:val="en-US"/>
        </w:rPr>
      </w:pPr>
      <w:bookmarkStart w:id="94" w:name="_Toc373409383"/>
      <w:r w:rsidRPr="00510ECA">
        <w:rPr>
          <w:lang w:val="en-US"/>
        </w:rPr>
        <w:t>37. Draft Council conclusions on Special Report No 23/2012 by the European Court of Auditors: "Have EU Structural Measures Successfully Supported the Regeneration of Industrial and Military Brownfield Sites?"</w:t>
      </w:r>
      <w:bookmarkEnd w:id="94"/>
    </w:p>
    <w:p w:rsidR="00CF6028" w:rsidRPr="00BD597D" w:rsidRDefault="00CF6028" w:rsidP="00510ECA">
      <w:r w:rsidRPr="00BD597D">
        <w:t>16734/13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Annie Lööf</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godkänna slutsatser med anledning av revisionsrapporten.</w:t>
      </w:r>
    </w:p>
    <w:p w:rsidR="00CF6028" w:rsidRDefault="00CF6028" w:rsidP="00510ECA"/>
    <w:p w:rsidR="00CF6028" w:rsidRDefault="00CF6028" w:rsidP="00510ECA">
      <w:r>
        <w:t xml:space="preserve">Hur regeringen ställer sig till den blivande a-punkten: </w:t>
      </w:r>
    </w:p>
    <w:p w:rsidR="00CF6028" w:rsidRDefault="00CF6028" w:rsidP="00510ECA">
      <w:r>
        <w:t>Regeringen stödjer förslaget till slutsatser.</w:t>
      </w:r>
    </w:p>
    <w:p w:rsidR="00CF6028" w:rsidRDefault="00CF6028" w:rsidP="00510ECA"/>
    <w:p w:rsidR="00CF6028" w:rsidRDefault="00CF6028" w:rsidP="00510ECA">
      <w:r>
        <w:t xml:space="preserve">Bakgrund: </w:t>
      </w:r>
    </w:p>
    <w:p w:rsidR="00CF6028" w:rsidRPr="00BD597D" w:rsidRDefault="00CF6028" w:rsidP="00670954">
      <w:r>
        <w:t>Många före detta industri- och militärområden är kraftigt förorenade och behöver åtgärdas av hälso- och miljöskäl, men också för återanvändning och skapande av nya jobb. Strukturfonderna har använts för detta ändamål och revisionsrätten har studerat 27 fall. I dessa har i allmänhet återställandet av områdena uppnåtts, men inte alltid det framtida användandet och jobb skapandet. Till detta har bidragit den ekonomiska nedgången men också bristen på vettig marknadsanalys av förutsättningarna. En del projekt har också blivit onödigt dyra, eftersom man inte tillämpat förorenaren betalar principen fullt ut.</w:t>
      </w:r>
    </w:p>
    <w:p w:rsidR="00CF6028" w:rsidRPr="00510ECA" w:rsidRDefault="00CF6028" w:rsidP="00510ECA">
      <w:pPr>
        <w:pStyle w:val="Heading2"/>
        <w:rPr>
          <w:lang w:val="en-US"/>
        </w:rPr>
      </w:pPr>
      <w:bookmarkStart w:id="95" w:name="_Toc373409384"/>
      <w:r w:rsidRPr="00510ECA">
        <w:rPr>
          <w:lang w:val="en-US"/>
        </w:rPr>
        <w:t>38. Proposal for a Regulation of the European Parliament and of the Council amending Regulation (EU) No 99/2013 on the European statistical programme 2013-17 [First reading] = Approval of the final compromise text</w:t>
      </w:r>
      <w:bookmarkEnd w:id="95"/>
    </w:p>
    <w:p w:rsidR="00CF6028" w:rsidRPr="00BD597D" w:rsidRDefault="00CF6028" w:rsidP="00510ECA">
      <w:r w:rsidRPr="00BD597D">
        <w:t>16642/13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Finansdepartementet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Peter Norman</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 i rådet: </w:t>
      </w:r>
    </w:p>
    <w:p w:rsidR="00CF6028" w:rsidRDefault="00CF6028" w:rsidP="00510ECA">
      <w:r>
        <w:t>Rådet ska godkänna den slutliga kompromisstexten.</w:t>
      </w:r>
    </w:p>
    <w:p w:rsidR="00CF6028" w:rsidRDefault="00CF6028" w:rsidP="00510ECA"/>
    <w:p w:rsidR="00CF6028" w:rsidRDefault="00CF6028" w:rsidP="00510ECA">
      <w:r>
        <w:t xml:space="preserve">Hur regeringen ställer sig till den blivande a-punkten: </w:t>
      </w:r>
    </w:p>
    <w:p w:rsidR="00CF6028" w:rsidRDefault="00CF6028" w:rsidP="00510ECA">
      <w:r>
        <w:t>Regeringen godkänner A-punkten.</w:t>
      </w:r>
    </w:p>
    <w:p w:rsidR="00CF6028" w:rsidRDefault="00CF6028" w:rsidP="00510ECA"/>
    <w:p w:rsidR="00CF6028" w:rsidRDefault="00CF6028" w:rsidP="00510ECA">
      <w:r>
        <w:t xml:space="preserve">Bakgrund: </w:t>
      </w:r>
    </w:p>
    <w:p w:rsidR="00CF6028" w:rsidRDefault="00CF6028" w:rsidP="00510ECA">
      <w:r>
        <w:t xml:space="preserve">Kommissionen presenterade den 17 juli 2013 förslag till Europaparlamentets och rådets förordning om ändring av förordning (EU) nr 99/2013 om programmet för europeisk statistik 2013-2017. Europaparlamentets utskott för ekonomi och valutafrågor antog den 2 oktober 2013, utan ändringar, en rapport om kommissionens förslag. </w:t>
      </w:r>
    </w:p>
    <w:p w:rsidR="00CF6028" w:rsidRDefault="00CF6028" w:rsidP="00510ECA"/>
    <w:p w:rsidR="00CF6028" w:rsidRPr="00BD597D" w:rsidRDefault="00CF6028" w:rsidP="00670954">
      <w:r>
        <w:t>Förslaget innebär att unionens finansiella anslag för genomförandet av programmet för europeisk statistik 2014-2017 fastställs till 234,8 miljoner euro, vilket täcks av den fleråriga budgetramen för 2014-2020.</w:t>
      </w:r>
    </w:p>
    <w:p w:rsidR="00CF6028" w:rsidRPr="00510ECA" w:rsidRDefault="00CF6028" w:rsidP="00510ECA">
      <w:pPr>
        <w:pStyle w:val="Heading2"/>
        <w:rPr>
          <w:lang w:val="en-US"/>
        </w:rPr>
      </w:pPr>
      <w:bookmarkStart w:id="96" w:name="_Toc373409385"/>
      <w:r w:rsidRPr="00510ECA">
        <w:rPr>
          <w:lang w:val="en-US"/>
        </w:rPr>
        <w:t>39. Commission Proposal for a Directive of the European Parliament and of the Council amending Directives 2003/71/EC and 2009/138/EC in respect of the powers of the European Insurance and Occupational Pensions Authority and the European Securities and Markets Authority (Omnibus 2) [First reading]</w:t>
      </w:r>
      <w:bookmarkEnd w:id="96"/>
    </w:p>
    <w:p w:rsidR="00CF6028" w:rsidRPr="00BD597D" w:rsidRDefault="00CF6028" w:rsidP="00510ECA">
      <w:r w:rsidRPr="00BD597D">
        <w:t>16698/13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Finansdepartementet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Peter Norman</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Anta det slutliga kompromissförslaget gällande Omnibus II-direktivet.</w:t>
      </w:r>
    </w:p>
    <w:p w:rsidR="00CF6028" w:rsidRDefault="00CF6028" w:rsidP="00510ECA"/>
    <w:p w:rsidR="00CF6028" w:rsidRDefault="00CF6028" w:rsidP="00510ECA">
      <w:r>
        <w:t xml:space="preserve">Hur regeringen ställer sig till den blivande A-punkten: </w:t>
      </w:r>
    </w:p>
    <w:p w:rsidR="00CF6028" w:rsidRDefault="00CF6028" w:rsidP="00510ECA">
      <w:r>
        <w:t>Regeringen anser att kompromissförslaget kan godtas.</w:t>
      </w:r>
    </w:p>
    <w:p w:rsidR="00CF6028" w:rsidRDefault="00CF6028" w:rsidP="00510ECA"/>
    <w:p w:rsidR="00CF6028" w:rsidRDefault="00CF6028" w:rsidP="00510ECA">
      <w:r>
        <w:t xml:space="preserve">Bakgrund: </w:t>
      </w:r>
    </w:p>
    <w:p w:rsidR="00CF6028" w:rsidRDefault="00CF6028" w:rsidP="00510ECA">
      <w:r>
        <w:t xml:space="preserve">Kommissionen lade i februari 2011 fram ett förslag till ändringsdirektiv, omnibus II-direktivet. Förslaget innehåller en rad ändringar i prospektdirektivet (2003/71/EG) och solvens II-direktivet (2009/138/EG).  Ändringarna är en konsekvens bl.a. av att en europeisk försäkrings- och tjänstepensionsmyndighet (EIOPA) och en europeiska värdepappers- och marknadsmyndighet (ESMA) inrättats.  När det gäller de föreslagna ändringarna i solvens II-direktivet är dessa även en konsekvens av Lissabonfördraget. </w:t>
      </w:r>
    </w:p>
    <w:p w:rsidR="00CF6028" w:rsidRDefault="00CF6028" w:rsidP="00510ECA"/>
    <w:p w:rsidR="00CF6028" w:rsidRDefault="00CF6028" w:rsidP="00510ECA">
      <w:r>
        <w:t>Omnibus II-direktivet diskuterades i Coreper redan den 28 september 2011. Europaparlamentet röstade om förslaget den 21 mars 2012. Förhandlingar mellan rådet, europaparlamentet och kommissionen (s.k. trilogförhandlingar) påbörjades i april 2012. Någon politisk överenskommelse nåddes dock inte. Anledningen till detta var att flera medlemsstater ville att EIOPA skulle göra en mer djuplodad analys avseende hur försäkringsföretagens långa försäkringsskulder skulle beräknas.  EIOPA presenterade sommaren 2013 en rapport i frågan. Därefter återupptogs förhandlingarna i rådet och parallellt med dessa trilogförhandlingarna. Dessa förhandlingar har nu mynnat ut i ett slutligt kompromissförslag som rådet och parlamentet har accepterat.</w:t>
      </w:r>
    </w:p>
    <w:p w:rsidR="00CF6028" w:rsidRDefault="00CF6028" w:rsidP="00510ECA"/>
    <w:p w:rsidR="00CF6028" w:rsidRDefault="00CF6028" w:rsidP="00510ECA">
      <w:r>
        <w:t>Utöver de förhandlingar som rört villkoren för hur försäkringsföretagens långa försäkringsskulder ska beräknas under solvens II-regelverket har även frågan angående införlivande- och ikraftträdandedatum dominerat höstens förhandlingar. Denna fråga har dock redan behandlats i ett separat ändringsdirektiv som antogs på Coreper i november 2013. Datumen har därmed fastställts till den 31 mars 2015 respektive den 1 januari 2016.</w:t>
      </w:r>
    </w:p>
    <w:p w:rsidR="00CF6028" w:rsidRDefault="00CF6028" w:rsidP="00510ECA"/>
    <w:p w:rsidR="00CF6028" w:rsidRDefault="00CF6028" w:rsidP="00510ECA">
      <w:r>
        <w:t>Den viktigaste frågan för regeringen under förhandlingarna har, förutom datumfrågan, varit att diskonteringskurvan som ligger till grund för beräkning av de försäkringstekniska skulderna, ska kunna anpassas utifrån den lokala obligations- och valutamarknaden. Detta har man fått gehör för i förhandlingarna.</w:t>
      </w:r>
    </w:p>
    <w:p w:rsidR="00CF6028" w:rsidRDefault="00CF6028" w:rsidP="00510ECA"/>
    <w:p w:rsidR="00CF6028" w:rsidRDefault="00CF6028" w:rsidP="00510ECA">
      <w:r>
        <w:t>Även att det införs en väl avvägd övergångsbestämmelse beträffande solvens II-regleringens införande för de försäkringsföretag som också bedriver tjänstepensionsverksamhet, har varit en viktig fråga för regeringen. Det slutliga kompromissförslaget innehåller en sådan regel. Den innebär en möjlighet för försäkringsföretagen att fullt ut tillämpa äldre regler för tjänstepensionsverksamhet fram till den 31 december 2019.</w:t>
      </w:r>
    </w:p>
    <w:p w:rsidR="00CF6028" w:rsidRDefault="00CF6028" w:rsidP="00510ECA"/>
    <w:p w:rsidR="00CF6028" w:rsidRPr="00BD597D" w:rsidRDefault="00CF6028" w:rsidP="00670954">
      <w:r>
        <w:t>Regeringen anser att den slutliga direktivtexten är acceptabel och avser att stödja förslaget.</w:t>
      </w:r>
    </w:p>
    <w:p w:rsidR="00CF6028" w:rsidRPr="00510ECA" w:rsidRDefault="00CF6028" w:rsidP="00510ECA">
      <w:pPr>
        <w:pStyle w:val="Heading2"/>
        <w:rPr>
          <w:lang w:val="en-US"/>
        </w:rPr>
      </w:pPr>
      <w:bookmarkStart w:id="97" w:name="_Toc373409386"/>
      <w:r w:rsidRPr="00510ECA">
        <w:rPr>
          <w:lang w:val="en-US"/>
        </w:rPr>
        <w:t>40. Proposal for a Directive of the European Parliament and of the Council on credit agreements relating to residential property (Mortgage Credit Directive- MCD) [First reading]- Approval of the final compromise texts</w:t>
      </w:r>
      <w:bookmarkEnd w:id="97"/>
    </w:p>
    <w:p w:rsidR="00CF6028" w:rsidRPr="00BD597D" w:rsidRDefault="00CF6028" w:rsidP="00510ECA">
      <w:r w:rsidRPr="00BD597D">
        <w:t>16698/13, 16330/13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Beatrice Ask</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Avsikten med en kommande behandling i Rådet är att anta en politisk överenskommelse angående Europaparlamentets och rådets direktiv om bostadslåneavtal. Ordförandeskapet vill därmed få mandat att till Europaparlamentet indikera att Rådet kommer godkänna parlamentets kommande ståndpunkt, förutsatt att den exakt motsvarar lydelsen enligt dokumenten 8895/13 (inklusive korrigendum 1 och 2) och 16330/13. Antagandet förväntas sen ske med förbehåll för ev. nödvändiga ändringar gjorda av rådets och Europaparlamentets juristlingvister av texten i dokumenten 8895/13 och 16330/13.</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ställer sig bakom den politiska överenskommelsen och att direktivet därmed kan antas genom en överenskommelse under den första läsningen. </w:t>
      </w:r>
    </w:p>
    <w:p w:rsidR="00CF6028" w:rsidRDefault="00CF6028" w:rsidP="00510ECA"/>
    <w:p w:rsidR="00CF6028" w:rsidRDefault="00CF6028" w:rsidP="00510ECA">
      <w:r>
        <w:t>Bakgrund:</w:t>
      </w:r>
    </w:p>
    <w:p w:rsidR="00CF6028" w:rsidRDefault="00CF6028" w:rsidP="00510ECA">
      <w:r>
        <w:t xml:space="preserve">Kommissionen har föreslagit ett direktiv som gäller bostadskrediter till konsumenter och vissa krav på tillsyn och övervakning av kreditgivare och kreditförmedlare. Förslaget har två syften. För det första att för sådana krediter skapa en effektiv och konkurrenskraftig inre marknad för konsumenter, kreditgivare och kreditförmedlare med en hög skyddsnivå. För det andra att främja finansiell stabilitet genom att sörja för ansvarsfullt fungerande marknader för bostadskrediter. Direktivet är tänkt att leda till en fullständig harmonisering på vissa av de områden som det reglerar och i övrigt medföra en harmonisering på miniminivå. </w:t>
      </w:r>
    </w:p>
    <w:p w:rsidR="00CF6028" w:rsidRDefault="00CF6028" w:rsidP="00510ECA"/>
    <w:p w:rsidR="00CF6028" w:rsidRPr="00510ECA" w:rsidRDefault="00CF6028" w:rsidP="00670954">
      <w:r>
        <w:t>Sverige är positivt till ett direktiv som med ett stärkt konsumentskydd främjar såväl en integrerad marknad för bostadslåneavtal inom EU som den finansiella stabiliteten på området. Det föreslagna direktivet ligger i flera frågor i sak nära det nu gällande konsumentkreditdirektivet  , vars bestämmelser i Sverige i stor utsträckning gjorts gällande också på bostadslån. Det slutliga kompromissförslaget mellan rådet och Europaparlamentet i trilogförhandlingarna (8895/13) bedöms rymmas inom den svenska justerade ståndpunkt som Civilutskottet ställt sig bakom, även om Sverige hade önskat att graden av harmonisering i förslaget skulle ha varit högre. Den bedömningen ändras inte av de ändringar som gjorts i Annex 2 till dokument 16330/13.</w:t>
      </w:r>
    </w:p>
    <w:p w:rsidR="00CF6028" w:rsidRPr="00510ECA" w:rsidRDefault="00CF6028" w:rsidP="00510ECA">
      <w:pPr>
        <w:pStyle w:val="Heading2"/>
        <w:rPr>
          <w:lang w:val="en-US"/>
        </w:rPr>
      </w:pPr>
      <w:bookmarkStart w:id="98" w:name="_Toc373409387"/>
      <w:r w:rsidRPr="00510ECA">
        <w:rPr>
          <w:lang w:val="en-US"/>
        </w:rPr>
        <w:t>41. Proposal for a Regulation of the European Parliament and of the Council establishing an action programme for taxation in the European Union for the period 2014-2020 (Fiscalis 2020) and repealing Decision No 1482/2007/EC [First reading] (LA + S) = Adoption of the legislative act</w:t>
      </w:r>
      <w:bookmarkEnd w:id="98"/>
    </w:p>
    <w:p w:rsidR="00CF6028" w:rsidRPr="00BD597D" w:rsidRDefault="00CF6028" w:rsidP="00510ECA">
      <w:r w:rsidRPr="00BD597D">
        <w:t>16087/13, 33/13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Finansdepartementet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Anders Borg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ska anta förordningen.</w:t>
      </w:r>
    </w:p>
    <w:p w:rsidR="00CF6028" w:rsidRDefault="00CF6028" w:rsidP="00510ECA"/>
    <w:p w:rsidR="00CF6028" w:rsidRDefault="00CF6028" w:rsidP="00510ECA">
      <w:r>
        <w:t xml:space="preserve">Regeringens ståndpunkt: </w:t>
      </w:r>
    </w:p>
    <w:p w:rsidR="00CF6028" w:rsidRDefault="00CF6028" w:rsidP="00510ECA">
      <w:r>
        <w:t xml:space="preserve">Regeringen kan ställa sig bakom förslaget. </w:t>
      </w:r>
    </w:p>
    <w:p w:rsidR="00CF6028" w:rsidRDefault="00CF6028" w:rsidP="00510ECA"/>
    <w:p w:rsidR="00CF6028" w:rsidRDefault="00CF6028" w:rsidP="00510ECA">
      <w:r>
        <w:t xml:space="preserve">Bakgrund: </w:t>
      </w:r>
    </w:p>
    <w:p w:rsidR="00CF6028" w:rsidRPr="00510ECA" w:rsidRDefault="00CF6028" w:rsidP="00670954">
      <w:pPr>
        <w:rPr>
          <w:lang w:val="en-US"/>
        </w:rPr>
      </w:pPr>
      <w:r>
        <w:t xml:space="preserve">Fiscalis 2020 är en fortsättning på tidigare Fiscalisprogram (Fiscalis 2002, 2007 och 2013). Programmet syftar till att stärka den inre marknaden genom ändamålsenliga och effektiva skattesystem. </w:t>
      </w:r>
      <w:r w:rsidRPr="00510ECA">
        <w:rPr>
          <w:lang w:val="en-US"/>
        </w:rPr>
        <w:t xml:space="preserve">Se vidare faktapromemoria 2012/13:FPM25. </w:t>
      </w:r>
    </w:p>
    <w:p w:rsidR="00CF6028" w:rsidRPr="00510ECA" w:rsidRDefault="00CF6028" w:rsidP="00510ECA">
      <w:pPr>
        <w:pStyle w:val="Heading2"/>
        <w:rPr>
          <w:lang w:val="en-US"/>
        </w:rPr>
      </w:pPr>
      <w:bookmarkStart w:id="99" w:name="_Toc373409388"/>
      <w:r w:rsidRPr="00510ECA">
        <w:rPr>
          <w:lang w:val="en-US"/>
        </w:rPr>
        <w:t>42. Proposal for a Regulation of the European Parliament and of the Council amending Council Regulation (EC) No 539/2001 listing the third countries whose nationals must be in possession of visas when crossing the external borders and those whose nationals are exempt from that requirement [First reading] (LA + S)= Adoption of the legislative act</w:t>
      </w:r>
      <w:bookmarkEnd w:id="99"/>
    </w:p>
    <w:p w:rsidR="00CF6028" w:rsidRPr="00BD597D" w:rsidRDefault="00CF6028" w:rsidP="00510ECA">
      <w:r w:rsidRPr="00BD597D">
        <w:t>16088/13, 65/13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Tobias Billström</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Avsikten med behandlingen i rådet är att anta ändringar av viseringsförordningen (539/2001). </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rösta ja till förslaget. </w:t>
      </w:r>
    </w:p>
    <w:p w:rsidR="00CF6028" w:rsidRDefault="00CF6028" w:rsidP="00510ECA"/>
    <w:p w:rsidR="00CF6028" w:rsidRDefault="00CF6028" w:rsidP="00510ECA">
      <w:r>
        <w:t xml:space="preserve">Bakgrund: </w:t>
      </w:r>
    </w:p>
    <w:p w:rsidR="00CF6028" w:rsidRDefault="00CF6028" w:rsidP="00510ECA">
      <w:r>
        <w:t xml:space="preserve">Frågan rör ändringar i viseringsförordningen, det handlar om mindre tekniska justeringar samt införande av en suspenderingsmekanism för att möjliggöra att under vissa omständigheter tillfälligt återinföra viseringskrav för medborgare i tredje land. Dessa omständigheter kan vara då viseringsfrihet har lett till en plötslig och hög inströmning av ogrundade asylansökningar, en plötslig och hög omfattning av olaglig invandring från ett särskilt tredje land eller i fall då ett tredje land i betydande utsträckning vägrar att återta sina medborgare. Ändringen motiveras med att om ett undantag från viseringskravet leder till omfattande olaglig migration eller missbruk, eller äventyrar säkerheten, så bör EU ha tillgång till lämpliga redskap för att effektivt kunna avhjälpa situationen. Ett förslag om tillfällig suspendering av viseringsfrihet föreslås av kommissionen och beslut fattas genom kommittologi och det granskande förfarandet. </w:t>
      </w:r>
    </w:p>
    <w:p w:rsidR="00CF6028" w:rsidRDefault="00CF6028" w:rsidP="00510ECA"/>
    <w:p w:rsidR="00CF6028" w:rsidRDefault="00CF6028" w:rsidP="00510ECA">
      <w:r>
        <w:t xml:space="preserve">Vidare så rör ändringarna i viseringsförordningen införandet av en så kallad reciprocitetsmekanism där rutiner för hanteringen av en situation då ett viseringsfritt tredjeland återinför eller bibehåller viseringskrav gentemot en enskild EU-medlemsstat fastställs. </w:t>
      </w:r>
    </w:p>
    <w:p w:rsidR="00CF6028" w:rsidRDefault="00CF6028" w:rsidP="00510ECA"/>
    <w:p w:rsidR="00CF6028" w:rsidRDefault="00CF6028" w:rsidP="00670954">
      <w:r>
        <w:t xml:space="preserve">Europaparlamentet antog dessa ändringar vid en omröstning i plenum den 12 september 2013. </w:t>
      </w:r>
    </w:p>
    <w:p w:rsidR="00CF6028" w:rsidRPr="00510ECA" w:rsidRDefault="00CF6028" w:rsidP="00510ECA">
      <w:pPr>
        <w:pStyle w:val="Heading2"/>
        <w:rPr>
          <w:lang w:val="en-US"/>
        </w:rPr>
      </w:pPr>
      <w:bookmarkStart w:id="100" w:name="_Toc373409389"/>
      <w:r w:rsidRPr="00510ECA">
        <w:rPr>
          <w:lang w:val="en-US"/>
        </w:rPr>
        <w:t>43. Proposal for a Regulation of the European Parliament and of the Council amending Council Regulation (EC) No 1083/2006 as regards certain provisions relating to financial management for certain Member States experiencing or threatened with serious difficulties with respect to their financial stability and to the decommitment rules for certain Member States [First reading] (LA) = Adoption of the legislative act</w:t>
      </w:r>
      <w:bookmarkEnd w:id="100"/>
    </w:p>
    <w:p w:rsidR="00CF6028" w:rsidRPr="00BD597D" w:rsidRDefault="00CF6028" w:rsidP="00510ECA">
      <w:r w:rsidRPr="00BD597D">
        <w:t>16566/13, 101/13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Annie Lööf</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Antagande av lagstiftningsakten. </w:t>
      </w:r>
    </w:p>
    <w:p w:rsidR="00CF6028" w:rsidRDefault="00CF6028" w:rsidP="00510ECA"/>
    <w:p w:rsidR="00CF6028" w:rsidRDefault="00CF6028" w:rsidP="00510ECA">
      <w:r>
        <w:t xml:space="preserve">Hur regeringen ställer sig till den blivande a-punkten: </w:t>
      </w:r>
    </w:p>
    <w:p w:rsidR="00CF6028" w:rsidRDefault="00CF6028" w:rsidP="00510ECA">
      <w:r>
        <w:t>Regeringen stödjer förordningsändringen.</w:t>
      </w:r>
    </w:p>
    <w:p w:rsidR="00CF6028" w:rsidRDefault="00CF6028" w:rsidP="00510ECA"/>
    <w:p w:rsidR="00CF6028" w:rsidRDefault="00CF6028" w:rsidP="00510ECA">
      <w:r>
        <w:t xml:space="preserve">Bakgrund: </w:t>
      </w:r>
    </w:p>
    <w:p w:rsidR="00CF6028" w:rsidRPr="00BD597D" w:rsidRDefault="00CF6028" w:rsidP="00670954">
      <w:r>
        <w:t xml:space="preserve">Förslagets ursprung är Europeiska rådets slutsatser från i februari i år. I korthet innebär det att Rumänien och Slovakien, när det gäller automatiskt återtagande av medel, får N+3 (i stället för N+2) för 2011 och 2012 års åtaganden. Vidare får medlemsstater med tillfälliga budgetsvårigheter och som är i stödprogram (EL, CY, PT och RO) förhöjd EU-medfinansiering med 10 procentenheter till 2016. </w:t>
      </w:r>
    </w:p>
    <w:p w:rsidR="00CF6028" w:rsidRPr="00510ECA" w:rsidRDefault="00CF6028" w:rsidP="00510ECA">
      <w:pPr>
        <w:pStyle w:val="Heading2"/>
        <w:rPr>
          <w:lang w:val="en-US"/>
        </w:rPr>
      </w:pPr>
      <w:bookmarkStart w:id="101" w:name="_Toc373409390"/>
      <w:r w:rsidRPr="00510ECA">
        <w:rPr>
          <w:lang w:val="en-US"/>
        </w:rPr>
        <w:t>44. Proposal for a Regulation of the European Parliament and of the Council amending Council Regulation (EC) No 1083/2006 as regards the financial allocation for certain Member States from the European Social Fund [First reading] (LA) = Adoption of the legislative act</w:t>
      </w:r>
      <w:bookmarkEnd w:id="101"/>
    </w:p>
    <w:p w:rsidR="00CF6028" w:rsidRPr="00BD597D" w:rsidRDefault="00CF6028" w:rsidP="00510ECA">
      <w:r w:rsidRPr="00BD597D">
        <w:t>16568/13, 102/13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Näringsdepartementet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Annie Lööf</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Antagande av lagstiftningsakten. </w:t>
      </w:r>
    </w:p>
    <w:p w:rsidR="00CF6028" w:rsidRDefault="00CF6028" w:rsidP="00510ECA"/>
    <w:p w:rsidR="00CF6028" w:rsidRDefault="00CF6028" w:rsidP="00510ECA">
      <w:r>
        <w:t xml:space="preserve">Hur regeringen ställer sig till den blivande a-punkten: </w:t>
      </w:r>
    </w:p>
    <w:p w:rsidR="00CF6028" w:rsidRDefault="00CF6028" w:rsidP="00510ECA">
      <w:r>
        <w:t>Regeringen stödjer förordningsändringen.</w:t>
      </w:r>
    </w:p>
    <w:p w:rsidR="00CF6028" w:rsidRDefault="00CF6028" w:rsidP="00510ECA"/>
    <w:p w:rsidR="00CF6028" w:rsidRDefault="00CF6028" w:rsidP="00510ECA">
      <w:r>
        <w:t xml:space="preserve">Bakgrund: </w:t>
      </w:r>
    </w:p>
    <w:p w:rsidR="00CF6028" w:rsidRDefault="00CF6028" w:rsidP="00510ECA">
      <w:r>
        <w:t>Ändringsförslaget har sitt ursprung i den slutliga uppgörelsen om EU:s långtidsbudget för perioden 2014-2020 och innebär att Frankrike, Italien och Spanien tilldelas extra socialfondsmedel för 2013 med 100, 30 respektive 20 miljoner euro. För att detta skulle bli möjligt krävdes en ändring av budgeten för 2013.</w:t>
      </w:r>
    </w:p>
    <w:p w:rsidR="00CF6028" w:rsidRDefault="00CF6028" w:rsidP="00510ECA"/>
    <w:p w:rsidR="00CF6028" w:rsidRPr="00BD597D" w:rsidRDefault="00CF6028" w:rsidP="00670954">
      <w:r>
        <w:t>Ändringsbudgeten medför att beloppen i ett antal artiklar och bilagor i den allmänna strukturfondsförordningen (1083/2006) blir obsoleta, varför de föreslagna ändringarna behöver göras.</w:t>
      </w:r>
    </w:p>
    <w:p w:rsidR="00CF6028" w:rsidRPr="00510ECA" w:rsidRDefault="00CF6028" w:rsidP="00510ECA">
      <w:pPr>
        <w:pStyle w:val="Heading2"/>
        <w:rPr>
          <w:lang w:val="en-US"/>
        </w:rPr>
      </w:pPr>
      <w:bookmarkStart w:id="102" w:name="_Toc373409391"/>
      <w:r w:rsidRPr="00510ECA">
        <w:rPr>
          <w:lang w:val="en-US"/>
        </w:rPr>
        <w:t>45. Joint Declaration on the Mobility Partnership between Tunisia and the European Union and its Member States</w:t>
      </w:r>
      <w:bookmarkEnd w:id="102"/>
    </w:p>
    <w:p w:rsidR="00CF6028" w:rsidRPr="00BD597D" w:rsidRDefault="00CF6028" w:rsidP="00510ECA">
      <w:r w:rsidRPr="00BD597D">
        <w:t>16371/13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Tobias Billström</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godkänna utkast till gemensam deklaration för etablerande av partnerskap för rörlighet (Mobility Partnership) mellan EU och Tunisien.</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godkänna utkastet till gemensam deklaration för etablerande av partnerskap för rörlighet.</w:t>
      </w:r>
    </w:p>
    <w:p w:rsidR="00CF6028" w:rsidRDefault="00CF6028" w:rsidP="00510ECA"/>
    <w:p w:rsidR="00CF6028" w:rsidRDefault="00CF6028" w:rsidP="00510ECA">
      <w:r>
        <w:t xml:space="preserve">Bakgrund: </w:t>
      </w:r>
    </w:p>
    <w:p w:rsidR="00CF6028" w:rsidRDefault="00CF6028" w:rsidP="00510ECA">
      <w:r>
        <w:t>EU har hittills ingått fem partnerskap för rörlighet: Moldavien (2008), Georgien (2009), Armenien (2011), Kap Verde (2009) och Marocko (2013). Förhandlingar om partnerskap för rörlighet pågår nu även med Tunisien och Azerbajdzjan. Sverige deltar i partnerskapen med Moldavien, Georgien, Armenien och Marocko och avser delta i partnerskap för rörlighet med Tunisien.</w:t>
      </w:r>
    </w:p>
    <w:p w:rsidR="00CF6028" w:rsidRDefault="00CF6028" w:rsidP="00510ECA"/>
    <w:p w:rsidR="00CF6028" w:rsidRPr="00510ECA" w:rsidRDefault="00CF6028" w:rsidP="00670954">
      <w:r>
        <w:t xml:space="preserve">EU:s partnerskap för rörlighet är det primära instrumentet för samarbete med EU:s grannskapsländer på migrationsområdet. Partnerskapen fungerar som paraply för projekt och initiativ mellan intresserade medlemsstater och partnerlandet på de fyra huvudområden som ingår i den övergripande strategin: bättre organisera laglig migration och rörlighet, förebygga och bekämpa olaglig invandring, maximera de positiva kopplingarna mellan migration och utveckling och främja internationellt skydd. Etablerande av partnerskap för rörlighet med ett tredje land innebär förhandling om viseringsförenklingsavtal och återtagandeavtal. </w:t>
      </w:r>
    </w:p>
    <w:p w:rsidR="00CF6028" w:rsidRPr="00510ECA" w:rsidRDefault="00CF6028" w:rsidP="00510ECA">
      <w:pPr>
        <w:pStyle w:val="Heading2"/>
        <w:rPr>
          <w:lang w:val="en-US"/>
        </w:rPr>
      </w:pPr>
      <w:bookmarkStart w:id="103" w:name="_Toc373409392"/>
      <w:r w:rsidRPr="00510ECA">
        <w:rPr>
          <w:lang w:val="en-US"/>
        </w:rPr>
        <w:t>46. Joint Declaration on a Mobility Partnership between the Republic of Azerbaijan and the European Union and its Member States</w:t>
      </w:r>
      <w:bookmarkEnd w:id="103"/>
    </w:p>
    <w:p w:rsidR="00CF6028" w:rsidRPr="00BD597D" w:rsidRDefault="00CF6028" w:rsidP="00510ECA">
      <w:r w:rsidRPr="00BD597D">
        <w:t>16399/13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Tobias Billström</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Rådet föreslås godkänna gemensam deklaration för etablering av EU partnerskap för rörlighet mellan Azerbaidjan och EU och dess medlemsstater. </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mot bakgrund av svenskt stöd för etablering av ett partnerskap för rörlighet med Azerbaidjan. Sverige avser emellertid inte i nuläget att delta i partnerskapet med Azerbaidjan.</w:t>
      </w:r>
    </w:p>
    <w:p w:rsidR="00CF6028" w:rsidRDefault="00CF6028" w:rsidP="00510ECA"/>
    <w:p w:rsidR="00CF6028" w:rsidRDefault="00CF6028" w:rsidP="00510ECA">
      <w:r>
        <w:t xml:space="preserve">Bakgrund: </w:t>
      </w:r>
    </w:p>
    <w:p w:rsidR="00CF6028" w:rsidRDefault="00CF6028" w:rsidP="00670954">
      <w:r>
        <w:t xml:space="preserve">Partnerskap för rörlighet är ett samarbetsinstrument för genomförandet av EU:s övergripande strategi för migration och rörlighet i EU:s yttre förbindelser. Partnerskap för rörlighet omfattar samtliga asyl- och migrationsområden och syftar i första hand till att samla kapacitetsuppbyggnadsprojekt under ett och samma ramverk. EU har sedan tidigare etablerat partnerskap för rörlighet med Moldavien, Georgien, Armenien och Kap Verde.  </w:t>
      </w:r>
    </w:p>
    <w:p w:rsidR="00CF6028" w:rsidRPr="00670954" w:rsidRDefault="00CF6028">
      <w:pPr>
        <w:spacing w:line="240" w:lineRule="auto"/>
        <w:rPr>
          <w:rFonts w:ascii="Arial" w:hAnsi="Arial" w:cs="Arial"/>
          <w:b/>
          <w:i/>
          <w:iCs/>
          <w:kern w:val="28"/>
        </w:rPr>
      </w:pPr>
      <w:r w:rsidRPr="00670954">
        <w:br w:type="page"/>
      </w:r>
    </w:p>
    <w:p w:rsidR="00CF6028" w:rsidRPr="00510ECA" w:rsidRDefault="00CF6028" w:rsidP="00510ECA">
      <w:pPr>
        <w:pStyle w:val="Heading2"/>
        <w:rPr>
          <w:lang w:val="en-US"/>
        </w:rPr>
      </w:pPr>
      <w:bookmarkStart w:id="104" w:name="_Toc373409393"/>
      <w:r>
        <w:rPr>
          <w:lang w:val="en-US"/>
        </w:rPr>
        <w:t xml:space="preserve">47. </w:t>
      </w:r>
      <w:r w:rsidRPr="00510ECA">
        <w:rPr>
          <w:lang w:val="en-US"/>
        </w:rPr>
        <w:t>Council Decision on the signing, on behalf of the European Union, of the Agreement between Canada and the European Union on the transfer and processing of Passenger Name Record data- Adoption= Council Decision on the conclusion, on behalf of the European Union, of the Agreement between Canada and the European Union on the transfer and processing of Passenger Name Record data- Request by the Council for the consent of the European Parliament</w:t>
      </w:r>
      <w:bookmarkEnd w:id="104"/>
    </w:p>
    <w:p w:rsidR="00CF6028" w:rsidRPr="00BD597D" w:rsidRDefault="00CF6028" w:rsidP="00510ECA">
      <w:r w:rsidRPr="00BD597D">
        <w:t>16419/13, 17112652/13, 12653/13, 12657/13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Beatrice Ask</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Avsikten är att rådet ska fatta beslut om att bemyndiga personer att underteckna avtalet med Kanada. Därefter ska processen rörande att ingå avtalet fortsätta genom att ärendet underställs Europaparlamentet (EP) för godkännande. Sedan EP godkänt avtalet ska det åter tas upp i rådet för beslut om slutligt ingående.</w:t>
      </w:r>
    </w:p>
    <w:p w:rsidR="00CF6028" w:rsidRDefault="00CF6028" w:rsidP="00510ECA"/>
    <w:p w:rsidR="00CF6028" w:rsidRDefault="00CF6028" w:rsidP="00510ECA">
      <w:r>
        <w:t xml:space="preserve">Hur regeringen ställer sig till den blivande A-punkten: </w:t>
      </w:r>
    </w:p>
    <w:p w:rsidR="00CF6028" w:rsidRDefault="00CF6028" w:rsidP="00510ECA">
      <w:r>
        <w:t>Regeringen har för avsikt att rösta ja till förslaget om undertecknande och sedermera också ingående av avtalet.</w:t>
      </w:r>
    </w:p>
    <w:p w:rsidR="00CF6028" w:rsidRDefault="00CF6028" w:rsidP="00510ECA"/>
    <w:p w:rsidR="00CF6028" w:rsidRDefault="00CF6028" w:rsidP="00670954">
      <w:r>
        <w:t xml:space="preserve">Bakgrund: </w:t>
      </w:r>
    </w:p>
    <w:p w:rsidR="00CF6028" w:rsidRPr="00670954" w:rsidRDefault="00CF6028" w:rsidP="00670954">
      <w:r>
        <w:t xml:space="preserve">Avtalet med Kanada avser reglering av flygbolagens skyldigheter att överlämna s.k. PNR-data till kanadensiska myndigheter med syfte att dessa uppgifter ska kunna behandlas för bekämpning av grov brottslighet och terrorism. Avtalet innehåller högt ställdakrav på dataskydd och integritet för den enskilde, något som SE krävt och fått gehör för. </w:t>
      </w:r>
    </w:p>
    <w:p w:rsidR="00CF6028" w:rsidRPr="00510ECA" w:rsidRDefault="00CF6028" w:rsidP="00510ECA">
      <w:pPr>
        <w:pStyle w:val="Heading2"/>
        <w:rPr>
          <w:lang w:val="en-US"/>
        </w:rPr>
      </w:pPr>
      <w:bookmarkStart w:id="105" w:name="_Toc373409394"/>
      <w:r>
        <w:rPr>
          <w:lang w:val="en-US"/>
        </w:rPr>
        <w:t>48</w:t>
      </w:r>
      <w:r w:rsidRPr="00510ECA">
        <w:rPr>
          <w:lang w:val="en-US"/>
        </w:rPr>
        <w:t>. Adoption of a Council Decision authorising the Commission to open negotiations on the conclusion of an agreement between the European Union and the Kingdom of Morocco on the facilitation of the issuance of short-stay visas</w:t>
      </w:r>
      <w:bookmarkEnd w:id="105"/>
    </w:p>
    <w:p w:rsidR="00CF6028" w:rsidRPr="00BD597D" w:rsidRDefault="00CF6028" w:rsidP="00510ECA">
      <w:r w:rsidRPr="00BD597D">
        <w:t>16084/13, 16083/13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Tobias Billström</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Rådet föreslås anta förslag att ge kommissionen mandat att inleda förhandlingar om viseringsförenklingsavtal med Marocko. </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rösta ja till att mandatet antas. </w:t>
      </w:r>
    </w:p>
    <w:p w:rsidR="00CF6028" w:rsidRDefault="00CF6028" w:rsidP="00510ECA"/>
    <w:p w:rsidR="00CF6028" w:rsidRDefault="00CF6028" w:rsidP="00510ECA">
      <w:r>
        <w:t xml:space="preserve">Bakgrund: </w:t>
      </w:r>
    </w:p>
    <w:p w:rsidR="00CF6028" w:rsidRDefault="00CF6028" w:rsidP="00510ECA">
      <w:r>
        <w:t xml:space="preserve">Den 7 juni 2013 undertecknades ett partnerskap för rörlighet mellan EU och Marocko. Partnerskapet är ett direkt svar på en uppmaning från Europeiska rådet (23-24 juni 2011) att inleda en dialog med Marocko på migrationsområdet i syfte att ingå partnerskap. I detta partnerskap, liksom i EU:s övriga partnerskap för rörlighet med tredje land, ingår att förhandlingar om viseringsförenklingsavtal inleds. Den 8 oktober 2013 presenterade kommissionen en rekommendation till rådet om att bemyndiga kommissionen att inleda förhandlingar om ett viseringsförenklingsavtal med Marocko. </w:t>
      </w:r>
    </w:p>
    <w:p w:rsidR="00CF6028" w:rsidRDefault="00CF6028" w:rsidP="00510ECA"/>
    <w:p w:rsidR="00CF6028" w:rsidRPr="00510ECA" w:rsidRDefault="00CF6028" w:rsidP="00670954">
      <w:r>
        <w:t>Viseringsförenklingsavtalet omfattar bestämmelser om sänkta viseringsavgifter, kortare handläggningstider för utfärdande av viseringar och bestämmelser som möjliggör att i större utsträckning utfärda viseringar som kan användas för flera inresor samt bestämmelser om viseringsfrihet för diplomater och innehavare av tjänstepass. Parallellt med förhandlingarna om ett viseringsförenklingsavtal så ska kommissionen fortsätta de redan pågående förhandlingar om ett återtagandeavtal med Marocko. Dessa båda avtal kommer så småningom att träda i kraft samtidigt.</w:t>
      </w:r>
    </w:p>
    <w:p w:rsidR="00CF6028" w:rsidRPr="00510ECA" w:rsidRDefault="00CF6028" w:rsidP="00510ECA">
      <w:pPr>
        <w:pStyle w:val="Heading2"/>
        <w:rPr>
          <w:lang w:val="en-US"/>
        </w:rPr>
      </w:pPr>
      <w:bookmarkStart w:id="106" w:name="_Toc373409395"/>
      <w:r>
        <w:rPr>
          <w:lang w:val="en-US"/>
        </w:rPr>
        <w:t>49</w:t>
      </w:r>
      <w:r w:rsidRPr="00510ECA">
        <w:rPr>
          <w:lang w:val="en-US"/>
        </w:rPr>
        <w:t>. Draft declaration updating the EU-Western Balkans commitment to fight against drugs</w:t>
      </w:r>
      <w:bookmarkEnd w:id="106"/>
    </w:p>
    <w:p w:rsidR="00CF6028" w:rsidRPr="00BD597D" w:rsidRDefault="00CF6028" w:rsidP="00510ECA">
      <w:r w:rsidRPr="00BD597D">
        <w:t>16403/13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Socialdepartementet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Maria Larsson</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Rådet antog 2009 en handlingsplan för EU och länderna på Balkan om att bekämpa narkotika. Handlingsplanen går ut i slutet av december 2013 men den föreslagna deklarationen avser förlänga och uppdatera samarbetet. Deklarationen förväntas antas den 19-20 december vid ministermöte för EU och Västra Balkan i Budva, Montenegro.</w:t>
      </w:r>
    </w:p>
    <w:p w:rsidR="00CF6028" w:rsidRDefault="00CF6028" w:rsidP="00510ECA"/>
    <w:p w:rsidR="00CF6028" w:rsidRPr="00510ECA" w:rsidRDefault="00CF6028" w:rsidP="00670954">
      <w:pPr>
        <w:rPr>
          <w:lang w:val="en-US"/>
        </w:rPr>
      </w:pPr>
      <w:r w:rsidRPr="00510ECA">
        <w:rPr>
          <w:lang w:val="en-US"/>
        </w:rPr>
        <w:t xml:space="preserve">Regeringen avser stödja deklarationen. </w:t>
      </w:r>
    </w:p>
    <w:p w:rsidR="00CF6028" w:rsidRPr="00510ECA" w:rsidRDefault="00CF6028" w:rsidP="00510ECA">
      <w:pPr>
        <w:pStyle w:val="Heading2"/>
        <w:rPr>
          <w:lang w:val="en-US"/>
        </w:rPr>
      </w:pPr>
      <w:bookmarkStart w:id="107" w:name="_Toc373409396"/>
      <w:r>
        <w:rPr>
          <w:lang w:val="en-US"/>
        </w:rPr>
        <w:t>50</w:t>
      </w:r>
      <w:r w:rsidRPr="00510ECA">
        <w:rPr>
          <w:lang w:val="en-US"/>
        </w:rPr>
        <w:t>. Draft Agreement on Operational and Strategic Co-operation between the Republic of Serbia and the European Police Office</w:t>
      </w:r>
      <w:bookmarkEnd w:id="107"/>
    </w:p>
    <w:p w:rsidR="00CF6028" w:rsidRPr="00BD597D" w:rsidRDefault="00CF6028" w:rsidP="00510ECA">
      <w:r w:rsidRPr="00BD597D">
        <w:t>16350/13, 15021/13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Beatrice Ask</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 xml:space="preserve">Avsikten är att rådet ska godkänna förslaget till avtal mellan Europol och Serbien innan det kan undertecknas av parterna. </w:t>
      </w:r>
    </w:p>
    <w:p w:rsidR="00CF6028" w:rsidRDefault="00CF6028" w:rsidP="00510ECA"/>
    <w:p w:rsidR="00CF6028" w:rsidRDefault="00CF6028" w:rsidP="00510ECA">
      <w:r>
        <w:t xml:space="preserve">Hur regeringen ställer sig till den blivande A-punkten: </w:t>
      </w:r>
    </w:p>
    <w:p w:rsidR="00CF6028" w:rsidRDefault="00CF6028" w:rsidP="00510ECA">
      <w:r>
        <w:t>Regeringen har för avsikt att rösta ja till att godkänna förslaget om undertecknande ingående av avtalet.</w:t>
      </w:r>
    </w:p>
    <w:p w:rsidR="00CF6028" w:rsidRDefault="00CF6028" w:rsidP="00510ECA"/>
    <w:p w:rsidR="00CF6028" w:rsidRDefault="00CF6028" w:rsidP="00510ECA">
      <w:r>
        <w:t xml:space="preserve">Bakgrund: </w:t>
      </w:r>
    </w:p>
    <w:p w:rsidR="00CF6028" w:rsidRDefault="00CF6028" w:rsidP="00510ECA">
      <w:r>
        <w:t xml:space="preserve">Förslaget till avtal mellan Europol och Serbien har förhandlats mellan parterna. Därefter har Europols styrelse i enlighet med artikel 23(2) i rådets beslut om att inrätta Europol översänt det slutförhandlade avtalet till rådet för att få dess godkännande innan undertecknandet sker. </w:t>
      </w:r>
    </w:p>
    <w:p w:rsidR="00CF6028" w:rsidRDefault="00CF6028" w:rsidP="00510ECA"/>
    <w:p w:rsidR="00CF6028" w:rsidRPr="00510ECA" w:rsidRDefault="00CF6028" w:rsidP="00670954">
      <w:r>
        <w:t xml:space="preserve">Europols styrelse bedömer att alla förutsättningar, inklusive högt ställda krav på dataskydd och skydd för den personliga integriteten, är uppfyllda och att avtalet därför kan ingås. </w:t>
      </w:r>
    </w:p>
    <w:p w:rsidR="00CF6028" w:rsidRPr="00510ECA" w:rsidRDefault="00CF6028" w:rsidP="00510ECA">
      <w:pPr>
        <w:pStyle w:val="Heading2"/>
        <w:rPr>
          <w:lang w:val="en-US"/>
        </w:rPr>
      </w:pPr>
      <w:bookmarkStart w:id="108" w:name="_Toc373409397"/>
      <w:r>
        <w:rPr>
          <w:lang w:val="en-US"/>
        </w:rPr>
        <w:t>51</w:t>
      </w:r>
      <w:r w:rsidRPr="00510ECA">
        <w:rPr>
          <w:lang w:val="en-US"/>
        </w:rPr>
        <w:t>. Draft Agreement on Operational and Strategic Co-operation between the Republic of Albania and the European Police Office</w:t>
      </w:r>
      <w:bookmarkEnd w:id="108"/>
    </w:p>
    <w:p w:rsidR="00CF6028" w:rsidRPr="00BD597D" w:rsidRDefault="00CF6028" w:rsidP="00510ECA">
      <w:r w:rsidRPr="00BD597D">
        <w:t>16351/13, 15040/13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Beatrice Ask</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pPr>
        <w:spacing w:line="240" w:lineRule="auto"/>
      </w:pPr>
      <w:r>
        <w:br w:type="page"/>
      </w:r>
    </w:p>
    <w:p w:rsidR="00CF6028" w:rsidRDefault="00CF6028" w:rsidP="00510ECA">
      <w:r>
        <w:t xml:space="preserve">Avsikt med behandlingen i rådet: </w:t>
      </w:r>
    </w:p>
    <w:p w:rsidR="00CF6028" w:rsidRDefault="00CF6028" w:rsidP="00510ECA">
      <w:r>
        <w:t xml:space="preserve">Avsikten är att rådet ska godkänna förslaget till avtal mellan Europol och Albanien innan det kan undertecknas av parterna. </w:t>
      </w:r>
    </w:p>
    <w:p w:rsidR="00CF6028" w:rsidRDefault="00CF6028" w:rsidP="00510ECA"/>
    <w:p w:rsidR="00CF6028" w:rsidRDefault="00CF6028" w:rsidP="00510ECA">
      <w:r>
        <w:t xml:space="preserve">Hur regeringen ställer sig till den blivande A-punkten: </w:t>
      </w:r>
    </w:p>
    <w:p w:rsidR="00CF6028" w:rsidRDefault="00CF6028" w:rsidP="00510ECA">
      <w:r>
        <w:t>Regeringen har för avsikt att rösta ja till att godkänna förslaget om undertecknande ingående av avtalet.</w:t>
      </w:r>
    </w:p>
    <w:p w:rsidR="00CF6028" w:rsidRDefault="00CF6028" w:rsidP="00510ECA"/>
    <w:p w:rsidR="00CF6028" w:rsidRDefault="00CF6028" w:rsidP="00510ECA">
      <w:r>
        <w:t>Bakgrund:</w:t>
      </w:r>
    </w:p>
    <w:p w:rsidR="00CF6028" w:rsidRDefault="00CF6028" w:rsidP="00510ECA">
      <w:r>
        <w:t xml:space="preserve"> Förslaget till avtal mellan Europol och Albanien har förhandlats mellan parterna. Därefter har Europols styrelse i enlighet med artikel 23(2) i rådets beslut om att inrätta Europol översänt det slutförhandlade avtalet till rådet för att få dess godkännande innan undertecknandet sker. </w:t>
      </w:r>
    </w:p>
    <w:p w:rsidR="00CF6028" w:rsidRDefault="00CF6028" w:rsidP="00510ECA"/>
    <w:p w:rsidR="00CF6028" w:rsidRDefault="00CF6028" w:rsidP="00670954">
      <w:r>
        <w:t xml:space="preserve">Europols styrelse bedömer att alla förutsättningar, inklusive högt ställda krav på dataskydd och skydd för den personliga integriteten, är uppfyllda och att avtalet därför kan ingås.  </w:t>
      </w:r>
    </w:p>
    <w:p w:rsidR="00CF6028" w:rsidRPr="00510ECA" w:rsidRDefault="00CF6028" w:rsidP="00510ECA">
      <w:pPr>
        <w:pStyle w:val="Heading2"/>
        <w:rPr>
          <w:lang w:val="en-US"/>
        </w:rPr>
      </w:pPr>
      <w:bookmarkStart w:id="109" w:name="_Toc373409398"/>
      <w:r>
        <w:rPr>
          <w:lang w:val="en-US"/>
        </w:rPr>
        <w:t>52</w:t>
      </w:r>
      <w:r w:rsidRPr="00510ECA">
        <w:rPr>
          <w:lang w:val="en-US"/>
        </w:rPr>
        <w:t>. Draft Council Conclusions adopting the 2014-2016 EU work programme on minimising risks to safety, security and public order in connection with sports events, in particular football matches, with an international dimension</w:t>
      </w:r>
      <w:bookmarkEnd w:id="109"/>
    </w:p>
    <w:p w:rsidR="00CF6028" w:rsidRPr="00BD597D" w:rsidRDefault="00CF6028" w:rsidP="00510ECA">
      <w:r w:rsidRPr="00BD597D">
        <w:t>16373/13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Beatrice Ask</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anta rådsslutsatserna.</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godkänna rådets slutsatser om antagande av EU-arbetsprogrammet för 2014-2016 om att minimera riskerna för säkerheten, tryggheten och den allmänna ordningen i samband med idrottsevenemang, framförallt fotbollsmatcher, med en internationell dimension</w:t>
      </w:r>
    </w:p>
    <w:p w:rsidR="00CF6028" w:rsidRDefault="00CF6028" w:rsidP="00510ECA"/>
    <w:p w:rsidR="00CF6028" w:rsidRDefault="00CF6028" w:rsidP="00510ECA">
      <w:r>
        <w:t xml:space="preserve">Bakgrund: </w:t>
      </w:r>
    </w:p>
    <w:p w:rsidR="00CF6028" w:rsidRPr="00510ECA" w:rsidRDefault="00CF6028" w:rsidP="00670954">
      <w:r>
        <w:t>Rådets arbetsgrupp för brottsbekämpning (expertgruppen för större idrottsevenemang) antar fleråriga arbetsprogram där de aktiviteter som gruppen avser arbeta med anges. Den huvudsakliga inriktningen för arbetet syftar till att skapa gemensamma förhållningssätt för hur medlemsstaternas polismyndigheter, gemensamt och enskilt, ska kunna förbättra säkerheten och tryggheten samt upprätthålla den allmänna ordningen i samband med idrottsevenemang, framförallt fotbollsmatcher med en internationell dimension. I arbetsprogrammet framgår att man mellan 2014-2016 ska verka för att stärka samarbetet mellan de europeiska polismyndigheterna bland annat genom att, med hjälp av EU-finansiering, säkerställa adekvata möjligheter till informationsutbyte mellan de nationella kontaktpunkterna för fotboll (NFIP). Vidare avser man stärka samarbetet med Europol och UEFA samt verka för att tillhandahålla utbildning riktad till polismyndigheter i Europa angående polisarbete vid fotbollsmatcher. Därutöver ska gruppen förbereda ett utkast till uppdatering av EU:s fotbollshandbok mot bakgrund av erfarenheter från fotbolls-EM 2012 och den alleuropeiska utbildningen i polisarbete vid fotbollsmatcher och andra relevanta projekt inom detta område, samt beaktat god europeisk praxis.</w:t>
      </w:r>
    </w:p>
    <w:p w:rsidR="00CF6028" w:rsidRPr="00510ECA" w:rsidRDefault="00CF6028" w:rsidP="00510ECA">
      <w:pPr>
        <w:pStyle w:val="Heading2"/>
        <w:rPr>
          <w:lang w:val="en-US"/>
        </w:rPr>
      </w:pPr>
      <w:bookmarkStart w:id="110" w:name="_Toc373409399"/>
      <w:r>
        <w:rPr>
          <w:lang w:val="en-US"/>
        </w:rPr>
        <w:t>53</w:t>
      </w:r>
      <w:r w:rsidRPr="00510ECA">
        <w:rPr>
          <w:lang w:val="en-US"/>
        </w:rPr>
        <w:t>. Initiative of Belgium, Bulgaria, the Czech Republic, Germany, Estonia, Greece, Spain, France, Croatia, Italy, Cyprus, Latvia, Lithuania, Luxembourg, Hungary, Malta, the Netherlands, Austria, Poland, Portugal, Romania, Slovenia, Slovakia, Finland and Sweden for a Regulation of the European Parliament and of the Council amending Decision 2005/681/JHA establishing the European Police College (CEPOL)</w:t>
      </w:r>
      <w:bookmarkEnd w:id="110"/>
    </w:p>
    <w:p w:rsidR="00CF6028" w:rsidRPr="00BD597D" w:rsidRDefault="00CF6028" w:rsidP="00510ECA">
      <w:r w:rsidRPr="00BD597D">
        <w:t>16411/13, 16378/13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Justitiedepartementet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Beatrice Ask</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Coreper ska be generalsekretariatet att skicka förslaget till förordning till kommissionen, Europaparlamentet och medlemsstaternas nationella parlament samt notera att förslaget kommer att publiceras i Official Journal of the European Union.</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Regerinen godkänner förfarandet. </w:t>
      </w:r>
    </w:p>
    <w:p w:rsidR="00CF6028" w:rsidRDefault="00CF6028" w:rsidP="00510ECA"/>
    <w:p w:rsidR="00CF6028" w:rsidRDefault="00CF6028" w:rsidP="00510ECA">
      <w:r>
        <w:t xml:space="preserve">Bakgrund: </w:t>
      </w:r>
    </w:p>
    <w:p w:rsidR="00CF6028" w:rsidRPr="00510ECA" w:rsidRDefault="00CF6028" w:rsidP="00670954">
      <w:r>
        <w:t>EU:s polisakademi CEPOL är idag lokaliserat i Bramshill, Förenade kungariket i enlighet med artikel 4 i rådets beslut 2005/681/RIF om inrättande av den Europeiska Polisakademin CEPOL. Förenade kungariket har beslutat att CEPOL måste lämna Bramshill senast mars 2014. Vid rådets möte den 8 oktober 2013 enades inrikesministrarna om att CEPOL ska flytta till Budapest, Ungern. 25 medlemsstater, däribland Sverige, står bakom ett förslag till förordning om att ändra ”Bramshill, Förenade Kungariket” till ”Budapest, Ungern” i rådsbeslutet om CEPOL. Förordningen kommer att beslutas genom det ordinarie lagstiftningsförfarandet, d.v.s. EP tillsammans med rådet.</w:t>
      </w:r>
    </w:p>
    <w:p w:rsidR="00CF6028" w:rsidRPr="00510ECA" w:rsidRDefault="00CF6028" w:rsidP="00510ECA">
      <w:pPr>
        <w:pStyle w:val="Heading2"/>
        <w:rPr>
          <w:lang w:val="en-US"/>
        </w:rPr>
      </w:pPr>
      <w:bookmarkStart w:id="111" w:name="_Toc373409400"/>
      <w:r>
        <w:rPr>
          <w:lang w:val="en-US"/>
        </w:rPr>
        <w:t>54</w:t>
      </w:r>
      <w:r w:rsidRPr="00510ECA">
        <w:rPr>
          <w:lang w:val="en-US"/>
        </w:rPr>
        <w:t>. Draft Council Conclusions on stepping up the fight against cigarette smuggling and other forms of illicit trade in tobacco products in the EU</w:t>
      </w:r>
      <w:bookmarkEnd w:id="111"/>
    </w:p>
    <w:p w:rsidR="00CF6028" w:rsidRPr="00BD597D" w:rsidRDefault="00CF6028" w:rsidP="00510ECA">
      <w:r w:rsidRPr="00BD597D">
        <w:t>16644/13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Finansdepartementet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Ander Borg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anta rådslutsatserna</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att rösta ja.</w:t>
      </w:r>
    </w:p>
    <w:p w:rsidR="00CF6028" w:rsidRDefault="00CF6028" w:rsidP="00510ECA"/>
    <w:p w:rsidR="00CF6028" w:rsidRDefault="00CF6028" w:rsidP="00510ECA">
      <w:r>
        <w:t xml:space="preserve">Bakgrund: </w:t>
      </w:r>
    </w:p>
    <w:p w:rsidR="00CF6028" w:rsidRDefault="00CF6028" w:rsidP="00510ECA">
      <w:r>
        <w:t>EU-kommissionen har den 6 juni 2013 beslutat om ett meddelande om upptrappning av kampen mot cigarettsmuggling och andra former av olaglig handel med tobaksprodukter. I meddelandet redogör kommissionen för EU:s problem med olaglig handel med tobak, identifierar bidragande faktorer och föreslår en övergripande EU-strategi för att bekämpa problemet i EU. Kommissionen uppger att strategin är mycket omfattande för att ta hänsyn till att kampen mot olaglig handel är en övergripande fråga som påverkas av många faktorer och drivkrafter, och i sin tur omfattar ett brett spektrum av EU:s eller medlemsstaternas politik. Bifogat meddelandet är kommissionens handlingsplan.</w:t>
      </w:r>
    </w:p>
    <w:p w:rsidR="00CF6028" w:rsidRDefault="00CF6028" w:rsidP="00510ECA"/>
    <w:p w:rsidR="00CF6028" w:rsidRDefault="00CF6028" w:rsidP="00510ECA">
      <w:r>
        <w:t>I förslaget till rådslutsatser välkomnas kommissionens meddelande. Medlemsstaterna och kommissionen inbjuds att vidta vissa åtgärder till stöd för strategin. Sveriges ståndpunkter har beaktats i förslaget.</w:t>
      </w:r>
    </w:p>
    <w:p w:rsidR="00CF6028" w:rsidRDefault="00CF6028" w:rsidP="00510ECA"/>
    <w:p w:rsidR="00CF6028" w:rsidRPr="00BD597D" w:rsidRDefault="00CF6028" w:rsidP="00670954">
      <w:r>
        <w:t>Regeringen är i grunden positiv till åtgärder på EU-nivå för att motverka cigarrettsmuggling. Det är dock viktigt att det fortsatta arbetet bedrivs inom ramen för den existerande fördelningen av befogenheter mellan EU och medlemsstaterna. Vidare måste behovet av noggranna kostnads- och nyttoanalyser beaktas. Det fortsatta arbetet och eventuella förslag till lagstiftning bör inte medföra ökade kostnader för Sverige.</w:t>
      </w:r>
    </w:p>
    <w:p w:rsidR="00CF6028" w:rsidRPr="00510ECA" w:rsidRDefault="00CF6028" w:rsidP="00510ECA">
      <w:pPr>
        <w:pStyle w:val="Heading2"/>
        <w:rPr>
          <w:lang w:val="en-US"/>
        </w:rPr>
      </w:pPr>
      <w:bookmarkStart w:id="112" w:name="_Toc373409401"/>
      <w:r>
        <w:rPr>
          <w:lang w:val="en-US"/>
        </w:rPr>
        <w:t>55</w:t>
      </w:r>
      <w:r w:rsidRPr="00510ECA">
        <w:rPr>
          <w:lang w:val="en-US"/>
        </w:rPr>
        <w:t>. Proposal for a Council Directive laying down basic safety standards for protection against the dangers arising from exposure to ionising radiation= Adoption</w:t>
      </w:r>
      <w:bookmarkEnd w:id="112"/>
    </w:p>
    <w:p w:rsidR="00CF6028" w:rsidRPr="00BD597D" w:rsidRDefault="00CF6028" w:rsidP="00510ECA">
      <w:r w:rsidRPr="00BD597D">
        <w:t>15255/13, 13675/13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Miljödepartementet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Lena Ek</w:t>
      </w:r>
    </w:p>
    <w:p w:rsidR="00CF6028" w:rsidRPr="00BD597D" w:rsidRDefault="00CF6028">
      <w:pPr>
        <w:pStyle w:val="RKnormal"/>
        <w:tabs>
          <w:tab w:val="clear" w:pos="1843"/>
          <w:tab w:val="left" w:pos="0"/>
        </w:tabs>
        <w:ind w:left="0"/>
      </w:pPr>
    </w:p>
    <w:p w:rsidR="00CF6028" w:rsidRPr="00BD597D" w:rsidRDefault="00CF6028" w:rsidP="00510ECA">
      <w:r w:rsidRPr="00BD597D">
        <w:t>Tidigare behandling vid rådsmöte: Miljörådet</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Antagande av rättsakt.</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rösta ja. </w:t>
      </w:r>
    </w:p>
    <w:p w:rsidR="00CF6028" w:rsidRDefault="00CF6028" w:rsidP="00510ECA"/>
    <w:p w:rsidR="00CF6028" w:rsidRDefault="00CF6028" w:rsidP="00510ECA">
      <w:r>
        <w:t xml:space="preserve">Bakgrund: </w:t>
      </w:r>
    </w:p>
    <w:p w:rsidR="00CF6028" w:rsidRDefault="00CF6028" w:rsidP="00510ECA">
      <w:r>
        <w:t xml:space="preserve">Kommissionen presenterade den 29 september ett förslag till revidering av direktivet om de grundläggande strålskyddsnormerna som syftar till att ge grundläggande krav för strålskydd av allmänheten, patienter och arbetstagare mot faror av joniserande strålning. Direktivet innebär också att ett antal andra strålskyddsdirektiv slås samman så att alla strålskyddsfrågor samlas under ett direktiv. </w:t>
      </w:r>
    </w:p>
    <w:p w:rsidR="00CF6028" w:rsidRDefault="00CF6028" w:rsidP="00670954"/>
    <w:p w:rsidR="00CF6028" w:rsidRPr="00BD597D" w:rsidRDefault="00CF6028" w:rsidP="00670954">
      <w:r>
        <w:t>Förslaget omfattar verksamheter med strålkällor och situationer där individer utsätts för joniserande strålning i sådan omfattning som det inte kan bortses ifrån ur ett strålskyddsperspektiv. Direktivet innehåller allmänna bestämmelser om strålskyddsprinciper, skydd av arbetstagare, patienter, allmänhet, krav på utbildning och information om strålskydd samt tillsynskontroll av verksamheter. Förutom den sammanslagning och uppdatering av regelverken som direktivet innebär innehåller även direktivet nu nya områden som inte reglerats tidigare såsom naturligt förekommande radioaktiva ämnen inklusive radon.</w:t>
      </w:r>
    </w:p>
    <w:p w:rsidR="00CF6028" w:rsidRPr="00670954" w:rsidRDefault="00CF6028">
      <w:pPr>
        <w:spacing w:line="240" w:lineRule="auto"/>
        <w:rPr>
          <w:rFonts w:ascii="Arial" w:hAnsi="Arial" w:cs="Arial"/>
          <w:b/>
          <w:i/>
          <w:iCs/>
          <w:kern w:val="28"/>
        </w:rPr>
      </w:pPr>
      <w:r w:rsidRPr="00670954">
        <w:br w:type="page"/>
      </w:r>
    </w:p>
    <w:p w:rsidR="00CF6028" w:rsidRPr="00310527" w:rsidRDefault="00CF6028" w:rsidP="00510ECA">
      <w:pPr>
        <w:pStyle w:val="Heading2"/>
        <w:rPr>
          <w:lang w:val="en-US"/>
        </w:rPr>
      </w:pPr>
      <w:bookmarkStart w:id="113" w:name="_Toc373409402"/>
      <w:r>
        <w:rPr>
          <w:lang w:val="en-US"/>
        </w:rPr>
        <w:t>56</w:t>
      </w:r>
      <w:r w:rsidRPr="00310527">
        <w:rPr>
          <w:lang w:val="en-US"/>
        </w:rPr>
        <w:t>. Enlargement= Accession negotiations with Montenegro- Outcome of screening on Chapter 32: Financial control</w:t>
      </w:r>
      <w:bookmarkEnd w:id="113"/>
    </w:p>
    <w:p w:rsidR="00CF6028" w:rsidRPr="00310527" w:rsidRDefault="00CF6028" w:rsidP="00510ECA">
      <w:r w:rsidRPr="00310527">
        <w:t>16618/13</w:t>
      </w:r>
    </w:p>
    <w:p w:rsidR="00CF6028" w:rsidRPr="00310527" w:rsidRDefault="00CF6028">
      <w:pPr>
        <w:pStyle w:val="RKnormal"/>
        <w:tabs>
          <w:tab w:val="clear" w:pos="1843"/>
          <w:tab w:val="left" w:pos="0"/>
        </w:tabs>
        <w:ind w:left="0"/>
      </w:pPr>
    </w:p>
    <w:p w:rsidR="00CF6028" w:rsidRPr="00310527" w:rsidRDefault="00CF6028" w:rsidP="00510ECA">
      <w:r w:rsidRPr="00310527">
        <w:t>Ansvarigt departement: Utrikesdepartementet</w:t>
      </w:r>
    </w:p>
    <w:p w:rsidR="00CF6028" w:rsidRPr="00310527" w:rsidRDefault="00CF6028">
      <w:pPr>
        <w:pStyle w:val="RKnormal"/>
        <w:tabs>
          <w:tab w:val="clear" w:pos="1843"/>
          <w:tab w:val="left" w:pos="0"/>
        </w:tabs>
        <w:ind w:left="0"/>
      </w:pPr>
    </w:p>
    <w:p w:rsidR="00CF6028" w:rsidRPr="00310527" w:rsidRDefault="00CF6028" w:rsidP="00510ECA">
      <w:r w:rsidRPr="00310527">
        <w:t>Ansvarigt statsråd: Carl Bildt</w:t>
      </w:r>
    </w:p>
    <w:p w:rsidR="00CF6028" w:rsidRPr="00310527" w:rsidRDefault="00CF6028">
      <w:pPr>
        <w:pStyle w:val="RKnormal"/>
        <w:tabs>
          <w:tab w:val="clear" w:pos="1843"/>
          <w:tab w:val="left" w:pos="0"/>
        </w:tabs>
        <w:ind w:left="0"/>
      </w:pPr>
    </w:p>
    <w:p w:rsidR="00CF6028" w:rsidRPr="00510ECA" w:rsidRDefault="00CF6028" w:rsidP="00510ECA">
      <w:r w:rsidRPr="00310527">
        <w:t>Godkänd av Coreper II den 27 november 2013</w:t>
      </w:r>
    </w:p>
    <w:p w:rsidR="00CF6028" w:rsidRDefault="00CF6028">
      <w:pPr>
        <w:pStyle w:val="RKnormal"/>
        <w:tabs>
          <w:tab w:val="clear" w:pos="1843"/>
          <w:tab w:val="left" w:pos="0"/>
        </w:tabs>
        <w:ind w:left="0"/>
      </w:pPr>
    </w:p>
    <w:p w:rsidR="00CF6028" w:rsidRDefault="00CF6028" w:rsidP="00310527">
      <w:pPr>
        <w:rPr>
          <w:szCs w:val="24"/>
        </w:rPr>
      </w:pPr>
      <w:r>
        <w:rPr>
          <w:szCs w:val="24"/>
        </w:rPr>
        <w:t>Avsikten med behandlingen i rådet:</w:t>
      </w:r>
    </w:p>
    <w:p w:rsidR="00CF6028" w:rsidRDefault="00CF6028" w:rsidP="00310527">
      <w:pPr>
        <w:rPr>
          <w:szCs w:val="24"/>
        </w:rPr>
      </w:pPr>
      <w:r>
        <w:rPr>
          <w:szCs w:val="24"/>
        </w:rPr>
        <w:t>Rådet föreslås anta KOM screening rapport för Montenegro kap 32 Finansiell kontroll</w:t>
      </w:r>
    </w:p>
    <w:p w:rsidR="00CF6028" w:rsidRDefault="00CF6028" w:rsidP="00310527">
      <w:pPr>
        <w:rPr>
          <w:szCs w:val="24"/>
        </w:rPr>
      </w:pPr>
    </w:p>
    <w:p w:rsidR="00CF6028" w:rsidRDefault="00CF6028" w:rsidP="00310527">
      <w:pPr>
        <w:rPr>
          <w:szCs w:val="24"/>
        </w:rPr>
      </w:pPr>
      <w:r>
        <w:rPr>
          <w:szCs w:val="24"/>
        </w:rPr>
        <w:t>Hur ställer sig regeringen till blivande A-punkten:</w:t>
      </w:r>
    </w:p>
    <w:p w:rsidR="00CF6028" w:rsidRDefault="00CF6028" w:rsidP="00310527">
      <w:pPr>
        <w:rPr>
          <w:szCs w:val="24"/>
        </w:rPr>
      </w:pPr>
      <w:r>
        <w:rPr>
          <w:szCs w:val="24"/>
        </w:rPr>
        <w:t>Regeringen avser att rösta ja</w:t>
      </w:r>
    </w:p>
    <w:p w:rsidR="00CF6028" w:rsidRDefault="00CF6028" w:rsidP="00310527">
      <w:pPr>
        <w:rPr>
          <w:szCs w:val="24"/>
        </w:rPr>
      </w:pPr>
    </w:p>
    <w:p w:rsidR="00CF6028" w:rsidRDefault="00CF6028" w:rsidP="00310527">
      <w:pPr>
        <w:rPr>
          <w:szCs w:val="24"/>
        </w:rPr>
      </w:pPr>
      <w:r>
        <w:rPr>
          <w:szCs w:val="24"/>
        </w:rPr>
        <w:t>Bakgrund:</w:t>
      </w:r>
    </w:p>
    <w:p w:rsidR="00CF6028" w:rsidRDefault="00CF6028" w:rsidP="00310527">
      <w:pPr>
        <w:rPr>
          <w:szCs w:val="24"/>
        </w:rPr>
      </w:pPr>
      <w:r>
        <w:rPr>
          <w:szCs w:val="24"/>
        </w:rPr>
        <w:t>I förhandlingsprocessen för ett framtida EU-medlemskap för Montenegro presenteras screeningrapporter för alla 35 förhandlingskapitel. Dokument nr 5375/13 finns rapporten för kapitel 32 finansiell kontroll. Rapporten behandlar frågor som rör 1) public internal financial control (PIFC) och external audit (EA) samt 2) the protection of the EU's financial interests och 3) the protection of the euro against counterfeiting.</w:t>
      </w:r>
    </w:p>
    <w:p w:rsidR="00CF6028" w:rsidRDefault="00CF6028" w:rsidP="00310527">
      <w:pPr>
        <w:rPr>
          <w:szCs w:val="24"/>
        </w:rPr>
      </w:pPr>
    </w:p>
    <w:p w:rsidR="00CF6028" w:rsidRDefault="00CF6028" w:rsidP="00310527">
      <w:pPr>
        <w:rPr>
          <w:szCs w:val="24"/>
        </w:rPr>
      </w:pPr>
      <w:r>
        <w:rPr>
          <w:szCs w:val="24"/>
        </w:rPr>
        <w:t xml:space="preserve">Som framgår av rapporten har Montenegro en hel del kvar att arbeta med för att uppnå de krav som ställs inom området finansiell kontroll. </w:t>
      </w:r>
    </w:p>
    <w:p w:rsidR="00CF6028" w:rsidRDefault="00CF6028" w:rsidP="00310527">
      <w:pPr>
        <w:rPr>
          <w:szCs w:val="24"/>
        </w:rPr>
      </w:pPr>
    </w:p>
    <w:p w:rsidR="00CF6028" w:rsidRPr="00BD597D" w:rsidRDefault="00CF6028" w:rsidP="00310527">
      <w:r>
        <w:rPr>
          <w:szCs w:val="24"/>
        </w:rPr>
        <w:t>SE godkänner rapporten med dess kritik mot Montenegro inom kap 32 men drar ingen annan slutsats än KOM, dvs att förhandlingar med Montenegro rörande kapitel 32 Finansiell kontroll trots allt kan öppnas.</w:t>
      </w:r>
    </w:p>
    <w:p w:rsidR="00CF6028" w:rsidRPr="00F45BDA" w:rsidRDefault="00CF6028">
      <w:pPr>
        <w:spacing w:line="240" w:lineRule="auto"/>
        <w:rPr>
          <w:rFonts w:ascii="Arial" w:hAnsi="Arial" w:cs="Arial"/>
          <w:b/>
          <w:i/>
          <w:iCs/>
          <w:kern w:val="28"/>
        </w:rPr>
      </w:pPr>
      <w:r w:rsidRPr="00F45BDA">
        <w:br w:type="page"/>
      </w:r>
    </w:p>
    <w:p w:rsidR="00CF6028" w:rsidRPr="00510ECA" w:rsidRDefault="00CF6028" w:rsidP="00510ECA">
      <w:pPr>
        <w:pStyle w:val="Heading2"/>
        <w:rPr>
          <w:lang w:val="en-US"/>
        </w:rPr>
      </w:pPr>
      <w:bookmarkStart w:id="114" w:name="_Toc373409403"/>
      <w:r>
        <w:rPr>
          <w:lang w:val="en-US"/>
        </w:rPr>
        <w:t>57</w:t>
      </w:r>
      <w:r w:rsidRPr="00510ECA">
        <w:rPr>
          <w:lang w:val="en-US"/>
        </w:rPr>
        <w:t>. Anti-dumping= Proposal for a Council Implementing Regulation imposing a definitive anti-dumping duty and collecting definitively the provisional duty imposed on imports of crystalline silicon photovoltaic modules and key components (i.e. cells) originating in or consigned from the People's Republic of China</w:t>
      </w:r>
      <w:bookmarkEnd w:id="114"/>
    </w:p>
    <w:p w:rsidR="00CF6028" w:rsidRPr="00BD597D" w:rsidRDefault="00CF6028" w:rsidP="00510ECA">
      <w:r w:rsidRPr="00BD597D">
        <w:t>15701/13, 15702/13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Utrikesdepartementet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Ewa Björling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anta en förordning om införande av definitiva antidumpningstullar på solpaneler från Kina.</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SE har i EU:s antidumpningskommitté röstat mot förslaget att införa den ovan nämnda åtgärden. Vid omröstningen röstade emellertid en majoritet MS för förslaget. </w:t>
      </w:r>
    </w:p>
    <w:p w:rsidR="00CF6028" w:rsidRDefault="00CF6028" w:rsidP="00510ECA"/>
    <w:p w:rsidR="00CF6028" w:rsidRDefault="00CF6028" w:rsidP="00510ECA">
      <w:r>
        <w:t xml:space="preserve">Bakgrund: </w:t>
      </w:r>
    </w:p>
    <w:p w:rsidR="00CF6028" w:rsidRPr="00510ECA" w:rsidRDefault="00CF6028" w:rsidP="00261B13">
      <w:r>
        <w:t>En sammanslutning av europeiska solcellstillverkare, EU Pro Sun, ansökte 2012 hos KOM om antidumpningsåtgärder mot kinesiska solceller. Sverige motsatte sig inledandet av en sådan undersökning, men den inleddes ändå och resulterade i juni i provisoriska antidumpningsåtgärder. Efter införandet av provisoriska åtgärder följde en förhandling mellan KOM och Kina avseende införandet av prisåtagande för kinesiska solpanelsproducenter, och detta godtogs av MS (22 för, SE avstod från att rösta)och trädde i kraft den 6 augusti. Åtgärderna kommer dock förbli i kraft enbart om rådet, senast den 5 december 2013, beslutar om definitiva åtgärder. Vid omröstningen i EU:s antidumpningskommitté den 22 oktober blev resultatet införande av både antidumpnings- och antisubventionsåtgärder samt införande av ett prisåtagande vilket bland annat innebär uppgjorda minimipriser för vissa kinesiska exportörer.</w:t>
      </w:r>
    </w:p>
    <w:p w:rsidR="00CF6028" w:rsidRPr="00F45BDA" w:rsidRDefault="00CF6028">
      <w:pPr>
        <w:spacing w:line="240" w:lineRule="auto"/>
        <w:rPr>
          <w:rFonts w:ascii="Arial" w:hAnsi="Arial" w:cs="Arial"/>
          <w:b/>
          <w:i/>
          <w:iCs/>
          <w:kern w:val="28"/>
        </w:rPr>
      </w:pPr>
      <w:r w:rsidRPr="00F45BDA">
        <w:br w:type="page"/>
      </w:r>
    </w:p>
    <w:p w:rsidR="00CF6028" w:rsidRPr="00510ECA" w:rsidRDefault="00CF6028" w:rsidP="00510ECA">
      <w:pPr>
        <w:pStyle w:val="Heading2"/>
        <w:rPr>
          <w:lang w:val="en-US"/>
        </w:rPr>
      </w:pPr>
      <w:bookmarkStart w:id="115" w:name="_Toc373409404"/>
      <w:r>
        <w:rPr>
          <w:lang w:val="en-US"/>
        </w:rPr>
        <w:t>58</w:t>
      </w:r>
      <w:r w:rsidRPr="00510ECA">
        <w:rPr>
          <w:lang w:val="en-US"/>
        </w:rPr>
        <w:t>. Anti-subsidies= Proposal for a Council Implementing Regulation imposing a definitive countervailing duty on imports of crystalline silicon photovoltaic modules and key components (i.e. cells) originating in or consigned from the People's Republic of China</w:t>
      </w:r>
      <w:bookmarkEnd w:id="115"/>
    </w:p>
    <w:p w:rsidR="00CF6028" w:rsidRPr="00BD597D" w:rsidRDefault="00CF6028" w:rsidP="00510ECA">
      <w:r w:rsidRPr="00BD597D">
        <w:t>15705/13, 15706/13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Utrikesdepartementet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Ewa Björling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anta en förordning om införande av definitiva utjämningstullar på solpaneler från Kina.</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SE har i EU:s antidumpningskommitté röstat mot förslaget att införa den ovan nämnda åtgärden. Vid omröstningen röstade emellertid en majoritet MS för förslaget. </w:t>
      </w:r>
    </w:p>
    <w:p w:rsidR="00CF6028" w:rsidRDefault="00CF6028" w:rsidP="00510ECA"/>
    <w:p w:rsidR="00CF6028" w:rsidRDefault="00CF6028" w:rsidP="00510ECA">
      <w:r>
        <w:t xml:space="preserve">Bakgrund: </w:t>
      </w:r>
    </w:p>
    <w:p w:rsidR="00CF6028" w:rsidRPr="00510ECA" w:rsidRDefault="00CF6028" w:rsidP="00261B13">
      <w:r>
        <w:t>En sammanslutning av europeiska solcellstillverkare, EU Pro Sun, ansökte 2012 hos KOM om antidumpningsåtgärder mot kinesiska solceller. Sverige motsatte sig inledandet av en sådan undersökning, men den inleddes ändå och resulterade i juni i provisoriska antidumpningsåtgärder. Efter införandet av provisoriska åtgärder följde en förhandling mellan KOM och Kina avseende införandet av prisåtagande för kinesiska solpanelsproducenter, och detta godtogs av MS (22 för, SE avstod från att rösta)och trädde i kraft den 6 augusti. Åtgärderna kommer dock förbli i kraft enbart om rådet, senast den 5 december 2013, beslutar om definitiva åtgärder. Vid omröstningen i EU:s antidumpningskommitté den 22 oktober blev resultatet införande av både antidumpning- och antisubventionsåtgärder samt införande av ett prisåtagande vilket bland annat innebär uppgjorda minimipriser för vissa kinesiska exportörer.</w:t>
      </w:r>
    </w:p>
    <w:p w:rsidR="00CF6028" w:rsidRPr="00F45BDA" w:rsidRDefault="00CF6028">
      <w:pPr>
        <w:spacing w:line="240" w:lineRule="auto"/>
        <w:rPr>
          <w:rFonts w:ascii="Arial" w:hAnsi="Arial" w:cs="Arial"/>
          <w:b/>
          <w:i/>
          <w:iCs/>
          <w:kern w:val="28"/>
        </w:rPr>
      </w:pPr>
      <w:r w:rsidRPr="00F45BDA">
        <w:br w:type="page"/>
      </w:r>
    </w:p>
    <w:p w:rsidR="00CF6028" w:rsidRPr="00510ECA" w:rsidRDefault="00CF6028" w:rsidP="00510ECA">
      <w:pPr>
        <w:pStyle w:val="Heading2"/>
        <w:rPr>
          <w:lang w:val="en-US"/>
        </w:rPr>
      </w:pPr>
      <w:bookmarkStart w:id="116" w:name="_GoBack"/>
      <w:bookmarkStart w:id="117" w:name="_Toc373409405"/>
      <w:bookmarkEnd w:id="116"/>
      <w:r>
        <w:rPr>
          <w:lang w:val="en-US"/>
        </w:rPr>
        <w:t>59</w:t>
      </w:r>
      <w:r w:rsidRPr="00510ECA">
        <w:rPr>
          <w:lang w:val="en-US"/>
        </w:rPr>
        <w:t>. Proposal for a Council Decision on the conclusion of the Protocol Amending the Agreement on Government Procurement</w:t>
      </w:r>
      <w:bookmarkEnd w:id="117"/>
    </w:p>
    <w:p w:rsidR="00CF6028" w:rsidRPr="00BD597D" w:rsidRDefault="00CF6028" w:rsidP="00510ECA">
      <w:r>
        <w:t xml:space="preserve">16310/13, 7917/13, </w:t>
      </w:r>
      <w:r w:rsidRPr="00BD597D">
        <w:t>7918/13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Utrikesdepartementet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Ewa Björling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rsidP="00510ECA"/>
    <w:p w:rsidR="00CF6028" w:rsidRDefault="00CF6028" w:rsidP="00510ECA">
      <w:r>
        <w:t>Tidigarebehandling i riksdagen:</w:t>
      </w:r>
    </w:p>
    <w:p w:rsidR="00CF6028" w:rsidRDefault="00CF6028" w:rsidP="00510ECA">
      <w:r>
        <w:t xml:space="preserve">EU nämnden den 5 juni 2013 inför rådet för utrikesfrågor (handel) den 14 juni </w:t>
      </w:r>
    </w:p>
    <w:p w:rsidR="00CF6028" w:rsidRDefault="00CF6028" w:rsidP="00510ECA"/>
    <w:p w:rsidR="00CF6028" w:rsidRDefault="00CF6028" w:rsidP="00510ECA">
      <w:r>
        <w:t>Avsikt med behandlingen i rådet:</w:t>
      </w:r>
    </w:p>
    <w:p w:rsidR="00CF6028" w:rsidRDefault="00CF6028" w:rsidP="00510ECA">
      <w:r>
        <w:t>Rådet föreslås anta utkast till beslut om ingående av protokollet om ändring av avtalet om offentlig upphandling så som det efter juristlingvisternas slutgranskning återges i dokumentet.</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antagande av rådsbeslut</w:t>
      </w:r>
    </w:p>
    <w:p w:rsidR="00CF6028" w:rsidRDefault="00CF6028" w:rsidP="00510ECA"/>
    <w:p w:rsidR="00CF6028" w:rsidRDefault="00CF6028" w:rsidP="00510ECA">
      <w:r>
        <w:t>Bakgrund:</w:t>
      </w:r>
    </w:p>
    <w:p w:rsidR="00CF6028" w:rsidRDefault="00CF6028" w:rsidP="00510ECA">
      <w:r>
        <w:t>Vid WTO-ministermötet i december 2011 fattades beslut om ett reviderat avtal om offentlig upphandling (Governnment Procurement Agreement GPA). Överenskommelsen slutfördes den 30 mars 2012. Den omfattar en politisk överenskommelse och ett beslut om förhandlingsresultatets delar. De olika delarna är protokollet om ändring av GPA samt sju kommittébeslut. Kommissionens förslag till rådsbeslut den 22 mars 2013 avser den formella ratificeringen av avtalsrevideringen. Eftersom både protokollet och kommittébesluten omfattas av den politiska överenskommelsen, ingår de i samma paket inför EU:s ratificering. Kommittébesluten har en annan intern beslutsgång än protokollet och det krävs därför två olika kommissionsbeslut. Det ena beslutet handlar alltså om att ändringen av GPA ska ingås och att godkännandeinstrumenten för att EU samtycker till att bindas av protokollet ska deponeras. Det andra beslutet innehåller EU:s ståndpunkt i kommittén för offentlig upphandling. Ståndpunkten är att EU ska bekräfta antagandet av de sju kommittébesluten. Europaparlamentets godkännande behövde vidare inhämtas. Efter avstämning med EU-nämnden den 5 juni röstade regeringen för ett antagande av beslut vid rådet för utrikesfrågor (Handel) den 14 juni i frågan. Efter att Europaparlamentet lämnat sitt godkännande den 29 november kan nu slutligt beslut fattas av rådet.</w:t>
      </w:r>
    </w:p>
    <w:p w:rsidR="00CF6028" w:rsidRDefault="00CF6028" w:rsidP="00510ECA"/>
    <w:p w:rsidR="00CF6028" w:rsidRPr="00510ECA" w:rsidRDefault="00CF6028" w:rsidP="00261B13">
      <w:r>
        <w:t xml:space="preserve">Ändringarna av avtalet om offentlig upphandling innebär en utvidgning av avtalets tillämpningsområdet i form och därmed ökat marknadstillträde för bl.a. svenska exportörer. Detta uppnås bl.a. genom en ökning av antalet upphandlande enheter, att fler varor och tjänster omfattas samt för vissa avtalsparter en nedsättning av de trösklar över vilka avtalsförpliktelser gäller. Ändringarna i avtalet innebär även ökad transparens vilket förbättrar villkoren för bl.a svenska leverantörers deltagande i upphandlingar i stater som omfattas av avtalet. </w:t>
      </w:r>
    </w:p>
    <w:p w:rsidR="00CF6028" w:rsidRPr="00510ECA" w:rsidRDefault="00CF6028" w:rsidP="00510ECA">
      <w:pPr>
        <w:pStyle w:val="Heading2"/>
        <w:rPr>
          <w:lang w:val="en-US"/>
        </w:rPr>
      </w:pPr>
      <w:bookmarkStart w:id="118" w:name="_Toc373409406"/>
      <w:r>
        <w:rPr>
          <w:lang w:val="en-US"/>
        </w:rPr>
        <w:t>60</w:t>
      </w:r>
      <w:r w:rsidRPr="00510ECA">
        <w:rPr>
          <w:lang w:val="en-US"/>
        </w:rPr>
        <w:t>. Proposal for a Council Decision establishing the position to be taken by the European Union within the Committee on Government Procurement with respect to decisions implementing certain provisions of the Protocol Amending the Agreement on Government Procurement</w:t>
      </w:r>
      <w:bookmarkEnd w:id="118"/>
    </w:p>
    <w:p w:rsidR="00CF6028" w:rsidRPr="00BD597D" w:rsidRDefault="00CF6028" w:rsidP="00510ECA">
      <w:r w:rsidRPr="00BD597D">
        <w:t>7920/13, 7921/13, 7997/13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Utrikesdepartementet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Ewa Björling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Avsikt med behandlingen i rådet:</w:t>
      </w:r>
    </w:p>
    <w:p w:rsidR="00CF6028" w:rsidRDefault="00CF6028" w:rsidP="00510ECA">
      <w:r>
        <w:t xml:space="preserve">Rådet föreslås anta utkast till rådsbeslut om fastställande av Europeiska Unionens ståndpunkt inom kommittén för offentlig upphandling till beslut att genomföra vissa bestämmelser i protokollet om ändring av avtalet om offentlig upphandling. </w:t>
      </w:r>
    </w:p>
    <w:p w:rsidR="00CF6028" w:rsidRDefault="00CF6028" w:rsidP="00510ECA"/>
    <w:p w:rsidR="00CF6028" w:rsidRDefault="00CF6028" w:rsidP="00510ECA">
      <w:r>
        <w:t xml:space="preserve">Hur regeringen ställer sig till den blivande a-punkten </w:t>
      </w:r>
    </w:p>
    <w:p w:rsidR="00CF6028" w:rsidRDefault="00CF6028" w:rsidP="00510ECA">
      <w:r>
        <w:t>Regeringen avser rösta ja till antagande av rådsbeslut</w:t>
      </w:r>
    </w:p>
    <w:p w:rsidR="00CF6028" w:rsidRDefault="00CF6028" w:rsidP="00510ECA"/>
    <w:p w:rsidR="00CF6028" w:rsidRDefault="00CF6028" w:rsidP="00510ECA">
      <w:r>
        <w:t>Bakgrund</w:t>
      </w:r>
    </w:p>
    <w:p w:rsidR="00CF6028" w:rsidRDefault="00CF6028" w:rsidP="00510ECA">
      <w:r>
        <w:t>Vid WTO-ministermötet i december 2011 fattades beslut om ett reviderat avtal om offentlig upphandling (Governnment Procurement Agreement GPA). Överenskommelsen slutfördes den 30 mars 2012. Den omfattar en politisk överenskommelse och ett beslut om förhandlingsresultatets delar. De olika delarna är protokollet om ändring av GPA samt sju kommittébeslut. Kommissionens förslag till rådsbeslut den 22 mars 2013 avser den formella ratificeringen av avtalsrevideringen. Eftersom både protokollet och kommittébesluten omfattas av den politiska överenskommelsen, ingår de i samma paket inför EU:s ratificering. Kommittébesluten har en annan intern beslutsgång än protokollet och det krävs därför två olika kommissionsbeslut. Det ena beslutet handlar alltså om att ändringen av GPA ska ingås och att godkännandeinstrumenten för att EU samtycker till att bindas av protokollet ska deponeras. Det andra beslutet innehåller EU:s ståndpunkt i kommittén för offentlig upphandling. Ståndpunkten är att EU ska bekräfta antagandet av de sju kommittébesluten. Europaparlamentets godkännande behövde vidare inhämtas. Efter avstämning med EU-nämnden den 5 juni röstade regeringen för ett antagande av beslut vid rådet för utrikesfrågor (Handel) den 14 juni i frågan. Efter att Europaparlamentet lämnat sitt godkännande den 29 november kan nu slutligt beslut fattas av rådet.</w:t>
      </w:r>
    </w:p>
    <w:p w:rsidR="00CF6028" w:rsidRDefault="00CF6028" w:rsidP="00510ECA"/>
    <w:p w:rsidR="00CF6028" w:rsidRPr="00510ECA" w:rsidRDefault="00CF6028" w:rsidP="00261B13">
      <w:r>
        <w:t>Ändringarna av avtalet om offentlig upphandling innebär en utvidgning av avtalets tillämpningsområdet i form och därmed ökat marknadstillträde för bl.a. svenska exportörer. Detta uppnås bl.a. genom en ökning av antalet upphandlande enheter, att fler varor och tjänster omfattas samt för vissa avtalsparter en nedsättning av de trösklar över vilka avtalsförpliktelser gäller. Ändringarna i avtalet innebär även ökad transparens vilket förbättrar villkoren för bl.a svenska leverantörers deltagande i upphandlingar i stater som omfattas av avtalet.</w:t>
      </w:r>
    </w:p>
    <w:p w:rsidR="00CF6028" w:rsidRPr="00510ECA" w:rsidRDefault="00CF6028" w:rsidP="00510ECA">
      <w:pPr>
        <w:pStyle w:val="Heading2"/>
        <w:rPr>
          <w:lang w:val="en-US"/>
        </w:rPr>
      </w:pPr>
      <w:bookmarkStart w:id="119" w:name="_Toc373409407"/>
      <w:r>
        <w:rPr>
          <w:lang w:val="en-US"/>
        </w:rPr>
        <w:t>61</w:t>
      </w:r>
      <w:r w:rsidRPr="00510ECA">
        <w:rPr>
          <w:lang w:val="en-US"/>
        </w:rPr>
        <w:t>. Proposal for a Council Decision establishing the position to be taken by the European Union within the Ministerial Conference of the World Trade Organization as regards an extension of the moratorium on customs duties on electronic transmissions and the moratorium on non-violation and situation complaints</w:t>
      </w:r>
      <w:bookmarkEnd w:id="119"/>
    </w:p>
    <w:p w:rsidR="00CF6028" w:rsidRPr="00BD597D" w:rsidRDefault="00CF6028" w:rsidP="00510ECA">
      <w:r w:rsidRPr="00BD597D">
        <w:t>15632/13, 15633/13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Utrikesdepartementet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Ewa Björling</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anta beslutet.</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rösta ja. </w:t>
      </w:r>
    </w:p>
    <w:p w:rsidR="00CF6028" w:rsidRDefault="00CF6028" w:rsidP="00510ECA"/>
    <w:p w:rsidR="00CF6028" w:rsidRDefault="00CF6028" w:rsidP="00510ECA">
      <w:r>
        <w:t xml:space="preserve">Bakgrund: </w:t>
      </w:r>
    </w:p>
    <w:p w:rsidR="00CF6028" w:rsidRDefault="00CF6028" w:rsidP="00510ECA">
      <w:r>
        <w:t xml:space="preserve">1998 beslutade WTO:s ministermöte om ett moratorium på att införa tullar på e-handel. Detta har därefter förlängts vid varje efterföljande WTO-ministermöte. 1999 beslutade WTO:s ministermöte att förlänga moratoriet från 1995 om att inte utnyttja WTO:s möjlighet till tvistlösning i fall där TRIPs-avtalet inte direkt har brutits men en part inte kunnat dra nytta av fördelar som avtalet ger. Även detta moratorium har därefter förlängts vid varje efterföljande WTO-ministermöte. </w:t>
      </w:r>
    </w:p>
    <w:p w:rsidR="00CF6028" w:rsidRDefault="00CF6028" w:rsidP="00510ECA"/>
    <w:p w:rsidR="00CF6028" w:rsidRPr="00510ECA" w:rsidRDefault="00CF6028" w:rsidP="00261B13">
      <w:r>
        <w:t>Rådet föreslås stödja ännu en förlängning av dessa två moratorier vid WTO:s kommande ministermöte i december. Om en konsensus skulle växa fram om en icke-tidsbegränsning av de två moratorierna så föreslås att EU ska stödja detta eller en så lång tidsperiod som möjligt.</w:t>
      </w:r>
    </w:p>
    <w:p w:rsidR="00CF6028" w:rsidRPr="00510ECA" w:rsidRDefault="00CF6028" w:rsidP="00510ECA">
      <w:pPr>
        <w:pStyle w:val="Heading2"/>
        <w:rPr>
          <w:lang w:val="en-US"/>
        </w:rPr>
      </w:pPr>
      <w:bookmarkStart w:id="120" w:name="_Toc373409408"/>
      <w:r>
        <w:rPr>
          <w:lang w:val="en-US"/>
        </w:rPr>
        <w:t>62</w:t>
      </w:r>
      <w:r w:rsidRPr="00510ECA">
        <w:rPr>
          <w:lang w:val="en-US"/>
        </w:rPr>
        <w:t>. Council Decision in support of SEESAC disarmament and arms control activities in South East Europe in the framework of the EU Strategy to Combat the Illicit Accumulation and Trafficking of SALW and their Ammunition</w:t>
      </w:r>
      <w:bookmarkEnd w:id="120"/>
    </w:p>
    <w:p w:rsidR="00CF6028" w:rsidRPr="00BD597D" w:rsidRDefault="00CF6028" w:rsidP="00510ECA">
      <w:r w:rsidRPr="00BD597D">
        <w:t>16619/13, 16324/13</w:t>
      </w:r>
    </w:p>
    <w:p w:rsidR="00CF6028" w:rsidRPr="00BD597D" w:rsidRDefault="00CF6028">
      <w:pPr>
        <w:pStyle w:val="RKnormal"/>
        <w:tabs>
          <w:tab w:val="clear" w:pos="1843"/>
          <w:tab w:val="left" w:pos="0"/>
        </w:tabs>
        <w:ind w:left="0"/>
      </w:pPr>
    </w:p>
    <w:p w:rsidR="00CF6028" w:rsidRPr="00BD597D" w:rsidRDefault="00CF6028" w:rsidP="00510ECA">
      <w:r w:rsidRPr="00BD597D">
        <w:t>Ansvarigt departement: Utrikesdepartementet</w:t>
      </w:r>
    </w:p>
    <w:p w:rsidR="00CF6028" w:rsidRPr="00BD597D" w:rsidRDefault="00CF6028">
      <w:pPr>
        <w:pStyle w:val="RKnormal"/>
        <w:tabs>
          <w:tab w:val="clear" w:pos="1843"/>
          <w:tab w:val="left" w:pos="0"/>
        </w:tabs>
        <w:ind w:left="0"/>
      </w:pPr>
    </w:p>
    <w:p w:rsidR="00CF6028" w:rsidRPr="00BD597D" w:rsidRDefault="00CF6028" w:rsidP="00510ECA">
      <w:r w:rsidRPr="00BD597D">
        <w:t>Ansvarigt statsråd: Carl Bildt</w:t>
      </w:r>
    </w:p>
    <w:p w:rsidR="00CF6028" w:rsidRPr="00BD597D" w:rsidRDefault="00CF6028">
      <w:pPr>
        <w:pStyle w:val="RKnormal"/>
        <w:tabs>
          <w:tab w:val="clear" w:pos="1843"/>
          <w:tab w:val="left" w:pos="0"/>
        </w:tabs>
        <w:ind w:left="0"/>
      </w:pPr>
    </w:p>
    <w:p w:rsidR="00CF6028" w:rsidRPr="00510ECA" w:rsidRDefault="00CF6028" w:rsidP="00510ECA">
      <w:r w:rsidRPr="00510ECA">
        <w:t>Godkänd av Coreper II den 27 november 2013</w:t>
      </w:r>
    </w:p>
    <w:p w:rsidR="00CF6028" w:rsidRDefault="00CF6028">
      <w:pPr>
        <w:pStyle w:val="RKnormal"/>
        <w:tabs>
          <w:tab w:val="clear" w:pos="1843"/>
          <w:tab w:val="left" w:pos="0"/>
        </w:tabs>
        <w:ind w:left="0"/>
      </w:pPr>
    </w:p>
    <w:p w:rsidR="00CF6028" w:rsidRDefault="00CF6028" w:rsidP="00510ECA">
      <w:r>
        <w:t xml:space="preserve">Avsikt med behandlingen i rådet: </w:t>
      </w:r>
    </w:p>
    <w:p w:rsidR="00CF6028" w:rsidRDefault="00CF6028" w:rsidP="00510ECA">
      <w:r>
        <w:t>Rådet föreslås besluta om stöd för SEESAC:s nedrustnings- och rustningskontrollverksamhet i Sydösteuropa inom ramen för EU:s strategi för kampen mot olaglig anhopning av och handel med handeldvapen och lätta vapen och ammunition till dessa.</w:t>
      </w:r>
    </w:p>
    <w:p w:rsidR="00CF6028" w:rsidRDefault="00CF6028" w:rsidP="00510ECA"/>
    <w:p w:rsidR="00CF6028" w:rsidRDefault="00CF6028" w:rsidP="00510ECA">
      <w:r>
        <w:t xml:space="preserve">Hur regeringen ställer sig till den blivande A-punkten: </w:t>
      </w:r>
    </w:p>
    <w:p w:rsidR="00CF6028" w:rsidRDefault="00CF6028" w:rsidP="00510ECA">
      <w:r>
        <w:t xml:space="preserve">Regeringen avser rösta ja till att rådet beslutar om stöd. </w:t>
      </w:r>
    </w:p>
    <w:p w:rsidR="00CF6028" w:rsidRDefault="00CF6028" w:rsidP="00510ECA"/>
    <w:p w:rsidR="00CF6028" w:rsidRDefault="00CF6028" w:rsidP="00510ECA">
      <w:r>
        <w:t xml:space="preserve">Bakgrund: </w:t>
      </w:r>
    </w:p>
    <w:p w:rsidR="00CF6028" w:rsidRDefault="00CF6028" w:rsidP="003C61B9">
      <w:r>
        <w:t>Projektet syftar till att minska risken för illegal spridning av små och lätta vapen (SALW) i länderna på Västra Balkan genom åtgärder för säker lagerhållning, destruktion, märkning och andra kontrollåtgärder såväl nationellt som regionalt. Projektet genomförs av organisationen South Eastern and Eastern Europe Clearinghouse for the Control of Small Arms and Light Weapons (SEESAC) under FN:s utvecklingsprogram UNDP och löper över 3 år.. EU har tidigare stött projekt som genomförts av SEESAC, senast genom rådets beslut 2010/179/CFSP från 11 mars 2010.</w:t>
      </w:r>
    </w:p>
    <w:p w:rsidR="00CF6028" w:rsidRPr="00510ECA" w:rsidRDefault="00CF6028">
      <w:pPr>
        <w:pStyle w:val="RKnormal"/>
        <w:tabs>
          <w:tab w:val="clear" w:pos="1843"/>
          <w:tab w:val="left" w:pos="0"/>
        </w:tabs>
        <w:ind w:left="0"/>
      </w:pPr>
    </w:p>
    <w:p w:rsidR="00CF6028" w:rsidRDefault="00CF6028">
      <w:pPr>
        <w:pStyle w:val="RKnormal"/>
        <w:tabs>
          <w:tab w:val="clear" w:pos="1843"/>
          <w:tab w:val="left" w:pos="0"/>
        </w:tabs>
        <w:ind w:left="0"/>
      </w:pPr>
    </w:p>
    <w:p w:rsidR="00CF6028" w:rsidRDefault="00CF6028" w:rsidP="00AA709E">
      <w:pPr>
        <w:pStyle w:val="Heading1"/>
      </w:pPr>
      <w:bookmarkStart w:id="121" w:name="_Toc373409409"/>
      <w:r>
        <w:t>Troliga A-punkter inför kommande rådsmöten som godkändes vid Särskilda jordbrukskommittén 2013-10-28</w:t>
      </w:r>
      <w:bookmarkEnd w:id="121"/>
    </w:p>
    <w:p w:rsidR="00CF6028" w:rsidRDefault="00CF6028" w:rsidP="00F45BDA">
      <w:pPr>
        <w:pStyle w:val="Heading2"/>
      </w:pPr>
      <w:bookmarkStart w:id="122" w:name="_Toc373409410"/>
      <w:r>
        <w:t>63. Förslag till förordning om import av olivolja och andra jordbruksprodukter från Turkiet</w:t>
      </w:r>
      <w:bookmarkEnd w:id="122"/>
    </w:p>
    <w:p w:rsidR="00CF6028" w:rsidRDefault="00CF6028" w:rsidP="00755E6D">
      <w:r>
        <w:t>Interinstitutional file 2011/0453</w:t>
      </w:r>
    </w:p>
    <w:p w:rsidR="00CF6028" w:rsidRDefault="00CF6028" w:rsidP="00755E6D">
      <w:r>
        <w:t>AGRI 681 AGRIORG 147 NT 8 WTO 260 CODEC 2345</w:t>
      </w:r>
    </w:p>
    <w:p w:rsidR="00CF6028" w:rsidRDefault="00CF6028" w:rsidP="00755E6D"/>
    <w:p w:rsidR="00CF6028" w:rsidRDefault="00CF6028" w:rsidP="00755E6D">
      <w:r>
        <w:t>Ansvarigt departement: Landsbygdsdepartementet</w:t>
      </w:r>
    </w:p>
    <w:p w:rsidR="00CF6028" w:rsidRDefault="00CF6028" w:rsidP="00755E6D"/>
    <w:p w:rsidR="00CF6028" w:rsidRDefault="00CF6028" w:rsidP="00755E6D">
      <w:r w:rsidRPr="00F45BDA">
        <w:t>Ansvarigt statsråd: Eskil Erlandsson</w:t>
      </w:r>
    </w:p>
    <w:p w:rsidR="00CF6028" w:rsidRDefault="00CF6028" w:rsidP="00755E6D"/>
    <w:p w:rsidR="00CF6028" w:rsidRPr="00F45BDA" w:rsidRDefault="00CF6028" w:rsidP="00755E6D">
      <w:r w:rsidRPr="00F45BDA">
        <w:t xml:space="preserve">Avsikt med behandlingen i rådet: </w:t>
      </w:r>
    </w:p>
    <w:p w:rsidR="00CF6028" w:rsidRDefault="00CF6028" w:rsidP="00755E6D">
      <w:r>
        <w:rPr>
          <w:b/>
        </w:rPr>
        <w:t>R</w:t>
      </w:r>
      <w:r>
        <w:t>ådet föreslås anta förordningen om regler för import av olivolja och andra jordbruksprodukter från Turkiet.</w:t>
      </w:r>
    </w:p>
    <w:p w:rsidR="00CF6028" w:rsidRDefault="00CF6028" w:rsidP="00755E6D"/>
    <w:p w:rsidR="00CF6028" w:rsidRPr="00F45BDA" w:rsidRDefault="00CF6028" w:rsidP="00755E6D">
      <w:r w:rsidRPr="00F45BDA">
        <w:t xml:space="preserve">Hur regeringen ställer sig till den blivande A-punkten: </w:t>
      </w:r>
    </w:p>
    <w:p w:rsidR="00CF6028" w:rsidRDefault="00CF6028" w:rsidP="00755E6D">
      <w:pPr>
        <w:rPr>
          <w:szCs w:val="24"/>
          <w:lang w:eastAsia="sv-SE"/>
        </w:rPr>
      </w:pPr>
      <w:r>
        <w:rPr>
          <w:szCs w:val="24"/>
        </w:rPr>
        <w:t>Sverige kan stödja förslaget.</w:t>
      </w:r>
    </w:p>
    <w:p w:rsidR="00CF6028" w:rsidRDefault="00CF6028" w:rsidP="00755E6D"/>
    <w:p w:rsidR="00CF6028" w:rsidRPr="00F45BDA" w:rsidRDefault="00CF6028" w:rsidP="00755E6D">
      <w:r w:rsidRPr="00F45BDA">
        <w:t xml:space="preserve">Bakgrund: </w:t>
      </w:r>
    </w:p>
    <w:p w:rsidR="00CF6028" w:rsidRDefault="00CF6028" w:rsidP="00755E6D">
      <w:r>
        <w:t>Det aktuella förslaget syftar till att anpassa tre rådsförordningar, (EG) nr 2008/97, (EG) nr 779/98 och (EG) nr 1506/98, på områdena import av olivolja och andra jordbruksprodukter från Turkiet, till artiklarna 290 och 291 med bestämmelserna i EUF-fördraget.</w:t>
      </w:r>
    </w:p>
    <w:p w:rsidR="00CF6028" w:rsidRDefault="00CF6028" w:rsidP="00F45BDA">
      <w:pPr>
        <w:pStyle w:val="Heading2"/>
      </w:pPr>
      <w:bookmarkStart w:id="123" w:name="_Toc373409411"/>
      <w:r>
        <w:t>64. Förslag till förordning om importkvoter av jordbruksprodukter</w:t>
      </w:r>
      <w:bookmarkEnd w:id="123"/>
    </w:p>
    <w:p w:rsidR="00CF6028" w:rsidRDefault="00CF6028" w:rsidP="00F45BDA">
      <w:pPr>
        <w:pStyle w:val="RKnormal"/>
        <w:ind w:left="0"/>
      </w:pPr>
      <w:r>
        <w:t>Interinstitutional file 2011/0445 (COD)</w:t>
      </w:r>
    </w:p>
    <w:p w:rsidR="00CF6028" w:rsidRDefault="00CF6028" w:rsidP="00F45BDA">
      <w:pPr>
        <w:pStyle w:val="RKnormal"/>
        <w:ind w:left="0"/>
      </w:pPr>
      <w:r>
        <w:t>AGRI 680 AGRIORG 146 WTO 259 CODEC 2344</w:t>
      </w:r>
    </w:p>
    <w:p w:rsidR="00CF6028" w:rsidRDefault="00CF6028" w:rsidP="00F45BDA">
      <w:pPr>
        <w:pStyle w:val="RKnormal"/>
        <w:ind w:left="0"/>
      </w:pPr>
    </w:p>
    <w:p w:rsidR="00CF6028" w:rsidRDefault="00CF6028" w:rsidP="00755E6D">
      <w:r>
        <w:t>Ansvarigt departement: Landsbygdsdepartementet</w:t>
      </w:r>
    </w:p>
    <w:p w:rsidR="00CF6028" w:rsidRDefault="00CF6028" w:rsidP="00755E6D"/>
    <w:p w:rsidR="00CF6028" w:rsidRPr="00F45BDA" w:rsidRDefault="00CF6028" w:rsidP="00755E6D">
      <w:r w:rsidRPr="00F45BDA">
        <w:t>Ansvarigt statsråd: Eskil Erlandsson</w:t>
      </w:r>
    </w:p>
    <w:p w:rsidR="00CF6028" w:rsidRPr="00F45BDA" w:rsidRDefault="00CF6028" w:rsidP="00755E6D"/>
    <w:p w:rsidR="00CF6028" w:rsidRPr="00F45BDA" w:rsidRDefault="00CF6028" w:rsidP="00755E6D">
      <w:r w:rsidRPr="00F45BDA">
        <w:t>Avsikt med behandlingen i rådet: Rådet föreslås anta förordningen om regler för importkvoter av jordbruksprodukter.</w:t>
      </w:r>
    </w:p>
    <w:p w:rsidR="00CF6028" w:rsidRPr="00F45BDA" w:rsidRDefault="00CF6028" w:rsidP="00755E6D"/>
    <w:p w:rsidR="00CF6028" w:rsidRPr="00F45BDA" w:rsidRDefault="00CF6028" w:rsidP="00755E6D">
      <w:r w:rsidRPr="00F45BDA">
        <w:t xml:space="preserve">Hur regeringen ställer sig till den blivande A-punkten: </w:t>
      </w:r>
      <w:r w:rsidRPr="00F45BDA">
        <w:rPr>
          <w:szCs w:val="24"/>
        </w:rPr>
        <w:t>Sverige kan stödja förslaget.</w:t>
      </w:r>
    </w:p>
    <w:p w:rsidR="00CF6028" w:rsidRPr="00F45BDA" w:rsidRDefault="00CF6028" w:rsidP="00755E6D"/>
    <w:p w:rsidR="00CF6028" w:rsidRPr="00F45BDA" w:rsidRDefault="00CF6028" w:rsidP="00755E6D">
      <w:r w:rsidRPr="00F45BDA">
        <w:t xml:space="preserve">Bakgrund: </w:t>
      </w:r>
    </w:p>
    <w:p w:rsidR="00CF6028" w:rsidRDefault="00CF6028" w:rsidP="00755E6D">
      <w:r>
        <w:t>Det aktuella förslaget syftar till att anpassa rådsförordningen (EC) nr 774/94 om administration av vissa tullkvoter för nötkött, griskött, vete m.m. till artiklarna 290 och 291 med de bestämmelserna i EUF-fördraget.</w:t>
      </w:r>
    </w:p>
    <w:p w:rsidR="00CF6028" w:rsidRPr="00F45BDA" w:rsidRDefault="00CF6028" w:rsidP="00F45BDA">
      <w:pPr>
        <w:pStyle w:val="RKnormal"/>
      </w:pPr>
    </w:p>
    <w:sectPr w:rsidR="00CF6028" w:rsidRPr="00F45BDA" w:rsidSect="00B560B3">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028" w:rsidRDefault="00CF6028">
      <w:r>
        <w:separator/>
      </w:r>
    </w:p>
  </w:endnote>
  <w:endnote w:type="continuationSeparator" w:id="1">
    <w:p w:rsidR="00CF6028" w:rsidRDefault="00CF60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28" w:rsidRDefault="00CF602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68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64</w:t>
    </w:r>
    <w:r>
      <w:rPr>
        <w:rStyle w:val="PageNumber"/>
        <w:sz w:val="16"/>
      </w:rPr>
      <w:fldChar w:fldCharType="end"/>
    </w:r>
    <w:r>
      <w:rPr>
        <w:rStyle w:val="PageNumber"/>
        <w:sz w:val="16"/>
      </w:rPr>
      <w:t>)</w:t>
    </w:r>
  </w:p>
  <w:p w:rsidR="00CF6028" w:rsidRDefault="00CF60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28" w:rsidRDefault="00CF602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67</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64</w:t>
    </w:r>
    <w:r>
      <w:rPr>
        <w:rStyle w:val="PageNumber"/>
        <w:sz w:val="16"/>
      </w:rPr>
      <w:fldChar w:fldCharType="end"/>
    </w:r>
    <w:r>
      <w:rPr>
        <w:rStyle w:val="PageNumber"/>
        <w:sz w:val="16"/>
      </w:rPr>
      <w:t>)</w:t>
    </w:r>
  </w:p>
  <w:p w:rsidR="00CF6028" w:rsidRDefault="00CF602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28" w:rsidRDefault="00CF6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028" w:rsidRDefault="00CF6028">
      <w:r>
        <w:separator/>
      </w:r>
    </w:p>
  </w:footnote>
  <w:footnote w:type="continuationSeparator" w:id="1">
    <w:p w:rsidR="00CF6028" w:rsidRDefault="00CF6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28" w:rsidRDefault="00CF6028">
    <w:pPr>
      <w:pStyle w:val="Header"/>
      <w:framePr w:wrap="around" w:vAnchor="text" w:hAnchor="margin" w:xAlign="right" w:y="1"/>
      <w:rPr>
        <w:rStyle w:val="PageNumber"/>
      </w:rPr>
    </w:pPr>
  </w:p>
  <w:p w:rsidR="00CF6028" w:rsidRDefault="00CF6028">
    <w:pPr>
      <w:pStyle w:val="Header"/>
      <w:ind w:right="360"/>
    </w:pPr>
  </w:p>
  <w:p w:rsidR="00CF6028" w:rsidRDefault="00CF602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28" w:rsidRDefault="00CF6028">
    <w:pPr>
      <w:framePr w:w="2948" w:h="1321" w:hRule="exact" w:wrap="notBeside" w:vAnchor="page" w:hAnchor="page" w:x="1362" w:y="653"/>
    </w:pPr>
    <w:r w:rsidRPr="00476EA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CF6028" w:rsidRDefault="00CF6028">
    <w:pPr>
      <w:pStyle w:val="Header"/>
    </w:pPr>
  </w:p>
  <w:p w:rsidR="00CF6028" w:rsidRDefault="00CF6028">
    <w:pPr>
      <w:pStyle w:val="Header"/>
      <w:ind w:right="360"/>
    </w:pPr>
  </w:p>
  <w:p w:rsidR="00CF6028" w:rsidRDefault="00CF602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028" w:rsidRDefault="00CF6028">
    <w:pPr>
      <w:framePr w:w="2948" w:h="1321" w:hRule="exact" w:wrap="notBeside" w:vAnchor="page" w:hAnchor="page" w:x="1362" w:y="653"/>
    </w:pPr>
    <w:r w:rsidRPr="00476EA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CF6028" w:rsidRDefault="00CF60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FF41F2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510ECA"/>
    <w:rsid w:val="00047638"/>
    <w:rsid w:val="000D1693"/>
    <w:rsid w:val="00174CEE"/>
    <w:rsid w:val="001B3924"/>
    <w:rsid w:val="00261B13"/>
    <w:rsid w:val="00272EC6"/>
    <w:rsid w:val="002F721D"/>
    <w:rsid w:val="00310527"/>
    <w:rsid w:val="003C61B9"/>
    <w:rsid w:val="00476EA2"/>
    <w:rsid w:val="004D5C37"/>
    <w:rsid w:val="00510ECA"/>
    <w:rsid w:val="005A23F9"/>
    <w:rsid w:val="005C212F"/>
    <w:rsid w:val="005F1820"/>
    <w:rsid w:val="00670954"/>
    <w:rsid w:val="006F0411"/>
    <w:rsid w:val="00755E6D"/>
    <w:rsid w:val="00764BEC"/>
    <w:rsid w:val="00793FF5"/>
    <w:rsid w:val="00847B54"/>
    <w:rsid w:val="00936272"/>
    <w:rsid w:val="00955498"/>
    <w:rsid w:val="009F56F7"/>
    <w:rsid w:val="00A72123"/>
    <w:rsid w:val="00AA709E"/>
    <w:rsid w:val="00AC5903"/>
    <w:rsid w:val="00AF0928"/>
    <w:rsid w:val="00B560B3"/>
    <w:rsid w:val="00BA6B91"/>
    <w:rsid w:val="00BC6DDA"/>
    <w:rsid w:val="00BD597D"/>
    <w:rsid w:val="00CF6028"/>
    <w:rsid w:val="00E04A84"/>
    <w:rsid w:val="00EC3C7C"/>
    <w:rsid w:val="00ED5DCC"/>
    <w:rsid w:val="00F056A7"/>
    <w:rsid w:val="00F45BDA"/>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B3"/>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B560B3"/>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B560B3"/>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B560B3"/>
    <w:pPr>
      <w:spacing w:after="120" w:line="240" w:lineRule="atLeast"/>
      <w:outlineLvl w:val="2"/>
    </w:pPr>
    <w:rPr>
      <w:b w:val="0"/>
    </w:rPr>
  </w:style>
  <w:style w:type="paragraph" w:styleId="Heading4">
    <w:name w:val="heading 4"/>
    <w:basedOn w:val="Heading3"/>
    <w:next w:val="RKnormal"/>
    <w:link w:val="Heading4Char"/>
    <w:uiPriority w:val="99"/>
    <w:qFormat/>
    <w:rsid w:val="00B560B3"/>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B560B3"/>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A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F7DA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F7DA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F7DA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F7DA1"/>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B560B3"/>
    <w:pPr>
      <w:tabs>
        <w:tab w:val="left" w:pos="1843"/>
        <w:tab w:val="left" w:pos="2835"/>
      </w:tabs>
      <w:spacing w:line="240" w:lineRule="atLeast"/>
      <w:ind w:left="1843"/>
    </w:pPr>
  </w:style>
  <w:style w:type="paragraph" w:customStyle="1" w:styleId="Avsndare">
    <w:name w:val="Avsändare"/>
    <w:basedOn w:val="Normal"/>
    <w:uiPriority w:val="99"/>
    <w:rsid w:val="00B560B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560B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F7DA1"/>
    <w:rPr>
      <w:rFonts w:ascii="OrigGarmnd BT" w:hAnsi="OrigGarmnd BT"/>
      <w:sz w:val="24"/>
      <w:szCs w:val="20"/>
      <w:lang w:eastAsia="en-US"/>
    </w:rPr>
  </w:style>
  <w:style w:type="paragraph" w:styleId="Header">
    <w:name w:val="header"/>
    <w:basedOn w:val="Normal"/>
    <w:link w:val="HeaderChar"/>
    <w:uiPriority w:val="99"/>
    <w:rsid w:val="00B560B3"/>
    <w:pPr>
      <w:tabs>
        <w:tab w:val="center" w:pos="4153"/>
        <w:tab w:val="right" w:pos="8306"/>
      </w:tabs>
    </w:pPr>
  </w:style>
  <w:style w:type="character" w:customStyle="1" w:styleId="HeaderChar">
    <w:name w:val="Header Char"/>
    <w:basedOn w:val="DefaultParagraphFont"/>
    <w:link w:val="Header"/>
    <w:uiPriority w:val="99"/>
    <w:semiHidden/>
    <w:rsid w:val="002F7DA1"/>
    <w:rPr>
      <w:rFonts w:ascii="OrigGarmnd BT" w:hAnsi="OrigGarmnd BT"/>
      <w:sz w:val="24"/>
      <w:szCs w:val="20"/>
      <w:lang w:eastAsia="en-US"/>
    </w:rPr>
  </w:style>
  <w:style w:type="paragraph" w:customStyle="1" w:styleId="RKrubrik">
    <w:name w:val="RKrubrik"/>
    <w:basedOn w:val="RKnormal"/>
    <w:next w:val="RKnormal"/>
    <w:uiPriority w:val="99"/>
    <w:rsid w:val="00B560B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560B3"/>
    <w:rPr>
      <w:rFonts w:cs="Times New Roman"/>
    </w:rPr>
  </w:style>
  <w:style w:type="paragraph" w:styleId="BodyText">
    <w:name w:val="Body Text"/>
    <w:basedOn w:val="Normal"/>
    <w:link w:val="BodyTextChar"/>
    <w:uiPriority w:val="99"/>
    <w:rsid w:val="00B560B3"/>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2F7DA1"/>
    <w:rPr>
      <w:rFonts w:ascii="OrigGarmnd BT" w:hAnsi="OrigGarmnd BT"/>
      <w:sz w:val="24"/>
      <w:szCs w:val="20"/>
      <w:lang w:eastAsia="en-US"/>
    </w:rPr>
  </w:style>
  <w:style w:type="paragraph" w:styleId="FootnoteText">
    <w:name w:val="footnote text"/>
    <w:basedOn w:val="Normal"/>
    <w:link w:val="FootnoteTextChar"/>
    <w:uiPriority w:val="99"/>
    <w:semiHidden/>
    <w:rsid w:val="00B560B3"/>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2F7DA1"/>
    <w:rPr>
      <w:rFonts w:ascii="OrigGarmnd BT" w:hAnsi="OrigGarmnd BT"/>
      <w:sz w:val="20"/>
      <w:szCs w:val="20"/>
      <w:lang w:eastAsia="en-US"/>
    </w:rPr>
  </w:style>
  <w:style w:type="paragraph" w:customStyle="1" w:styleId="UDrubrik">
    <w:name w:val="UDrubrik"/>
    <w:basedOn w:val="Normal"/>
    <w:next w:val="BodyText"/>
    <w:uiPriority w:val="99"/>
    <w:rsid w:val="00B560B3"/>
    <w:pPr>
      <w:spacing w:line="320" w:lineRule="exact"/>
    </w:pPr>
    <w:rPr>
      <w:rFonts w:ascii="Arial" w:hAnsi="Arial"/>
      <w:b/>
      <w:sz w:val="22"/>
    </w:rPr>
  </w:style>
  <w:style w:type="paragraph" w:styleId="TOC1">
    <w:name w:val="toc 1"/>
    <w:basedOn w:val="Normal"/>
    <w:next w:val="Normal"/>
    <w:autoRedefine/>
    <w:uiPriority w:val="99"/>
    <w:rsid w:val="00B560B3"/>
    <w:pPr>
      <w:spacing w:before="360"/>
    </w:pPr>
    <w:rPr>
      <w:rFonts w:ascii="Arial" w:hAnsi="Arial"/>
      <w:b/>
      <w:bCs/>
      <w:caps/>
      <w:szCs w:val="28"/>
    </w:rPr>
  </w:style>
  <w:style w:type="paragraph" w:styleId="TOC2">
    <w:name w:val="toc 2"/>
    <w:basedOn w:val="Normal"/>
    <w:next w:val="Normal"/>
    <w:autoRedefine/>
    <w:uiPriority w:val="99"/>
    <w:rsid w:val="00B560B3"/>
    <w:pPr>
      <w:spacing w:before="240"/>
    </w:pPr>
    <w:rPr>
      <w:rFonts w:ascii="Times New Roman" w:hAnsi="Times New Roman"/>
      <w:b/>
      <w:bCs/>
      <w:szCs w:val="24"/>
    </w:rPr>
  </w:style>
  <w:style w:type="paragraph" w:styleId="TOC3">
    <w:name w:val="toc 3"/>
    <w:basedOn w:val="Normal"/>
    <w:next w:val="Normal"/>
    <w:autoRedefine/>
    <w:uiPriority w:val="99"/>
    <w:semiHidden/>
    <w:rsid w:val="00B560B3"/>
    <w:pPr>
      <w:ind w:left="240"/>
    </w:pPr>
    <w:rPr>
      <w:rFonts w:ascii="Times New Roman" w:hAnsi="Times New Roman"/>
      <w:szCs w:val="24"/>
    </w:rPr>
  </w:style>
  <w:style w:type="paragraph" w:styleId="TOC4">
    <w:name w:val="toc 4"/>
    <w:basedOn w:val="Normal"/>
    <w:next w:val="Normal"/>
    <w:autoRedefine/>
    <w:uiPriority w:val="99"/>
    <w:semiHidden/>
    <w:rsid w:val="00B560B3"/>
    <w:pPr>
      <w:ind w:left="480"/>
    </w:pPr>
    <w:rPr>
      <w:rFonts w:ascii="Times New Roman" w:hAnsi="Times New Roman"/>
      <w:szCs w:val="24"/>
    </w:rPr>
  </w:style>
  <w:style w:type="paragraph" w:styleId="TOC5">
    <w:name w:val="toc 5"/>
    <w:basedOn w:val="Normal"/>
    <w:next w:val="Normal"/>
    <w:autoRedefine/>
    <w:uiPriority w:val="99"/>
    <w:semiHidden/>
    <w:rsid w:val="00B560B3"/>
    <w:pPr>
      <w:ind w:left="720"/>
    </w:pPr>
    <w:rPr>
      <w:rFonts w:ascii="Times New Roman" w:hAnsi="Times New Roman"/>
      <w:szCs w:val="24"/>
    </w:rPr>
  </w:style>
  <w:style w:type="paragraph" w:styleId="TOC6">
    <w:name w:val="toc 6"/>
    <w:basedOn w:val="Normal"/>
    <w:next w:val="Normal"/>
    <w:autoRedefine/>
    <w:uiPriority w:val="99"/>
    <w:semiHidden/>
    <w:rsid w:val="00B560B3"/>
    <w:pPr>
      <w:ind w:left="960"/>
    </w:pPr>
    <w:rPr>
      <w:rFonts w:ascii="Times New Roman" w:hAnsi="Times New Roman"/>
      <w:szCs w:val="24"/>
    </w:rPr>
  </w:style>
  <w:style w:type="paragraph" w:styleId="TOC7">
    <w:name w:val="toc 7"/>
    <w:basedOn w:val="Normal"/>
    <w:next w:val="Normal"/>
    <w:autoRedefine/>
    <w:uiPriority w:val="99"/>
    <w:semiHidden/>
    <w:rsid w:val="00B560B3"/>
    <w:pPr>
      <w:ind w:left="1200"/>
    </w:pPr>
    <w:rPr>
      <w:rFonts w:ascii="Times New Roman" w:hAnsi="Times New Roman"/>
      <w:szCs w:val="24"/>
    </w:rPr>
  </w:style>
  <w:style w:type="paragraph" w:styleId="TOC8">
    <w:name w:val="toc 8"/>
    <w:basedOn w:val="Normal"/>
    <w:next w:val="Normal"/>
    <w:autoRedefine/>
    <w:uiPriority w:val="99"/>
    <w:semiHidden/>
    <w:rsid w:val="00B560B3"/>
    <w:pPr>
      <w:ind w:left="1440"/>
    </w:pPr>
    <w:rPr>
      <w:rFonts w:ascii="Times New Roman" w:hAnsi="Times New Roman"/>
      <w:szCs w:val="24"/>
    </w:rPr>
  </w:style>
  <w:style w:type="paragraph" w:styleId="TOC9">
    <w:name w:val="toc 9"/>
    <w:basedOn w:val="Normal"/>
    <w:next w:val="Normal"/>
    <w:autoRedefine/>
    <w:uiPriority w:val="99"/>
    <w:semiHidden/>
    <w:rsid w:val="00B560B3"/>
    <w:pPr>
      <w:ind w:left="1680"/>
    </w:pPr>
    <w:rPr>
      <w:rFonts w:ascii="Times New Roman" w:hAnsi="Times New Roman"/>
      <w:szCs w:val="24"/>
    </w:rPr>
  </w:style>
  <w:style w:type="paragraph" w:customStyle="1" w:styleId="Text1">
    <w:name w:val="Text 1"/>
    <w:basedOn w:val="Normal"/>
    <w:uiPriority w:val="99"/>
    <w:rsid w:val="00B560B3"/>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B560B3"/>
    <w:rPr>
      <w:rFonts w:cs="Times New Roman"/>
      <w:vertAlign w:val="superscript"/>
    </w:rPr>
  </w:style>
  <w:style w:type="paragraph" w:styleId="Index1">
    <w:name w:val="index 1"/>
    <w:basedOn w:val="Normal"/>
    <w:next w:val="Normal"/>
    <w:autoRedefine/>
    <w:uiPriority w:val="99"/>
    <w:semiHidden/>
    <w:rsid w:val="00B560B3"/>
    <w:pPr>
      <w:ind w:left="240" w:hanging="240"/>
    </w:pPr>
    <w:rPr>
      <w:rFonts w:ascii="Times New Roman" w:hAnsi="Times New Roman"/>
      <w:szCs w:val="24"/>
    </w:rPr>
  </w:style>
  <w:style w:type="paragraph" w:styleId="Index2">
    <w:name w:val="index 2"/>
    <w:basedOn w:val="Normal"/>
    <w:next w:val="Normal"/>
    <w:autoRedefine/>
    <w:uiPriority w:val="99"/>
    <w:semiHidden/>
    <w:rsid w:val="00B560B3"/>
    <w:pPr>
      <w:ind w:left="480" w:hanging="240"/>
    </w:pPr>
    <w:rPr>
      <w:rFonts w:ascii="Times New Roman" w:hAnsi="Times New Roman"/>
      <w:szCs w:val="24"/>
    </w:rPr>
  </w:style>
  <w:style w:type="paragraph" w:styleId="Index3">
    <w:name w:val="index 3"/>
    <w:basedOn w:val="Normal"/>
    <w:next w:val="Normal"/>
    <w:autoRedefine/>
    <w:uiPriority w:val="99"/>
    <w:semiHidden/>
    <w:rsid w:val="00B560B3"/>
    <w:pPr>
      <w:ind w:left="720" w:hanging="240"/>
    </w:pPr>
    <w:rPr>
      <w:rFonts w:ascii="Times New Roman" w:hAnsi="Times New Roman"/>
      <w:szCs w:val="24"/>
    </w:rPr>
  </w:style>
  <w:style w:type="paragraph" w:styleId="Index4">
    <w:name w:val="index 4"/>
    <w:basedOn w:val="Normal"/>
    <w:next w:val="Normal"/>
    <w:autoRedefine/>
    <w:uiPriority w:val="99"/>
    <w:semiHidden/>
    <w:rsid w:val="00B560B3"/>
    <w:pPr>
      <w:ind w:left="960" w:hanging="240"/>
    </w:pPr>
    <w:rPr>
      <w:rFonts w:ascii="Times New Roman" w:hAnsi="Times New Roman"/>
      <w:szCs w:val="24"/>
    </w:rPr>
  </w:style>
  <w:style w:type="paragraph" w:styleId="Index5">
    <w:name w:val="index 5"/>
    <w:basedOn w:val="Normal"/>
    <w:next w:val="Normal"/>
    <w:autoRedefine/>
    <w:uiPriority w:val="99"/>
    <w:semiHidden/>
    <w:rsid w:val="00B560B3"/>
    <w:pPr>
      <w:ind w:left="1200" w:hanging="240"/>
    </w:pPr>
    <w:rPr>
      <w:rFonts w:ascii="Times New Roman" w:hAnsi="Times New Roman"/>
      <w:szCs w:val="24"/>
    </w:rPr>
  </w:style>
  <w:style w:type="paragraph" w:styleId="Index6">
    <w:name w:val="index 6"/>
    <w:basedOn w:val="Normal"/>
    <w:next w:val="Normal"/>
    <w:autoRedefine/>
    <w:uiPriority w:val="99"/>
    <w:semiHidden/>
    <w:rsid w:val="00B560B3"/>
    <w:pPr>
      <w:ind w:left="1440" w:hanging="240"/>
    </w:pPr>
    <w:rPr>
      <w:rFonts w:ascii="Times New Roman" w:hAnsi="Times New Roman"/>
      <w:szCs w:val="24"/>
    </w:rPr>
  </w:style>
  <w:style w:type="paragraph" w:styleId="Index7">
    <w:name w:val="index 7"/>
    <w:basedOn w:val="Normal"/>
    <w:next w:val="Normal"/>
    <w:autoRedefine/>
    <w:uiPriority w:val="99"/>
    <w:semiHidden/>
    <w:rsid w:val="00B560B3"/>
    <w:pPr>
      <w:ind w:left="1680" w:hanging="240"/>
    </w:pPr>
    <w:rPr>
      <w:rFonts w:ascii="Times New Roman" w:hAnsi="Times New Roman"/>
      <w:szCs w:val="24"/>
    </w:rPr>
  </w:style>
  <w:style w:type="paragraph" w:styleId="Index8">
    <w:name w:val="index 8"/>
    <w:basedOn w:val="Normal"/>
    <w:next w:val="Normal"/>
    <w:autoRedefine/>
    <w:uiPriority w:val="99"/>
    <w:semiHidden/>
    <w:rsid w:val="00B560B3"/>
    <w:pPr>
      <w:ind w:left="1920" w:hanging="240"/>
    </w:pPr>
    <w:rPr>
      <w:rFonts w:ascii="Times New Roman" w:hAnsi="Times New Roman"/>
      <w:szCs w:val="24"/>
    </w:rPr>
  </w:style>
  <w:style w:type="paragraph" w:styleId="Index9">
    <w:name w:val="index 9"/>
    <w:basedOn w:val="Normal"/>
    <w:next w:val="Normal"/>
    <w:autoRedefine/>
    <w:uiPriority w:val="99"/>
    <w:semiHidden/>
    <w:rsid w:val="00B560B3"/>
    <w:pPr>
      <w:ind w:left="2160" w:hanging="240"/>
    </w:pPr>
    <w:rPr>
      <w:rFonts w:ascii="Times New Roman" w:hAnsi="Times New Roman"/>
      <w:szCs w:val="24"/>
    </w:rPr>
  </w:style>
  <w:style w:type="paragraph" w:styleId="IndexHeading">
    <w:name w:val="index heading"/>
    <w:basedOn w:val="Normal"/>
    <w:next w:val="Index1"/>
    <w:uiPriority w:val="99"/>
    <w:semiHidden/>
    <w:rsid w:val="00B560B3"/>
    <w:pPr>
      <w:spacing w:before="120" w:after="120"/>
    </w:pPr>
    <w:rPr>
      <w:rFonts w:ascii="Times New Roman" w:hAnsi="Times New Roman"/>
      <w:b/>
      <w:bCs/>
      <w:i/>
      <w:iCs/>
      <w:szCs w:val="24"/>
    </w:rPr>
  </w:style>
  <w:style w:type="paragraph" w:customStyle="1" w:styleId="EntEmet">
    <w:name w:val="EntEmet"/>
    <w:basedOn w:val="Normal"/>
    <w:uiPriority w:val="99"/>
    <w:rsid w:val="00B560B3"/>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B560B3"/>
    <w:pPr>
      <w:spacing w:line="240" w:lineRule="auto"/>
    </w:pPr>
    <w:rPr>
      <w:rFonts w:ascii="Arial" w:hAnsi="Arial"/>
      <w:lang w:val="en-GB"/>
    </w:rPr>
  </w:style>
  <w:style w:type="paragraph" w:customStyle="1" w:styleId="Avsndare0">
    <w:name w:val="Avsndare"/>
    <w:basedOn w:val="Normal"/>
    <w:next w:val="Normal"/>
    <w:uiPriority w:val="99"/>
    <w:rsid w:val="00B560B3"/>
    <w:pPr>
      <w:spacing w:line="240" w:lineRule="auto"/>
    </w:pPr>
    <w:rPr>
      <w:rFonts w:ascii="Arial" w:hAnsi="Arial"/>
      <w:i/>
      <w:lang w:val="en-GB"/>
    </w:rPr>
  </w:style>
  <w:style w:type="character" w:styleId="Hyperlink">
    <w:name w:val="Hyperlink"/>
    <w:basedOn w:val="DefaultParagraphFont"/>
    <w:uiPriority w:val="99"/>
    <w:rsid w:val="00B560B3"/>
    <w:rPr>
      <w:rFonts w:cs="Times New Roman"/>
      <w:color w:val="0000FF"/>
      <w:u w:val="single"/>
    </w:rPr>
  </w:style>
  <w:style w:type="paragraph" w:styleId="DocumentMap">
    <w:name w:val="Document Map"/>
    <w:basedOn w:val="Normal"/>
    <w:link w:val="DocumentMapChar"/>
    <w:uiPriority w:val="99"/>
    <w:semiHidden/>
    <w:rsid w:val="00B560B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F7DA1"/>
    <w:rPr>
      <w:sz w:val="0"/>
      <w:szCs w:val="0"/>
      <w:lang w:eastAsia="en-US"/>
    </w:rPr>
  </w:style>
  <w:style w:type="character" w:styleId="FollowedHyperlink">
    <w:name w:val="FollowedHyperlink"/>
    <w:basedOn w:val="DefaultParagraphFont"/>
    <w:uiPriority w:val="99"/>
    <w:rsid w:val="00B560B3"/>
    <w:rPr>
      <w:rFonts w:cs="Times New Roman"/>
      <w:color w:val="800080"/>
      <w:u w:val="single"/>
    </w:rPr>
  </w:style>
  <w:style w:type="paragraph" w:customStyle="1" w:styleId="Par-number10">
    <w:name w:val="Par-number 1)"/>
    <w:basedOn w:val="Normal"/>
    <w:next w:val="Normal"/>
    <w:uiPriority w:val="99"/>
    <w:rsid w:val="00B560B3"/>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B560B3"/>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B560B3"/>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B560B3"/>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B560B3"/>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B560B3"/>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B560B3"/>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B560B3"/>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B560B3"/>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B560B3"/>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B560B3"/>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B560B3"/>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2F7DA1"/>
    <w:rPr>
      <w:rFonts w:ascii="OrigGarmnd BT" w:hAnsi="OrigGarmnd BT"/>
      <w:sz w:val="20"/>
      <w:szCs w:val="20"/>
      <w:lang w:eastAsia="en-US"/>
    </w:rPr>
  </w:style>
  <w:style w:type="paragraph" w:customStyle="1" w:styleId="EntRefer">
    <w:name w:val="EntRefer"/>
    <w:basedOn w:val="Normal"/>
    <w:uiPriority w:val="99"/>
    <w:rsid w:val="00B560B3"/>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B560B3"/>
    <w:pPr>
      <w:spacing w:line="240" w:lineRule="auto"/>
    </w:pPr>
    <w:rPr>
      <w:rFonts w:ascii="Times New Roman" w:hAnsi="Times New Roman"/>
      <w:lang w:val="en-GB" w:eastAsia="fr-BE"/>
    </w:rPr>
  </w:style>
  <w:style w:type="paragraph" w:customStyle="1" w:styleId="Tiret1">
    <w:name w:val="Tiret 1"/>
    <w:basedOn w:val="Normal"/>
    <w:uiPriority w:val="99"/>
    <w:rsid w:val="00B560B3"/>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B560B3"/>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B560B3"/>
    <w:pPr>
      <w:overflowPunct w:val="0"/>
      <w:autoSpaceDE w:val="0"/>
      <w:autoSpaceDN w:val="0"/>
      <w:adjustRightInd w:val="0"/>
      <w:ind w:left="1843"/>
      <w:textAlignment w:val="baseline"/>
    </w:pPr>
  </w:style>
  <w:style w:type="paragraph" w:customStyle="1" w:styleId="Brdtext0">
    <w:name w:val="Brˆdtext"/>
    <w:basedOn w:val="Normal"/>
    <w:uiPriority w:val="99"/>
    <w:rsid w:val="00B560B3"/>
    <w:pPr>
      <w:spacing w:line="320" w:lineRule="exact"/>
    </w:pPr>
    <w:rPr>
      <w:rFonts w:ascii="Times New Roman" w:hAnsi="Times New Roman"/>
    </w:rPr>
  </w:style>
  <w:style w:type="character" w:customStyle="1" w:styleId="term">
    <w:name w:val="term"/>
    <w:basedOn w:val="DefaultParagraphFont"/>
    <w:uiPriority w:val="99"/>
    <w:rsid w:val="00B560B3"/>
    <w:rPr>
      <w:rFonts w:cs="Times New Roman"/>
    </w:rPr>
  </w:style>
  <w:style w:type="paragraph" w:customStyle="1" w:styleId="Brdtexthuvud">
    <w:name w:val="Brödtext huvud"/>
    <w:basedOn w:val="Normal"/>
    <w:uiPriority w:val="99"/>
    <w:rsid w:val="00B560B3"/>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510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10ECA"/>
    <w:rPr>
      <w:rFonts w:ascii="Tahoma" w:hAnsi="Tahoma" w:cs="Tahoma"/>
      <w:sz w:val="16"/>
      <w:szCs w:val="16"/>
      <w:lang w:eastAsia="en-US"/>
    </w:rPr>
  </w:style>
  <w:style w:type="character" w:customStyle="1" w:styleId="RKnormalChar">
    <w:name w:val="RKnormal Char"/>
    <w:link w:val="RKnormal"/>
    <w:uiPriority w:val="99"/>
    <w:locked/>
    <w:rsid w:val="00F45BDA"/>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1235310817">
      <w:marLeft w:val="0"/>
      <w:marRight w:val="0"/>
      <w:marTop w:val="0"/>
      <w:marBottom w:val="0"/>
      <w:divBdr>
        <w:top w:val="none" w:sz="0" w:space="0" w:color="auto"/>
        <w:left w:val="none" w:sz="0" w:space="0" w:color="auto"/>
        <w:bottom w:val="none" w:sz="0" w:space="0" w:color="auto"/>
        <w:right w:val="none" w:sz="0" w:space="0" w:color="auto"/>
      </w:divBdr>
    </w:div>
    <w:div w:id="1235310818">
      <w:marLeft w:val="0"/>
      <w:marRight w:val="0"/>
      <w:marTop w:val="0"/>
      <w:marBottom w:val="0"/>
      <w:divBdr>
        <w:top w:val="none" w:sz="0" w:space="0" w:color="auto"/>
        <w:left w:val="none" w:sz="0" w:space="0" w:color="auto"/>
        <w:bottom w:val="none" w:sz="0" w:space="0" w:color="auto"/>
        <w:right w:val="none" w:sz="0" w:space="0" w:color="auto"/>
      </w:divBdr>
    </w:div>
    <w:div w:id="1235310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68</Pages>
  <Words>15940</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jn0806ab</cp:lastModifiedBy>
  <cp:revision>2</cp:revision>
  <cp:lastPrinted>2006-02-01T09:16:00Z</cp:lastPrinted>
  <dcterms:created xsi:type="dcterms:W3CDTF">2013-11-28T14:34:00Z</dcterms:created>
  <dcterms:modified xsi:type="dcterms:W3CDTF">2013-11-28T14:34:00Z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2a7b27c6-ffc1-400a-a77b-cbfe32c01404</vt:lpwstr>
  </property>
  <property fmtid="{D5CDD505-2E9C-101B-9397-08002B2CF9AE}" pid="12" name="TaxCatchAll">
    <vt:lpwstr/>
  </property>
  <property fmtid="{D5CDD505-2E9C-101B-9397-08002B2CF9AE}" pid="13" name="Sekretess">
    <vt:lpwstr/>
  </property>
  <property fmtid="{D5CDD505-2E9C-101B-9397-08002B2CF9AE}" pid="14" name="RKOrdnaCheckInComment">
    <vt:lpwstr/>
  </property>
  <property fmtid="{D5CDD505-2E9C-101B-9397-08002B2CF9AE}" pid="15" name="c9cd366cc722410295b9eacffbd73909">
    <vt:lpwstr/>
  </property>
  <property fmtid="{D5CDD505-2E9C-101B-9397-08002B2CF9AE}" pid="16" name="Diarienummer">
    <vt:lpwstr/>
  </property>
  <property fmtid="{D5CDD505-2E9C-101B-9397-08002B2CF9AE}" pid="17" name="k46d94c0acf84ab9a79866a9d8b1905f">
    <vt:lpwstr/>
  </property>
  <property fmtid="{D5CDD505-2E9C-101B-9397-08002B2CF9AE}" pid="18" name="RKOrdnaClass">
    <vt:lpwstr/>
  </property>
  <property fmtid="{D5CDD505-2E9C-101B-9397-08002B2CF9AE}" pid="19" name="_dlc_DocId">
    <vt:lpwstr>JE6N4JFJXNNF-9-59540</vt:lpwstr>
  </property>
  <property fmtid="{D5CDD505-2E9C-101B-9397-08002B2CF9AE}" pid="20" name="_dlc_DocIdUrl">
    <vt:lpwstr>http://rkdhs-sb/enhet/EUKansli/_layouts/DocIdRedir.aspx?ID=JE6N4JFJXNNF-9-59540, JE6N4JFJXNNF-9-59540</vt:lpwstr>
  </property>
</Properties>
</file>