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F7A65">
        <w:tblPrEx>
          <w:tblCellMar>
            <w:top w:w="0" w:type="dxa"/>
            <w:bottom w:w="0" w:type="dxa"/>
          </w:tblCellMar>
        </w:tblPrEx>
        <w:tc>
          <w:tcPr>
            <w:tcW w:w="2268" w:type="dxa"/>
          </w:tcPr>
          <w:p w:rsidR="006E4E11" w:rsidRPr="001F7A6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F7A65" w:rsidRDefault="006E4E11" w:rsidP="007242A3">
            <w:pPr>
              <w:framePr w:w="5035" w:h="1644" w:wrap="notBeside" w:vAnchor="page" w:hAnchor="page" w:x="6573" w:y="721"/>
              <w:rPr>
                <w:rFonts w:ascii="TradeGothic" w:hAnsi="TradeGothic"/>
                <w:i/>
                <w:sz w:val="18"/>
              </w:rPr>
            </w:pPr>
          </w:p>
        </w:tc>
      </w:tr>
      <w:tr w:rsidR="006E4E11" w:rsidRPr="001F7A65">
        <w:tblPrEx>
          <w:tblCellMar>
            <w:top w:w="0" w:type="dxa"/>
            <w:bottom w:w="0" w:type="dxa"/>
          </w:tblCellMar>
        </w:tblPrEx>
        <w:tc>
          <w:tcPr>
            <w:tcW w:w="2268" w:type="dxa"/>
          </w:tcPr>
          <w:p w:rsidR="006E4E11" w:rsidRPr="001F7A65" w:rsidRDefault="00856A3C" w:rsidP="007242A3">
            <w:pPr>
              <w:framePr w:w="5035" w:h="1644" w:wrap="notBeside" w:vAnchor="page" w:hAnchor="page" w:x="6573" w:y="721"/>
              <w:rPr>
                <w:rFonts w:ascii="TradeGothic" w:hAnsi="TradeGothic"/>
                <w:b/>
                <w:sz w:val="22"/>
              </w:rPr>
            </w:pPr>
            <w:r w:rsidRPr="001F7A65">
              <w:rPr>
                <w:rFonts w:ascii="TradeGothic" w:hAnsi="TradeGothic"/>
                <w:b/>
                <w:sz w:val="22"/>
              </w:rPr>
              <w:t xml:space="preserve">Annoteringar </w:t>
            </w:r>
          </w:p>
        </w:tc>
        <w:tc>
          <w:tcPr>
            <w:tcW w:w="2999" w:type="dxa"/>
            <w:gridSpan w:val="2"/>
          </w:tcPr>
          <w:p w:rsidR="006E4E11" w:rsidRPr="001F7A65" w:rsidRDefault="006E4E11" w:rsidP="007242A3">
            <w:pPr>
              <w:framePr w:w="5035" w:h="1644" w:wrap="notBeside" w:vAnchor="page" w:hAnchor="page" w:x="6573" w:y="721"/>
              <w:rPr>
                <w:rFonts w:ascii="TradeGothic" w:hAnsi="TradeGothic"/>
                <w:b/>
                <w:sz w:val="22"/>
              </w:rPr>
            </w:pPr>
          </w:p>
        </w:tc>
      </w:tr>
      <w:tr w:rsidR="006E4E11" w:rsidRPr="001F7A65">
        <w:tblPrEx>
          <w:tblCellMar>
            <w:top w:w="0" w:type="dxa"/>
            <w:bottom w:w="0" w:type="dxa"/>
          </w:tblCellMar>
        </w:tblPrEx>
        <w:tc>
          <w:tcPr>
            <w:tcW w:w="3402" w:type="dxa"/>
            <w:gridSpan w:val="2"/>
          </w:tcPr>
          <w:p w:rsidR="006E4E11" w:rsidRPr="001F7A65" w:rsidRDefault="006E4E11" w:rsidP="007242A3">
            <w:pPr>
              <w:framePr w:w="5035" w:h="1644" w:wrap="notBeside" w:vAnchor="page" w:hAnchor="page" w:x="6573" w:y="721"/>
            </w:pPr>
          </w:p>
        </w:tc>
        <w:tc>
          <w:tcPr>
            <w:tcW w:w="1865" w:type="dxa"/>
          </w:tcPr>
          <w:p w:rsidR="006E4E11" w:rsidRPr="001F7A65" w:rsidRDefault="006E4E11" w:rsidP="007242A3">
            <w:pPr>
              <w:framePr w:w="5035" w:h="1644" w:wrap="notBeside" w:vAnchor="page" w:hAnchor="page" w:x="6573" w:y="721"/>
            </w:pPr>
          </w:p>
        </w:tc>
      </w:tr>
      <w:tr w:rsidR="006E4E11" w:rsidRPr="001F7A65">
        <w:tblPrEx>
          <w:tblCellMar>
            <w:top w:w="0" w:type="dxa"/>
            <w:bottom w:w="0" w:type="dxa"/>
          </w:tblCellMar>
        </w:tblPrEx>
        <w:tc>
          <w:tcPr>
            <w:tcW w:w="2268" w:type="dxa"/>
          </w:tcPr>
          <w:p w:rsidR="006E4E11" w:rsidRPr="001F7A65" w:rsidRDefault="00856A3C" w:rsidP="007242A3">
            <w:pPr>
              <w:framePr w:w="5035" w:h="1644" w:wrap="notBeside" w:vAnchor="page" w:hAnchor="page" w:x="6573" w:y="721"/>
            </w:pPr>
            <w:r w:rsidRPr="001F7A65">
              <w:t>2008-</w:t>
            </w:r>
            <w:r w:rsidR="00D07381" w:rsidRPr="001F7A65">
              <w:t>10-2</w:t>
            </w:r>
            <w:r w:rsidR="00DF60C3" w:rsidRPr="001F7A65">
              <w:t>7</w:t>
            </w:r>
          </w:p>
        </w:tc>
        <w:tc>
          <w:tcPr>
            <w:tcW w:w="2999" w:type="dxa"/>
            <w:gridSpan w:val="2"/>
          </w:tcPr>
          <w:p w:rsidR="006E4E11" w:rsidRPr="001F7A65" w:rsidRDefault="006E4E11" w:rsidP="007242A3">
            <w:pPr>
              <w:framePr w:w="5035" w:h="1644" w:wrap="notBeside" w:vAnchor="page" w:hAnchor="page" w:x="6573" w:y="721"/>
            </w:pPr>
          </w:p>
        </w:tc>
      </w:tr>
      <w:tr w:rsidR="006E4E11" w:rsidRPr="001F7A65">
        <w:tblPrEx>
          <w:tblCellMar>
            <w:top w:w="0" w:type="dxa"/>
            <w:bottom w:w="0" w:type="dxa"/>
          </w:tblCellMar>
        </w:tblPrEx>
        <w:tc>
          <w:tcPr>
            <w:tcW w:w="2268" w:type="dxa"/>
          </w:tcPr>
          <w:p w:rsidR="006E4E11" w:rsidRPr="001F7A65" w:rsidRDefault="006E4E11" w:rsidP="007242A3">
            <w:pPr>
              <w:framePr w:w="5035" w:h="1644" w:wrap="notBeside" w:vAnchor="page" w:hAnchor="page" w:x="6573" w:y="721"/>
            </w:pPr>
          </w:p>
        </w:tc>
        <w:tc>
          <w:tcPr>
            <w:tcW w:w="2999" w:type="dxa"/>
            <w:gridSpan w:val="2"/>
          </w:tcPr>
          <w:p w:rsidR="006E4E11" w:rsidRPr="001F7A6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F7A65">
        <w:tblPrEx>
          <w:tblCellMar>
            <w:top w:w="0" w:type="dxa"/>
            <w:bottom w:w="0" w:type="dxa"/>
          </w:tblCellMar>
        </w:tblPrEx>
        <w:trPr>
          <w:trHeight w:val="284"/>
        </w:trPr>
        <w:tc>
          <w:tcPr>
            <w:tcW w:w="4911" w:type="dxa"/>
          </w:tcPr>
          <w:p w:rsidR="006E4E11" w:rsidRPr="001F7A65" w:rsidRDefault="00856A3C">
            <w:pPr>
              <w:pStyle w:val="Avsndare"/>
              <w:framePr w:h="2483" w:wrap="notBeside" w:x="1504"/>
              <w:rPr>
                <w:b/>
                <w:i w:val="0"/>
                <w:sz w:val="22"/>
              </w:rPr>
            </w:pPr>
            <w:r w:rsidRPr="001F7A65">
              <w:rPr>
                <w:b/>
                <w:i w:val="0"/>
                <w:sz w:val="22"/>
              </w:rPr>
              <w:t>Finansdepartementet</w:t>
            </w:r>
          </w:p>
        </w:tc>
      </w:tr>
      <w:tr w:rsidR="006E4E11" w:rsidRPr="001F7A65">
        <w:tblPrEx>
          <w:tblCellMar>
            <w:top w:w="0" w:type="dxa"/>
            <w:bottom w:w="0" w:type="dxa"/>
          </w:tblCellMar>
        </w:tblPrEx>
        <w:trPr>
          <w:trHeight w:val="284"/>
        </w:trPr>
        <w:tc>
          <w:tcPr>
            <w:tcW w:w="4911" w:type="dxa"/>
          </w:tcPr>
          <w:p w:rsidR="006E4E11" w:rsidRPr="001F7A65" w:rsidRDefault="006E4E11">
            <w:pPr>
              <w:pStyle w:val="Avsndare"/>
              <w:framePr w:h="2483" w:wrap="notBeside" w:x="1504"/>
              <w:rPr>
                <w:bCs/>
                <w:iCs/>
              </w:rPr>
            </w:pPr>
          </w:p>
        </w:tc>
      </w:tr>
      <w:tr w:rsidR="006E4E11" w:rsidRPr="001F7A65">
        <w:tblPrEx>
          <w:tblCellMar>
            <w:top w:w="0" w:type="dxa"/>
            <w:bottom w:w="0" w:type="dxa"/>
          </w:tblCellMar>
        </w:tblPrEx>
        <w:trPr>
          <w:trHeight w:val="284"/>
        </w:trPr>
        <w:tc>
          <w:tcPr>
            <w:tcW w:w="4911" w:type="dxa"/>
          </w:tcPr>
          <w:p w:rsidR="006E4E11" w:rsidRPr="001F7A65" w:rsidRDefault="006E4E11">
            <w:pPr>
              <w:pStyle w:val="Avsndare"/>
              <w:framePr w:h="2483" w:wrap="notBeside" w:x="1504"/>
              <w:rPr>
                <w:bCs/>
                <w:iCs/>
              </w:rPr>
            </w:pPr>
          </w:p>
        </w:tc>
      </w:tr>
      <w:tr w:rsidR="006E4E11" w:rsidRPr="001F7A65">
        <w:tblPrEx>
          <w:tblCellMar>
            <w:top w:w="0" w:type="dxa"/>
            <w:bottom w:w="0" w:type="dxa"/>
          </w:tblCellMar>
        </w:tblPrEx>
        <w:trPr>
          <w:trHeight w:val="284"/>
        </w:trPr>
        <w:tc>
          <w:tcPr>
            <w:tcW w:w="4911" w:type="dxa"/>
          </w:tcPr>
          <w:p w:rsidR="006E4E11" w:rsidRPr="001F7A65" w:rsidRDefault="00856A3C">
            <w:pPr>
              <w:pStyle w:val="Avsndare"/>
              <w:framePr w:h="2483" w:wrap="notBeside" w:x="1504"/>
              <w:rPr>
                <w:bCs/>
                <w:iCs/>
              </w:rPr>
            </w:pPr>
            <w:r w:rsidRPr="001F7A65">
              <w:rPr>
                <w:bCs/>
                <w:iCs/>
              </w:rPr>
              <w:t>Peter Holmgren</w:t>
            </w:r>
          </w:p>
        </w:tc>
      </w:tr>
      <w:tr w:rsidR="006E4E11" w:rsidRPr="001F7A65">
        <w:tblPrEx>
          <w:tblCellMar>
            <w:top w:w="0" w:type="dxa"/>
            <w:bottom w:w="0" w:type="dxa"/>
          </w:tblCellMar>
        </w:tblPrEx>
        <w:trPr>
          <w:trHeight w:val="284"/>
        </w:trPr>
        <w:tc>
          <w:tcPr>
            <w:tcW w:w="4911" w:type="dxa"/>
          </w:tcPr>
          <w:p w:rsidR="006E4E11" w:rsidRPr="001F7A65" w:rsidRDefault="006E4E11">
            <w:pPr>
              <w:pStyle w:val="Avsndare"/>
              <w:framePr w:h="2483" w:wrap="notBeside" w:x="1504"/>
              <w:rPr>
                <w:bCs/>
                <w:iCs/>
              </w:rPr>
            </w:pPr>
          </w:p>
        </w:tc>
      </w:tr>
      <w:tr w:rsidR="006E4E11" w:rsidRPr="001F7A65">
        <w:tblPrEx>
          <w:tblCellMar>
            <w:top w:w="0" w:type="dxa"/>
            <w:bottom w:w="0" w:type="dxa"/>
          </w:tblCellMar>
        </w:tblPrEx>
        <w:trPr>
          <w:trHeight w:val="284"/>
        </w:trPr>
        <w:tc>
          <w:tcPr>
            <w:tcW w:w="4911" w:type="dxa"/>
          </w:tcPr>
          <w:p w:rsidR="006E4E11" w:rsidRPr="001F7A65" w:rsidRDefault="006E4E11">
            <w:pPr>
              <w:pStyle w:val="Avsndare"/>
              <w:framePr w:h="2483" w:wrap="notBeside" w:x="1504"/>
              <w:rPr>
                <w:bCs/>
                <w:iCs/>
              </w:rPr>
            </w:pPr>
          </w:p>
        </w:tc>
      </w:tr>
    </w:tbl>
    <w:p w:rsidR="00856A3C" w:rsidRPr="001F7A65" w:rsidRDefault="00856A3C">
      <w:pPr>
        <w:framePr w:w="4400" w:h="2523" w:wrap="notBeside" w:vAnchor="page" w:hAnchor="page" w:x="6453" w:y="2445"/>
        <w:ind w:left="142"/>
      </w:pPr>
    </w:p>
    <w:p w:rsidR="00856A3C" w:rsidRPr="001F7A65" w:rsidRDefault="00856A3C">
      <w:pPr>
        <w:framePr w:w="4400" w:h="2523" w:wrap="notBeside" w:vAnchor="page" w:hAnchor="page" w:x="6453" w:y="2445"/>
        <w:ind w:left="142"/>
      </w:pPr>
    </w:p>
    <w:p w:rsidR="00856A3C" w:rsidRPr="001F7A65" w:rsidRDefault="00856A3C">
      <w:pPr>
        <w:framePr w:w="4400" w:h="2523" w:wrap="notBeside" w:vAnchor="page" w:hAnchor="page" w:x="6453" w:y="2445"/>
        <w:ind w:left="142"/>
      </w:pPr>
    </w:p>
    <w:p w:rsidR="00D07381" w:rsidRPr="001F7A65" w:rsidRDefault="00856A3C" w:rsidP="00D07381">
      <w:pPr>
        <w:framePr w:w="4400" w:h="2523" w:wrap="notBeside" w:vAnchor="page" w:hAnchor="page" w:x="6453" w:y="2445"/>
        <w:ind w:left="142"/>
      </w:pPr>
      <w:r w:rsidRPr="001F7A65">
        <w:t xml:space="preserve">Ekofinrådets möte </w:t>
      </w:r>
      <w:r w:rsidR="00D07381" w:rsidRPr="001F7A65">
        <w:t>i Bryssel</w:t>
      </w:r>
    </w:p>
    <w:p w:rsidR="006E4E11" w:rsidRPr="001F7A65" w:rsidRDefault="00856A3C">
      <w:pPr>
        <w:framePr w:w="4400" w:h="2523" w:wrap="notBeside" w:vAnchor="page" w:hAnchor="page" w:x="6453" w:y="2445"/>
        <w:ind w:left="142"/>
      </w:pPr>
      <w:r w:rsidRPr="001F7A65">
        <w:t xml:space="preserve">den </w:t>
      </w:r>
      <w:r w:rsidR="00D07381" w:rsidRPr="001F7A65">
        <w:t>4 november 2008</w:t>
      </w:r>
    </w:p>
    <w:p w:rsidR="006E4E11" w:rsidRPr="001F7A65" w:rsidRDefault="00856A3C" w:rsidP="00856A3C">
      <w:pPr>
        <w:pStyle w:val="RKrubrik"/>
        <w:pBdr>
          <w:bottom w:val="single" w:sz="4" w:space="1" w:color="000000"/>
        </w:pBdr>
        <w:spacing w:before="0" w:after="0"/>
      </w:pPr>
      <w:r w:rsidRPr="001F7A65">
        <w:t>Kommentera</w:t>
      </w:r>
      <w:r w:rsidR="004706A2" w:rsidRPr="001F7A65">
        <w:t>d</w:t>
      </w:r>
      <w:r w:rsidRPr="001F7A65">
        <w:t xml:space="preserve"> dagordning</w:t>
      </w:r>
    </w:p>
    <w:p w:rsidR="006E4E11" w:rsidRPr="001F7A65" w:rsidRDefault="004706A2">
      <w:pPr>
        <w:pStyle w:val="RKnormal"/>
        <w:rPr>
          <w:sz w:val="20"/>
        </w:rPr>
      </w:pPr>
      <w:r w:rsidRPr="001F7A65">
        <w:rPr>
          <w:sz w:val="20"/>
        </w:rPr>
        <w:t xml:space="preserve">- enligt den preliminära dagordning som framkom vid Coreper den </w:t>
      </w:r>
      <w:r w:rsidR="00D07381" w:rsidRPr="001F7A65">
        <w:rPr>
          <w:sz w:val="20"/>
        </w:rPr>
        <w:t>21 oktober</w:t>
      </w:r>
    </w:p>
    <w:p w:rsidR="004706A2" w:rsidRPr="001F7A65" w:rsidRDefault="004706A2" w:rsidP="00856A3C">
      <w:pPr>
        <w:pStyle w:val="RKnormal"/>
        <w:tabs>
          <w:tab w:val="clear" w:pos="2835"/>
          <w:tab w:val="left" w:pos="1701"/>
        </w:tabs>
        <w:rPr>
          <w:b/>
        </w:rPr>
      </w:pPr>
    </w:p>
    <w:p w:rsidR="006E4E11" w:rsidRPr="001F7A65" w:rsidRDefault="00856A3C" w:rsidP="00856A3C">
      <w:pPr>
        <w:pStyle w:val="RKnormal"/>
        <w:tabs>
          <w:tab w:val="clear" w:pos="2835"/>
          <w:tab w:val="left" w:pos="1701"/>
        </w:tabs>
        <w:rPr>
          <w:b/>
        </w:rPr>
      </w:pPr>
      <w:r w:rsidRPr="001F7A65">
        <w:rPr>
          <w:b/>
        </w:rPr>
        <w:t>1.</w:t>
      </w:r>
      <w:r w:rsidRPr="001F7A65">
        <w:rPr>
          <w:b/>
        </w:rPr>
        <w:tab/>
        <w:t>Antagande av den preliminära dagordningen</w:t>
      </w:r>
    </w:p>
    <w:p w:rsidR="00856A3C" w:rsidRPr="001F7A65" w:rsidRDefault="00856A3C" w:rsidP="00856A3C">
      <w:pPr>
        <w:pStyle w:val="RKnormal"/>
        <w:tabs>
          <w:tab w:val="clear" w:pos="2835"/>
          <w:tab w:val="left" w:pos="1701"/>
        </w:tabs>
      </w:pPr>
    </w:p>
    <w:p w:rsidR="001F2632" w:rsidRPr="001F7A65" w:rsidRDefault="001F2632" w:rsidP="00856A3C">
      <w:pPr>
        <w:pStyle w:val="RKnormal"/>
        <w:tabs>
          <w:tab w:val="clear" w:pos="2835"/>
          <w:tab w:val="left" w:pos="1701"/>
        </w:tabs>
      </w:pPr>
    </w:p>
    <w:p w:rsidR="00856A3C" w:rsidRPr="001F7A65" w:rsidRDefault="00856A3C" w:rsidP="00856A3C">
      <w:pPr>
        <w:pStyle w:val="RKnormal"/>
        <w:tabs>
          <w:tab w:val="clear" w:pos="2835"/>
          <w:tab w:val="left" w:pos="1701"/>
        </w:tabs>
        <w:rPr>
          <w:b/>
        </w:rPr>
      </w:pPr>
      <w:r w:rsidRPr="001F7A65">
        <w:rPr>
          <w:b/>
        </w:rPr>
        <w:t>2.</w:t>
      </w:r>
      <w:r w:rsidRPr="001F7A65">
        <w:rPr>
          <w:b/>
        </w:rPr>
        <w:tab/>
        <w:t>Godkännande av listan över A-punkter</w:t>
      </w:r>
    </w:p>
    <w:p w:rsidR="00856A3C" w:rsidRPr="001F7A65" w:rsidRDefault="00856A3C" w:rsidP="00856A3C">
      <w:pPr>
        <w:pStyle w:val="RKnormal"/>
        <w:tabs>
          <w:tab w:val="clear" w:pos="2835"/>
          <w:tab w:val="left" w:pos="1701"/>
        </w:tabs>
      </w:pPr>
    </w:p>
    <w:p w:rsidR="001F2632" w:rsidRPr="001F7A65" w:rsidRDefault="001F2632" w:rsidP="00856A3C">
      <w:pPr>
        <w:pStyle w:val="RKnormal"/>
        <w:tabs>
          <w:tab w:val="clear" w:pos="2835"/>
          <w:tab w:val="left" w:pos="1701"/>
        </w:tabs>
      </w:pPr>
    </w:p>
    <w:p w:rsidR="00856A3C" w:rsidRPr="001F7A65" w:rsidRDefault="00856A3C" w:rsidP="00856A3C">
      <w:pPr>
        <w:pStyle w:val="RKnormal"/>
        <w:tabs>
          <w:tab w:val="clear" w:pos="2835"/>
          <w:tab w:val="left" w:pos="1701"/>
        </w:tabs>
        <w:rPr>
          <w:b/>
        </w:rPr>
      </w:pPr>
      <w:r w:rsidRPr="001F7A65">
        <w:rPr>
          <w:b/>
        </w:rPr>
        <w:t>3.</w:t>
      </w:r>
      <w:r w:rsidRPr="001F7A65">
        <w:rPr>
          <w:b/>
        </w:rPr>
        <w:tab/>
      </w:r>
      <w:r w:rsidR="00D07381" w:rsidRPr="001F7A65">
        <w:rPr>
          <w:b/>
        </w:rPr>
        <w:t xml:space="preserve">Uppföljning av </w:t>
      </w:r>
      <w:r w:rsidRPr="001F7A65">
        <w:rPr>
          <w:b/>
        </w:rPr>
        <w:t>Europeiska rådet</w:t>
      </w:r>
      <w:r w:rsidR="00D07381" w:rsidRPr="001F7A65">
        <w:rPr>
          <w:b/>
        </w:rPr>
        <w:t xml:space="preserve"> 15-16 oktober</w:t>
      </w:r>
    </w:p>
    <w:p w:rsidR="00856A3C" w:rsidRPr="001F7A65" w:rsidRDefault="00D07381" w:rsidP="00856A3C">
      <w:pPr>
        <w:pStyle w:val="RKnormal"/>
        <w:tabs>
          <w:tab w:val="clear" w:pos="2835"/>
          <w:tab w:val="left" w:pos="1701"/>
        </w:tabs>
        <w:rPr>
          <w:i/>
        </w:rPr>
      </w:pPr>
      <w:r w:rsidRPr="001F7A65">
        <w:rPr>
          <w:i/>
        </w:rPr>
        <w:tab/>
        <w:t xml:space="preserve">- förberedelser om internationella finansinitiativ </w:t>
      </w:r>
    </w:p>
    <w:p w:rsidR="00EC5436" w:rsidRPr="001F7A65" w:rsidRDefault="00EC5436" w:rsidP="00856A3C">
      <w:pPr>
        <w:pStyle w:val="RKnormal"/>
        <w:tabs>
          <w:tab w:val="clear" w:pos="2835"/>
          <w:tab w:val="left" w:pos="1701"/>
        </w:tabs>
      </w:pPr>
    </w:p>
    <w:p w:rsidR="006D4CF5" w:rsidRPr="001F7A65" w:rsidRDefault="006D4CF5" w:rsidP="006D4CF5">
      <w:pPr>
        <w:pStyle w:val="RKnormal"/>
      </w:pPr>
      <w:r w:rsidRPr="001F7A65">
        <w:t xml:space="preserve">Europeiska rådets slutsatser från den 15 oktober slår fast att EU måste samarbeta med sina internationella partners för en verklig och grundlig reform av det internationella finansiella systemet på grundval av principerna om insyn, sunt bankväsende, ansvarstagande, integritet och global styrning. </w:t>
      </w:r>
    </w:p>
    <w:p w:rsidR="006D4CF5" w:rsidRPr="001F7A65" w:rsidRDefault="006D4CF5" w:rsidP="006D4CF5">
      <w:pPr>
        <w:pStyle w:val="RKnormal"/>
      </w:pPr>
    </w:p>
    <w:p w:rsidR="006D4CF5" w:rsidRPr="001F7A65" w:rsidRDefault="006D4CF5" w:rsidP="006D4CF5">
      <w:pPr>
        <w:pStyle w:val="RKnormal"/>
      </w:pPr>
      <w:r w:rsidRPr="001F7A65">
        <w:t>Som en uppföljning av Europeiska rådets möte ska Ekofin-rådet diskutera olika internationella initiativ som syftar till att stärka det internationella finansiella systemet. Diskussionen äger rum i ljuset av den brittiske premiärministers utspel om reformer av det finansiella systemet resp. det möte som ska hållas i USA efter det amerikanska presidentvalet och som har initierats av USA:s president Bush, Frankrikes president Sarkozy och Europeiska kommissionens ordförande Barroso.</w:t>
      </w:r>
    </w:p>
    <w:p w:rsidR="006D4CF5" w:rsidRPr="001F7A65" w:rsidRDefault="006D4CF5" w:rsidP="006D4CF5">
      <w:pPr>
        <w:pStyle w:val="RKnormal"/>
      </w:pPr>
    </w:p>
    <w:p w:rsidR="006D4CF5" w:rsidRPr="001F7A65" w:rsidRDefault="006D4CF5" w:rsidP="006D4CF5">
      <w:pPr>
        <w:pStyle w:val="RKnormal"/>
      </w:pPr>
      <w:r w:rsidRPr="001F7A65">
        <w:t xml:space="preserve">Regeringen välkomnar att initiativ tas på internationell nivå eftersom en global finansmarknad kräver globala regler. Ambitionen bör vara att tillskapa tydliga och stabila internationella regelverk som alla länder efterföljer. Regionala särregleringar bör motverkas. En ny modell för internationellt finansiellt samarbete bör emellertid noga utvärderas och övervägas innan beslut fattas. </w:t>
      </w:r>
    </w:p>
    <w:p w:rsidR="006D4CF5" w:rsidRPr="001F7A65" w:rsidRDefault="006D4CF5" w:rsidP="006D4CF5">
      <w:pPr>
        <w:overflowPunct/>
        <w:spacing w:line="240" w:lineRule="auto"/>
        <w:textAlignment w:val="auto"/>
        <w:rPr>
          <w:rFonts w:ascii="Helv" w:hAnsi="Helv" w:cs="Helv"/>
          <w:color w:val="000000"/>
          <w:sz w:val="22"/>
          <w:szCs w:val="22"/>
        </w:rPr>
      </w:pPr>
    </w:p>
    <w:p w:rsidR="006D4CF5" w:rsidRPr="001F7A65" w:rsidRDefault="006D4CF5" w:rsidP="00856A3C">
      <w:pPr>
        <w:pStyle w:val="RKnormal"/>
        <w:tabs>
          <w:tab w:val="clear" w:pos="2835"/>
          <w:tab w:val="left" w:pos="1701"/>
        </w:tabs>
      </w:pPr>
    </w:p>
    <w:p w:rsidR="006D4CF5" w:rsidRPr="001F7A65" w:rsidRDefault="006D4CF5" w:rsidP="00856A3C">
      <w:pPr>
        <w:pStyle w:val="RKnormal"/>
        <w:tabs>
          <w:tab w:val="clear" w:pos="2835"/>
          <w:tab w:val="left" w:pos="1701"/>
        </w:tabs>
      </w:pPr>
    </w:p>
    <w:p w:rsidR="00856A3C" w:rsidRPr="001F7A65" w:rsidRDefault="006D4CF5" w:rsidP="00856A3C">
      <w:pPr>
        <w:pStyle w:val="RKnormal"/>
        <w:tabs>
          <w:tab w:val="clear" w:pos="2835"/>
          <w:tab w:val="left" w:pos="1701"/>
        </w:tabs>
        <w:rPr>
          <w:b/>
        </w:rPr>
      </w:pPr>
      <w:r w:rsidRPr="001F7A65">
        <w:rPr>
          <w:b/>
        </w:rPr>
        <w:t>4</w:t>
      </w:r>
      <w:r w:rsidR="00856A3C" w:rsidRPr="001F7A65">
        <w:rPr>
          <w:b/>
        </w:rPr>
        <w:t>.</w:t>
      </w:r>
      <w:r w:rsidR="00856A3C" w:rsidRPr="001F7A65">
        <w:rPr>
          <w:b/>
        </w:rPr>
        <w:tab/>
      </w:r>
      <w:r w:rsidR="00D07381" w:rsidRPr="001F7A65">
        <w:rPr>
          <w:b/>
        </w:rPr>
        <w:t>Skatteärenden</w:t>
      </w:r>
    </w:p>
    <w:p w:rsidR="00856A3C" w:rsidRPr="001F7A65" w:rsidRDefault="00856A3C" w:rsidP="00856A3C">
      <w:pPr>
        <w:pStyle w:val="RKnormal"/>
        <w:tabs>
          <w:tab w:val="clear" w:pos="2835"/>
          <w:tab w:val="left" w:pos="1701"/>
        </w:tabs>
      </w:pPr>
    </w:p>
    <w:p w:rsidR="00856A3C" w:rsidRPr="001F7A65" w:rsidRDefault="00B21CD8" w:rsidP="00AA7510">
      <w:pPr>
        <w:pStyle w:val="RKnormal"/>
        <w:tabs>
          <w:tab w:val="clear" w:pos="2835"/>
          <w:tab w:val="left" w:pos="567"/>
          <w:tab w:val="left" w:pos="1701"/>
        </w:tabs>
        <w:rPr>
          <w:b/>
        </w:rPr>
      </w:pPr>
      <w:r w:rsidRPr="001F7A65">
        <w:rPr>
          <w:b/>
        </w:rPr>
        <w:t>4</w:t>
      </w:r>
      <w:r w:rsidR="00856A3C" w:rsidRPr="001F7A65">
        <w:rPr>
          <w:b/>
        </w:rPr>
        <w:t>.1</w:t>
      </w:r>
      <w:r w:rsidR="00856A3C" w:rsidRPr="001F7A65">
        <w:rPr>
          <w:b/>
        </w:rPr>
        <w:tab/>
      </w:r>
      <w:r w:rsidR="00D07381" w:rsidRPr="001F7A65">
        <w:rPr>
          <w:b/>
        </w:rPr>
        <w:t>Reducerade momssatser</w:t>
      </w:r>
    </w:p>
    <w:p w:rsidR="00D07381" w:rsidRPr="001F7A65" w:rsidRDefault="00D07381" w:rsidP="00AA7510">
      <w:pPr>
        <w:pStyle w:val="RKnormal"/>
        <w:tabs>
          <w:tab w:val="clear" w:pos="2835"/>
          <w:tab w:val="left" w:pos="567"/>
          <w:tab w:val="left" w:pos="1701"/>
        </w:tabs>
        <w:rPr>
          <w:i/>
        </w:rPr>
      </w:pPr>
      <w:r w:rsidRPr="001F7A65">
        <w:rPr>
          <w:i/>
        </w:rPr>
        <w:tab/>
        <w:t>- allmän orientering</w:t>
      </w:r>
    </w:p>
    <w:p w:rsidR="00214E8E" w:rsidRPr="001F7A65" w:rsidRDefault="00214E8E" w:rsidP="00214E8E"/>
    <w:p w:rsidR="00214E8E" w:rsidRPr="001F7A65" w:rsidRDefault="00214E8E" w:rsidP="00214E8E">
      <w:r w:rsidRPr="001F7A65">
        <w:t>Rådet ska fortsätta orienteringsdiskussionen från det senaste Ekofinmötet om reducerade momssatser.</w:t>
      </w:r>
    </w:p>
    <w:p w:rsidR="00214E8E" w:rsidRPr="001F7A65" w:rsidRDefault="00214E8E" w:rsidP="00214E8E"/>
    <w:p w:rsidR="00214E8E" w:rsidRPr="001F7A65" w:rsidRDefault="00214E8E" w:rsidP="00214E8E">
      <w:r w:rsidRPr="001F7A65">
        <w:t xml:space="preserve">Kommissionen lämnade i juli i år ett förslag till ändring av mervärdesskattedirektivet (2006/112/EG) som bl.a. innebär möjlighet för alla medlemsstater att tillämpa reducerad mervärdesskattesats på de tjänster som ingår i försöket med reducerad skattesats på vissa arbetsintensiva tjänster (det s.k. lågmomsförsöket) och på restaurangtjänster (dock inte på alkoholhaltiga drycker). </w:t>
      </w:r>
    </w:p>
    <w:p w:rsidR="00214E8E" w:rsidRPr="001F7A65" w:rsidRDefault="00214E8E" w:rsidP="00214E8E"/>
    <w:p w:rsidR="00214E8E" w:rsidRPr="001F7A65" w:rsidRDefault="00214E8E" w:rsidP="00214E8E">
      <w:r w:rsidRPr="001F7A65">
        <w:t xml:space="preserve">Vidare föreslår kommissionen vissa tekniska justeringar av texten i mervärdesskattedirektivet. Bl.a. föreslås ett tydliggörande av texten så att det framgår att även ljudböcker i fysiskt format och inte bara traditionella tryckta böcker omfattas av möjligheten till reducerad mervärdesskattesats. </w:t>
      </w:r>
    </w:p>
    <w:p w:rsidR="00214E8E" w:rsidRPr="001F7A65" w:rsidRDefault="00214E8E" w:rsidP="00214E8E"/>
    <w:p w:rsidR="00856A3C" w:rsidRPr="001F7A65" w:rsidRDefault="00214E8E" w:rsidP="0072718D">
      <w:pPr>
        <w:pStyle w:val="RKnormal"/>
      </w:pPr>
      <w:r w:rsidRPr="001F7A65">
        <w:t>Regeringen välkomnar förslaget. För vidare information, se Faktapromemoria</w:t>
      </w:r>
      <w:r w:rsidR="0072718D" w:rsidRPr="001F7A65">
        <w:t xml:space="preserve"> 2008/09: FPM 14.</w:t>
      </w:r>
    </w:p>
    <w:p w:rsidR="0072718D" w:rsidRPr="001F7A65" w:rsidRDefault="0072718D" w:rsidP="0072718D">
      <w:pPr>
        <w:pStyle w:val="RKnormal"/>
      </w:pPr>
    </w:p>
    <w:p w:rsidR="00214E8E" w:rsidRPr="001F7A65" w:rsidRDefault="00214E8E" w:rsidP="00856A3C">
      <w:pPr>
        <w:pStyle w:val="RKnormal"/>
        <w:tabs>
          <w:tab w:val="clear" w:pos="2835"/>
          <w:tab w:val="left" w:pos="1701"/>
        </w:tabs>
      </w:pPr>
    </w:p>
    <w:p w:rsidR="00856A3C" w:rsidRPr="001F7A65" w:rsidRDefault="00B21CD8" w:rsidP="00AA7510">
      <w:pPr>
        <w:pStyle w:val="RKnormal"/>
        <w:tabs>
          <w:tab w:val="clear" w:pos="2835"/>
          <w:tab w:val="left" w:pos="567"/>
          <w:tab w:val="left" w:pos="1701"/>
        </w:tabs>
        <w:rPr>
          <w:b/>
        </w:rPr>
      </w:pPr>
      <w:r w:rsidRPr="001F7A65">
        <w:rPr>
          <w:b/>
        </w:rPr>
        <w:t>4</w:t>
      </w:r>
      <w:r w:rsidR="00856A3C" w:rsidRPr="001F7A65">
        <w:rPr>
          <w:b/>
        </w:rPr>
        <w:t>.2</w:t>
      </w:r>
      <w:r w:rsidR="00856A3C" w:rsidRPr="001F7A65">
        <w:rPr>
          <w:b/>
        </w:rPr>
        <w:tab/>
      </w:r>
      <w:r w:rsidR="00D07381" w:rsidRPr="001F7A65">
        <w:rPr>
          <w:b/>
        </w:rPr>
        <w:t>Kamp mot momsbedrägerier</w:t>
      </w:r>
    </w:p>
    <w:p w:rsidR="00D07381" w:rsidRPr="001F7A65" w:rsidRDefault="00D07381" w:rsidP="00AA7510">
      <w:pPr>
        <w:pStyle w:val="RKnormal"/>
        <w:tabs>
          <w:tab w:val="clear" w:pos="2835"/>
          <w:tab w:val="left" w:pos="567"/>
          <w:tab w:val="left" w:pos="1701"/>
        </w:tabs>
        <w:rPr>
          <w:i/>
        </w:rPr>
      </w:pPr>
      <w:r w:rsidRPr="001F7A65">
        <w:rPr>
          <w:i/>
        </w:rPr>
        <w:tab/>
        <w:t>- allmän orientering</w:t>
      </w:r>
    </w:p>
    <w:p w:rsidR="00964FF1" w:rsidRPr="001F7A65" w:rsidRDefault="00964FF1" w:rsidP="00964FF1">
      <w:pPr>
        <w:pStyle w:val="RKnormal"/>
      </w:pPr>
    </w:p>
    <w:p w:rsidR="00964FF1" w:rsidRPr="001F7A65" w:rsidRDefault="00964FF1" w:rsidP="00964FF1">
      <w:pPr>
        <w:pStyle w:val="RKnormal"/>
      </w:pPr>
      <w:r w:rsidRPr="001F7A65">
        <w:t xml:space="preserve">En orienteringsdebatt ska hållas om arbetet med ett förslag från kommissionen som syftar till att bekämpa momsbedrägerier, KOM (2008)147 (se Faktapromemoria 2007/08:FPM96). Dagordningspunkten var tidigare aktuell på Ekofinrådets möte den 7 oktober 2008, men utgick då på grund av tidsbrist. </w:t>
      </w:r>
    </w:p>
    <w:p w:rsidR="00964FF1" w:rsidRPr="001F7A65" w:rsidRDefault="00964FF1" w:rsidP="00964FF1">
      <w:pPr>
        <w:pStyle w:val="RKnormal"/>
      </w:pPr>
    </w:p>
    <w:p w:rsidR="00964FF1" w:rsidRPr="001F7A65" w:rsidRDefault="00964FF1" w:rsidP="00964FF1">
      <w:pPr>
        <w:pStyle w:val="RKnormal"/>
      </w:pPr>
      <w:r w:rsidRPr="001F7A65">
        <w:t>Kommissionens förslag innebär bl.a. förkortad period för den periodiska sammanställningen avseende handel mellan företagare i olika medlemsstater (månadsredovisning i stället för kvartalsredovisning) samt kortare nationell deklarationsperiod för vissa företag. Vidare föreslås ett förenklat elektroniskt uppgiftslämnande för den periodiska sammanställningen samt kortare tidsgränser för överföring av information mellan olika medlemsstater.</w:t>
      </w:r>
    </w:p>
    <w:p w:rsidR="00964FF1" w:rsidRPr="001F7A65" w:rsidRDefault="00964FF1" w:rsidP="00964FF1">
      <w:pPr>
        <w:pStyle w:val="RKnormal"/>
      </w:pPr>
    </w:p>
    <w:p w:rsidR="00964FF1" w:rsidRPr="001F7A65" w:rsidRDefault="00964FF1" w:rsidP="00964FF1">
      <w:pPr>
        <w:pStyle w:val="RKnormal"/>
      </w:pPr>
      <w:r w:rsidRPr="001F7A65">
        <w:t>Flera medlemsstater (bl.a. Sverige) har arbetat för att reducera den administrativa bördan för företagen av förslaget. Olika kompromissförslag har därför diskuterats. Ett nytt förslag håller för närvarande på att utarbetas av ordförandeskapet. I kompromissförslagen har förslaget om de nationella deklarationsperioderna tagits bort. Vidare föreslås att vissa företag ska kunna tillämpa en längre period än en månad för den periodiska sammanställningen.</w:t>
      </w:r>
    </w:p>
    <w:p w:rsidR="00964FF1" w:rsidRPr="001F7A65" w:rsidRDefault="00964FF1" w:rsidP="00964FF1">
      <w:pPr>
        <w:pStyle w:val="RKnormal"/>
      </w:pPr>
    </w:p>
    <w:p w:rsidR="00964FF1" w:rsidRPr="001F7A65" w:rsidRDefault="00964FF1" w:rsidP="00964FF1">
      <w:pPr>
        <w:pStyle w:val="RKnormal"/>
      </w:pPr>
      <w:r w:rsidRPr="001F7A65">
        <w:t xml:space="preserve">Regeringen är positiv till arbetet med att bekämpa momsbedrägerier samtidigt som regeringens och EU:s mål att minska den administrativa bördan måste tas i beaktande. Regeringen kan stödja en kompromiss som tar tillräcklig hänsyn till den administrativa bördan för företagen. </w:t>
      </w:r>
    </w:p>
    <w:p w:rsidR="00856A3C" w:rsidRPr="001F7A65" w:rsidRDefault="00856A3C" w:rsidP="00856A3C">
      <w:pPr>
        <w:pStyle w:val="RKnormal"/>
        <w:tabs>
          <w:tab w:val="clear" w:pos="2835"/>
          <w:tab w:val="left" w:pos="1701"/>
        </w:tabs>
      </w:pPr>
    </w:p>
    <w:p w:rsidR="00964FF1" w:rsidRPr="001F7A65" w:rsidRDefault="00964FF1" w:rsidP="00856A3C">
      <w:pPr>
        <w:pStyle w:val="RKnormal"/>
        <w:tabs>
          <w:tab w:val="clear" w:pos="2835"/>
          <w:tab w:val="left" w:pos="1701"/>
        </w:tabs>
      </w:pPr>
    </w:p>
    <w:p w:rsidR="00D07381" w:rsidRPr="001F7A65" w:rsidRDefault="00D07381" w:rsidP="00D07381">
      <w:pPr>
        <w:pStyle w:val="RKnormal"/>
        <w:tabs>
          <w:tab w:val="left" w:pos="567"/>
        </w:tabs>
        <w:rPr>
          <w:b/>
        </w:rPr>
      </w:pPr>
      <w:r w:rsidRPr="001F7A65">
        <w:rPr>
          <w:b/>
        </w:rPr>
        <w:t>4.3</w:t>
      </w:r>
      <w:r w:rsidRPr="001F7A65">
        <w:rPr>
          <w:b/>
        </w:rPr>
        <w:tab/>
        <w:t>(ev.) Moms; förslag till direktivändring – gas, el m.m.</w:t>
      </w:r>
    </w:p>
    <w:p w:rsidR="00856A3C" w:rsidRPr="001F7A65" w:rsidRDefault="00D07381" w:rsidP="00D07381">
      <w:pPr>
        <w:pStyle w:val="RKnormal"/>
        <w:tabs>
          <w:tab w:val="clear" w:pos="2835"/>
          <w:tab w:val="left" w:pos="567"/>
          <w:tab w:val="left" w:pos="1701"/>
        </w:tabs>
        <w:rPr>
          <w:i/>
        </w:rPr>
      </w:pPr>
      <w:r w:rsidRPr="001F7A65">
        <w:rPr>
          <w:i/>
        </w:rPr>
        <w:tab/>
        <w:t>- politisk överenskommelse</w:t>
      </w:r>
    </w:p>
    <w:p w:rsidR="00DF5492" w:rsidRPr="001F7A65" w:rsidRDefault="00DF5492" w:rsidP="00DF5492">
      <w:pPr>
        <w:pStyle w:val="RKnormal"/>
      </w:pPr>
    </w:p>
    <w:p w:rsidR="00DF5492" w:rsidRPr="001F7A65" w:rsidRDefault="00DF5492" w:rsidP="00DF5492">
      <w:pPr>
        <w:pStyle w:val="RKnormal"/>
      </w:pPr>
      <w:r w:rsidRPr="001F7A65">
        <w:t>Det finns ett behov av att göra olika punktvisa ”tekniska” ändringar  av mervärdesskattedirektivet. Kommissionen lämnade därför den 7 november 2007 ett förslag till rådet innehållande fyra olika delförslag, KOM (2007) 677 slutlig (se Faktapromemoria 2007/08:FPM65). Kommissio</w:t>
      </w:r>
      <w:r w:rsidRPr="001F7A65">
        <w:softHyphen/>
        <w:t xml:space="preserve">nens förslag har utvidgats av det franska ordförandeskapet när det gäller avdragsrätten för ingående mervärdesskatt. Rådet avser nu ingå en politisk överenskommelse om detta. </w:t>
      </w:r>
    </w:p>
    <w:p w:rsidR="00DF5492" w:rsidRPr="001F7A65" w:rsidRDefault="00DF5492" w:rsidP="00DF5492">
      <w:pPr>
        <w:pStyle w:val="RKnormal"/>
      </w:pPr>
    </w:p>
    <w:p w:rsidR="00DF5492" w:rsidRPr="001F7A65" w:rsidRDefault="00DF5492" w:rsidP="00DF5492">
      <w:pPr>
        <w:pStyle w:val="RKnormal"/>
      </w:pPr>
      <w:r w:rsidRPr="001F7A65">
        <w:t>Kommissionens förslag innebär bl.a. att de gällande reglerna för i vilket land försäljningar av el och gas ska beskattas utvidgas till att omfatta fler typer av överföringssystem (pipelines etc.) samt fartyg. Reglerna utvid</w:t>
      </w:r>
      <w:r w:rsidRPr="001F7A65">
        <w:softHyphen/>
        <w:t>gas även till försäljningar av värme och kyla. Vidare ska försäljningar till s.k. gemensamma företag, som bildats för genomförandet av gemenskapens program för forskning m.m., mervärdesskattebefrias. Dessutom in</w:t>
      </w:r>
      <w:r w:rsidRPr="001F7A65">
        <w:softHyphen/>
        <w:t>förs en begränsning i avdragsrätten för mervärdesskatt som samman</w:t>
      </w:r>
      <w:r w:rsidRPr="001F7A65">
        <w:softHyphen/>
        <w:t>hänger med fast egendom, vilken av det franska ordförandeskapet har utvidgats till att avse all slags egendom. Avdragsbegränsningen innebär en korrigering av EG-domstolens praxis som medfört att avdragsrätten kommit att utnyttjas på ett icke åsyftat sätt. Slutligen tas vissa regler för småföretag som Bulgarien och Rumänien beviljats vid EU-inträdet in i mervärdesskattedirektivet.</w:t>
      </w:r>
    </w:p>
    <w:p w:rsidR="00DF5492" w:rsidRPr="001F7A65" w:rsidRDefault="00DF5492" w:rsidP="00DF5492">
      <w:pPr>
        <w:pStyle w:val="RKnormal"/>
      </w:pPr>
    </w:p>
    <w:p w:rsidR="00DF5492" w:rsidRPr="001F7A65" w:rsidRDefault="00DF5492" w:rsidP="00DF5492">
      <w:pPr>
        <w:pStyle w:val="RKnormal"/>
      </w:pPr>
      <w:r w:rsidRPr="001F7A65">
        <w:t>Regeringen välkomnar utvidgningen av reglerna för el och gas och är positivt att till att Rumäniens och Bulgariens anslutningsvillkor tas in i mervär</w:t>
      </w:r>
      <w:r w:rsidRPr="001F7A65">
        <w:softHyphen/>
        <w:t xml:space="preserve">desskattedirektivet. </w:t>
      </w:r>
      <w:r w:rsidR="004B75EE" w:rsidRPr="001F7A65">
        <w:t xml:space="preserve">Regeringen </w:t>
      </w:r>
      <w:r w:rsidRPr="001F7A65">
        <w:t xml:space="preserve">motsätter sig inte de föreslagna reglerna i fråga om gemensamma företag. </w:t>
      </w:r>
      <w:r w:rsidR="004B75EE" w:rsidRPr="001F7A65">
        <w:t xml:space="preserve">Regeringen </w:t>
      </w:r>
      <w:r w:rsidRPr="001F7A65">
        <w:t xml:space="preserve">har inte heller motsatt sig det franska ordförandeskapets förslag när det gäller förändringen av reglerna för avdragsrätt för alla typer av egendom som inte ska användas i en skattepliktig verksamhet. </w:t>
      </w:r>
      <w:r w:rsidR="004B75EE" w:rsidRPr="001F7A65">
        <w:t xml:space="preserve">Regeringen </w:t>
      </w:r>
      <w:r w:rsidRPr="001F7A65">
        <w:t>vill emellertid behålla en avdragsför</w:t>
      </w:r>
      <w:r w:rsidRPr="001F7A65">
        <w:softHyphen/>
        <w:t xml:space="preserve">budsregel i fråga om stadigvarande bostad, som fanns vid det svenska EG-inträdet, även efter det att ifrågavarande direktiv har trätt i kraft. </w:t>
      </w:r>
    </w:p>
    <w:p w:rsidR="0061465F" w:rsidRPr="001F7A65" w:rsidRDefault="0061465F" w:rsidP="00856A3C">
      <w:pPr>
        <w:pStyle w:val="RKnormal"/>
        <w:tabs>
          <w:tab w:val="clear" w:pos="2835"/>
          <w:tab w:val="left" w:pos="1701"/>
        </w:tabs>
      </w:pPr>
    </w:p>
    <w:p w:rsidR="00DF5492" w:rsidRPr="001F7A65" w:rsidRDefault="00DF5492" w:rsidP="00856A3C">
      <w:pPr>
        <w:pStyle w:val="RKnormal"/>
        <w:tabs>
          <w:tab w:val="clear" w:pos="2835"/>
          <w:tab w:val="left" w:pos="1701"/>
        </w:tabs>
      </w:pPr>
    </w:p>
    <w:p w:rsidR="00A531A0" w:rsidRPr="001F7A65" w:rsidRDefault="00A531A0" w:rsidP="00D07381">
      <w:pPr>
        <w:pStyle w:val="RKnormal"/>
        <w:tabs>
          <w:tab w:val="clear" w:pos="2835"/>
          <w:tab w:val="left" w:pos="567"/>
          <w:tab w:val="left" w:pos="1701"/>
        </w:tabs>
        <w:rPr>
          <w:b/>
        </w:rPr>
      </w:pPr>
    </w:p>
    <w:p w:rsidR="00A531A0" w:rsidRPr="001F7A65" w:rsidRDefault="00A531A0" w:rsidP="00D07381">
      <w:pPr>
        <w:pStyle w:val="RKnormal"/>
        <w:tabs>
          <w:tab w:val="clear" w:pos="2835"/>
          <w:tab w:val="left" w:pos="567"/>
          <w:tab w:val="left" w:pos="1701"/>
        </w:tabs>
        <w:rPr>
          <w:b/>
        </w:rPr>
      </w:pPr>
    </w:p>
    <w:p w:rsidR="00D07381" w:rsidRPr="001F7A65" w:rsidRDefault="00D07381" w:rsidP="00D07381">
      <w:pPr>
        <w:pStyle w:val="RKnormal"/>
        <w:tabs>
          <w:tab w:val="clear" w:pos="2835"/>
          <w:tab w:val="left" w:pos="567"/>
          <w:tab w:val="left" w:pos="1701"/>
        </w:tabs>
        <w:rPr>
          <w:b/>
        </w:rPr>
      </w:pPr>
      <w:r w:rsidRPr="001F7A65">
        <w:rPr>
          <w:b/>
        </w:rPr>
        <w:t>4.4</w:t>
      </w:r>
      <w:r w:rsidRPr="001F7A65">
        <w:rPr>
          <w:b/>
        </w:rPr>
        <w:tab/>
        <w:t>(ev.) Allmänna regler för punktskatt</w:t>
      </w:r>
    </w:p>
    <w:p w:rsidR="00D07381" w:rsidRPr="001F7A65" w:rsidRDefault="00D07381" w:rsidP="00D07381">
      <w:pPr>
        <w:pStyle w:val="RKnormal"/>
        <w:tabs>
          <w:tab w:val="clear" w:pos="2835"/>
          <w:tab w:val="left" w:pos="567"/>
          <w:tab w:val="left" w:pos="1701"/>
        </w:tabs>
        <w:rPr>
          <w:i/>
        </w:rPr>
      </w:pPr>
      <w:r w:rsidRPr="001F7A65">
        <w:rPr>
          <w:i/>
        </w:rPr>
        <w:tab/>
        <w:t>- allmän orientering</w:t>
      </w:r>
    </w:p>
    <w:p w:rsidR="00A531A0" w:rsidRPr="001F7A65" w:rsidRDefault="00A531A0" w:rsidP="00D07381">
      <w:pPr>
        <w:pStyle w:val="RKnormal"/>
        <w:tabs>
          <w:tab w:val="clear" w:pos="2835"/>
          <w:tab w:val="left" w:pos="567"/>
          <w:tab w:val="left" w:pos="1701"/>
        </w:tabs>
      </w:pPr>
    </w:p>
    <w:p w:rsidR="00A531A0" w:rsidRPr="001F7A65" w:rsidRDefault="00A531A0" w:rsidP="00A531A0">
      <w:pPr>
        <w:pStyle w:val="RKnormal"/>
      </w:pPr>
      <w:r w:rsidRPr="001F7A65">
        <w:t>Rådet ska ha en allmän riktlinjedebatt om ordförandeskapets kompromiss</w:t>
      </w:r>
      <w:r w:rsidRPr="001F7A65">
        <w:softHyphen/>
        <w:t xml:space="preserve">förslag till direktiv om vissa punktskattefrågor. </w:t>
      </w:r>
    </w:p>
    <w:p w:rsidR="00A531A0" w:rsidRPr="001F7A65" w:rsidRDefault="00A531A0" w:rsidP="00A531A0">
      <w:pPr>
        <w:pStyle w:val="RKnormal"/>
      </w:pPr>
    </w:p>
    <w:p w:rsidR="00A531A0" w:rsidRPr="001F7A65" w:rsidRDefault="00A531A0" w:rsidP="00A531A0">
      <w:pPr>
        <w:pStyle w:val="RKnormal"/>
      </w:pPr>
      <w:r w:rsidRPr="001F7A65">
        <w:t>Kommissionen lade i februari 2008 fram ett förslag till nytt direktiv om allmänna regler för punktskatt. Direktivet ska ersätta det s.k. cirkulations</w:t>
      </w:r>
      <w:r w:rsidRPr="001F7A65">
        <w:softHyphen/>
        <w:t>direktivet (se Fakta-PM 2007/08:FPM93). Förslaget innehåller den rättsliga grunden för det kommande elektroniska transport</w:t>
      </w:r>
      <w:r w:rsidRPr="001F7A65">
        <w:softHyphen/>
        <w:t>kontroll</w:t>
      </w:r>
      <w:r w:rsidRPr="001F7A65">
        <w:softHyphen/>
        <w:t xml:space="preserve">systemet på punktskatteområdet, </w:t>
      </w:r>
      <w:r w:rsidRPr="001F7A65">
        <w:rPr>
          <w:i/>
        </w:rPr>
        <w:t>Excise Movement Control System</w:t>
      </w:r>
      <w:r w:rsidRPr="001F7A65">
        <w:t xml:space="preserve"> (EMCS). Förslaget omfattade även ändring av artiklarna om beskattning av privat införsel av alkohol, tobak och energiprodukter (art. 7–10).</w:t>
      </w:r>
    </w:p>
    <w:p w:rsidR="00A531A0" w:rsidRPr="001F7A65" w:rsidRDefault="00A531A0" w:rsidP="00A531A0">
      <w:pPr>
        <w:pStyle w:val="RKnormal"/>
      </w:pPr>
    </w:p>
    <w:p w:rsidR="00A531A0" w:rsidRPr="001F7A65" w:rsidRDefault="00A531A0" w:rsidP="00A531A0">
      <w:pPr>
        <w:pStyle w:val="RKnormal"/>
      </w:pPr>
      <w:r w:rsidRPr="001F7A65">
        <w:t>Ordförandeskapet, kommissionen och en överväganden del av medlemsstaterna, strävar efter att direktivet ska beslutas snarast, med ikraft</w:t>
      </w:r>
      <w:r w:rsidRPr="001F7A65">
        <w:softHyphen/>
        <w:t>trädande den 1 januari 2010. EMCS kan då tillämpas fr.o.m. den 1 april 2010. När det gäller privat införsel har det franska ordförandeskapet därför föreslagit de nuvarande artiklarna efter vissa förtydliganden lämnas oförändrade. De nuvarande indikativa nivåerna för alkohol och tobak samt möjlig</w:t>
      </w:r>
      <w:r w:rsidRPr="001F7A65">
        <w:softHyphen/>
        <w:t>heten att beskatta motor- och uppvärmningsbränsle vid privat införsel med ovanligt transportsätt bibehålls.</w:t>
      </w:r>
    </w:p>
    <w:p w:rsidR="00A531A0" w:rsidRPr="001F7A65" w:rsidRDefault="00A531A0" w:rsidP="00A531A0">
      <w:pPr>
        <w:pStyle w:val="RKnormal"/>
      </w:pPr>
    </w:p>
    <w:p w:rsidR="00A531A0" w:rsidRPr="001F7A65" w:rsidRDefault="00A531A0" w:rsidP="00A531A0">
      <w:pPr>
        <w:pStyle w:val="RKnormal"/>
      </w:pPr>
      <w:r w:rsidRPr="001F7A65">
        <w:t>Den svenska inställningen är att det är av stor vikt att skattebedrägerierna på punktskatteområdet kan bekämpas. I likhet med de flesta andra medlemsstater stödjer regeringen därför förslaget att söka fatta beslut i rådet så snart som möjligt och att lämna artiklarna 7–10 i princip oförändrade. Detta även om regeringen anser att de indikativa nivåerna avseende alkohol borde sänkas. Detta har vi dock inte fått stöd för från övriga medlemsstater.</w:t>
      </w:r>
    </w:p>
    <w:p w:rsidR="00A531A0" w:rsidRPr="001F7A65" w:rsidRDefault="00A531A0" w:rsidP="00D07381">
      <w:pPr>
        <w:pStyle w:val="RKnormal"/>
        <w:tabs>
          <w:tab w:val="clear" w:pos="2835"/>
          <w:tab w:val="left" w:pos="567"/>
          <w:tab w:val="left" w:pos="1701"/>
        </w:tabs>
      </w:pPr>
    </w:p>
    <w:p w:rsidR="00D07381" w:rsidRPr="001F7A65" w:rsidRDefault="00D07381" w:rsidP="00D07381">
      <w:pPr>
        <w:pStyle w:val="RKnormal"/>
        <w:tabs>
          <w:tab w:val="clear" w:pos="2835"/>
          <w:tab w:val="left" w:pos="567"/>
          <w:tab w:val="left" w:pos="1701"/>
        </w:tabs>
        <w:rPr>
          <w:b/>
        </w:rPr>
      </w:pPr>
    </w:p>
    <w:p w:rsidR="00045C74" w:rsidRPr="001F7A65" w:rsidRDefault="00D07381" w:rsidP="00D07381">
      <w:pPr>
        <w:pStyle w:val="RKnormal"/>
        <w:tabs>
          <w:tab w:val="clear" w:pos="2835"/>
          <w:tab w:val="left" w:pos="567"/>
          <w:tab w:val="left" w:pos="1701"/>
        </w:tabs>
        <w:rPr>
          <w:b/>
        </w:rPr>
      </w:pPr>
      <w:r w:rsidRPr="001F7A65">
        <w:rPr>
          <w:b/>
        </w:rPr>
        <w:t>4.5</w:t>
      </w:r>
      <w:r w:rsidRPr="001F7A65">
        <w:rPr>
          <w:b/>
        </w:rPr>
        <w:tab/>
        <w:t xml:space="preserve">(ev.) Samordning av </w:t>
      </w:r>
      <w:r w:rsidR="00045C74" w:rsidRPr="001F7A65">
        <w:rPr>
          <w:b/>
        </w:rPr>
        <w:t xml:space="preserve">uttagsbeskattning i syfte att undvika </w:t>
      </w:r>
    </w:p>
    <w:p w:rsidR="00D07381" w:rsidRPr="001F7A65" w:rsidRDefault="00045C74" w:rsidP="00D07381">
      <w:pPr>
        <w:pStyle w:val="RKnormal"/>
        <w:tabs>
          <w:tab w:val="clear" w:pos="2835"/>
          <w:tab w:val="left" w:pos="567"/>
          <w:tab w:val="left" w:pos="1701"/>
        </w:tabs>
        <w:rPr>
          <w:b/>
        </w:rPr>
      </w:pPr>
      <w:r w:rsidRPr="001F7A65">
        <w:rPr>
          <w:b/>
        </w:rPr>
        <w:t xml:space="preserve">          dubbelbeskattning</w:t>
      </w:r>
    </w:p>
    <w:p w:rsidR="00D07381" w:rsidRPr="001F7A65" w:rsidRDefault="00D07381" w:rsidP="00D07381">
      <w:pPr>
        <w:pStyle w:val="RKnormal"/>
        <w:tabs>
          <w:tab w:val="clear" w:pos="2835"/>
          <w:tab w:val="left" w:pos="567"/>
          <w:tab w:val="left" w:pos="1701"/>
        </w:tabs>
        <w:rPr>
          <w:i/>
        </w:rPr>
      </w:pPr>
      <w:r w:rsidRPr="001F7A65">
        <w:rPr>
          <w:i/>
        </w:rPr>
        <w:tab/>
        <w:t>- rådets resolution</w:t>
      </w:r>
    </w:p>
    <w:p w:rsidR="00D07381" w:rsidRPr="001F7A65" w:rsidRDefault="00D07381" w:rsidP="00D07381">
      <w:pPr>
        <w:pStyle w:val="RKnormal"/>
        <w:tabs>
          <w:tab w:val="clear" w:pos="2835"/>
          <w:tab w:val="left" w:pos="567"/>
          <w:tab w:val="left" w:pos="1701"/>
        </w:tabs>
      </w:pPr>
    </w:p>
    <w:p w:rsidR="00045C74" w:rsidRPr="001F7A65" w:rsidRDefault="00045C74" w:rsidP="00045C74">
      <w:pPr>
        <w:pStyle w:val="RKnormal"/>
      </w:pPr>
      <w:r w:rsidRPr="001F7A65">
        <w:t xml:space="preserve">Ordförandeskapet vill ge samordningen av den direkta beskattningen inom den inre marknaden en mer konkret form. Ordförandeskapet har därför föreslagit att medlemsstaterna ska samordna sina beskattningssystem med hjälp av resolutioner antagna av Ekofinrådet. </w:t>
      </w:r>
    </w:p>
    <w:p w:rsidR="00045C74" w:rsidRPr="001F7A65" w:rsidRDefault="00045C74" w:rsidP="00045C74">
      <w:pPr>
        <w:pStyle w:val="RKnormal"/>
      </w:pPr>
    </w:p>
    <w:p w:rsidR="00045C74" w:rsidRPr="001F7A65" w:rsidRDefault="00045C74" w:rsidP="00045C74">
      <w:pPr>
        <w:pStyle w:val="RKnormal"/>
      </w:pPr>
      <w:r w:rsidRPr="001F7A65">
        <w:t>Den nu föreliggande resolutionen om samordning av uttagsbeskattning innehåller ett antal principer för uttagsbeskattning i syfte att undvika dubbelbeskattning vid överföring av ekonomiska verk</w:t>
      </w:r>
      <w:r w:rsidRPr="001F7A65">
        <w:softHyphen/>
        <w:t xml:space="preserve">samheter mellan medlemsstater inom den inre marknaden. Resolutionen avser endast inkomst av näringsverksamhet, dvs. inkomst för företag och fysiska personer som bedriver näringsverksamhet. </w:t>
      </w:r>
    </w:p>
    <w:p w:rsidR="00045C74" w:rsidRPr="001F7A65" w:rsidRDefault="00045C74" w:rsidP="00045C74">
      <w:pPr>
        <w:pStyle w:val="RKnormal"/>
      </w:pPr>
    </w:p>
    <w:p w:rsidR="00045C74" w:rsidRPr="001F7A65" w:rsidRDefault="00045C74" w:rsidP="00045C74">
      <w:pPr>
        <w:pStyle w:val="RKnormal"/>
      </w:pPr>
      <w:r w:rsidRPr="001F7A65">
        <w:t xml:space="preserve">Dubbelbeskattning till följd av överföring av en tillgång mellan två medlemsstater kan uppkomma om den stat från vilken tillgången överförs beskattar skillnaden mellan tillgångens skattemässiga värde och dess marknadsvärde samtidigt som den mottagande staten inte medger att tillgången där värderas till marknadsvärdet. Samma värde, dvs. skillnaden mellan skattemässigt värde i den första MS och marknadsvärdet vid tidpunkten för överföringen, kan då komma att beskattas i båda staterna. </w:t>
      </w:r>
    </w:p>
    <w:p w:rsidR="00045C74" w:rsidRPr="001F7A65" w:rsidRDefault="00045C74" w:rsidP="00045C74">
      <w:pPr>
        <w:pStyle w:val="RKnormal"/>
      </w:pPr>
    </w:p>
    <w:p w:rsidR="00045C74" w:rsidRPr="001F7A65" w:rsidRDefault="00045C74" w:rsidP="00045C74">
      <w:pPr>
        <w:pStyle w:val="RKnormal"/>
      </w:pPr>
      <w:r w:rsidRPr="001F7A65">
        <w:t xml:space="preserve">Regeringen stödjer det övergripande målet att undvika dubbelbeskattning till följd av att tillgångar eller näringsverksamheter överförs mellan medlemsstater. Regeringen är dock mycket tveksamt till värdet av en resolution när det gäller att undvika dubbelbeskattning i samband med uttagsbeskattning eftersom flera frågor – såväl rättsliga som praktiska – återstår att lösa. </w:t>
      </w:r>
    </w:p>
    <w:p w:rsidR="0007009C" w:rsidRPr="001F7A65" w:rsidRDefault="0007009C" w:rsidP="00D07381">
      <w:pPr>
        <w:pStyle w:val="RKnormal"/>
        <w:tabs>
          <w:tab w:val="clear" w:pos="2835"/>
          <w:tab w:val="left" w:pos="567"/>
          <w:tab w:val="left" w:pos="1701"/>
        </w:tabs>
      </w:pPr>
    </w:p>
    <w:p w:rsidR="00045C74" w:rsidRPr="001F7A65" w:rsidRDefault="00045C74" w:rsidP="00D07381">
      <w:pPr>
        <w:pStyle w:val="RKnormal"/>
        <w:tabs>
          <w:tab w:val="clear" w:pos="2835"/>
          <w:tab w:val="left" w:pos="567"/>
          <w:tab w:val="left" w:pos="1701"/>
        </w:tabs>
      </w:pPr>
    </w:p>
    <w:p w:rsidR="00D07381" w:rsidRPr="001F7A65" w:rsidRDefault="00D07381" w:rsidP="00D07381">
      <w:pPr>
        <w:pStyle w:val="RKnormal"/>
        <w:tabs>
          <w:tab w:val="clear" w:pos="2835"/>
          <w:tab w:val="left" w:pos="567"/>
          <w:tab w:val="left" w:pos="1701"/>
        </w:tabs>
        <w:rPr>
          <w:b/>
        </w:rPr>
      </w:pPr>
      <w:r w:rsidRPr="001F7A65">
        <w:rPr>
          <w:b/>
        </w:rPr>
        <w:t>4.6</w:t>
      </w:r>
      <w:r w:rsidRPr="001F7A65">
        <w:rPr>
          <w:b/>
        </w:rPr>
        <w:tab/>
        <w:t>(ev.) Bedrägeribekämpningsavtalet med Liechtenstein</w:t>
      </w:r>
    </w:p>
    <w:p w:rsidR="00D07381" w:rsidRPr="001F7A65" w:rsidRDefault="00D07381" w:rsidP="00D07381">
      <w:pPr>
        <w:pStyle w:val="RKnormal"/>
        <w:tabs>
          <w:tab w:val="clear" w:pos="2835"/>
          <w:tab w:val="left" w:pos="567"/>
          <w:tab w:val="left" w:pos="1701"/>
        </w:tabs>
        <w:rPr>
          <w:i/>
        </w:rPr>
      </w:pPr>
      <w:r w:rsidRPr="001F7A65">
        <w:rPr>
          <w:i/>
        </w:rPr>
        <w:tab/>
        <w:t>- lägesrapport</w:t>
      </w:r>
      <w:r w:rsidRPr="001F7A65">
        <w:rPr>
          <w:i/>
        </w:rPr>
        <w:tab/>
      </w:r>
    </w:p>
    <w:p w:rsidR="00723A76" w:rsidRPr="001F7A65" w:rsidRDefault="00723A76" w:rsidP="00D07381">
      <w:pPr>
        <w:pStyle w:val="RKnormal"/>
        <w:tabs>
          <w:tab w:val="clear" w:pos="2835"/>
          <w:tab w:val="left" w:pos="567"/>
          <w:tab w:val="left" w:pos="1701"/>
        </w:tabs>
      </w:pPr>
    </w:p>
    <w:p w:rsidR="00775043" w:rsidRPr="001F7A65" w:rsidRDefault="00723A76" w:rsidP="00D07381">
      <w:pPr>
        <w:pStyle w:val="RKnormal"/>
        <w:tabs>
          <w:tab w:val="clear" w:pos="2835"/>
          <w:tab w:val="left" w:pos="567"/>
          <w:tab w:val="left" w:pos="1701"/>
        </w:tabs>
      </w:pPr>
      <w:r w:rsidRPr="001F7A65">
        <w:t>Rådet ska ta del av kommissionens redogörelse för läget i förhandlingarna med Liechtenstein rörande bedrägeribekämpning</w:t>
      </w:r>
      <w:r w:rsidR="00775043" w:rsidRPr="001F7A65">
        <w:t>.</w:t>
      </w:r>
    </w:p>
    <w:p w:rsidR="00D07381" w:rsidRPr="001F7A65" w:rsidRDefault="00723A76" w:rsidP="00D07381">
      <w:pPr>
        <w:pStyle w:val="RKnormal"/>
        <w:tabs>
          <w:tab w:val="clear" w:pos="2835"/>
          <w:tab w:val="left" w:pos="567"/>
          <w:tab w:val="left" w:pos="1701"/>
        </w:tabs>
      </w:pPr>
      <w:r w:rsidRPr="001F7A65">
        <w:t xml:space="preserve"> </w:t>
      </w:r>
    </w:p>
    <w:p w:rsidR="00775043" w:rsidRPr="001F7A65" w:rsidRDefault="00775043" w:rsidP="00775043">
      <w:pPr>
        <w:pStyle w:val="RKnormal"/>
        <w:rPr>
          <w:rFonts w:cs="OrigGarmnd BT"/>
          <w:color w:val="000000"/>
          <w:szCs w:val="24"/>
          <w:lang w:eastAsia="sv-SE"/>
        </w:rPr>
      </w:pPr>
      <w:r w:rsidRPr="001F7A65">
        <w:rPr>
          <w:rFonts w:cs="OrigGarmnd BT"/>
          <w:color w:val="000000"/>
          <w:szCs w:val="24"/>
          <w:lang w:eastAsia="sv-SE"/>
        </w:rPr>
        <w:t xml:space="preserve">Kommissionen har sedan 2006 för EG och medlemsstaternas räkning förhandlat om ett avtal med Liechtenstein om samarbete för bekämpande av bedrägerier och annan olaglig verksamhet som skadar deras finansiella intressen (bedrägeriavtalet). Förhandlingarna sker i nära anslutning till Liechtensteins associationsavtal till Schengensamarbetet. </w:t>
      </w:r>
    </w:p>
    <w:p w:rsidR="00775043" w:rsidRPr="001F7A65" w:rsidRDefault="00775043" w:rsidP="00775043">
      <w:pPr>
        <w:pStyle w:val="RKnormal"/>
        <w:rPr>
          <w:rFonts w:cs="OrigGarmnd BT"/>
          <w:color w:val="000000"/>
          <w:szCs w:val="24"/>
          <w:lang w:eastAsia="sv-SE"/>
        </w:rPr>
      </w:pPr>
    </w:p>
    <w:p w:rsidR="00775043" w:rsidRPr="001F7A65" w:rsidRDefault="00775043" w:rsidP="00775043">
      <w:pPr>
        <w:pStyle w:val="RKnormal"/>
        <w:rPr>
          <w:rFonts w:cs="OrigGarmnd BT"/>
          <w:color w:val="000000"/>
          <w:szCs w:val="24"/>
          <w:lang w:eastAsia="sv-SE"/>
        </w:rPr>
      </w:pPr>
      <w:r w:rsidRPr="001F7A65">
        <w:rPr>
          <w:rFonts w:cs="OrigGarmnd BT"/>
          <w:color w:val="000000"/>
          <w:szCs w:val="24"/>
          <w:lang w:eastAsia="sv-SE"/>
        </w:rPr>
        <w:t xml:space="preserve">Avsikten med bedrägeriavtalet är att ge utökade möjligheter till administrativt bistånd och ömsesidig rättslig hjälp i brottmål i  bl. a. skatte- och tullfrågor för att stävja ekonomisk brottslighet som drabbar avtalsstaterna. Ett liknande bedrägeriavtal finns sedan tidigare med Schweiz (som dock ännu inte har trätt i kraft). </w:t>
      </w:r>
    </w:p>
    <w:p w:rsidR="00775043" w:rsidRPr="001F7A65" w:rsidRDefault="00775043" w:rsidP="00775043">
      <w:pPr>
        <w:pStyle w:val="RKnormal"/>
        <w:rPr>
          <w:rFonts w:cs="OrigGarmnd BT"/>
          <w:color w:val="000000"/>
          <w:szCs w:val="24"/>
          <w:lang w:eastAsia="sv-SE"/>
        </w:rPr>
      </w:pPr>
    </w:p>
    <w:p w:rsidR="00775043" w:rsidRPr="001F7A65" w:rsidRDefault="00775043" w:rsidP="00775043">
      <w:pPr>
        <w:pStyle w:val="RKnormal"/>
      </w:pPr>
      <w:r w:rsidRPr="001F7A65">
        <w:rPr>
          <w:rFonts w:cs="OrigGarmnd BT"/>
          <w:color w:val="000000"/>
          <w:szCs w:val="24"/>
          <w:lang w:eastAsia="sv-SE"/>
        </w:rPr>
        <w:t>Det aktuella avtalet med Liechtenstein innehåller emellertid vissa nya delar, framför allt med hänsyn till att det, till skillnad från Schweiz-avtalet, även omfattar direkta skatter. Bedrägeriavtalet innehåller en avdelning som reglerar administrativt bistånd och en avdelning som reglerar frågor om rättslig hjälp i brottmål.</w:t>
      </w:r>
    </w:p>
    <w:p w:rsidR="00D07381" w:rsidRPr="001F7A65" w:rsidRDefault="00D07381" w:rsidP="00856A3C">
      <w:pPr>
        <w:pStyle w:val="RKnormal"/>
        <w:tabs>
          <w:tab w:val="clear" w:pos="2835"/>
          <w:tab w:val="left" w:pos="1701"/>
        </w:tabs>
        <w:rPr>
          <w:b/>
        </w:rPr>
      </w:pPr>
    </w:p>
    <w:p w:rsidR="00CA742F" w:rsidRPr="001F7A65" w:rsidRDefault="00CA742F" w:rsidP="00CA742F">
      <w:pPr>
        <w:pStyle w:val="RKnormal"/>
        <w:tabs>
          <w:tab w:val="clear" w:pos="2835"/>
          <w:tab w:val="left" w:pos="1701"/>
        </w:tabs>
      </w:pPr>
      <w:r w:rsidRPr="001F7A65">
        <w:t>Flera medlemsstater, bland dem Sverige, har efterfrågat förtydliganden om vilka möjligheter avtalet faktiskt ger att få information. Särskilt beträffande direkta skatter.</w:t>
      </w:r>
    </w:p>
    <w:p w:rsidR="00CA742F" w:rsidRPr="001F7A65" w:rsidRDefault="00CA742F" w:rsidP="00CA742F">
      <w:pPr>
        <w:pStyle w:val="RKnormal"/>
        <w:tabs>
          <w:tab w:val="clear" w:pos="2835"/>
          <w:tab w:val="left" w:pos="1701"/>
        </w:tabs>
      </w:pPr>
    </w:p>
    <w:p w:rsidR="00775043" w:rsidRPr="001F7A65" w:rsidRDefault="00775043" w:rsidP="00856A3C">
      <w:pPr>
        <w:pStyle w:val="RKnormal"/>
        <w:tabs>
          <w:tab w:val="clear" w:pos="2835"/>
          <w:tab w:val="left" w:pos="1701"/>
        </w:tabs>
        <w:rPr>
          <w:b/>
        </w:rPr>
      </w:pPr>
    </w:p>
    <w:p w:rsidR="006838E2" w:rsidRPr="001F7A65" w:rsidRDefault="00B21CD8" w:rsidP="00856A3C">
      <w:pPr>
        <w:pStyle w:val="RKnormal"/>
        <w:tabs>
          <w:tab w:val="clear" w:pos="2835"/>
          <w:tab w:val="left" w:pos="1701"/>
        </w:tabs>
        <w:rPr>
          <w:b/>
        </w:rPr>
      </w:pPr>
      <w:r w:rsidRPr="001F7A65">
        <w:rPr>
          <w:b/>
        </w:rPr>
        <w:t>5</w:t>
      </w:r>
      <w:r w:rsidR="00856A3C" w:rsidRPr="001F7A65">
        <w:rPr>
          <w:b/>
        </w:rPr>
        <w:t>.</w:t>
      </w:r>
      <w:r w:rsidR="00856A3C" w:rsidRPr="001F7A65">
        <w:rPr>
          <w:b/>
        </w:rPr>
        <w:tab/>
      </w:r>
      <w:r w:rsidR="006838E2" w:rsidRPr="001F7A65">
        <w:rPr>
          <w:b/>
        </w:rPr>
        <w:t xml:space="preserve">Prisreglering på EU:s marknad för utsläppsrätter </w:t>
      </w:r>
    </w:p>
    <w:p w:rsidR="00856A3C" w:rsidRPr="001F7A65" w:rsidRDefault="006838E2" w:rsidP="00856A3C">
      <w:pPr>
        <w:pStyle w:val="RKnormal"/>
        <w:tabs>
          <w:tab w:val="clear" w:pos="2835"/>
          <w:tab w:val="left" w:pos="1701"/>
        </w:tabs>
        <w:rPr>
          <w:b/>
        </w:rPr>
      </w:pPr>
      <w:r w:rsidRPr="001F7A65">
        <w:rPr>
          <w:b/>
        </w:rPr>
        <w:t xml:space="preserve">                            efter 2012</w:t>
      </w:r>
    </w:p>
    <w:p w:rsidR="00D07381" w:rsidRPr="001F7A65" w:rsidRDefault="00D07381" w:rsidP="00856A3C">
      <w:pPr>
        <w:pStyle w:val="RKnormal"/>
        <w:tabs>
          <w:tab w:val="clear" w:pos="2835"/>
          <w:tab w:val="left" w:pos="1701"/>
        </w:tabs>
        <w:rPr>
          <w:i/>
        </w:rPr>
      </w:pPr>
      <w:r w:rsidRPr="001F7A65">
        <w:rPr>
          <w:i/>
        </w:rPr>
        <w:tab/>
        <w:t>- meningsutbyte</w:t>
      </w:r>
    </w:p>
    <w:p w:rsidR="00575D45" w:rsidRPr="001F7A65" w:rsidRDefault="00575D45" w:rsidP="00856A3C">
      <w:pPr>
        <w:pStyle w:val="RKnormal"/>
        <w:tabs>
          <w:tab w:val="clear" w:pos="2835"/>
          <w:tab w:val="left" w:pos="1701"/>
        </w:tabs>
        <w:rPr>
          <w:b/>
        </w:rPr>
      </w:pPr>
    </w:p>
    <w:p w:rsidR="006838E2" w:rsidRPr="001F7A65" w:rsidRDefault="006838E2" w:rsidP="006838E2">
      <w:pPr>
        <w:tabs>
          <w:tab w:val="left" w:pos="1701"/>
        </w:tabs>
      </w:pPr>
      <w:r w:rsidRPr="001F7A65">
        <w:t xml:space="preserve">Rådet ska på polsk begäran </w:t>
      </w:r>
      <w:r w:rsidR="00330369" w:rsidRPr="001F7A65">
        <w:t xml:space="preserve">än en gång </w:t>
      </w:r>
      <w:r w:rsidRPr="001F7A65">
        <w:t>diskutera frågan om marknadsinterventioner i direktivet för handel med utsläppsrätter (EU ETS) i syfte att stabilisera priset på utsläppsrätter inför perioden 2013-2020. Polen är oroliga för att kraftiga fluktuationer utsläppsrättspriset kan utgöra en risk för berörda företag och därmed hämma investeringar i energisektorn.</w:t>
      </w:r>
    </w:p>
    <w:p w:rsidR="00575D45" w:rsidRPr="001F7A65" w:rsidRDefault="00575D45" w:rsidP="00856A3C">
      <w:pPr>
        <w:pStyle w:val="RKnormal"/>
        <w:tabs>
          <w:tab w:val="clear" w:pos="2835"/>
          <w:tab w:val="left" w:pos="1701"/>
        </w:tabs>
        <w:rPr>
          <w:b/>
        </w:rPr>
      </w:pPr>
    </w:p>
    <w:p w:rsidR="006838E2" w:rsidRPr="001F7A65" w:rsidRDefault="006838E2" w:rsidP="00856A3C">
      <w:pPr>
        <w:pStyle w:val="RKnormal"/>
        <w:tabs>
          <w:tab w:val="clear" w:pos="2835"/>
          <w:tab w:val="left" w:pos="1701"/>
        </w:tabs>
        <w:rPr>
          <w:b/>
        </w:rPr>
      </w:pPr>
    </w:p>
    <w:p w:rsidR="00605AF6" w:rsidRPr="001F7A65" w:rsidRDefault="00A94474" w:rsidP="00856A3C">
      <w:pPr>
        <w:pStyle w:val="RKnormal"/>
        <w:tabs>
          <w:tab w:val="clear" w:pos="2835"/>
          <w:tab w:val="left" w:pos="1701"/>
        </w:tabs>
        <w:rPr>
          <w:b/>
        </w:rPr>
      </w:pPr>
      <w:r w:rsidRPr="001F7A65">
        <w:rPr>
          <w:b/>
        </w:rPr>
        <w:t>6.</w:t>
      </w:r>
      <w:r w:rsidRPr="001F7A65">
        <w:rPr>
          <w:b/>
        </w:rPr>
        <w:tab/>
        <w:t>Lissabonstrategin</w:t>
      </w:r>
    </w:p>
    <w:p w:rsidR="00A94474" w:rsidRPr="001F7A65" w:rsidRDefault="00A94474" w:rsidP="00856A3C">
      <w:pPr>
        <w:pStyle w:val="RKnormal"/>
        <w:tabs>
          <w:tab w:val="clear" w:pos="2835"/>
          <w:tab w:val="left" w:pos="1701"/>
        </w:tabs>
        <w:rPr>
          <w:i/>
        </w:rPr>
      </w:pPr>
      <w:r w:rsidRPr="001F7A65">
        <w:rPr>
          <w:i/>
        </w:rPr>
        <w:tab/>
        <w:t>- information</w:t>
      </w:r>
    </w:p>
    <w:p w:rsidR="0091620F" w:rsidRPr="001F7A65" w:rsidRDefault="0091620F" w:rsidP="0091620F">
      <w:pPr>
        <w:pStyle w:val="RKnormal"/>
      </w:pPr>
    </w:p>
    <w:p w:rsidR="0091620F" w:rsidRPr="001F7A65" w:rsidRDefault="0091620F" w:rsidP="0091620F">
      <w:pPr>
        <w:pStyle w:val="RKnormal"/>
      </w:pPr>
      <w:r w:rsidRPr="001F7A65">
        <w:t xml:space="preserve">Ekonfinrådet ska diskutera arbetsmarknadsreformer med inom ramen för </w:t>
      </w:r>
      <w:r w:rsidR="00CE175F" w:rsidRPr="001F7A65">
        <w:t xml:space="preserve">den s.k. </w:t>
      </w:r>
      <w:r w:rsidRPr="001F7A65">
        <w:t>flexicurity-ansatsen med fokus på skatter och bidrag.</w:t>
      </w:r>
    </w:p>
    <w:p w:rsidR="0091620F" w:rsidRPr="001F7A65" w:rsidRDefault="0091620F" w:rsidP="0091620F">
      <w:pPr>
        <w:pStyle w:val="RKnormal"/>
      </w:pPr>
    </w:p>
    <w:p w:rsidR="0091620F" w:rsidRPr="001F7A65" w:rsidRDefault="00CE175F" w:rsidP="0091620F">
      <w:pPr>
        <w:pStyle w:val="RKnormal"/>
      </w:pPr>
      <w:r w:rsidRPr="001F7A65">
        <w:t xml:space="preserve">Ekofinrådets ordförande </w:t>
      </w:r>
      <w:r w:rsidR="0091620F" w:rsidRPr="001F7A65">
        <w:t xml:space="preserve">Christine Lagarde </w:t>
      </w:r>
      <w:r w:rsidRPr="001F7A65">
        <w:t xml:space="preserve">har bett </w:t>
      </w:r>
      <w:r w:rsidR="0091620F" w:rsidRPr="001F7A65">
        <w:t xml:space="preserve">fem finansministrar (från AT, BE, HU, PL och PT) att dela med sig av sina erfarenheter gällande nyligen genomförda reformer på arbetsmarknadsmarknaden med fokus på skatte- och bidragsreformer. Som underlag för diskussionen ligger ett papper med huvudresultat från ländergranskningen inom Kommittén för Ekonomisk Politik som understryker vikten av ett fortsatt reformarbete även i ljuset av den finansiella krisen. Lagarde förväntas även uppmana till att ge Kommittén för Ekonomisk Politik mandat att utarbeta ett förslag för hur Lissabonstrategin ska utformas efter 2010. </w:t>
      </w:r>
    </w:p>
    <w:p w:rsidR="0091620F" w:rsidRPr="001F7A65" w:rsidRDefault="0091620F" w:rsidP="0091620F">
      <w:pPr>
        <w:pStyle w:val="RKnormal"/>
      </w:pPr>
    </w:p>
    <w:p w:rsidR="00A94474" w:rsidRPr="001F7A65" w:rsidRDefault="00A94474" w:rsidP="00856A3C">
      <w:pPr>
        <w:pStyle w:val="RKnormal"/>
        <w:tabs>
          <w:tab w:val="clear" w:pos="2835"/>
          <w:tab w:val="left" w:pos="1701"/>
        </w:tabs>
        <w:rPr>
          <w:b/>
        </w:rPr>
      </w:pPr>
    </w:p>
    <w:p w:rsidR="00856A3C" w:rsidRPr="001F7A65" w:rsidRDefault="00A94474" w:rsidP="00856A3C">
      <w:pPr>
        <w:pStyle w:val="RKnormal"/>
        <w:tabs>
          <w:tab w:val="clear" w:pos="2835"/>
          <w:tab w:val="left" w:pos="1701"/>
        </w:tabs>
        <w:rPr>
          <w:b/>
        </w:rPr>
      </w:pPr>
      <w:r w:rsidRPr="001F7A65">
        <w:rPr>
          <w:b/>
        </w:rPr>
        <w:t>7</w:t>
      </w:r>
      <w:r w:rsidR="00856A3C" w:rsidRPr="001F7A65">
        <w:rPr>
          <w:b/>
        </w:rPr>
        <w:t>.</w:t>
      </w:r>
      <w:r w:rsidR="00856A3C" w:rsidRPr="001F7A65">
        <w:rPr>
          <w:b/>
        </w:rPr>
        <w:tab/>
      </w:r>
      <w:r w:rsidRPr="001F7A65">
        <w:rPr>
          <w:b/>
        </w:rPr>
        <w:t xml:space="preserve">(ev.) </w:t>
      </w:r>
      <w:r w:rsidR="00856A3C" w:rsidRPr="001F7A65">
        <w:rPr>
          <w:b/>
        </w:rPr>
        <w:t>Övriga ärenden</w:t>
      </w:r>
    </w:p>
    <w:p w:rsidR="00B21CD8" w:rsidRPr="001F7A65" w:rsidRDefault="00B21CD8" w:rsidP="00B21CD8">
      <w:pPr>
        <w:pStyle w:val="RKnormal"/>
        <w:tabs>
          <w:tab w:val="clear" w:pos="2835"/>
          <w:tab w:val="left" w:pos="567"/>
          <w:tab w:val="left" w:pos="1701"/>
        </w:tabs>
        <w:rPr>
          <w:b/>
        </w:rPr>
      </w:pPr>
    </w:p>
    <w:p w:rsidR="007B41AD" w:rsidRPr="001F7A65" w:rsidRDefault="007B41AD" w:rsidP="00856A3C">
      <w:pPr>
        <w:pStyle w:val="RKnormal"/>
        <w:tabs>
          <w:tab w:val="clear" w:pos="2835"/>
          <w:tab w:val="left" w:pos="1701"/>
        </w:tabs>
      </w:pPr>
    </w:p>
    <w:p w:rsidR="00AA7510" w:rsidRPr="001F7A65" w:rsidRDefault="00AA7510" w:rsidP="00AA7510">
      <w:pPr>
        <w:pStyle w:val="RKnormal"/>
        <w:tabs>
          <w:tab w:val="clear" w:pos="2835"/>
          <w:tab w:val="left" w:pos="1701"/>
        </w:tabs>
        <w:jc w:val="center"/>
      </w:pPr>
      <w:r w:rsidRPr="001F7A65">
        <w:softHyphen/>
      </w:r>
      <w:r w:rsidRPr="001F7A65">
        <w:softHyphen/>
      </w:r>
      <w:r w:rsidRPr="001F7A65">
        <w:softHyphen/>
      </w:r>
      <w:r w:rsidRPr="001F7A65">
        <w:softHyphen/>
      </w:r>
      <w:r w:rsidRPr="001F7A65">
        <w:softHyphen/>
      </w:r>
      <w:r w:rsidRPr="001F7A65">
        <w:softHyphen/>
      </w:r>
      <w:r w:rsidRPr="001F7A65">
        <w:softHyphen/>
      </w:r>
      <w:r w:rsidRPr="001F7A65">
        <w:softHyphen/>
      </w:r>
      <w:r w:rsidRPr="001F7A65">
        <w:softHyphen/>
      </w:r>
      <w:r w:rsidRPr="001F7A65">
        <w:softHyphen/>
      </w:r>
      <w:r w:rsidRPr="001F7A65">
        <w:softHyphen/>
        <w:t>_______________________</w:t>
      </w:r>
    </w:p>
    <w:p w:rsidR="00AA7510" w:rsidRPr="001F7A65" w:rsidRDefault="00AA7510">
      <w:pPr>
        <w:rPr>
          <w:b/>
        </w:rPr>
      </w:pPr>
    </w:p>
    <w:sectPr w:rsidR="00AA7510" w:rsidRPr="001F7A6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3F7" w:rsidRPr="001F7A65" w:rsidRDefault="009263F7">
      <w:r w:rsidRPr="001F7A65">
        <w:separator/>
      </w:r>
    </w:p>
  </w:endnote>
  <w:endnote w:type="continuationSeparator" w:id="0">
    <w:p w:rsidR="009263F7" w:rsidRPr="001F7A65" w:rsidRDefault="009263F7">
      <w:r w:rsidRPr="001F7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3F7" w:rsidRPr="001F7A65" w:rsidRDefault="009263F7">
      <w:r w:rsidRPr="001F7A65">
        <w:separator/>
      </w:r>
    </w:p>
  </w:footnote>
  <w:footnote w:type="continuationSeparator" w:id="0">
    <w:p w:rsidR="009263F7" w:rsidRPr="001F7A65" w:rsidRDefault="009263F7">
      <w:r w:rsidRPr="001F7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8D" w:rsidRPr="001F7A65" w:rsidRDefault="0072718D">
    <w:pPr>
      <w:pStyle w:val="Sidhuvud"/>
      <w:framePr w:wrap="around" w:vAnchor="text" w:hAnchor="margin" w:xAlign="right" w:y="1"/>
      <w:rPr>
        <w:rStyle w:val="Sidnummer"/>
      </w:rPr>
    </w:pPr>
    <w:r w:rsidRPr="001F7A65">
      <w:rPr>
        <w:rStyle w:val="Sidnummer"/>
      </w:rPr>
      <w:fldChar w:fldCharType="begin" w:fldLock="1"/>
    </w:r>
    <w:r w:rsidRPr="001F7A65">
      <w:rPr>
        <w:rStyle w:val="Sidnummer"/>
      </w:rPr>
      <w:instrText xml:space="preserve">PAGE  </w:instrText>
    </w:r>
    <w:r w:rsidRPr="001F7A65">
      <w:rPr>
        <w:rStyle w:val="Sidnummer"/>
      </w:rPr>
      <w:fldChar w:fldCharType="separate"/>
    </w:r>
    <w:r w:rsidR="00DF60C3" w:rsidRPr="001F7A65">
      <w:rPr>
        <w:rStyle w:val="Sidnummer"/>
      </w:rPr>
      <w:t>6</w:t>
    </w:r>
    <w:r w:rsidRPr="001F7A6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718D" w:rsidRPr="001F7A65">
      <w:tblPrEx>
        <w:tblCellMar>
          <w:top w:w="0" w:type="dxa"/>
          <w:bottom w:w="0" w:type="dxa"/>
        </w:tblCellMar>
      </w:tblPrEx>
      <w:trPr>
        <w:cantSplit/>
      </w:trPr>
      <w:tc>
        <w:tcPr>
          <w:tcW w:w="3119" w:type="dxa"/>
        </w:tcPr>
        <w:p w:rsidR="0072718D" w:rsidRPr="001F7A65" w:rsidRDefault="0072718D">
          <w:pPr>
            <w:pStyle w:val="Sidhuvud"/>
            <w:spacing w:line="200" w:lineRule="atLeast"/>
            <w:ind w:right="357"/>
            <w:rPr>
              <w:rFonts w:ascii="TradeGothic" w:hAnsi="TradeGothic"/>
              <w:b/>
              <w:bCs/>
              <w:sz w:val="16"/>
            </w:rPr>
          </w:pPr>
        </w:p>
      </w:tc>
      <w:tc>
        <w:tcPr>
          <w:tcW w:w="4111" w:type="dxa"/>
          <w:tcMar>
            <w:left w:w="567" w:type="dxa"/>
          </w:tcMar>
        </w:tcPr>
        <w:p w:rsidR="0072718D" w:rsidRPr="001F7A65" w:rsidRDefault="0072718D">
          <w:pPr>
            <w:pStyle w:val="Sidhuvud"/>
            <w:ind w:right="360"/>
          </w:pPr>
        </w:p>
      </w:tc>
      <w:tc>
        <w:tcPr>
          <w:tcW w:w="1525" w:type="dxa"/>
        </w:tcPr>
        <w:p w:rsidR="0072718D" w:rsidRPr="001F7A65" w:rsidRDefault="0072718D">
          <w:pPr>
            <w:pStyle w:val="Sidhuvud"/>
            <w:ind w:right="360"/>
          </w:pPr>
        </w:p>
      </w:tc>
    </w:tr>
  </w:tbl>
  <w:p w:rsidR="0072718D" w:rsidRPr="001F7A65" w:rsidRDefault="0072718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8D" w:rsidRPr="001F7A65" w:rsidRDefault="0072718D">
    <w:pPr>
      <w:pStyle w:val="Sidhuvud"/>
      <w:framePr w:wrap="around" w:vAnchor="text" w:hAnchor="margin" w:xAlign="right" w:y="1"/>
      <w:rPr>
        <w:rStyle w:val="Sidnummer"/>
      </w:rPr>
    </w:pPr>
    <w:r w:rsidRPr="001F7A65">
      <w:rPr>
        <w:rStyle w:val="Sidnummer"/>
      </w:rPr>
      <w:fldChar w:fldCharType="begin" w:fldLock="1"/>
    </w:r>
    <w:r w:rsidRPr="001F7A65">
      <w:rPr>
        <w:rStyle w:val="Sidnummer"/>
      </w:rPr>
      <w:instrText xml:space="preserve">PAGE  </w:instrText>
    </w:r>
    <w:r w:rsidRPr="001F7A65">
      <w:rPr>
        <w:rStyle w:val="Sidnummer"/>
      </w:rPr>
      <w:fldChar w:fldCharType="separate"/>
    </w:r>
    <w:r w:rsidR="00DF60C3" w:rsidRPr="001F7A65">
      <w:rPr>
        <w:rStyle w:val="Sidnummer"/>
      </w:rPr>
      <w:t>5</w:t>
    </w:r>
    <w:r w:rsidRPr="001F7A6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718D" w:rsidRPr="001F7A65">
      <w:tblPrEx>
        <w:tblCellMar>
          <w:top w:w="0" w:type="dxa"/>
          <w:bottom w:w="0" w:type="dxa"/>
        </w:tblCellMar>
      </w:tblPrEx>
      <w:trPr>
        <w:cantSplit/>
      </w:trPr>
      <w:tc>
        <w:tcPr>
          <w:tcW w:w="3119" w:type="dxa"/>
        </w:tcPr>
        <w:p w:rsidR="0072718D" w:rsidRPr="001F7A65" w:rsidRDefault="0072718D">
          <w:pPr>
            <w:pStyle w:val="Sidhuvud"/>
            <w:spacing w:line="200" w:lineRule="atLeast"/>
            <w:ind w:right="357"/>
            <w:rPr>
              <w:rFonts w:ascii="TradeGothic" w:hAnsi="TradeGothic"/>
              <w:b/>
              <w:bCs/>
              <w:sz w:val="16"/>
            </w:rPr>
          </w:pPr>
        </w:p>
      </w:tc>
      <w:tc>
        <w:tcPr>
          <w:tcW w:w="4111" w:type="dxa"/>
          <w:tcMar>
            <w:left w:w="567" w:type="dxa"/>
          </w:tcMar>
        </w:tcPr>
        <w:p w:rsidR="0072718D" w:rsidRPr="001F7A65" w:rsidRDefault="0072718D">
          <w:pPr>
            <w:pStyle w:val="Sidhuvud"/>
            <w:ind w:right="360"/>
          </w:pPr>
        </w:p>
      </w:tc>
      <w:tc>
        <w:tcPr>
          <w:tcW w:w="1525" w:type="dxa"/>
        </w:tcPr>
        <w:p w:rsidR="0072718D" w:rsidRPr="001F7A65" w:rsidRDefault="0072718D">
          <w:pPr>
            <w:pStyle w:val="Sidhuvud"/>
            <w:ind w:right="360"/>
          </w:pPr>
        </w:p>
      </w:tc>
    </w:tr>
  </w:tbl>
  <w:p w:rsidR="0072718D" w:rsidRPr="001F7A65" w:rsidRDefault="0072718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8D" w:rsidRPr="001F7A65" w:rsidRDefault="001F7A65">
    <w:pPr>
      <w:framePr w:w="2948" w:h="1321" w:hRule="exact" w:wrap="notBeside" w:vAnchor="page" w:hAnchor="page" w:x="1362" w:y="653"/>
    </w:pPr>
    <w:r w:rsidRPr="001F7A6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2718D" w:rsidRPr="001F7A65" w:rsidRDefault="0072718D">
    <w:pPr>
      <w:pStyle w:val="RKrubrik"/>
      <w:keepNext w:val="0"/>
      <w:tabs>
        <w:tab w:val="clear" w:pos="1134"/>
        <w:tab w:val="clear" w:pos="2835"/>
      </w:tabs>
      <w:spacing w:before="0" w:after="0" w:line="320" w:lineRule="atLeast"/>
      <w:rPr>
        <w:bCs/>
      </w:rPr>
    </w:pPr>
  </w:p>
  <w:p w:rsidR="0072718D" w:rsidRPr="001F7A65" w:rsidRDefault="0072718D">
    <w:pPr>
      <w:rPr>
        <w:rFonts w:ascii="TradeGothic" w:hAnsi="TradeGothic"/>
        <w:b/>
        <w:bCs/>
        <w:spacing w:val="12"/>
        <w:sz w:val="22"/>
      </w:rPr>
    </w:pPr>
  </w:p>
  <w:p w:rsidR="0072718D" w:rsidRPr="001F7A65" w:rsidRDefault="0072718D">
    <w:pPr>
      <w:pStyle w:val="RKrubrik"/>
      <w:keepNext w:val="0"/>
      <w:tabs>
        <w:tab w:val="clear" w:pos="1134"/>
        <w:tab w:val="clear" w:pos="2835"/>
      </w:tabs>
      <w:spacing w:before="0" w:after="0" w:line="320" w:lineRule="atLeast"/>
      <w:rPr>
        <w:bCs/>
      </w:rPr>
    </w:pPr>
  </w:p>
  <w:p w:rsidR="0072718D" w:rsidRPr="001F7A65" w:rsidRDefault="0072718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num w:numId="1" w16cid:durableId="1091662291">
    <w:abstractNumId w:val="0"/>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45C74"/>
    <w:rsid w:val="00065C80"/>
    <w:rsid w:val="0007009C"/>
    <w:rsid w:val="000F7A65"/>
    <w:rsid w:val="00113C40"/>
    <w:rsid w:val="00132043"/>
    <w:rsid w:val="00150384"/>
    <w:rsid w:val="00165A4C"/>
    <w:rsid w:val="001805B7"/>
    <w:rsid w:val="001F2632"/>
    <w:rsid w:val="001F7A65"/>
    <w:rsid w:val="00214E8E"/>
    <w:rsid w:val="002C54FD"/>
    <w:rsid w:val="002C7698"/>
    <w:rsid w:val="002F2F1E"/>
    <w:rsid w:val="00330369"/>
    <w:rsid w:val="003629A1"/>
    <w:rsid w:val="003F436C"/>
    <w:rsid w:val="004629C8"/>
    <w:rsid w:val="004706A2"/>
    <w:rsid w:val="004A328D"/>
    <w:rsid w:val="004A743A"/>
    <w:rsid w:val="004B75EE"/>
    <w:rsid w:val="00521DC8"/>
    <w:rsid w:val="00575D45"/>
    <w:rsid w:val="005A52F6"/>
    <w:rsid w:val="005B6658"/>
    <w:rsid w:val="00605AF6"/>
    <w:rsid w:val="0061465F"/>
    <w:rsid w:val="0063673F"/>
    <w:rsid w:val="006838E2"/>
    <w:rsid w:val="00695636"/>
    <w:rsid w:val="006D4CF5"/>
    <w:rsid w:val="006D54AE"/>
    <w:rsid w:val="006E4E11"/>
    <w:rsid w:val="006F7D42"/>
    <w:rsid w:val="00707A0C"/>
    <w:rsid w:val="00723A76"/>
    <w:rsid w:val="007242A3"/>
    <w:rsid w:val="0072718D"/>
    <w:rsid w:val="007359F0"/>
    <w:rsid w:val="007511FC"/>
    <w:rsid w:val="00775043"/>
    <w:rsid w:val="00787EE4"/>
    <w:rsid w:val="007B41AD"/>
    <w:rsid w:val="007D37CD"/>
    <w:rsid w:val="00856A3C"/>
    <w:rsid w:val="008D1B0F"/>
    <w:rsid w:val="008E6978"/>
    <w:rsid w:val="0091620F"/>
    <w:rsid w:val="009263F7"/>
    <w:rsid w:val="00964FF1"/>
    <w:rsid w:val="00973291"/>
    <w:rsid w:val="00995D45"/>
    <w:rsid w:val="009A6C4B"/>
    <w:rsid w:val="009D79B4"/>
    <w:rsid w:val="009E1C2C"/>
    <w:rsid w:val="00A41507"/>
    <w:rsid w:val="00A433C5"/>
    <w:rsid w:val="00A531A0"/>
    <w:rsid w:val="00A826AE"/>
    <w:rsid w:val="00A87990"/>
    <w:rsid w:val="00A94474"/>
    <w:rsid w:val="00AA7510"/>
    <w:rsid w:val="00B21CD8"/>
    <w:rsid w:val="00B417A1"/>
    <w:rsid w:val="00B762A9"/>
    <w:rsid w:val="00BD65B2"/>
    <w:rsid w:val="00BF5B65"/>
    <w:rsid w:val="00C0353B"/>
    <w:rsid w:val="00C1295E"/>
    <w:rsid w:val="00CA4AAC"/>
    <w:rsid w:val="00CA742F"/>
    <w:rsid w:val="00CE175F"/>
    <w:rsid w:val="00CE6F12"/>
    <w:rsid w:val="00D07381"/>
    <w:rsid w:val="00D13AF7"/>
    <w:rsid w:val="00D4327E"/>
    <w:rsid w:val="00D56B66"/>
    <w:rsid w:val="00DF3567"/>
    <w:rsid w:val="00DF5492"/>
    <w:rsid w:val="00DF60C3"/>
    <w:rsid w:val="00E02C39"/>
    <w:rsid w:val="00E9129D"/>
    <w:rsid w:val="00EC25F9"/>
    <w:rsid w:val="00EC5436"/>
    <w:rsid w:val="00FA76FB"/>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ED80BB-2667-4121-BA76-5578F0A0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10542</Characters>
  <Application>Microsoft Office Word</Application>
  <DocSecurity>4</DocSecurity>
  <Lines>292</Lines>
  <Paragraphs>73</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2008-09-26T09:00:00Z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