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6B443A">
        <w:tc>
          <w:tcPr>
            <w:tcW w:w="2268" w:type="dxa"/>
          </w:tcPr>
          <w:p w:rsidR="006B443A" w:rsidRDefault="006B443A">
            <w:pPr>
              <w:framePr w:w="4400" w:h="1644" w:wrap="notBeside" w:vAnchor="page" w:hAnchor="page" w:x="6573" w:y="721"/>
              <w:rPr>
                <w:rFonts w:ascii="TradeGothic" w:hAnsi="TradeGothic"/>
                <w:i/>
                <w:sz w:val="18"/>
              </w:rPr>
            </w:pPr>
          </w:p>
        </w:tc>
        <w:tc>
          <w:tcPr>
            <w:tcW w:w="2347" w:type="dxa"/>
            <w:gridSpan w:val="2"/>
          </w:tcPr>
          <w:p w:rsidR="006B443A" w:rsidRDefault="006B443A">
            <w:pPr>
              <w:framePr w:w="4400" w:h="1644" w:wrap="notBeside" w:vAnchor="page" w:hAnchor="page" w:x="6573" w:y="721"/>
              <w:rPr>
                <w:rFonts w:ascii="TradeGothic" w:hAnsi="TradeGothic"/>
                <w:i/>
                <w:sz w:val="18"/>
              </w:rPr>
            </w:pPr>
          </w:p>
        </w:tc>
      </w:tr>
      <w:tr w:rsidR="006B443A">
        <w:tc>
          <w:tcPr>
            <w:tcW w:w="2268" w:type="dxa"/>
          </w:tcPr>
          <w:p w:rsidR="006B443A" w:rsidRDefault="006B443A">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6B443A" w:rsidRDefault="006B443A">
            <w:pPr>
              <w:framePr w:w="4400" w:h="1644" w:wrap="notBeside" w:vAnchor="page" w:hAnchor="page" w:x="6573" w:y="721"/>
              <w:rPr>
                <w:rFonts w:ascii="TradeGothic" w:hAnsi="TradeGothic"/>
                <w:b/>
                <w:sz w:val="22"/>
              </w:rPr>
            </w:pPr>
          </w:p>
        </w:tc>
      </w:tr>
      <w:tr w:rsidR="006B443A">
        <w:trPr>
          <w:trHeight w:val="343"/>
        </w:trPr>
        <w:tc>
          <w:tcPr>
            <w:tcW w:w="3402" w:type="dxa"/>
            <w:gridSpan w:val="2"/>
          </w:tcPr>
          <w:p w:rsidR="006B443A" w:rsidRDefault="006B443A">
            <w:pPr>
              <w:framePr w:w="4400" w:h="1644" w:wrap="notBeside" w:vAnchor="page" w:hAnchor="page" w:x="6573" w:y="721"/>
            </w:pPr>
          </w:p>
        </w:tc>
        <w:tc>
          <w:tcPr>
            <w:tcW w:w="1213" w:type="dxa"/>
          </w:tcPr>
          <w:p w:rsidR="006B443A" w:rsidRDefault="006B443A">
            <w:pPr>
              <w:framePr w:w="4400" w:h="1644" w:wrap="notBeside" w:vAnchor="page" w:hAnchor="page" w:x="6573" w:y="721"/>
            </w:pPr>
          </w:p>
        </w:tc>
      </w:tr>
      <w:tr w:rsidR="006B443A">
        <w:tc>
          <w:tcPr>
            <w:tcW w:w="2268" w:type="dxa"/>
          </w:tcPr>
          <w:p w:rsidR="006B443A" w:rsidRDefault="006B443A">
            <w:pPr>
              <w:framePr w:w="4400" w:h="1644" w:wrap="notBeside" w:vAnchor="page" w:hAnchor="page" w:x="6573" w:y="721"/>
            </w:pPr>
            <w:r>
              <w:t>2012-11-27</w:t>
            </w:r>
          </w:p>
        </w:tc>
        <w:tc>
          <w:tcPr>
            <w:tcW w:w="2347" w:type="dxa"/>
            <w:gridSpan w:val="2"/>
          </w:tcPr>
          <w:p w:rsidR="006B443A" w:rsidRDefault="006B443A">
            <w:pPr>
              <w:framePr w:w="4400" w:h="1644" w:wrap="notBeside" w:vAnchor="page" w:hAnchor="page" w:x="6573" w:y="721"/>
            </w:pPr>
          </w:p>
        </w:tc>
      </w:tr>
      <w:tr w:rsidR="006B443A">
        <w:tc>
          <w:tcPr>
            <w:tcW w:w="2268" w:type="dxa"/>
          </w:tcPr>
          <w:p w:rsidR="006B443A" w:rsidRDefault="006B443A">
            <w:pPr>
              <w:framePr w:w="4400" w:h="1644" w:wrap="notBeside" w:vAnchor="page" w:hAnchor="page" w:x="6573" w:y="721"/>
            </w:pPr>
          </w:p>
        </w:tc>
        <w:tc>
          <w:tcPr>
            <w:tcW w:w="2347" w:type="dxa"/>
            <w:gridSpan w:val="2"/>
          </w:tcPr>
          <w:p w:rsidR="006B443A" w:rsidRDefault="006B443A">
            <w:pPr>
              <w:framePr w:w="4400" w:h="1644" w:wrap="notBeside" w:vAnchor="page" w:hAnchor="page" w:x="6573" w:y="721"/>
            </w:pPr>
          </w:p>
        </w:tc>
      </w:tr>
    </w:tbl>
    <w:tbl>
      <w:tblPr>
        <w:tblW w:w="0" w:type="auto"/>
        <w:tblLayout w:type="fixed"/>
        <w:tblLook w:val="0000"/>
      </w:tblPr>
      <w:tblGrid>
        <w:gridCol w:w="4911"/>
      </w:tblGrid>
      <w:tr w:rsidR="006B443A">
        <w:trPr>
          <w:trHeight w:val="2400"/>
        </w:trPr>
        <w:tc>
          <w:tcPr>
            <w:tcW w:w="4911" w:type="dxa"/>
          </w:tcPr>
          <w:p w:rsidR="006B443A" w:rsidRDefault="006B443A">
            <w:pPr>
              <w:pStyle w:val="Avsndare"/>
              <w:framePr w:h="2483" w:wrap="notBeside" w:x="1504"/>
              <w:rPr>
                <w:b/>
                <w:i w:val="0"/>
                <w:sz w:val="22"/>
              </w:rPr>
            </w:pPr>
            <w:r>
              <w:rPr>
                <w:b/>
                <w:i w:val="0"/>
                <w:sz w:val="22"/>
              </w:rPr>
              <w:t>Statsrådsberedningen</w:t>
            </w:r>
          </w:p>
          <w:p w:rsidR="006B443A" w:rsidRDefault="006B443A">
            <w:pPr>
              <w:pStyle w:val="Avsndare"/>
              <w:framePr w:h="2483" w:wrap="notBeside" w:x="1504"/>
            </w:pPr>
          </w:p>
          <w:p w:rsidR="006B443A" w:rsidRDefault="006B443A">
            <w:pPr>
              <w:pStyle w:val="Avsndare"/>
              <w:framePr w:h="2483" w:wrap="notBeside" w:x="1504"/>
            </w:pPr>
            <w:r>
              <w:t>EU-kansliet</w:t>
            </w:r>
          </w:p>
          <w:p w:rsidR="006B443A" w:rsidRDefault="006B443A">
            <w:pPr>
              <w:pStyle w:val="Avsndare"/>
              <w:framePr w:h="2483" w:wrap="notBeside" w:x="1504"/>
            </w:pPr>
          </w:p>
          <w:p w:rsidR="006B443A" w:rsidRDefault="006B443A">
            <w:pPr>
              <w:pStyle w:val="Avsndare"/>
              <w:framePr w:h="2483" w:wrap="notBeside" w:x="1504"/>
            </w:pPr>
          </w:p>
          <w:p w:rsidR="006B443A" w:rsidRDefault="006B443A">
            <w:pPr>
              <w:pStyle w:val="Avsndare"/>
              <w:framePr w:h="2483" w:wrap="notBeside" w:x="1504"/>
            </w:pPr>
          </w:p>
          <w:p w:rsidR="006B443A" w:rsidRDefault="006B443A">
            <w:pPr>
              <w:pStyle w:val="Avsndare"/>
              <w:framePr w:h="2483" w:wrap="notBeside" w:x="1504"/>
              <w:rPr>
                <w:b/>
                <w:i w:val="0"/>
                <w:sz w:val="22"/>
              </w:rPr>
            </w:pPr>
          </w:p>
        </w:tc>
      </w:tr>
    </w:tbl>
    <w:p w:rsidR="006B443A" w:rsidRDefault="006B443A">
      <w:pPr>
        <w:framePr w:w="4400" w:h="2523" w:wrap="notBeside" w:vAnchor="page" w:hAnchor="page" w:x="6453" w:y="2445"/>
        <w:ind w:left="142"/>
      </w:pPr>
    </w:p>
    <w:p w:rsidR="006B443A" w:rsidRPr="00B501D0" w:rsidRDefault="006B443A" w:rsidP="00932991">
      <w:pPr>
        <w:pStyle w:val="Heading1"/>
      </w:pPr>
      <w:bookmarkStart w:id="0" w:name="_Toc67391946"/>
      <w:bookmarkStart w:id="1" w:name="_Toc70473239"/>
      <w:bookmarkStart w:id="2" w:name="_Toc341773465"/>
      <w:r>
        <w:t xml:space="preserve">Komplettering Troliga A-punkter inför kommande rådsmöten som förväntas godkännas vid Coreper II </w:t>
      </w:r>
      <w:bookmarkEnd w:id="0"/>
      <w:bookmarkEnd w:id="1"/>
      <w:r>
        <w:t>vecka 48.</w:t>
      </w:r>
      <w:bookmarkEnd w:id="2"/>
      <w:r>
        <w:t xml:space="preserve"> </w:t>
      </w:r>
    </w:p>
    <w:p w:rsidR="006B443A" w:rsidRDefault="006B443A" w:rsidP="003E72B4">
      <w:pPr>
        <w:pStyle w:val="BodyText"/>
      </w:pPr>
      <w:r>
        <w:t>Överlämnas för skriftligt samråd vecka 48 till tisdagen den 27 november 2012, kl 15.00.</w:t>
      </w:r>
    </w:p>
    <w:p w:rsidR="006B443A" w:rsidRDefault="006B443A" w:rsidP="003E72B4">
      <w:pPr>
        <w:pStyle w:val="BodyText"/>
      </w:pPr>
      <w:r>
        <w:t xml:space="preserve">. </w:t>
      </w:r>
    </w:p>
    <w:p w:rsidR="006B443A" w:rsidRPr="003E72B4" w:rsidRDefault="006B443A" w:rsidP="003E72B4">
      <w:pPr>
        <w:pStyle w:val="BodyText"/>
      </w:pPr>
      <w:r>
        <w:t>.</w:t>
      </w:r>
    </w:p>
    <w:p w:rsidR="006B443A" w:rsidRDefault="006B443A">
      <w:pPr>
        <w:spacing w:line="240" w:lineRule="auto"/>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r>
        <w:rPr>
          <w:b/>
          <w:bCs/>
        </w:rPr>
        <w:br w:type="page"/>
      </w:r>
    </w:p>
    <w:p w:rsidR="006B443A" w:rsidRDefault="006B443A">
      <w:pPr>
        <w:pStyle w:val="RKnormal"/>
        <w:ind w:left="0"/>
        <w:rPr>
          <w:b/>
          <w:bCs/>
        </w:rPr>
      </w:pPr>
    </w:p>
    <w:bookmarkStart w:id="17" w:name="_GoBack"/>
    <w:bookmarkEnd w:id="17"/>
    <w:p w:rsidR="006B443A" w:rsidRDefault="006B443A">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1773465" w:history="1">
        <w:r w:rsidRPr="009026AB">
          <w:rPr>
            <w:rStyle w:val="Hyperlink"/>
            <w:noProof/>
          </w:rPr>
          <w:t>Komplettering Troliga A-punkter inför kommande rådsmöten som förväntas godkännas vid Coreper II vecka 48.</w:t>
        </w:r>
        <w:r>
          <w:rPr>
            <w:noProof/>
            <w:webHidden/>
          </w:rPr>
          <w:tab/>
        </w:r>
        <w:r>
          <w:rPr>
            <w:noProof/>
            <w:webHidden/>
          </w:rPr>
          <w:fldChar w:fldCharType="begin"/>
        </w:r>
        <w:r>
          <w:rPr>
            <w:noProof/>
            <w:webHidden/>
          </w:rPr>
          <w:instrText xml:space="preserve"> PAGEREF _Toc341773465 \h </w:instrText>
        </w:r>
        <w:r>
          <w:rPr>
            <w:noProof/>
            <w:webHidden/>
          </w:rPr>
        </w:r>
        <w:r>
          <w:rPr>
            <w:noProof/>
            <w:webHidden/>
          </w:rPr>
          <w:fldChar w:fldCharType="separate"/>
        </w:r>
        <w:r>
          <w:rPr>
            <w:noProof/>
            <w:webHidden/>
          </w:rPr>
          <w:t>1</w:t>
        </w:r>
        <w:r>
          <w:rPr>
            <w:noProof/>
            <w:webHidden/>
          </w:rPr>
          <w:fldChar w:fldCharType="end"/>
        </w:r>
      </w:hyperlink>
    </w:p>
    <w:p w:rsidR="006B443A" w:rsidRDefault="006B443A">
      <w:pPr>
        <w:pStyle w:val="TOC1"/>
        <w:tabs>
          <w:tab w:val="right" w:leader="dot" w:pos="7644"/>
        </w:tabs>
        <w:rPr>
          <w:rFonts w:ascii="Calibri" w:hAnsi="Calibri"/>
          <w:b w:val="0"/>
          <w:bCs w:val="0"/>
          <w:caps w:val="0"/>
          <w:noProof/>
          <w:sz w:val="22"/>
          <w:szCs w:val="22"/>
          <w:lang w:eastAsia="sv-SE"/>
        </w:rPr>
      </w:pPr>
      <w:hyperlink w:anchor="_Toc341773466" w:history="1">
        <w:r w:rsidRPr="009026AB">
          <w:rPr>
            <w:rStyle w:val="Hyperlink"/>
            <w:noProof/>
          </w:rPr>
          <w:t>Frågor som lösts i förberedande instanser</w:t>
        </w:r>
        <w:r>
          <w:rPr>
            <w:noProof/>
            <w:webHidden/>
          </w:rPr>
          <w:tab/>
        </w:r>
        <w:r>
          <w:rPr>
            <w:noProof/>
            <w:webHidden/>
          </w:rPr>
          <w:fldChar w:fldCharType="begin"/>
        </w:r>
        <w:r>
          <w:rPr>
            <w:noProof/>
            <w:webHidden/>
          </w:rPr>
          <w:instrText xml:space="preserve"> PAGEREF _Toc341773466 \h </w:instrText>
        </w:r>
        <w:r>
          <w:rPr>
            <w:noProof/>
            <w:webHidden/>
          </w:rPr>
        </w:r>
        <w:r>
          <w:rPr>
            <w:noProof/>
            <w:webHidden/>
          </w:rPr>
          <w:fldChar w:fldCharType="separate"/>
        </w:r>
        <w:r>
          <w:rPr>
            <w:noProof/>
            <w:webHidden/>
          </w:rPr>
          <w:t>3</w:t>
        </w:r>
        <w:r>
          <w:rPr>
            <w:noProof/>
            <w:webHidden/>
          </w:rPr>
          <w:fldChar w:fldCharType="end"/>
        </w:r>
      </w:hyperlink>
    </w:p>
    <w:p w:rsidR="006B443A" w:rsidRDefault="006B443A">
      <w:pPr>
        <w:pStyle w:val="TOC1"/>
        <w:tabs>
          <w:tab w:val="right" w:leader="dot" w:pos="7644"/>
        </w:tabs>
        <w:rPr>
          <w:rFonts w:ascii="Calibri" w:hAnsi="Calibri"/>
          <w:b w:val="0"/>
          <w:bCs w:val="0"/>
          <w:caps w:val="0"/>
          <w:noProof/>
          <w:sz w:val="22"/>
          <w:szCs w:val="22"/>
          <w:lang w:eastAsia="sv-SE"/>
        </w:rPr>
      </w:pPr>
      <w:hyperlink w:anchor="_Toc341773467" w:history="1">
        <w:r w:rsidRPr="009026AB">
          <w:rPr>
            <w:rStyle w:val="Hyperlink"/>
            <w:noProof/>
          </w:rPr>
          <w:t>Troliga A-punkter inför kommande rådsmöten som förväntas godkännas vid Coreper II 2012-11-27.</w:t>
        </w:r>
        <w:r>
          <w:rPr>
            <w:noProof/>
            <w:webHidden/>
          </w:rPr>
          <w:tab/>
        </w:r>
        <w:r>
          <w:rPr>
            <w:noProof/>
            <w:webHidden/>
          </w:rPr>
          <w:fldChar w:fldCharType="begin"/>
        </w:r>
        <w:r>
          <w:rPr>
            <w:noProof/>
            <w:webHidden/>
          </w:rPr>
          <w:instrText xml:space="preserve"> PAGEREF _Toc341773467 \h </w:instrText>
        </w:r>
        <w:r>
          <w:rPr>
            <w:noProof/>
            <w:webHidden/>
          </w:rPr>
        </w:r>
        <w:r>
          <w:rPr>
            <w:noProof/>
            <w:webHidden/>
          </w:rPr>
          <w:fldChar w:fldCharType="separate"/>
        </w:r>
        <w:r>
          <w:rPr>
            <w:noProof/>
            <w:webHidden/>
          </w:rPr>
          <w:t>3</w:t>
        </w:r>
        <w:r>
          <w:rPr>
            <w:noProof/>
            <w:webHidden/>
          </w:rPr>
          <w:fldChar w:fldCharType="end"/>
        </w:r>
      </w:hyperlink>
    </w:p>
    <w:p w:rsidR="006B443A" w:rsidRDefault="006B443A">
      <w:pPr>
        <w:pStyle w:val="TOC2"/>
        <w:tabs>
          <w:tab w:val="right" w:leader="dot" w:pos="7644"/>
        </w:tabs>
        <w:rPr>
          <w:rFonts w:ascii="Calibri" w:hAnsi="Calibri"/>
          <w:b w:val="0"/>
          <w:bCs w:val="0"/>
          <w:noProof/>
          <w:sz w:val="22"/>
          <w:szCs w:val="22"/>
          <w:lang w:eastAsia="sv-SE"/>
        </w:rPr>
      </w:pPr>
      <w:hyperlink w:anchor="_Toc341773468" w:history="1">
        <w:r w:rsidRPr="009026AB">
          <w:rPr>
            <w:rStyle w:val="Hyperlink"/>
            <w:noProof/>
          </w:rPr>
          <w:t>1. Proposals for external financing instruments under Heading 4 of the Multiannual Financial Framework 2014-2020 = Explanatory non-paper</w:t>
        </w:r>
        <w:r>
          <w:rPr>
            <w:noProof/>
            <w:webHidden/>
          </w:rPr>
          <w:tab/>
        </w:r>
        <w:r>
          <w:rPr>
            <w:noProof/>
            <w:webHidden/>
          </w:rPr>
          <w:fldChar w:fldCharType="begin"/>
        </w:r>
        <w:r>
          <w:rPr>
            <w:noProof/>
            <w:webHidden/>
          </w:rPr>
          <w:instrText xml:space="preserve"> PAGEREF _Toc341773468 \h </w:instrText>
        </w:r>
        <w:r>
          <w:rPr>
            <w:noProof/>
            <w:webHidden/>
          </w:rPr>
        </w:r>
        <w:r>
          <w:rPr>
            <w:noProof/>
            <w:webHidden/>
          </w:rPr>
          <w:fldChar w:fldCharType="separate"/>
        </w:r>
        <w:r>
          <w:rPr>
            <w:noProof/>
            <w:webHidden/>
          </w:rPr>
          <w:t>3</w:t>
        </w:r>
        <w:r>
          <w:rPr>
            <w:noProof/>
            <w:webHidden/>
          </w:rPr>
          <w:fldChar w:fldCharType="end"/>
        </w:r>
      </w:hyperlink>
    </w:p>
    <w:p w:rsidR="006B443A" w:rsidRDefault="006B443A">
      <w:pPr>
        <w:pStyle w:val="TOC2"/>
        <w:tabs>
          <w:tab w:val="right" w:leader="dot" w:pos="7644"/>
        </w:tabs>
        <w:rPr>
          <w:rFonts w:ascii="Calibri" w:hAnsi="Calibri"/>
          <w:b w:val="0"/>
          <w:bCs w:val="0"/>
          <w:noProof/>
          <w:sz w:val="22"/>
          <w:szCs w:val="22"/>
          <w:lang w:eastAsia="sv-SE"/>
        </w:rPr>
      </w:pPr>
      <w:hyperlink w:anchor="_Toc341773469" w:history="1">
        <w:r w:rsidRPr="009026AB">
          <w:rPr>
            <w:rStyle w:val="Hyperlink"/>
            <w:noProof/>
          </w:rPr>
          <w:t>2. Proposal for a Regulation of the European Parliament and of the Council establishing the criteria and mechanisms for determining the Member State responsible for examining an application for international protection lodged in one of the Member States by a third-country national or a stateless person (Recast) [First reading] = Political agreement</w:t>
        </w:r>
        <w:r>
          <w:rPr>
            <w:noProof/>
            <w:webHidden/>
          </w:rPr>
          <w:tab/>
        </w:r>
        <w:r>
          <w:rPr>
            <w:noProof/>
            <w:webHidden/>
          </w:rPr>
          <w:fldChar w:fldCharType="begin"/>
        </w:r>
        <w:r>
          <w:rPr>
            <w:noProof/>
            <w:webHidden/>
          </w:rPr>
          <w:instrText xml:space="preserve"> PAGEREF _Toc341773469 \h </w:instrText>
        </w:r>
        <w:r>
          <w:rPr>
            <w:noProof/>
            <w:webHidden/>
          </w:rPr>
        </w:r>
        <w:r>
          <w:rPr>
            <w:noProof/>
            <w:webHidden/>
          </w:rPr>
          <w:fldChar w:fldCharType="separate"/>
        </w:r>
        <w:r>
          <w:rPr>
            <w:noProof/>
            <w:webHidden/>
          </w:rPr>
          <w:t>4</w:t>
        </w:r>
        <w:r>
          <w:rPr>
            <w:noProof/>
            <w:webHidden/>
          </w:rPr>
          <w:fldChar w:fldCharType="end"/>
        </w:r>
      </w:hyperlink>
    </w:p>
    <w:p w:rsidR="006B443A" w:rsidRDefault="006B443A">
      <w:pPr>
        <w:pStyle w:val="RKnormal"/>
        <w:ind w:left="0"/>
        <w:rPr>
          <w:b/>
          <w:bCs/>
        </w:rPr>
      </w:pPr>
      <w:r>
        <w:rPr>
          <w:b/>
          <w:bCs/>
        </w:rPr>
        <w:fldChar w:fldCharType="end"/>
      </w:r>
    </w:p>
    <w:p w:rsidR="006B443A" w:rsidRDefault="006B443A">
      <w:pPr>
        <w:pStyle w:val="Heading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41773466"/>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6B443A" w:rsidRDefault="006B443A">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6B443A" w:rsidRDefault="006B443A">
      <w:pPr>
        <w:pStyle w:val="Heading1"/>
        <w:spacing w:before="0" w:after="0"/>
      </w:pPr>
      <w:r>
        <w:t xml:space="preserve"> </w:t>
      </w:r>
      <w:bookmarkStart w:id="56" w:name="Punkt"/>
      <w:bookmarkEnd w:id="56"/>
    </w:p>
    <w:p w:rsidR="006B443A" w:rsidRDefault="006B443A" w:rsidP="003E72B4">
      <w:pPr>
        <w:pStyle w:val="Heading1"/>
      </w:pPr>
      <w:bookmarkStart w:id="57" w:name="_Toc341773467"/>
      <w:r>
        <w:t>Troliga A-punkter inför kommande rådsmöten som förväntas godkännas vid Coreper II 2012-11-27.</w:t>
      </w:r>
      <w:bookmarkEnd w:id="57"/>
    </w:p>
    <w:p w:rsidR="006B443A" w:rsidRDefault="006B443A" w:rsidP="00A32215">
      <w:pPr>
        <w:pStyle w:val="Heading2"/>
      </w:pPr>
      <w:bookmarkStart w:id="58" w:name="_Toc341773468"/>
      <w:r>
        <w:t>1. Proposals for external financing instruments under Heading 4 of the Multiannual Financial Framework 2014-2020 = Explanatory non-paper</w:t>
      </w:r>
      <w:bookmarkEnd w:id="58"/>
    </w:p>
    <w:p w:rsidR="006B443A" w:rsidRDefault="006B443A" w:rsidP="00E43170">
      <w:pPr>
        <w:pStyle w:val="RKnormal"/>
        <w:tabs>
          <w:tab w:val="clear" w:pos="1843"/>
          <w:tab w:val="left" w:pos="284"/>
        </w:tabs>
        <w:ind w:left="0"/>
      </w:pPr>
      <w:r>
        <w:t xml:space="preserve">16681/12 </w:t>
      </w:r>
    </w:p>
    <w:p w:rsidR="006B443A" w:rsidRDefault="006B443A" w:rsidP="00E43170">
      <w:pPr>
        <w:pStyle w:val="RKnormal"/>
        <w:tabs>
          <w:tab w:val="clear" w:pos="1843"/>
          <w:tab w:val="left" w:pos="284"/>
        </w:tabs>
        <w:ind w:left="0"/>
      </w:pPr>
    </w:p>
    <w:p w:rsidR="006B443A" w:rsidRDefault="006B443A" w:rsidP="00E43170">
      <w:pPr>
        <w:pStyle w:val="RKnormal"/>
        <w:tabs>
          <w:tab w:val="clear" w:pos="1843"/>
          <w:tab w:val="left" w:pos="284"/>
        </w:tabs>
        <w:ind w:left="0"/>
      </w:pPr>
      <w:r>
        <w:t>Ansvarigt departement: Utrikesdepartementet</w:t>
      </w:r>
    </w:p>
    <w:p w:rsidR="006B443A" w:rsidRDefault="006B443A" w:rsidP="00E43170">
      <w:pPr>
        <w:pStyle w:val="RKnormal"/>
        <w:tabs>
          <w:tab w:val="clear" w:pos="1843"/>
          <w:tab w:val="left" w:pos="284"/>
        </w:tabs>
        <w:ind w:left="0"/>
      </w:pPr>
    </w:p>
    <w:p w:rsidR="006B443A" w:rsidRDefault="006B443A" w:rsidP="00E43170">
      <w:pPr>
        <w:pStyle w:val="RKnormal"/>
        <w:tabs>
          <w:tab w:val="clear" w:pos="1843"/>
          <w:tab w:val="left" w:pos="284"/>
        </w:tabs>
        <w:ind w:left="0"/>
      </w:pPr>
      <w:r>
        <w:t>Ansvarigt statsråd: Carl Bildt</w:t>
      </w:r>
    </w:p>
    <w:p w:rsidR="006B443A" w:rsidRDefault="006B443A" w:rsidP="00E43170">
      <w:pPr>
        <w:pStyle w:val="RKnormal"/>
        <w:tabs>
          <w:tab w:val="clear" w:pos="1843"/>
          <w:tab w:val="left" w:pos="284"/>
        </w:tabs>
        <w:ind w:left="0"/>
      </w:pPr>
    </w:p>
    <w:p w:rsidR="006B443A" w:rsidRDefault="006B443A" w:rsidP="00E43170">
      <w:pPr>
        <w:pStyle w:val="RKnormal"/>
        <w:tabs>
          <w:tab w:val="clear" w:pos="1843"/>
          <w:tab w:val="left" w:pos="284"/>
        </w:tabs>
        <w:ind w:left="0"/>
      </w:pPr>
      <w:r>
        <w:t>Förväntas godkännas av Coreper II den 27 november 2012</w:t>
      </w:r>
    </w:p>
    <w:p w:rsidR="006B443A" w:rsidRDefault="006B443A" w:rsidP="00E43170">
      <w:pPr>
        <w:pStyle w:val="RKnormal"/>
        <w:tabs>
          <w:tab w:val="clear" w:pos="1843"/>
          <w:tab w:val="left" w:pos="284"/>
        </w:tabs>
        <w:ind w:left="0"/>
      </w:pPr>
    </w:p>
    <w:p w:rsidR="006B443A" w:rsidRDefault="006B443A" w:rsidP="00E43170">
      <w:pPr>
        <w:pStyle w:val="RKnormal"/>
        <w:tabs>
          <w:tab w:val="clear" w:pos="1843"/>
          <w:tab w:val="left" w:pos="0"/>
          <w:tab w:val="left" w:pos="284"/>
        </w:tabs>
        <w:ind w:left="0"/>
      </w:pPr>
      <w:r>
        <w:t xml:space="preserve">Avsikt med behandlingen i rådet: </w:t>
      </w:r>
    </w:p>
    <w:p w:rsidR="006B443A" w:rsidRDefault="006B443A" w:rsidP="00E43170">
      <w:pPr>
        <w:pStyle w:val="RKnormal"/>
        <w:tabs>
          <w:tab w:val="clear" w:pos="1843"/>
          <w:tab w:val="left" w:pos="0"/>
          <w:tab w:val="left" w:pos="284"/>
        </w:tabs>
        <w:ind w:left="0"/>
      </w:pPr>
      <w:r>
        <w:t xml:space="preserve">Rådet föreslås godkänna ett svar i form av ett icke-papper på Europaparlamentets (EP) biståndspolitiska utskotts (DEVE) icke-papper om externa finansiella instrument under rubrik 4 i EU:s fleråriga budgetram (MFF). Även det utrikespolitiska utskottet (AFET) i EP har sagt sig stå bakom huvud-elementen i DEVE:s icke-papper. </w:t>
      </w:r>
    </w:p>
    <w:p w:rsidR="006B443A" w:rsidRDefault="006B443A" w:rsidP="00E43170">
      <w:pPr>
        <w:pStyle w:val="RKnormal"/>
        <w:tabs>
          <w:tab w:val="clear" w:pos="1843"/>
          <w:tab w:val="left" w:pos="0"/>
          <w:tab w:val="left" w:pos="284"/>
        </w:tabs>
        <w:ind w:left="0"/>
      </w:pPr>
    </w:p>
    <w:p w:rsidR="006B443A" w:rsidRDefault="006B443A" w:rsidP="00E43170">
      <w:pPr>
        <w:pStyle w:val="RKnormal"/>
        <w:tabs>
          <w:tab w:val="clear" w:pos="1843"/>
          <w:tab w:val="left" w:pos="0"/>
          <w:tab w:val="left" w:pos="284"/>
        </w:tabs>
        <w:ind w:left="0"/>
      </w:pPr>
      <w:r>
        <w:t xml:space="preserve">Hur regeringen ställer sig till den blivande A-punkten: </w:t>
      </w:r>
    </w:p>
    <w:p w:rsidR="006B443A" w:rsidRDefault="006B443A" w:rsidP="00E43170">
      <w:pPr>
        <w:pStyle w:val="RKnormal"/>
        <w:tabs>
          <w:tab w:val="clear" w:pos="1843"/>
          <w:tab w:val="left" w:pos="0"/>
          <w:tab w:val="left" w:pos="284"/>
        </w:tabs>
        <w:ind w:left="0"/>
      </w:pPr>
      <w:r>
        <w:t xml:space="preserve">Regeringen avser rösta ja till att rådet godkänner svaret till EP. </w:t>
      </w:r>
    </w:p>
    <w:p w:rsidR="006B443A" w:rsidRDefault="006B443A" w:rsidP="00E43170">
      <w:pPr>
        <w:pStyle w:val="RKnormal"/>
        <w:tabs>
          <w:tab w:val="left" w:pos="284"/>
        </w:tabs>
      </w:pPr>
    </w:p>
    <w:p w:rsidR="006B443A" w:rsidRDefault="006B443A" w:rsidP="00E43170">
      <w:pPr>
        <w:pStyle w:val="RKnormal"/>
        <w:tabs>
          <w:tab w:val="clear" w:pos="1843"/>
          <w:tab w:val="left" w:pos="284"/>
        </w:tabs>
        <w:ind w:left="0"/>
      </w:pPr>
      <w:r>
        <w:t xml:space="preserve">Bakgrund: </w:t>
      </w:r>
    </w:p>
    <w:p w:rsidR="006B443A" w:rsidRDefault="006B443A" w:rsidP="00E43170">
      <w:pPr>
        <w:pStyle w:val="RKnormal"/>
        <w:tabs>
          <w:tab w:val="clear" w:pos="1843"/>
          <w:tab w:val="left" w:pos="284"/>
        </w:tabs>
        <w:ind w:left="0"/>
      </w:pPr>
      <w:r>
        <w:t>EP driver frågan om delegerade akter inom ramen för de externa finansiella instrumenten. Rådet strök alla förslag till delegerade akter i rådets allmänna partiella inriktningar, som antogs tidigare i år. Trilog har inletts med EP. Som ett led i trilogen har DEVE inkommit med ett icke-papper med vissa klargöranden vad gäller EP:s önskemål gällande användandet av delegerade akter i programmeringen. Rådet beskriver i sitt svar bl.a. den rättsliga analys som utgör grunden för rådets position i dessa delar.</w:t>
      </w:r>
    </w:p>
    <w:p w:rsidR="006B443A" w:rsidRDefault="006B443A" w:rsidP="00E43170">
      <w:pPr>
        <w:pStyle w:val="RKnormal"/>
      </w:pPr>
    </w:p>
    <w:p w:rsidR="006B443A" w:rsidRDefault="006B443A" w:rsidP="00E43170">
      <w:pPr>
        <w:pStyle w:val="RKnormal"/>
      </w:pPr>
    </w:p>
    <w:p w:rsidR="006B443A" w:rsidRDefault="006B443A" w:rsidP="00E43170">
      <w:pPr>
        <w:pStyle w:val="RKnormal"/>
      </w:pPr>
    </w:p>
    <w:p w:rsidR="006B443A" w:rsidRDefault="006B443A" w:rsidP="00A32215">
      <w:pPr>
        <w:pStyle w:val="Heading2"/>
      </w:pPr>
      <w:bookmarkStart w:id="59" w:name="_Toc341773469"/>
      <w:r>
        <w:t>2. Proposal for a Regulation of the European Parliament and of the Council establishing the criteria and mechanisms for determining the Member State responsible for examining an application for international protection lodged in one of the Member States by a third-country national or a stateless person (Recast) [First reading] = Political agreement</w:t>
      </w:r>
      <w:bookmarkEnd w:id="59"/>
    </w:p>
    <w:p w:rsidR="006B443A" w:rsidRDefault="006B443A" w:rsidP="00A32215">
      <w:pPr>
        <w:pStyle w:val="RKnormal"/>
        <w:tabs>
          <w:tab w:val="clear" w:pos="1843"/>
          <w:tab w:val="left" w:pos="142"/>
        </w:tabs>
        <w:ind w:left="0"/>
      </w:pPr>
      <w:r>
        <w:t>16332/</w:t>
      </w:r>
    </w:p>
    <w:p w:rsidR="006B443A" w:rsidRDefault="006B443A" w:rsidP="00A32215">
      <w:pPr>
        <w:pStyle w:val="RKnormal"/>
        <w:tabs>
          <w:tab w:val="clear" w:pos="1843"/>
          <w:tab w:val="left" w:pos="142"/>
        </w:tabs>
        <w:ind w:left="0"/>
      </w:pPr>
    </w:p>
    <w:p w:rsidR="006B443A" w:rsidRDefault="006B443A" w:rsidP="00A32215">
      <w:pPr>
        <w:pStyle w:val="RKnormal"/>
        <w:tabs>
          <w:tab w:val="clear" w:pos="1843"/>
          <w:tab w:val="left" w:pos="142"/>
        </w:tabs>
        <w:ind w:left="0"/>
      </w:pPr>
      <w:r>
        <w:t>Ansvarigt departement: Justitiedepartementet</w:t>
      </w:r>
    </w:p>
    <w:p w:rsidR="006B443A" w:rsidRDefault="006B443A" w:rsidP="00A32215">
      <w:pPr>
        <w:pStyle w:val="RKnormal"/>
        <w:tabs>
          <w:tab w:val="clear" w:pos="1843"/>
          <w:tab w:val="left" w:pos="142"/>
        </w:tabs>
        <w:ind w:left="0"/>
      </w:pPr>
    </w:p>
    <w:p w:rsidR="006B443A" w:rsidRDefault="006B443A" w:rsidP="00A32215">
      <w:pPr>
        <w:pStyle w:val="RKnormal"/>
        <w:tabs>
          <w:tab w:val="clear" w:pos="1843"/>
          <w:tab w:val="left" w:pos="142"/>
        </w:tabs>
        <w:ind w:left="0"/>
      </w:pPr>
      <w:r>
        <w:t>Ansvarigt statsråd: Tobias Billström</w:t>
      </w:r>
    </w:p>
    <w:p w:rsidR="006B443A" w:rsidRDefault="006B443A" w:rsidP="00A32215">
      <w:pPr>
        <w:pStyle w:val="RKnormal"/>
        <w:tabs>
          <w:tab w:val="clear" w:pos="1843"/>
          <w:tab w:val="left" w:pos="142"/>
        </w:tabs>
        <w:ind w:left="0"/>
      </w:pPr>
    </w:p>
    <w:p w:rsidR="006B443A" w:rsidRDefault="006B443A" w:rsidP="00A32215">
      <w:pPr>
        <w:pStyle w:val="RKnormal"/>
        <w:tabs>
          <w:tab w:val="clear" w:pos="1843"/>
          <w:tab w:val="left" w:pos="142"/>
        </w:tabs>
        <w:ind w:left="0"/>
      </w:pPr>
      <w:r>
        <w:t>Tidighare behandling i riksdagen: 2012-10-19</w:t>
      </w:r>
    </w:p>
    <w:p w:rsidR="006B443A" w:rsidRDefault="006B443A" w:rsidP="00A32215">
      <w:pPr>
        <w:pStyle w:val="RKnormal"/>
        <w:tabs>
          <w:tab w:val="clear" w:pos="1843"/>
          <w:tab w:val="left" w:pos="142"/>
        </w:tabs>
        <w:ind w:left="0"/>
      </w:pPr>
    </w:p>
    <w:p w:rsidR="006B443A" w:rsidRDefault="006B443A" w:rsidP="00A32215">
      <w:pPr>
        <w:pStyle w:val="RKnormal"/>
        <w:tabs>
          <w:tab w:val="clear" w:pos="1843"/>
          <w:tab w:val="left" w:pos="142"/>
        </w:tabs>
        <w:ind w:left="0"/>
      </w:pPr>
      <w:r>
        <w:t>Tidigare behandling vid rådsmöte: Rättsliga och inrikes frågor</w:t>
      </w:r>
    </w:p>
    <w:p w:rsidR="006B443A" w:rsidRDefault="006B443A" w:rsidP="00A32215">
      <w:pPr>
        <w:pStyle w:val="RKnormal"/>
        <w:tabs>
          <w:tab w:val="clear" w:pos="1843"/>
          <w:tab w:val="left" w:pos="142"/>
        </w:tabs>
        <w:ind w:left="0"/>
      </w:pPr>
    </w:p>
    <w:p w:rsidR="006B443A" w:rsidRDefault="006B443A" w:rsidP="00A32215">
      <w:pPr>
        <w:pStyle w:val="RKnormal"/>
        <w:tabs>
          <w:tab w:val="clear" w:pos="1843"/>
          <w:tab w:val="left" w:pos="142"/>
        </w:tabs>
        <w:ind w:left="0"/>
      </w:pPr>
      <w:r>
        <w:t>Förväntas godkännas av Coreper II den 27 november 2012</w:t>
      </w:r>
    </w:p>
    <w:p w:rsidR="006B443A" w:rsidRDefault="006B443A" w:rsidP="00A32215">
      <w:pPr>
        <w:pStyle w:val="RKnormal"/>
        <w:tabs>
          <w:tab w:val="clear" w:pos="1843"/>
          <w:tab w:val="left" w:pos="142"/>
        </w:tabs>
        <w:ind w:left="0"/>
      </w:pPr>
    </w:p>
    <w:p w:rsidR="006B443A" w:rsidRDefault="006B443A" w:rsidP="00A32215">
      <w:pPr>
        <w:pStyle w:val="RKnormal"/>
        <w:tabs>
          <w:tab w:val="clear" w:pos="1843"/>
          <w:tab w:val="left" w:pos="142"/>
        </w:tabs>
        <w:ind w:left="0"/>
      </w:pPr>
      <w:r>
        <w:t xml:space="preserve">Avsikt med behandlingen i rådet: </w:t>
      </w:r>
    </w:p>
    <w:p w:rsidR="006B443A" w:rsidRDefault="006B443A" w:rsidP="00A32215">
      <w:pPr>
        <w:pStyle w:val="RKnormal"/>
        <w:tabs>
          <w:tab w:val="clear" w:pos="1843"/>
          <w:tab w:val="left" w:pos="142"/>
        </w:tabs>
        <w:ind w:left="0"/>
      </w:pPr>
      <w:r>
        <w:t>Rådet föreslås anta den politiska överenskommelsen om att bekräfta den informella överenskommelsen om förordningstexten mellan rådet och Europaparlamentet.</w:t>
      </w:r>
    </w:p>
    <w:p w:rsidR="006B443A" w:rsidRDefault="006B443A" w:rsidP="00A32215">
      <w:pPr>
        <w:pStyle w:val="RKnormal"/>
        <w:tabs>
          <w:tab w:val="clear" w:pos="1843"/>
          <w:tab w:val="left" w:pos="142"/>
        </w:tabs>
        <w:ind w:left="0"/>
      </w:pPr>
    </w:p>
    <w:p w:rsidR="006B443A" w:rsidRDefault="006B443A" w:rsidP="00A32215">
      <w:pPr>
        <w:pStyle w:val="RKnormal"/>
        <w:tabs>
          <w:tab w:val="clear" w:pos="1843"/>
          <w:tab w:val="left" w:pos="142"/>
        </w:tabs>
        <w:ind w:left="0"/>
      </w:pPr>
      <w:r>
        <w:t xml:space="preserve">Hur regeringen ställer sig till den blivande A-punkten: </w:t>
      </w:r>
    </w:p>
    <w:p w:rsidR="006B443A" w:rsidRDefault="006B443A" w:rsidP="00A32215">
      <w:pPr>
        <w:pStyle w:val="RKnormal"/>
        <w:tabs>
          <w:tab w:val="clear" w:pos="1843"/>
          <w:tab w:val="left" w:pos="142"/>
        </w:tabs>
        <w:ind w:left="0"/>
      </w:pPr>
      <w:r>
        <w:t>Regeringen avser rösta ja till den politiska överenskommelsen om att bekräfta den informella överenskommelsen om förordningstexten mellan rådet och Europaparlamentet.</w:t>
      </w:r>
    </w:p>
    <w:p w:rsidR="006B443A" w:rsidRDefault="006B443A" w:rsidP="00A32215">
      <w:pPr>
        <w:pStyle w:val="RKnormal"/>
        <w:tabs>
          <w:tab w:val="clear" w:pos="1843"/>
          <w:tab w:val="left" w:pos="142"/>
        </w:tabs>
        <w:ind w:left="0"/>
      </w:pPr>
    </w:p>
    <w:p w:rsidR="006B443A" w:rsidRDefault="006B443A" w:rsidP="00A32215">
      <w:pPr>
        <w:pStyle w:val="RKnormal"/>
        <w:tabs>
          <w:tab w:val="clear" w:pos="1843"/>
          <w:tab w:val="left" w:pos="142"/>
        </w:tabs>
        <w:ind w:left="0"/>
      </w:pPr>
      <w:r>
        <w:t xml:space="preserve">Bakgrund: </w:t>
      </w:r>
    </w:p>
    <w:p w:rsidR="006B443A" w:rsidRDefault="006B443A" w:rsidP="00A32215">
      <w:pPr>
        <w:pStyle w:val="RKnormal"/>
        <w:tabs>
          <w:tab w:val="clear" w:pos="1843"/>
          <w:tab w:val="left" w:pos="142"/>
        </w:tabs>
        <w:ind w:left="0"/>
      </w:pPr>
      <w:r>
        <w:t>Kommissionens förslag till omarbetad Dublinförordning från december 2008 utgör en av de rättsakter som syftar till inrättandet av ett gemensamt europeiskt asylsystem. Enligt kommissionen är syftet med förslaget att effektivisera tillämpningen av den nu gällande Dublinförordningen, samtidigt som rättssäkerheten för den asylsökande säkerställs. Viktiga inslag i den omarbetade förordningen är bl.a. en mekanism för övervakning och tidig varning. Mekanismen syftar främst till att på ett tidigt stadium upptäcka brister i medlemsstaternas asylsystem och vidta åtgärder. Förslaget innebär också stärkta rättigheter för den asylsökande, bl.a. vad gäller rätten till personlig intervju, rättsmedel och ifråga om förvarstagande.</w:t>
      </w:r>
    </w:p>
    <w:p w:rsidR="006B443A" w:rsidRDefault="006B443A" w:rsidP="00A32215">
      <w:pPr>
        <w:pStyle w:val="RKnormal"/>
      </w:pPr>
    </w:p>
    <w:p w:rsidR="006B443A" w:rsidRDefault="006B443A" w:rsidP="00E43170">
      <w:pPr>
        <w:pStyle w:val="RKnormal"/>
      </w:pPr>
    </w:p>
    <w:p w:rsidR="006B443A" w:rsidRPr="00E43170" w:rsidRDefault="006B443A" w:rsidP="00E43170">
      <w:pPr>
        <w:pStyle w:val="RKnormal"/>
      </w:pPr>
    </w:p>
    <w:p w:rsidR="006B443A" w:rsidRDefault="006B443A" w:rsidP="002267C5"/>
    <w:sectPr w:rsidR="006B443A" w:rsidSect="00E14D8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43A" w:rsidRDefault="006B443A">
      <w:r>
        <w:separator/>
      </w:r>
    </w:p>
  </w:endnote>
  <w:endnote w:type="continuationSeparator" w:id="0">
    <w:p w:rsidR="006B443A" w:rsidRDefault="006B44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43A" w:rsidRDefault="006B443A">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6B443A" w:rsidRDefault="006B44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43A" w:rsidRDefault="006B443A">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6B443A" w:rsidRDefault="006B443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43A" w:rsidRDefault="006B44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43A" w:rsidRDefault="006B443A">
      <w:r>
        <w:separator/>
      </w:r>
    </w:p>
  </w:footnote>
  <w:footnote w:type="continuationSeparator" w:id="0">
    <w:p w:rsidR="006B443A" w:rsidRDefault="006B4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43A" w:rsidRDefault="006B443A">
    <w:pPr>
      <w:pStyle w:val="Header"/>
      <w:framePr w:wrap="around" w:vAnchor="text" w:hAnchor="margin" w:xAlign="right" w:y="1"/>
      <w:rPr>
        <w:rStyle w:val="PageNumber"/>
      </w:rPr>
    </w:pPr>
  </w:p>
  <w:p w:rsidR="006B443A" w:rsidRDefault="006B443A">
    <w:pPr>
      <w:pStyle w:val="Header"/>
      <w:ind w:right="360"/>
    </w:pPr>
  </w:p>
  <w:p w:rsidR="006B443A" w:rsidRDefault="006B443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43A" w:rsidRDefault="006B443A">
    <w:pPr>
      <w:framePr w:w="2948" w:h="1321" w:hRule="exact" w:wrap="notBeside" w:vAnchor="page" w:hAnchor="page" w:x="1362" w:y="653"/>
    </w:pPr>
    <w:r w:rsidRPr="00AA790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6B443A" w:rsidRDefault="006B443A">
    <w:pPr>
      <w:pStyle w:val="Header"/>
    </w:pPr>
  </w:p>
  <w:p w:rsidR="006B443A" w:rsidRDefault="006B443A">
    <w:pPr>
      <w:pStyle w:val="Header"/>
      <w:ind w:right="360"/>
    </w:pPr>
  </w:p>
  <w:p w:rsidR="006B443A" w:rsidRDefault="006B443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43A" w:rsidRDefault="006B443A">
    <w:pPr>
      <w:framePr w:w="2948" w:h="1321" w:hRule="exact" w:wrap="notBeside" w:vAnchor="page" w:hAnchor="page" w:x="1362" w:y="653"/>
    </w:pPr>
    <w:r w:rsidRPr="00AA790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6B443A" w:rsidRDefault="006B44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CBC3FC2"/>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0D634CEC"/>
    <w:multiLevelType w:val="hybridMultilevel"/>
    <w:tmpl w:val="2C9CDBEE"/>
    <w:lvl w:ilvl="0" w:tplc="4E40813A">
      <w:numFmt w:val="bullet"/>
      <w:lvlText w:val="–"/>
      <w:lvlJc w:val="left"/>
      <w:pPr>
        <w:ind w:left="420" w:hanging="360"/>
      </w:pPr>
      <w:rPr>
        <w:rFonts w:ascii="Times New Roman" w:eastAsia="Times New Roman" w:hAnsi="Times New Roman"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FEC0D8E"/>
    <w:multiLevelType w:val="hybridMultilevel"/>
    <w:tmpl w:val="7D0A63B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5">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6">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7">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8">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9">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10">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1">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2">
    <w:nsid w:val="57B62AA0"/>
    <w:multiLevelType w:val="hybridMultilevel"/>
    <w:tmpl w:val="BEEA924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nsid w:val="652D35E1"/>
    <w:multiLevelType w:val="hybridMultilevel"/>
    <w:tmpl w:val="433E25D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4">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5">
    <w:nsid w:val="72736C8C"/>
    <w:multiLevelType w:val="hybridMultilevel"/>
    <w:tmpl w:val="EB022F1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6"/>
  </w:num>
  <w:num w:numId="4">
    <w:abstractNumId w:val="11"/>
  </w:num>
  <w:num w:numId="5">
    <w:abstractNumId w:val="7"/>
  </w:num>
  <w:num w:numId="6">
    <w:abstractNumId w:val="14"/>
  </w:num>
  <w:num w:numId="7">
    <w:abstractNumId w:val="1"/>
  </w:num>
  <w:num w:numId="8">
    <w:abstractNumId w:val="4"/>
  </w:num>
  <w:num w:numId="9">
    <w:abstractNumId w:val="9"/>
  </w:num>
  <w:num w:numId="10">
    <w:abstractNumId w:val="5"/>
  </w:num>
  <w:num w:numId="11">
    <w:abstractNumId w:val="6"/>
  </w:num>
  <w:num w:numId="12">
    <w:abstractNumId w:val="8"/>
  </w:num>
  <w:num w:numId="13">
    <w:abstractNumId w:val="10"/>
  </w:num>
  <w:num w:numId="14">
    <w:abstractNumId w:val="2"/>
  </w:num>
  <w:num w:numId="15">
    <w:abstractNumId w:val="13"/>
  </w:num>
  <w:num w:numId="16">
    <w:abstractNumId w:val="3"/>
  </w:num>
  <w:num w:numId="17">
    <w:abstractNumId w:val="12"/>
  </w:num>
  <w:num w:numId="18">
    <w:abstractNumId w:val="1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81D90"/>
    <w:rsid w:val="00047134"/>
    <w:rsid w:val="00084813"/>
    <w:rsid w:val="00093807"/>
    <w:rsid w:val="000A4FAF"/>
    <w:rsid w:val="00181D90"/>
    <w:rsid w:val="00226440"/>
    <w:rsid w:val="002267C5"/>
    <w:rsid w:val="00230E0F"/>
    <w:rsid w:val="002E4DFA"/>
    <w:rsid w:val="003E1A64"/>
    <w:rsid w:val="003E72B4"/>
    <w:rsid w:val="003F6705"/>
    <w:rsid w:val="0040126E"/>
    <w:rsid w:val="0048744B"/>
    <w:rsid w:val="004B37FC"/>
    <w:rsid w:val="0054370F"/>
    <w:rsid w:val="005A23F9"/>
    <w:rsid w:val="005C212F"/>
    <w:rsid w:val="005F1820"/>
    <w:rsid w:val="00606937"/>
    <w:rsid w:val="006B443A"/>
    <w:rsid w:val="00842D92"/>
    <w:rsid w:val="00847B54"/>
    <w:rsid w:val="00867611"/>
    <w:rsid w:val="0088380E"/>
    <w:rsid w:val="008A55DA"/>
    <w:rsid w:val="008D0107"/>
    <w:rsid w:val="009026AB"/>
    <w:rsid w:val="00932991"/>
    <w:rsid w:val="00936272"/>
    <w:rsid w:val="00974384"/>
    <w:rsid w:val="00A32215"/>
    <w:rsid w:val="00A72123"/>
    <w:rsid w:val="00AA790C"/>
    <w:rsid w:val="00AD3B5A"/>
    <w:rsid w:val="00AF0928"/>
    <w:rsid w:val="00B01645"/>
    <w:rsid w:val="00B501D0"/>
    <w:rsid w:val="00B6707B"/>
    <w:rsid w:val="00B951E6"/>
    <w:rsid w:val="00BA6B91"/>
    <w:rsid w:val="00C05070"/>
    <w:rsid w:val="00C06332"/>
    <w:rsid w:val="00C6251F"/>
    <w:rsid w:val="00CE32BA"/>
    <w:rsid w:val="00DE56AA"/>
    <w:rsid w:val="00E14D8B"/>
    <w:rsid w:val="00E15599"/>
    <w:rsid w:val="00E43170"/>
    <w:rsid w:val="00E65F93"/>
    <w:rsid w:val="00EB2D84"/>
    <w:rsid w:val="00EC3C7C"/>
    <w:rsid w:val="00EC48CA"/>
    <w:rsid w:val="00ED5DCC"/>
    <w:rsid w:val="00EE7152"/>
    <w:rsid w:val="00F056A7"/>
    <w:rsid w:val="00F26EF5"/>
    <w:rsid w:val="00F50A01"/>
    <w:rsid w:val="00F541CF"/>
    <w:rsid w:val="00FA76C8"/>
    <w:rsid w:val="00FD2EA4"/>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D8B"/>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E14D8B"/>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E14D8B"/>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E14D8B"/>
    <w:pPr>
      <w:spacing w:after="120" w:line="240" w:lineRule="atLeast"/>
      <w:outlineLvl w:val="2"/>
    </w:pPr>
    <w:rPr>
      <w:b w:val="0"/>
    </w:rPr>
  </w:style>
  <w:style w:type="paragraph" w:styleId="Heading4">
    <w:name w:val="heading 4"/>
    <w:basedOn w:val="Heading3"/>
    <w:next w:val="RKnormal"/>
    <w:link w:val="Heading4Char"/>
    <w:uiPriority w:val="99"/>
    <w:qFormat/>
    <w:rsid w:val="00E14D8B"/>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E14D8B"/>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67C5"/>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C55B6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55B6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55B6E"/>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C55B6E"/>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E14D8B"/>
    <w:pPr>
      <w:tabs>
        <w:tab w:val="left" w:pos="1843"/>
        <w:tab w:val="left" w:pos="2835"/>
      </w:tabs>
      <w:spacing w:line="240" w:lineRule="atLeast"/>
      <w:ind w:left="1843"/>
    </w:pPr>
  </w:style>
  <w:style w:type="paragraph" w:customStyle="1" w:styleId="Avsndare">
    <w:name w:val="Avsändare"/>
    <w:basedOn w:val="Normal"/>
    <w:uiPriority w:val="99"/>
    <w:rsid w:val="00E14D8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14D8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55B6E"/>
    <w:rPr>
      <w:rFonts w:ascii="OrigGarmnd BT" w:hAnsi="OrigGarmnd BT"/>
      <w:sz w:val="24"/>
      <w:szCs w:val="20"/>
      <w:lang w:eastAsia="en-US"/>
    </w:rPr>
  </w:style>
  <w:style w:type="paragraph" w:styleId="Header">
    <w:name w:val="header"/>
    <w:basedOn w:val="Normal"/>
    <w:link w:val="HeaderChar"/>
    <w:uiPriority w:val="99"/>
    <w:rsid w:val="00E14D8B"/>
    <w:pPr>
      <w:tabs>
        <w:tab w:val="center" w:pos="4153"/>
        <w:tab w:val="right" w:pos="8306"/>
      </w:tabs>
    </w:pPr>
  </w:style>
  <w:style w:type="character" w:customStyle="1" w:styleId="HeaderChar">
    <w:name w:val="Header Char"/>
    <w:basedOn w:val="DefaultParagraphFont"/>
    <w:link w:val="Header"/>
    <w:uiPriority w:val="99"/>
    <w:semiHidden/>
    <w:rsid w:val="00C55B6E"/>
    <w:rPr>
      <w:rFonts w:ascii="OrigGarmnd BT" w:hAnsi="OrigGarmnd BT"/>
      <w:sz w:val="24"/>
      <w:szCs w:val="20"/>
      <w:lang w:eastAsia="en-US"/>
    </w:rPr>
  </w:style>
  <w:style w:type="paragraph" w:customStyle="1" w:styleId="RKrubrik">
    <w:name w:val="RKrubrik"/>
    <w:basedOn w:val="RKnormal"/>
    <w:next w:val="RKnormal"/>
    <w:uiPriority w:val="99"/>
    <w:rsid w:val="00E14D8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14D8B"/>
    <w:rPr>
      <w:rFonts w:cs="Times New Roman"/>
    </w:rPr>
  </w:style>
  <w:style w:type="paragraph" w:styleId="BodyText">
    <w:name w:val="Body Text"/>
    <w:basedOn w:val="Normal"/>
    <w:link w:val="BodyTextChar"/>
    <w:uiPriority w:val="99"/>
    <w:rsid w:val="00E14D8B"/>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C55B6E"/>
    <w:rPr>
      <w:rFonts w:ascii="OrigGarmnd BT" w:hAnsi="OrigGarmnd BT"/>
      <w:sz w:val="24"/>
      <w:szCs w:val="20"/>
      <w:lang w:eastAsia="en-US"/>
    </w:rPr>
  </w:style>
  <w:style w:type="paragraph" w:styleId="FootnoteText">
    <w:name w:val="footnote text"/>
    <w:basedOn w:val="Normal"/>
    <w:link w:val="FootnoteTextChar"/>
    <w:uiPriority w:val="99"/>
    <w:semiHidden/>
    <w:rsid w:val="00E14D8B"/>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C55B6E"/>
    <w:rPr>
      <w:rFonts w:ascii="OrigGarmnd BT" w:hAnsi="OrigGarmnd BT"/>
      <w:sz w:val="20"/>
      <w:szCs w:val="20"/>
      <w:lang w:eastAsia="en-US"/>
    </w:rPr>
  </w:style>
  <w:style w:type="paragraph" w:customStyle="1" w:styleId="UDrubrik">
    <w:name w:val="UDrubrik"/>
    <w:basedOn w:val="Normal"/>
    <w:next w:val="BodyText"/>
    <w:uiPriority w:val="99"/>
    <w:rsid w:val="00E14D8B"/>
    <w:pPr>
      <w:spacing w:line="320" w:lineRule="exact"/>
    </w:pPr>
    <w:rPr>
      <w:rFonts w:ascii="Arial" w:hAnsi="Arial"/>
      <w:b/>
      <w:sz w:val="22"/>
    </w:rPr>
  </w:style>
  <w:style w:type="paragraph" w:styleId="TOC1">
    <w:name w:val="toc 1"/>
    <w:basedOn w:val="Normal"/>
    <w:next w:val="Normal"/>
    <w:autoRedefine/>
    <w:uiPriority w:val="99"/>
    <w:rsid w:val="00E14D8B"/>
    <w:pPr>
      <w:spacing w:before="360"/>
    </w:pPr>
    <w:rPr>
      <w:rFonts w:ascii="Arial" w:hAnsi="Arial"/>
      <w:b/>
      <w:bCs/>
      <w:caps/>
      <w:szCs w:val="28"/>
    </w:rPr>
  </w:style>
  <w:style w:type="paragraph" w:styleId="TOC2">
    <w:name w:val="toc 2"/>
    <w:basedOn w:val="Normal"/>
    <w:next w:val="Normal"/>
    <w:autoRedefine/>
    <w:uiPriority w:val="99"/>
    <w:rsid w:val="00E14D8B"/>
    <w:pPr>
      <w:spacing w:before="240"/>
    </w:pPr>
    <w:rPr>
      <w:rFonts w:ascii="Times New Roman" w:hAnsi="Times New Roman"/>
      <w:b/>
      <w:bCs/>
      <w:szCs w:val="24"/>
    </w:rPr>
  </w:style>
  <w:style w:type="paragraph" w:styleId="TOC3">
    <w:name w:val="toc 3"/>
    <w:basedOn w:val="Normal"/>
    <w:next w:val="Normal"/>
    <w:autoRedefine/>
    <w:uiPriority w:val="99"/>
    <w:semiHidden/>
    <w:rsid w:val="00E14D8B"/>
    <w:pPr>
      <w:ind w:left="240"/>
    </w:pPr>
    <w:rPr>
      <w:rFonts w:ascii="Times New Roman" w:hAnsi="Times New Roman"/>
      <w:szCs w:val="24"/>
    </w:rPr>
  </w:style>
  <w:style w:type="paragraph" w:styleId="TOC4">
    <w:name w:val="toc 4"/>
    <w:basedOn w:val="Normal"/>
    <w:next w:val="Normal"/>
    <w:autoRedefine/>
    <w:uiPriority w:val="99"/>
    <w:semiHidden/>
    <w:rsid w:val="00E14D8B"/>
    <w:pPr>
      <w:ind w:left="480"/>
    </w:pPr>
    <w:rPr>
      <w:rFonts w:ascii="Times New Roman" w:hAnsi="Times New Roman"/>
      <w:szCs w:val="24"/>
    </w:rPr>
  </w:style>
  <w:style w:type="paragraph" w:styleId="TOC5">
    <w:name w:val="toc 5"/>
    <w:basedOn w:val="Normal"/>
    <w:next w:val="Normal"/>
    <w:autoRedefine/>
    <w:uiPriority w:val="99"/>
    <w:semiHidden/>
    <w:rsid w:val="00E14D8B"/>
    <w:pPr>
      <w:ind w:left="720"/>
    </w:pPr>
    <w:rPr>
      <w:rFonts w:ascii="Times New Roman" w:hAnsi="Times New Roman"/>
      <w:szCs w:val="24"/>
    </w:rPr>
  </w:style>
  <w:style w:type="paragraph" w:styleId="TOC6">
    <w:name w:val="toc 6"/>
    <w:basedOn w:val="Normal"/>
    <w:next w:val="Normal"/>
    <w:autoRedefine/>
    <w:uiPriority w:val="99"/>
    <w:semiHidden/>
    <w:rsid w:val="00E14D8B"/>
    <w:pPr>
      <w:ind w:left="960"/>
    </w:pPr>
    <w:rPr>
      <w:rFonts w:ascii="Times New Roman" w:hAnsi="Times New Roman"/>
      <w:szCs w:val="24"/>
    </w:rPr>
  </w:style>
  <w:style w:type="paragraph" w:styleId="TOC7">
    <w:name w:val="toc 7"/>
    <w:basedOn w:val="Normal"/>
    <w:next w:val="Normal"/>
    <w:autoRedefine/>
    <w:uiPriority w:val="99"/>
    <w:semiHidden/>
    <w:rsid w:val="00E14D8B"/>
    <w:pPr>
      <w:ind w:left="1200"/>
    </w:pPr>
    <w:rPr>
      <w:rFonts w:ascii="Times New Roman" w:hAnsi="Times New Roman"/>
      <w:szCs w:val="24"/>
    </w:rPr>
  </w:style>
  <w:style w:type="paragraph" w:styleId="TOC8">
    <w:name w:val="toc 8"/>
    <w:basedOn w:val="Normal"/>
    <w:next w:val="Normal"/>
    <w:autoRedefine/>
    <w:uiPriority w:val="99"/>
    <w:semiHidden/>
    <w:rsid w:val="00E14D8B"/>
    <w:pPr>
      <w:ind w:left="1440"/>
    </w:pPr>
    <w:rPr>
      <w:rFonts w:ascii="Times New Roman" w:hAnsi="Times New Roman"/>
      <w:szCs w:val="24"/>
    </w:rPr>
  </w:style>
  <w:style w:type="paragraph" w:styleId="TOC9">
    <w:name w:val="toc 9"/>
    <w:basedOn w:val="Normal"/>
    <w:next w:val="Normal"/>
    <w:autoRedefine/>
    <w:uiPriority w:val="99"/>
    <w:semiHidden/>
    <w:rsid w:val="00E14D8B"/>
    <w:pPr>
      <w:ind w:left="1680"/>
    </w:pPr>
    <w:rPr>
      <w:rFonts w:ascii="Times New Roman" w:hAnsi="Times New Roman"/>
      <w:szCs w:val="24"/>
    </w:rPr>
  </w:style>
  <w:style w:type="paragraph" w:customStyle="1" w:styleId="Text1">
    <w:name w:val="Text 1"/>
    <w:basedOn w:val="Normal"/>
    <w:uiPriority w:val="99"/>
    <w:rsid w:val="00E14D8B"/>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E14D8B"/>
    <w:rPr>
      <w:rFonts w:cs="Times New Roman"/>
      <w:vertAlign w:val="superscript"/>
    </w:rPr>
  </w:style>
  <w:style w:type="paragraph" w:styleId="Index1">
    <w:name w:val="index 1"/>
    <w:basedOn w:val="Normal"/>
    <w:next w:val="Normal"/>
    <w:autoRedefine/>
    <w:uiPriority w:val="99"/>
    <w:semiHidden/>
    <w:rsid w:val="00E14D8B"/>
    <w:pPr>
      <w:ind w:left="240" w:hanging="240"/>
    </w:pPr>
    <w:rPr>
      <w:rFonts w:ascii="Times New Roman" w:hAnsi="Times New Roman"/>
      <w:szCs w:val="24"/>
    </w:rPr>
  </w:style>
  <w:style w:type="paragraph" w:styleId="Index2">
    <w:name w:val="index 2"/>
    <w:basedOn w:val="Normal"/>
    <w:next w:val="Normal"/>
    <w:autoRedefine/>
    <w:uiPriority w:val="99"/>
    <w:semiHidden/>
    <w:rsid w:val="00E14D8B"/>
    <w:pPr>
      <w:ind w:left="480" w:hanging="240"/>
    </w:pPr>
    <w:rPr>
      <w:rFonts w:ascii="Times New Roman" w:hAnsi="Times New Roman"/>
      <w:szCs w:val="24"/>
    </w:rPr>
  </w:style>
  <w:style w:type="paragraph" w:styleId="Index3">
    <w:name w:val="index 3"/>
    <w:basedOn w:val="Normal"/>
    <w:next w:val="Normal"/>
    <w:autoRedefine/>
    <w:uiPriority w:val="99"/>
    <w:semiHidden/>
    <w:rsid w:val="00E14D8B"/>
    <w:pPr>
      <w:ind w:left="720" w:hanging="240"/>
    </w:pPr>
    <w:rPr>
      <w:rFonts w:ascii="Times New Roman" w:hAnsi="Times New Roman"/>
      <w:szCs w:val="24"/>
    </w:rPr>
  </w:style>
  <w:style w:type="paragraph" w:styleId="Index4">
    <w:name w:val="index 4"/>
    <w:basedOn w:val="Normal"/>
    <w:next w:val="Normal"/>
    <w:autoRedefine/>
    <w:uiPriority w:val="99"/>
    <w:semiHidden/>
    <w:rsid w:val="00E14D8B"/>
    <w:pPr>
      <w:ind w:left="960" w:hanging="240"/>
    </w:pPr>
    <w:rPr>
      <w:rFonts w:ascii="Times New Roman" w:hAnsi="Times New Roman"/>
      <w:szCs w:val="24"/>
    </w:rPr>
  </w:style>
  <w:style w:type="paragraph" w:styleId="Index5">
    <w:name w:val="index 5"/>
    <w:basedOn w:val="Normal"/>
    <w:next w:val="Normal"/>
    <w:autoRedefine/>
    <w:uiPriority w:val="99"/>
    <w:semiHidden/>
    <w:rsid w:val="00E14D8B"/>
    <w:pPr>
      <w:ind w:left="1200" w:hanging="240"/>
    </w:pPr>
    <w:rPr>
      <w:rFonts w:ascii="Times New Roman" w:hAnsi="Times New Roman"/>
      <w:szCs w:val="24"/>
    </w:rPr>
  </w:style>
  <w:style w:type="paragraph" w:styleId="Index6">
    <w:name w:val="index 6"/>
    <w:basedOn w:val="Normal"/>
    <w:next w:val="Normal"/>
    <w:autoRedefine/>
    <w:uiPriority w:val="99"/>
    <w:semiHidden/>
    <w:rsid w:val="00E14D8B"/>
    <w:pPr>
      <w:ind w:left="1440" w:hanging="240"/>
    </w:pPr>
    <w:rPr>
      <w:rFonts w:ascii="Times New Roman" w:hAnsi="Times New Roman"/>
      <w:szCs w:val="24"/>
    </w:rPr>
  </w:style>
  <w:style w:type="paragraph" w:styleId="Index7">
    <w:name w:val="index 7"/>
    <w:basedOn w:val="Normal"/>
    <w:next w:val="Normal"/>
    <w:autoRedefine/>
    <w:uiPriority w:val="99"/>
    <w:semiHidden/>
    <w:rsid w:val="00E14D8B"/>
    <w:pPr>
      <w:ind w:left="1680" w:hanging="240"/>
    </w:pPr>
    <w:rPr>
      <w:rFonts w:ascii="Times New Roman" w:hAnsi="Times New Roman"/>
      <w:szCs w:val="24"/>
    </w:rPr>
  </w:style>
  <w:style w:type="paragraph" w:styleId="Index8">
    <w:name w:val="index 8"/>
    <w:basedOn w:val="Normal"/>
    <w:next w:val="Normal"/>
    <w:autoRedefine/>
    <w:uiPriority w:val="99"/>
    <w:semiHidden/>
    <w:rsid w:val="00E14D8B"/>
    <w:pPr>
      <w:ind w:left="1920" w:hanging="240"/>
    </w:pPr>
    <w:rPr>
      <w:rFonts w:ascii="Times New Roman" w:hAnsi="Times New Roman"/>
      <w:szCs w:val="24"/>
    </w:rPr>
  </w:style>
  <w:style w:type="paragraph" w:styleId="Index9">
    <w:name w:val="index 9"/>
    <w:basedOn w:val="Normal"/>
    <w:next w:val="Normal"/>
    <w:autoRedefine/>
    <w:uiPriority w:val="99"/>
    <w:semiHidden/>
    <w:rsid w:val="00E14D8B"/>
    <w:pPr>
      <w:ind w:left="2160" w:hanging="240"/>
    </w:pPr>
    <w:rPr>
      <w:rFonts w:ascii="Times New Roman" w:hAnsi="Times New Roman"/>
      <w:szCs w:val="24"/>
    </w:rPr>
  </w:style>
  <w:style w:type="paragraph" w:styleId="IndexHeading">
    <w:name w:val="index heading"/>
    <w:basedOn w:val="Normal"/>
    <w:next w:val="Index1"/>
    <w:uiPriority w:val="99"/>
    <w:semiHidden/>
    <w:rsid w:val="00E14D8B"/>
    <w:pPr>
      <w:spacing w:before="120" w:after="120"/>
    </w:pPr>
    <w:rPr>
      <w:rFonts w:ascii="Times New Roman" w:hAnsi="Times New Roman"/>
      <w:b/>
      <w:bCs/>
      <w:i/>
      <w:iCs/>
      <w:szCs w:val="24"/>
    </w:rPr>
  </w:style>
  <w:style w:type="paragraph" w:customStyle="1" w:styleId="EntEmet">
    <w:name w:val="EntEmet"/>
    <w:basedOn w:val="Normal"/>
    <w:uiPriority w:val="99"/>
    <w:rsid w:val="00E14D8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E14D8B"/>
    <w:pPr>
      <w:spacing w:line="240" w:lineRule="auto"/>
    </w:pPr>
    <w:rPr>
      <w:rFonts w:ascii="Arial" w:hAnsi="Arial"/>
      <w:lang w:val="en-GB"/>
    </w:rPr>
  </w:style>
  <w:style w:type="paragraph" w:customStyle="1" w:styleId="Avsndare0">
    <w:name w:val="Avsndare"/>
    <w:basedOn w:val="Normal"/>
    <w:next w:val="Normal"/>
    <w:uiPriority w:val="99"/>
    <w:rsid w:val="00E14D8B"/>
    <w:pPr>
      <w:spacing w:line="240" w:lineRule="auto"/>
    </w:pPr>
    <w:rPr>
      <w:rFonts w:ascii="Arial" w:hAnsi="Arial"/>
      <w:i/>
      <w:lang w:val="en-GB"/>
    </w:rPr>
  </w:style>
  <w:style w:type="character" w:styleId="Hyperlink">
    <w:name w:val="Hyperlink"/>
    <w:basedOn w:val="DefaultParagraphFont"/>
    <w:uiPriority w:val="99"/>
    <w:rsid w:val="00E14D8B"/>
    <w:rPr>
      <w:rFonts w:cs="Times New Roman"/>
      <w:color w:val="0000FF"/>
      <w:u w:val="single"/>
    </w:rPr>
  </w:style>
  <w:style w:type="paragraph" w:styleId="DocumentMap">
    <w:name w:val="Document Map"/>
    <w:basedOn w:val="Normal"/>
    <w:link w:val="DocumentMapChar"/>
    <w:uiPriority w:val="99"/>
    <w:semiHidden/>
    <w:rsid w:val="00E14D8B"/>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55B6E"/>
    <w:rPr>
      <w:sz w:val="0"/>
      <w:szCs w:val="0"/>
      <w:lang w:eastAsia="en-US"/>
    </w:rPr>
  </w:style>
  <w:style w:type="character" w:styleId="FollowedHyperlink">
    <w:name w:val="FollowedHyperlink"/>
    <w:basedOn w:val="DefaultParagraphFont"/>
    <w:uiPriority w:val="99"/>
    <w:rsid w:val="00E14D8B"/>
    <w:rPr>
      <w:rFonts w:cs="Times New Roman"/>
      <w:color w:val="800080"/>
      <w:u w:val="single"/>
    </w:rPr>
  </w:style>
  <w:style w:type="paragraph" w:customStyle="1" w:styleId="Par-number10">
    <w:name w:val="Par-number 1)"/>
    <w:basedOn w:val="Normal"/>
    <w:next w:val="Normal"/>
    <w:uiPriority w:val="99"/>
    <w:rsid w:val="00E14D8B"/>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E14D8B"/>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E14D8B"/>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E14D8B"/>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E14D8B"/>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E14D8B"/>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E14D8B"/>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E14D8B"/>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E14D8B"/>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E14D8B"/>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E14D8B"/>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E14D8B"/>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C55B6E"/>
    <w:rPr>
      <w:rFonts w:ascii="OrigGarmnd BT" w:hAnsi="OrigGarmnd BT"/>
      <w:sz w:val="20"/>
      <w:szCs w:val="20"/>
      <w:lang w:eastAsia="en-US"/>
    </w:rPr>
  </w:style>
  <w:style w:type="paragraph" w:customStyle="1" w:styleId="EntRefer">
    <w:name w:val="EntRefer"/>
    <w:basedOn w:val="Normal"/>
    <w:link w:val="EntReferChar"/>
    <w:uiPriority w:val="99"/>
    <w:rsid w:val="00E14D8B"/>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E14D8B"/>
    <w:pPr>
      <w:spacing w:line="240" w:lineRule="auto"/>
    </w:pPr>
    <w:rPr>
      <w:rFonts w:ascii="Times New Roman" w:hAnsi="Times New Roman"/>
      <w:lang w:val="en-GB" w:eastAsia="fr-BE"/>
    </w:rPr>
  </w:style>
  <w:style w:type="paragraph" w:customStyle="1" w:styleId="Tiret1">
    <w:name w:val="Tiret 1"/>
    <w:basedOn w:val="Normal"/>
    <w:uiPriority w:val="99"/>
    <w:rsid w:val="00E14D8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E14D8B"/>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E14D8B"/>
    <w:pPr>
      <w:overflowPunct w:val="0"/>
      <w:autoSpaceDE w:val="0"/>
      <w:autoSpaceDN w:val="0"/>
      <w:adjustRightInd w:val="0"/>
      <w:ind w:left="1843"/>
      <w:textAlignment w:val="baseline"/>
    </w:pPr>
  </w:style>
  <w:style w:type="paragraph" w:customStyle="1" w:styleId="Brdtext0">
    <w:name w:val="Brˆdtext"/>
    <w:basedOn w:val="Normal"/>
    <w:uiPriority w:val="99"/>
    <w:rsid w:val="00E14D8B"/>
    <w:pPr>
      <w:spacing w:line="320" w:lineRule="exact"/>
    </w:pPr>
    <w:rPr>
      <w:rFonts w:ascii="Times New Roman" w:hAnsi="Times New Roman"/>
    </w:rPr>
  </w:style>
  <w:style w:type="character" w:customStyle="1" w:styleId="term">
    <w:name w:val="term"/>
    <w:basedOn w:val="DefaultParagraphFont"/>
    <w:uiPriority w:val="99"/>
    <w:rsid w:val="00E14D8B"/>
    <w:rPr>
      <w:rFonts w:cs="Times New Roman"/>
    </w:rPr>
  </w:style>
  <w:style w:type="paragraph" w:customStyle="1" w:styleId="Brdtexthuvud">
    <w:name w:val="Brödtext huvud"/>
    <w:basedOn w:val="Normal"/>
    <w:uiPriority w:val="99"/>
    <w:rsid w:val="00E14D8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181D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81D90"/>
    <w:rPr>
      <w:rFonts w:ascii="Tahoma" w:hAnsi="Tahoma" w:cs="Tahoma"/>
      <w:sz w:val="16"/>
      <w:szCs w:val="16"/>
      <w:lang w:eastAsia="en-US"/>
    </w:rPr>
  </w:style>
  <w:style w:type="paragraph" w:customStyle="1" w:styleId="entemet0">
    <w:name w:val="entemet"/>
    <w:basedOn w:val="Normal"/>
    <w:uiPriority w:val="99"/>
    <w:rsid w:val="002267C5"/>
    <w:pPr>
      <w:spacing w:before="100" w:beforeAutospacing="1" w:after="100" w:afterAutospacing="1" w:line="240" w:lineRule="auto"/>
    </w:pPr>
    <w:rPr>
      <w:rFonts w:ascii="Times New Roman" w:hAnsi="Times New Roman"/>
      <w:szCs w:val="24"/>
      <w:lang w:val="en-GB" w:eastAsia="en-GB"/>
    </w:rPr>
  </w:style>
  <w:style w:type="character" w:customStyle="1" w:styleId="EntReferChar">
    <w:name w:val="EntRefer Char"/>
    <w:link w:val="EntRefer"/>
    <w:uiPriority w:val="99"/>
    <w:locked/>
    <w:rsid w:val="0088380E"/>
    <w:rPr>
      <w:b/>
      <w:sz w:val="24"/>
      <w:lang w:val="en-GB" w:eastAsia="fr-BE"/>
    </w:rPr>
  </w:style>
  <w:style w:type="paragraph" w:styleId="ListParagraph">
    <w:name w:val="List Paragraph"/>
    <w:basedOn w:val="Normal"/>
    <w:uiPriority w:val="99"/>
    <w:qFormat/>
    <w:rsid w:val="00A32215"/>
    <w:pPr>
      <w:ind w:left="720"/>
      <w:contextualSpacing/>
    </w:pPr>
  </w:style>
</w:styles>
</file>

<file path=word/webSettings.xml><?xml version="1.0" encoding="utf-8"?>
<w:webSettings xmlns:r="http://schemas.openxmlformats.org/officeDocument/2006/relationships" xmlns:w="http://schemas.openxmlformats.org/wordprocessingml/2006/main">
  <w:divs>
    <w:div w:id="1110971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659</Words>
  <Characters>4130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2012-11-27T08:48:00Z</cp:lastPrinted>
  <dcterms:created xsi:type="dcterms:W3CDTF">2012-11-27T09:03:00Z</dcterms:created>
  <dcterms:modified xsi:type="dcterms:W3CDTF">2012-11-27T09:03:00Z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87551787-38eb-4fee-b886-916c64d56895</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JE6N4JFJXNNF-9-52336</vt:lpwstr>
  </property>
  <property fmtid="{D5CDD505-2E9C-101B-9397-08002B2CF9AE}" pid="18" name="_dlc_DocIdUrl">
    <vt:lpwstr>http://rkdhs-sb/enhet/EUKansli/_layouts/DocIdRedir.aspx?ID=JE6N4JFJXNNF-9-52336, JE6N4JFJXNNF-9-52336</vt:lpwstr>
  </property>
</Properties>
</file>