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201</w:t>
            </w:r>
            <w:r w:rsidR="003F0380">
              <w:rPr>
                <w:b/>
              </w:rPr>
              <w:t>8</w:t>
            </w:r>
            <w:r w:rsidR="00C866DE">
              <w:rPr>
                <w:b/>
              </w:rPr>
              <w:t>/1</w:t>
            </w:r>
            <w:r w:rsidR="003F0380">
              <w:rPr>
                <w:b/>
              </w:rPr>
              <w:t>9</w:t>
            </w:r>
            <w:r w:rsidR="00520D71">
              <w:rPr>
                <w:b/>
              </w:rPr>
              <w:t>:</w:t>
            </w:r>
            <w:r w:rsidR="0047610A">
              <w:rPr>
                <w:b/>
              </w:rPr>
              <w:t>04</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47610A">
            <w:r>
              <w:t>201</w:t>
            </w:r>
            <w:r w:rsidR="00F816D5">
              <w:t>8</w:t>
            </w:r>
            <w:r w:rsidR="00520D71">
              <w:t>-</w:t>
            </w:r>
            <w:r w:rsidR="0047610A">
              <w:t>10</w:t>
            </w:r>
            <w:r w:rsidR="00520D71">
              <w:t>-</w:t>
            </w:r>
            <w:r w:rsidR="0047610A">
              <w:t>25</w:t>
            </w:r>
          </w:p>
        </w:tc>
      </w:tr>
      <w:tr w:rsidR="00447E69">
        <w:tc>
          <w:tcPr>
            <w:tcW w:w="1985" w:type="dxa"/>
          </w:tcPr>
          <w:p w:rsidR="00447E69" w:rsidRDefault="00447E69">
            <w:r>
              <w:t>TID</w:t>
            </w:r>
          </w:p>
        </w:tc>
        <w:tc>
          <w:tcPr>
            <w:tcW w:w="6463" w:type="dxa"/>
          </w:tcPr>
          <w:p w:rsidR="00447E69" w:rsidRDefault="0047610A" w:rsidP="00AD2979">
            <w:r>
              <w:t>10</w:t>
            </w:r>
            <w:r w:rsidR="00BF5F58">
              <w:t>:</w:t>
            </w:r>
            <w:r w:rsidR="00B2693D">
              <w:t>00</w:t>
            </w:r>
            <w:r w:rsidR="00FA543D">
              <w:t>–</w:t>
            </w:r>
            <w:r w:rsidR="00AD2979">
              <w:t>11:50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201</w:t>
            </w:r>
            <w:r w:rsidR="003F0380">
              <w:rPr>
                <w:snapToGrid w:val="0"/>
              </w:rPr>
              <w:t>8</w:t>
            </w:r>
            <w:r w:rsidR="00267FC1">
              <w:rPr>
                <w:snapToGrid w:val="0"/>
              </w:rPr>
              <w:t>/</w:t>
            </w:r>
            <w:r w:rsidR="00C866DE">
              <w:rPr>
                <w:snapToGrid w:val="0"/>
              </w:rPr>
              <w:t>1</w:t>
            </w:r>
            <w:r w:rsidR="003F0380">
              <w:rPr>
                <w:snapToGrid w:val="0"/>
              </w:rPr>
              <w:t>9</w:t>
            </w:r>
            <w:r w:rsidR="00A2367D">
              <w:rPr>
                <w:snapToGrid w:val="0"/>
              </w:rPr>
              <w:t>:</w:t>
            </w:r>
            <w:r w:rsidR="0047610A">
              <w:rPr>
                <w:snapToGrid w:val="0"/>
              </w:rPr>
              <w:t>03</w:t>
            </w:r>
            <w:r w:rsidR="00447E69">
              <w:rPr>
                <w:snapToGrid w:val="0"/>
              </w:rPr>
              <w:t>.</w:t>
            </w:r>
          </w:p>
          <w:p w:rsidR="00447E69" w:rsidRDefault="00447E69">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sidRPr="00CD461C">
              <w:rPr>
                <w:b/>
                <w:snapToGrid w:val="0"/>
              </w:rPr>
              <w:t>Inkomna EU-dokument</w:t>
            </w:r>
            <w:r w:rsidR="0047610A">
              <w:rPr>
                <w:b/>
                <w:snapToGrid w:val="0"/>
              </w:rPr>
              <w:t xml:space="preserve"> </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nkomna EU-dokument</w:t>
            </w:r>
            <w:r w:rsidR="0047610A">
              <w:rPr>
                <w:snapToGrid w:val="0"/>
              </w:rPr>
              <w:t xml:space="preserve"> </w:t>
            </w:r>
            <w:r w:rsidR="007765ED">
              <w:rPr>
                <w:snapToGrid w:val="0"/>
              </w:rPr>
              <w:t>anmäldes enligt</w:t>
            </w:r>
            <w:r w:rsidR="003B4DE8">
              <w:rPr>
                <w:snapToGrid w:val="0"/>
              </w:rPr>
              <w:t xml:space="preserve"> bilaga </w:t>
            </w:r>
            <w:r w:rsidR="0047610A">
              <w:rPr>
                <w:snapToGrid w:val="0"/>
              </w:rPr>
              <w:t>2</w:t>
            </w:r>
            <w:r w:rsidR="003B4DE8">
              <w:rPr>
                <w:snapToGrid w:val="0"/>
              </w:rPr>
              <w:t>.</w:t>
            </w:r>
          </w:p>
          <w:p w:rsidR="003B4DE8" w:rsidRDefault="003B4DE8"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47610A" w:rsidP="00BB7028">
            <w:pPr>
              <w:tabs>
                <w:tab w:val="left" w:pos="1701"/>
              </w:tabs>
              <w:rPr>
                <w:b/>
                <w:bCs/>
                <w:color w:val="000000"/>
                <w:szCs w:val="24"/>
              </w:rPr>
            </w:pPr>
            <w:r>
              <w:rPr>
                <w:b/>
                <w:bCs/>
                <w:color w:val="000000"/>
                <w:szCs w:val="24"/>
              </w:rPr>
              <w:t>Behandling av personuppgifter för forskningsändamål (UbU5)</w:t>
            </w:r>
          </w:p>
          <w:p w:rsidR="0047610A" w:rsidRDefault="0047610A" w:rsidP="00BB7028">
            <w:pPr>
              <w:tabs>
                <w:tab w:val="left" w:pos="1701"/>
              </w:tabs>
              <w:rPr>
                <w:b/>
                <w:bCs/>
                <w:color w:val="000000"/>
                <w:szCs w:val="24"/>
              </w:rPr>
            </w:pPr>
          </w:p>
          <w:p w:rsidR="0047610A" w:rsidRPr="0047610A" w:rsidRDefault="0047610A" w:rsidP="00BB7028">
            <w:pPr>
              <w:tabs>
                <w:tab w:val="left" w:pos="1701"/>
              </w:tabs>
              <w:rPr>
                <w:bCs/>
                <w:color w:val="000000"/>
                <w:szCs w:val="24"/>
              </w:rPr>
            </w:pPr>
            <w:r w:rsidRPr="0047610A">
              <w:rPr>
                <w:bCs/>
                <w:color w:val="000000"/>
                <w:szCs w:val="24"/>
              </w:rPr>
              <w:t>Utskottet behandlade proposition 2017/18:298 och motion.</w:t>
            </w:r>
          </w:p>
          <w:p w:rsidR="0047610A" w:rsidRPr="0047610A" w:rsidRDefault="0047610A" w:rsidP="00BB7028">
            <w:pPr>
              <w:tabs>
                <w:tab w:val="left" w:pos="1701"/>
              </w:tabs>
              <w:rPr>
                <w:bCs/>
                <w:color w:val="000000"/>
                <w:szCs w:val="24"/>
              </w:rPr>
            </w:pPr>
          </w:p>
          <w:p w:rsidR="0047610A" w:rsidRPr="0047610A" w:rsidRDefault="0047610A" w:rsidP="00BB7028">
            <w:pPr>
              <w:tabs>
                <w:tab w:val="left" w:pos="1701"/>
              </w:tabs>
              <w:rPr>
                <w:bCs/>
                <w:color w:val="000000"/>
                <w:szCs w:val="24"/>
              </w:rPr>
            </w:pPr>
            <w:r w:rsidRPr="0047610A">
              <w:rPr>
                <w:bCs/>
                <w:color w:val="000000"/>
                <w:szCs w:val="24"/>
              </w:rPr>
              <w:t>Ärendet bordlades.</w:t>
            </w:r>
          </w:p>
          <w:p w:rsidR="0047610A" w:rsidRDefault="0047610A" w:rsidP="00BB702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47610A" w:rsidP="003B4DE8">
            <w:pPr>
              <w:tabs>
                <w:tab w:val="left" w:pos="1701"/>
              </w:tabs>
              <w:rPr>
                <w:b/>
                <w:bCs/>
                <w:color w:val="000000"/>
                <w:szCs w:val="24"/>
              </w:rPr>
            </w:pPr>
            <w:r>
              <w:rPr>
                <w:b/>
                <w:bCs/>
                <w:color w:val="000000"/>
                <w:szCs w:val="24"/>
              </w:rPr>
              <w:t>Information om utskottets sakområden (del 3) och om utskottets EU-arbete</w:t>
            </w:r>
          </w:p>
          <w:p w:rsidR="0047610A" w:rsidRDefault="0047610A" w:rsidP="003B4DE8">
            <w:pPr>
              <w:tabs>
                <w:tab w:val="left" w:pos="1701"/>
              </w:tabs>
              <w:rPr>
                <w:b/>
                <w:bCs/>
                <w:color w:val="000000"/>
                <w:szCs w:val="24"/>
              </w:rPr>
            </w:pPr>
          </w:p>
          <w:p w:rsidR="0047610A" w:rsidRDefault="0047610A" w:rsidP="003B4DE8">
            <w:pPr>
              <w:tabs>
                <w:tab w:val="left" w:pos="1701"/>
              </w:tabs>
            </w:pPr>
            <w:r>
              <w:t>Utskottet fick fortsatt information om utbildningsutskottets sakområden och om utskottets EU-arbete.</w:t>
            </w:r>
          </w:p>
          <w:p w:rsidR="0047610A" w:rsidRPr="0047610A" w:rsidRDefault="0047610A" w:rsidP="003B4DE8">
            <w:pPr>
              <w:tabs>
                <w:tab w:val="left" w:pos="1701"/>
              </w:tabs>
              <w:rPr>
                <w:snapToGrid w:val="0"/>
              </w:rPr>
            </w:pPr>
          </w:p>
        </w:tc>
      </w:tr>
      <w:tr w:rsidR="00937120" w:rsidTr="0001177E">
        <w:tc>
          <w:tcPr>
            <w:tcW w:w="567" w:type="dxa"/>
          </w:tcPr>
          <w:p w:rsidR="00937120" w:rsidRPr="003B4DE8" w:rsidRDefault="00937120" w:rsidP="003B4DE8">
            <w:pPr>
              <w:pStyle w:val="Liststycke"/>
              <w:numPr>
                <w:ilvl w:val="0"/>
                <w:numId w:val="2"/>
              </w:numPr>
              <w:tabs>
                <w:tab w:val="left" w:pos="1701"/>
              </w:tabs>
              <w:rPr>
                <w:b/>
                <w:snapToGrid w:val="0"/>
              </w:rPr>
            </w:pPr>
          </w:p>
        </w:tc>
        <w:tc>
          <w:tcPr>
            <w:tcW w:w="6946" w:type="dxa"/>
            <w:gridSpan w:val="2"/>
          </w:tcPr>
          <w:p w:rsidR="00937120" w:rsidRDefault="00937120" w:rsidP="00937120">
            <w:pPr>
              <w:tabs>
                <w:tab w:val="left" w:pos="1701"/>
              </w:tabs>
              <w:rPr>
                <w:b/>
                <w:snapToGrid w:val="0"/>
              </w:rPr>
            </w:pPr>
            <w:r>
              <w:rPr>
                <w:b/>
                <w:snapToGrid w:val="0"/>
              </w:rPr>
              <w:t xml:space="preserve">EU-överläggning med regeringen enligt RO 7 kap. 12 § </w:t>
            </w:r>
            <w:r>
              <w:rPr>
                <w:b/>
                <w:bCs/>
                <w:color w:val="000000"/>
                <w:szCs w:val="24"/>
              </w:rPr>
              <w:t>om uppdrag och partnerskapsprogram inom Horisont Europa</w:t>
            </w:r>
          </w:p>
          <w:p w:rsidR="00937120" w:rsidRDefault="00A7175F" w:rsidP="00A7175F">
            <w:pPr>
              <w:tabs>
                <w:tab w:val="left" w:pos="1701"/>
              </w:tabs>
              <w:rPr>
                <w:snapToGrid w:val="0"/>
              </w:rPr>
            </w:pPr>
            <w:r>
              <w:rPr>
                <w:snapToGrid w:val="0"/>
              </w:rPr>
              <w:br/>
              <w:t xml:space="preserve">Utskottet överlade med </w:t>
            </w:r>
            <w:r w:rsidRPr="00A7175F">
              <w:rPr>
                <w:snapToGrid w:val="0"/>
              </w:rPr>
              <w:t xml:space="preserve">Statsrådet Helene </w:t>
            </w:r>
            <w:proofErr w:type="spellStart"/>
            <w:r w:rsidRPr="00A7175F">
              <w:rPr>
                <w:snapToGrid w:val="0"/>
              </w:rPr>
              <w:t>Hellmark</w:t>
            </w:r>
            <w:proofErr w:type="spellEnd"/>
            <w:r w:rsidRPr="00A7175F">
              <w:rPr>
                <w:snapToGrid w:val="0"/>
              </w:rPr>
              <w:t xml:space="preserve"> Knutsson, politiskt sakkunnige Klas Herman Lundgren, departementsrådet Jonas Björck och departementssekreteraren Christian Hansen, samtliga från Utbildningsdepartementet</w:t>
            </w:r>
            <w:r>
              <w:rPr>
                <w:snapToGrid w:val="0"/>
              </w:rPr>
              <w:t xml:space="preserve">, om </w:t>
            </w:r>
            <w:r w:rsidRPr="00A7175F">
              <w:rPr>
                <w:snapToGrid w:val="0"/>
              </w:rPr>
              <w:t>uppdrag och partnerskapsprogram inom Horisont Europa</w:t>
            </w:r>
            <w:r>
              <w:rPr>
                <w:snapToGrid w:val="0"/>
              </w:rPr>
              <w:t>.</w:t>
            </w:r>
          </w:p>
          <w:p w:rsidR="00A7175F" w:rsidRDefault="00A7175F" w:rsidP="00A7175F">
            <w:pPr>
              <w:tabs>
                <w:tab w:val="left" w:pos="1701"/>
              </w:tabs>
              <w:rPr>
                <w:snapToGrid w:val="0"/>
              </w:rPr>
            </w:pPr>
          </w:p>
          <w:p w:rsidR="00A7175F" w:rsidRPr="00A7175F" w:rsidRDefault="00A7175F" w:rsidP="00A7175F">
            <w:pPr>
              <w:tabs>
                <w:tab w:val="left" w:pos="1701"/>
              </w:tabs>
              <w:rPr>
                <w:i/>
                <w:snapToGrid w:val="0"/>
              </w:rPr>
            </w:pPr>
            <w:r w:rsidRPr="00A7175F">
              <w:rPr>
                <w:i/>
                <w:snapToGrid w:val="0"/>
              </w:rPr>
              <w:t>Underlag för överläggningen</w:t>
            </w:r>
          </w:p>
          <w:p w:rsidR="00A7175F" w:rsidRDefault="00A7175F" w:rsidP="00A7175F">
            <w:pPr>
              <w:tabs>
                <w:tab w:val="left" w:pos="1701"/>
              </w:tabs>
              <w:rPr>
                <w:snapToGrid w:val="0"/>
              </w:rPr>
            </w:pPr>
            <w:r w:rsidRPr="00A7175F">
              <w:rPr>
                <w:snapToGrid w:val="0"/>
              </w:rPr>
              <w:t xml:space="preserve">Promemoria från Utbildningsdepartementet (dnr 2018/19-639) </w:t>
            </w:r>
          </w:p>
          <w:p w:rsidR="00A7175F" w:rsidRPr="00A7175F" w:rsidRDefault="00A7175F" w:rsidP="00A7175F">
            <w:pPr>
              <w:tabs>
                <w:tab w:val="left" w:pos="1701"/>
              </w:tabs>
              <w:rPr>
                <w:snapToGrid w:val="0"/>
              </w:rPr>
            </w:pPr>
          </w:p>
          <w:p w:rsidR="00A7175F" w:rsidRPr="00A7175F" w:rsidRDefault="00A7175F" w:rsidP="00A7175F">
            <w:pPr>
              <w:tabs>
                <w:tab w:val="left" w:pos="1701"/>
              </w:tabs>
              <w:rPr>
                <w:i/>
                <w:snapToGrid w:val="0"/>
              </w:rPr>
            </w:pPr>
            <w:r w:rsidRPr="00A7175F">
              <w:rPr>
                <w:i/>
                <w:snapToGrid w:val="0"/>
              </w:rPr>
              <w:t>Regeringens förslag till svensk ståndpunkt</w:t>
            </w:r>
          </w:p>
          <w:p w:rsidR="00A7175F" w:rsidRPr="00A7175F" w:rsidRDefault="00A7175F" w:rsidP="00A7175F">
            <w:pPr>
              <w:tabs>
                <w:tab w:val="left" w:pos="1701"/>
              </w:tabs>
              <w:rPr>
                <w:snapToGrid w:val="0"/>
              </w:rPr>
            </w:pPr>
            <w:r w:rsidRPr="00A7175F">
              <w:rPr>
                <w:snapToGrid w:val="0"/>
              </w:rPr>
              <w:t xml:space="preserve">Regeringen anser att rådet bör besluta om områden för vilka Uppdrag och Partnerskapsprogram inrättas. </w:t>
            </w:r>
          </w:p>
          <w:p w:rsidR="00A7175F" w:rsidRDefault="00A7175F" w:rsidP="00A7175F">
            <w:pPr>
              <w:tabs>
                <w:tab w:val="left" w:pos="1701"/>
              </w:tabs>
              <w:rPr>
                <w:snapToGrid w:val="0"/>
              </w:rPr>
            </w:pPr>
          </w:p>
          <w:p w:rsidR="00A7175F" w:rsidRPr="00A7175F" w:rsidRDefault="00A7175F" w:rsidP="00A7175F">
            <w:pPr>
              <w:tabs>
                <w:tab w:val="left" w:pos="1701"/>
              </w:tabs>
              <w:rPr>
                <w:snapToGrid w:val="0"/>
              </w:rPr>
            </w:pPr>
            <w:r w:rsidRPr="00A7175F">
              <w:rPr>
                <w:snapToGrid w:val="0"/>
              </w:rPr>
              <w:t xml:space="preserve">Regeringen anser att Sverige ska verka för att områden för Uppdrag och Partnerskap ska ligga i linje med Sveriges prioriteringar för att uppnå målen för Agenda 2030 samt i linje med de samhällsutmaningar </w:t>
            </w:r>
            <w:r w:rsidRPr="00A7175F">
              <w:rPr>
                <w:snapToGrid w:val="0"/>
              </w:rPr>
              <w:lastRenderedPageBreak/>
              <w:t xml:space="preserve">som pekades ut i den forskningsproposition som antogs av riksdagen i april 2017. </w:t>
            </w:r>
          </w:p>
          <w:p w:rsidR="00A7175F" w:rsidRDefault="00A7175F" w:rsidP="00A7175F">
            <w:pPr>
              <w:tabs>
                <w:tab w:val="left" w:pos="1701"/>
              </w:tabs>
              <w:rPr>
                <w:b/>
                <w:bCs/>
                <w:snapToGrid w:val="0"/>
              </w:rPr>
            </w:pPr>
          </w:p>
          <w:p w:rsidR="00A7175F" w:rsidRPr="00A7175F" w:rsidRDefault="00A7175F" w:rsidP="00A7175F">
            <w:pPr>
              <w:tabs>
                <w:tab w:val="left" w:pos="1701"/>
              </w:tabs>
              <w:rPr>
                <w:snapToGrid w:val="0"/>
              </w:rPr>
            </w:pPr>
            <w:r w:rsidRPr="00A7175F">
              <w:rPr>
                <w:b/>
                <w:bCs/>
                <w:snapToGrid w:val="0"/>
              </w:rPr>
              <w:t xml:space="preserve">Uppdrag </w:t>
            </w:r>
          </w:p>
          <w:p w:rsidR="00A7175F" w:rsidRDefault="00A7175F" w:rsidP="00A7175F">
            <w:pPr>
              <w:tabs>
                <w:tab w:val="left" w:pos="1701"/>
              </w:tabs>
              <w:rPr>
                <w:snapToGrid w:val="0"/>
              </w:rPr>
            </w:pPr>
            <w:r w:rsidRPr="00A7175F">
              <w:rPr>
                <w:snapToGrid w:val="0"/>
              </w:rPr>
              <w:t xml:space="preserve">Regeringen anser att ett begränsat antal Uppdrag bör inrättas inledningsvis och att ytterligare Uppdrag vid behov kan inrättas senare under ramprogrammet. Regeringen menar att Uppdragen ska vara forskningsdrivna och möjliga att uppnå utifrån främst forskningsinsatser. </w:t>
            </w:r>
          </w:p>
          <w:p w:rsidR="00A7175F" w:rsidRPr="00A7175F" w:rsidRDefault="00A7175F" w:rsidP="00A7175F">
            <w:pPr>
              <w:tabs>
                <w:tab w:val="left" w:pos="1701"/>
              </w:tabs>
              <w:rPr>
                <w:snapToGrid w:val="0"/>
              </w:rPr>
            </w:pPr>
          </w:p>
          <w:p w:rsidR="00A7175F" w:rsidRDefault="00A7175F" w:rsidP="00A7175F">
            <w:pPr>
              <w:tabs>
                <w:tab w:val="left" w:pos="1701"/>
              </w:tabs>
              <w:rPr>
                <w:snapToGrid w:val="0"/>
              </w:rPr>
            </w:pPr>
            <w:r w:rsidRPr="00A7175F">
              <w:rPr>
                <w:snapToGrid w:val="0"/>
              </w:rPr>
              <w:t xml:space="preserve">Regeringen anser vidare att Uppdragens styrelser bör bestå av representanter från forskarsamhället, näringsliv, offentlig sektor och allmänheten. Styrelserna bör även ges mandat att definiera Uppdragen mer i detalj inklusive att sätta tydliga mål, som är lätta att förstå för medborgarna. Regeringen anser att medlemsstaterna bör ha insyn i styrelsernas arbete och att styrelsernas sammansättning ska vara balanserade med avseende på jämställdhet. </w:t>
            </w:r>
          </w:p>
          <w:p w:rsidR="00A7175F" w:rsidRPr="00A7175F" w:rsidRDefault="00A7175F" w:rsidP="00A7175F">
            <w:pPr>
              <w:tabs>
                <w:tab w:val="left" w:pos="1701"/>
              </w:tabs>
              <w:rPr>
                <w:snapToGrid w:val="0"/>
              </w:rPr>
            </w:pPr>
          </w:p>
          <w:p w:rsidR="00A7175F" w:rsidRPr="00A7175F" w:rsidRDefault="00A7175F" w:rsidP="00A7175F">
            <w:pPr>
              <w:tabs>
                <w:tab w:val="left" w:pos="1701"/>
              </w:tabs>
              <w:rPr>
                <w:snapToGrid w:val="0"/>
              </w:rPr>
            </w:pPr>
            <w:r w:rsidRPr="00A7175F">
              <w:rPr>
                <w:snapToGrid w:val="0"/>
              </w:rPr>
              <w:t xml:space="preserve">Målen för Uppdragen ska vara tidsatta, väldefinierade, mätbara och lyckas engagera medborgarna. Det engagemang och den kunskap som medborgare, bland andra brukare, patienter samt personal har är en viktig resurs. Varje Uppdrag ska ha en avgränsad budget inom Horisont Europa. Horisontella frågor i Horisont Europa ska även ingå i Uppdragen, till exempel humaniora och samhällsvetenskap. </w:t>
            </w:r>
          </w:p>
          <w:p w:rsidR="00A7175F" w:rsidRDefault="00A7175F" w:rsidP="00A7175F">
            <w:pPr>
              <w:tabs>
                <w:tab w:val="left" w:pos="1701"/>
              </w:tabs>
              <w:rPr>
                <w:snapToGrid w:val="0"/>
              </w:rPr>
            </w:pPr>
          </w:p>
          <w:p w:rsidR="00A7175F" w:rsidRDefault="00A7175F" w:rsidP="00A7175F">
            <w:pPr>
              <w:tabs>
                <w:tab w:val="left" w:pos="1701"/>
              </w:tabs>
              <w:rPr>
                <w:snapToGrid w:val="0"/>
              </w:rPr>
            </w:pPr>
            <w:r w:rsidRPr="00A7175F">
              <w:rPr>
                <w:snapToGrid w:val="0"/>
              </w:rPr>
              <w:t xml:space="preserve">Regeringen anser att digitalisering är en stor samhällsutmaning och av värde för många forskningsområden och att EU:s medlemsstater tillsammans kan skapa stort mervärde genom att utveckla en europeisk kvantdator. Mot den bakgrunden bedömer regeringen att förslaget till Uppdrag inom digitalisering kan motiveras. Målet skulle dock behöva förtydligas av Uppdragets framtida styrelse, för att till exempel visa hur tvärvetenskapliga aspekter kan bidra till eller dra nytta av en kvantdator. </w:t>
            </w:r>
          </w:p>
          <w:p w:rsidR="00A7175F" w:rsidRPr="00A7175F" w:rsidRDefault="00A7175F" w:rsidP="00A7175F">
            <w:pPr>
              <w:tabs>
                <w:tab w:val="left" w:pos="1701"/>
              </w:tabs>
              <w:rPr>
                <w:snapToGrid w:val="0"/>
              </w:rPr>
            </w:pPr>
          </w:p>
          <w:p w:rsidR="00A7175F" w:rsidRDefault="00A7175F" w:rsidP="00A7175F">
            <w:pPr>
              <w:tabs>
                <w:tab w:val="left" w:pos="1701"/>
              </w:tabs>
              <w:rPr>
                <w:snapToGrid w:val="0"/>
              </w:rPr>
            </w:pPr>
            <w:r w:rsidRPr="00A7175F">
              <w:rPr>
                <w:snapToGrid w:val="0"/>
              </w:rPr>
              <w:t xml:space="preserve">Regeringen bedömer att utmaningarna ökar gällande etiska frågor och den personliga integriteten i ett allt mer digitaliserat samhälle, bland annat med artificiell intelligens mer och mer integrerat i vardagen. Det finns många positiva effekter av att tillgängligheten till information underlättas och att artificiell intelligens används, men det behövs forskning kring bland annat om hur artificiell intelligens bör används och om hur samhället säkrar den personliga integriteten med ändamålsenliga regelverk. Därmed behöver arbetet med digitalisering ha </w:t>
            </w:r>
            <w:proofErr w:type="gramStart"/>
            <w:r w:rsidRPr="00A7175F">
              <w:rPr>
                <w:snapToGrid w:val="0"/>
              </w:rPr>
              <w:t>ett</w:t>
            </w:r>
            <w:proofErr w:type="gramEnd"/>
            <w:r w:rsidRPr="00A7175F">
              <w:rPr>
                <w:snapToGrid w:val="0"/>
              </w:rPr>
              <w:t xml:space="preserve"> tvärvetenskapligt angreppsätt. </w:t>
            </w:r>
          </w:p>
          <w:p w:rsidR="00A7175F" w:rsidRPr="00A7175F" w:rsidRDefault="00A7175F" w:rsidP="00A7175F">
            <w:pPr>
              <w:tabs>
                <w:tab w:val="left" w:pos="1701"/>
              </w:tabs>
              <w:rPr>
                <w:snapToGrid w:val="0"/>
              </w:rPr>
            </w:pPr>
          </w:p>
          <w:p w:rsidR="00A7175F" w:rsidRDefault="00A7175F" w:rsidP="00A7175F">
            <w:pPr>
              <w:tabs>
                <w:tab w:val="left" w:pos="1701"/>
              </w:tabs>
              <w:rPr>
                <w:snapToGrid w:val="0"/>
              </w:rPr>
            </w:pPr>
            <w:r w:rsidRPr="00A7175F">
              <w:rPr>
                <w:snapToGrid w:val="0"/>
              </w:rPr>
              <w:t xml:space="preserve">Regeringen bedömer vidare att även andra områden inom digitalisering kan komma att beaktas för ett Uppdrag. De svenska satsningarna på Smarta Städer kan vara av intresse som Uppdrag på europeisk nivå. </w:t>
            </w:r>
          </w:p>
          <w:p w:rsidR="00A7175F" w:rsidRPr="00A7175F" w:rsidRDefault="00A7175F" w:rsidP="00A7175F">
            <w:pPr>
              <w:tabs>
                <w:tab w:val="left" w:pos="1701"/>
              </w:tabs>
              <w:rPr>
                <w:snapToGrid w:val="0"/>
              </w:rPr>
            </w:pPr>
          </w:p>
          <w:p w:rsidR="00A7175F" w:rsidRDefault="00A7175F" w:rsidP="00A7175F">
            <w:pPr>
              <w:tabs>
                <w:tab w:val="left" w:pos="1701"/>
              </w:tabs>
              <w:rPr>
                <w:snapToGrid w:val="0"/>
              </w:rPr>
            </w:pPr>
            <w:r w:rsidRPr="00A7175F">
              <w:rPr>
                <w:snapToGrid w:val="0"/>
              </w:rPr>
              <w:t xml:space="preserve">Regeringen stödjer kommissionens förslag till ett Uppdrag inom området Hälsa inklusive målet om att bota cancer. Regeringen anser </w:t>
            </w:r>
            <w:r w:rsidRPr="00A7175F">
              <w:rPr>
                <w:snapToGrid w:val="0"/>
              </w:rPr>
              <w:lastRenderedPageBreak/>
              <w:t xml:space="preserve">också att barncancer kan vara en lämplig inriktning. Ett annat område inom Hälsa som även berör området Livsmedel/jordbruk är antibiotikaresistens (AMR). Regeringen anser att samarbete kring AMR genom Uppdrag eller Partnerskap kan skapa tydligt europeiskt mervärde. </w:t>
            </w:r>
          </w:p>
          <w:p w:rsidR="00A7175F" w:rsidRPr="00A7175F" w:rsidRDefault="00A7175F" w:rsidP="00A7175F">
            <w:pPr>
              <w:tabs>
                <w:tab w:val="left" w:pos="1701"/>
              </w:tabs>
              <w:rPr>
                <w:snapToGrid w:val="0"/>
              </w:rPr>
            </w:pPr>
          </w:p>
          <w:p w:rsidR="00A7175F" w:rsidRDefault="00A7175F" w:rsidP="00A7175F">
            <w:pPr>
              <w:tabs>
                <w:tab w:val="left" w:pos="1701"/>
              </w:tabs>
              <w:rPr>
                <w:snapToGrid w:val="0"/>
              </w:rPr>
            </w:pPr>
            <w:r w:rsidRPr="00A7175F">
              <w:rPr>
                <w:snapToGrid w:val="0"/>
              </w:rPr>
              <w:t xml:space="preserve">Gällande Rena städer anser regeringen att kommissionens förslag kan vara intressant och att insatserna kan bidra till att motverka klimatförändringar. Regeringen anser att utmaningar kring klimatförändringar ska finnas med bland Uppdragen. Det är viktigt att målsättningen blir ambitiös, med utnyttjande av ny teknik för att Uppdraget ska få avsedd effekt. Regeringen anser även </w:t>
            </w:r>
            <w:proofErr w:type="gramStart"/>
            <w:r w:rsidRPr="00A7175F">
              <w:rPr>
                <w:snapToGrid w:val="0"/>
              </w:rPr>
              <w:t>att Rena</w:t>
            </w:r>
            <w:proofErr w:type="gramEnd"/>
            <w:r w:rsidRPr="00A7175F">
              <w:rPr>
                <w:snapToGrid w:val="0"/>
              </w:rPr>
              <w:t xml:space="preserve"> städer bör kombineras med att städerna även ska bli ”smartare” genom digitalisering. Detta eftersom digitalisering av städer bidrar till att motverka klimatförändringar. </w:t>
            </w:r>
          </w:p>
          <w:p w:rsidR="00A7175F" w:rsidRPr="00A7175F" w:rsidRDefault="00A7175F" w:rsidP="00A7175F">
            <w:pPr>
              <w:tabs>
                <w:tab w:val="left" w:pos="1701"/>
              </w:tabs>
              <w:rPr>
                <w:snapToGrid w:val="0"/>
              </w:rPr>
            </w:pPr>
          </w:p>
          <w:p w:rsidR="00A7175F" w:rsidRDefault="00A7175F" w:rsidP="00A7175F">
            <w:pPr>
              <w:tabs>
                <w:tab w:val="left" w:pos="1701"/>
              </w:tabs>
              <w:rPr>
                <w:snapToGrid w:val="0"/>
              </w:rPr>
            </w:pPr>
            <w:r w:rsidRPr="00A7175F">
              <w:rPr>
                <w:snapToGrid w:val="0"/>
              </w:rPr>
              <w:t>Regeringen ser positiv på att Friska och plastfria hav föreslås som ett Uppdrag. Regeringen bedömer att angreppssättet är relativt brett, men med väldefinierade, mätbara och tidsatta mål bör området passa för ett Uppdrag. Att sträva mot en giftfri miljö kan vara en viktig del av ett Uppdrag kring hav, men även kring Rena städer och kopplingen till människors hälsa.</w:t>
            </w:r>
          </w:p>
          <w:p w:rsidR="003C11CF" w:rsidRDefault="003C11CF" w:rsidP="00A7175F">
            <w:pPr>
              <w:tabs>
                <w:tab w:val="left" w:pos="1701"/>
              </w:tabs>
              <w:rPr>
                <w:snapToGrid w:val="0"/>
              </w:rPr>
            </w:pPr>
          </w:p>
          <w:p w:rsidR="003C11CF" w:rsidRDefault="003C11CF" w:rsidP="003C11CF">
            <w:pPr>
              <w:tabs>
                <w:tab w:val="left" w:pos="1701"/>
              </w:tabs>
              <w:rPr>
                <w:snapToGrid w:val="0"/>
              </w:rPr>
            </w:pPr>
            <w:r w:rsidRPr="003C11CF">
              <w:rPr>
                <w:snapToGrid w:val="0"/>
              </w:rPr>
              <w:t xml:space="preserve">Regeringen ser positivt på att ett Uppdrag inom Livsmedel och Jordbruk kan handla om Hållbar markanvändning, då behovet av lösningar på området är stort. Kopplingen till målen för Agenda 2030 är tydlig. </w:t>
            </w:r>
          </w:p>
          <w:p w:rsidR="003C11CF" w:rsidRPr="003C11CF" w:rsidRDefault="003C11CF" w:rsidP="003C11CF">
            <w:pPr>
              <w:tabs>
                <w:tab w:val="left" w:pos="1701"/>
              </w:tabs>
              <w:rPr>
                <w:snapToGrid w:val="0"/>
              </w:rPr>
            </w:pPr>
          </w:p>
          <w:p w:rsidR="003C11CF" w:rsidRDefault="003C11CF" w:rsidP="003C11CF">
            <w:pPr>
              <w:tabs>
                <w:tab w:val="left" w:pos="1701"/>
              </w:tabs>
              <w:rPr>
                <w:snapToGrid w:val="0"/>
              </w:rPr>
            </w:pPr>
            <w:r w:rsidRPr="003C11CF">
              <w:rPr>
                <w:snapToGrid w:val="0"/>
              </w:rPr>
              <w:t xml:space="preserve">Regeringen anser att ett område som i sammanhanget bör lyftas är Cirkulär och biobaserad ekonomi. I regeringens forskningspolitiska proposition finns förslag till insatser på området, och de bör även vara relevanta på europeisk nivå. Cirkulär och biobaserad ekonomi bedöms vara ett område där lösningar kräver nya forsknings- och innovationsinsatser. </w:t>
            </w:r>
          </w:p>
          <w:p w:rsidR="003C11CF" w:rsidRPr="003C11CF" w:rsidRDefault="003C11CF" w:rsidP="003C11CF">
            <w:pPr>
              <w:tabs>
                <w:tab w:val="left" w:pos="1701"/>
              </w:tabs>
              <w:rPr>
                <w:snapToGrid w:val="0"/>
              </w:rPr>
            </w:pPr>
          </w:p>
          <w:p w:rsidR="003C11CF" w:rsidRDefault="003C11CF" w:rsidP="003C11CF">
            <w:pPr>
              <w:tabs>
                <w:tab w:val="left" w:pos="1701"/>
              </w:tabs>
              <w:rPr>
                <w:snapToGrid w:val="0"/>
              </w:rPr>
            </w:pPr>
            <w:r w:rsidRPr="003C11CF">
              <w:rPr>
                <w:snapToGrid w:val="0"/>
              </w:rPr>
              <w:t xml:space="preserve">Ytterligare ett område som regeringen bedömer som intressant är energilagring genom framtida batterier. Området kan vara del av ett Uppdrag eller som ett Partnerskap. Ny teknik för energilagring skulle exempelvis kunna bidra till att möta mål i Agenda 2030. </w:t>
            </w:r>
          </w:p>
          <w:p w:rsidR="003C11CF" w:rsidRPr="003C11CF" w:rsidRDefault="003C11CF" w:rsidP="003C11CF">
            <w:pPr>
              <w:tabs>
                <w:tab w:val="left" w:pos="1701"/>
              </w:tabs>
              <w:rPr>
                <w:snapToGrid w:val="0"/>
              </w:rPr>
            </w:pPr>
          </w:p>
          <w:p w:rsidR="003C11CF" w:rsidRPr="003C11CF" w:rsidRDefault="003C11CF" w:rsidP="003C11CF">
            <w:pPr>
              <w:tabs>
                <w:tab w:val="left" w:pos="1701"/>
              </w:tabs>
              <w:rPr>
                <w:snapToGrid w:val="0"/>
              </w:rPr>
            </w:pPr>
            <w:r w:rsidRPr="003C11CF">
              <w:rPr>
                <w:b/>
                <w:bCs/>
                <w:snapToGrid w:val="0"/>
              </w:rPr>
              <w:t xml:space="preserve">Institutionella Partnerskapsprogram </w:t>
            </w:r>
          </w:p>
          <w:p w:rsidR="003C11CF" w:rsidRDefault="003C11CF" w:rsidP="003C11CF">
            <w:pPr>
              <w:tabs>
                <w:tab w:val="left" w:pos="1701"/>
              </w:tabs>
              <w:rPr>
                <w:snapToGrid w:val="0"/>
              </w:rPr>
            </w:pPr>
            <w:r w:rsidRPr="003C11CF">
              <w:rPr>
                <w:snapToGrid w:val="0"/>
              </w:rPr>
              <w:t xml:space="preserve">Regeringen saknar en analys av varför områdena på listan lämpar sig för framtida institutionella Partnerskap. </w:t>
            </w:r>
          </w:p>
          <w:p w:rsidR="003C11CF" w:rsidRPr="003C11CF" w:rsidRDefault="003C11CF" w:rsidP="003C11CF">
            <w:pPr>
              <w:tabs>
                <w:tab w:val="left" w:pos="1701"/>
              </w:tabs>
              <w:rPr>
                <w:snapToGrid w:val="0"/>
              </w:rPr>
            </w:pPr>
          </w:p>
          <w:p w:rsidR="003C11CF" w:rsidRDefault="003C11CF" w:rsidP="003C11CF">
            <w:pPr>
              <w:tabs>
                <w:tab w:val="left" w:pos="1701"/>
              </w:tabs>
              <w:rPr>
                <w:snapToGrid w:val="0"/>
              </w:rPr>
            </w:pPr>
            <w:r w:rsidRPr="003C11CF">
              <w:rPr>
                <w:snapToGrid w:val="0"/>
              </w:rPr>
              <w:t xml:space="preserve">Regeringens anser att de förslag till institutionella Partnerskap som kommissionen presenterat inte i tillräcklig grad tagit hänsyn till slutsatserna från </w:t>
            </w:r>
            <w:proofErr w:type="spellStart"/>
            <w:r w:rsidRPr="003C11CF">
              <w:rPr>
                <w:snapToGrid w:val="0"/>
              </w:rPr>
              <w:t>ERAC:s</w:t>
            </w:r>
            <w:proofErr w:type="spellEnd"/>
            <w:r w:rsidRPr="003C11CF">
              <w:rPr>
                <w:snapToGrid w:val="0"/>
              </w:rPr>
              <w:t xml:space="preserve"> arbetsgrupp. Regeringen anser att det är viktigt hur framtida insatser förenklar landskapet av Partnerskap och hur de kriterier som arbetsgruppen föreslår tagits om hand i de områden man föreslår. </w:t>
            </w:r>
          </w:p>
          <w:p w:rsidR="003C11CF" w:rsidRPr="003C11CF" w:rsidRDefault="003C11CF" w:rsidP="003C11CF">
            <w:pPr>
              <w:tabs>
                <w:tab w:val="left" w:pos="1701"/>
              </w:tabs>
              <w:rPr>
                <w:snapToGrid w:val="0"/>
              </w:rPr>
            </w:pPr>
          </w:p>
          <w:p w:rsidR="003C11CF" w:rsidRDefault="003C11CF" w:rsidP="003C11CF">
            <w:pPr>
              <w:tabs>
                <w:tab w:val="left" w:pos="1701"/>
              </w:tabs>
              <w:rPr>
                <w:snapToGrid w:val="0"/>
              </w:rPr>
            </w:pPr>
            <w:r w:rsidRPr="003C11CF">
              <w:rPr>
                <w:snapToGrid w:val="0"/>
              </w:rPr>
              <w:lastRenderedPageBreak/>
              <w:t xml:space="preserve">Regeringen ser behov av att Partnerskapsprogram inom nuvarande ramprogram för forskning och innovation som fungerar väl samt har fortsatt europeisk relevans, fortsatt bör få stöd i lämplig form, dock ej nödvändigtvis som Partnerskap. </w:t>
            </w:r>
          </w:p>
          <w:p w:rsidR="003C11CF" w:rsidRPr="003C11CF" w:rsidRDefault="003C11CF" w:rsidP="003C11CF">
            <w:pPr>
              <w:tabs>
                <w:tab w:val="left" w:pos="1701"/>
              </w:tabs>
              <w:rPr>
                <w:snapToGrid w:val="0"/>
              </w:rPr>
            </w:pPr>
          </w:p>
          <w:p w:rsidR="003C11CF" w:rsidRDefault="003C11CF" w:rsidP="003C11CF">
            <w:pPr>
              <w:tabs>
                <w:tab w:val="left" w:pos="1701"/>
              </w:tabs>
              <w:rPr>
                <w:snapToGrid w:val="0"/>
              </w:rPr>
            </w:pPr>
            <w:r w:rsidRPr="003C11CF">
              <w:rPr>
                <w:snapToGrid w:val="0"/>
              </w:rPr>
              <w:t>Avslutningsvis anser regeringen att Partnerskapsprogram ska kunna bidra till att genomföra Uppdrag och att det bör kunna finnas ett Partnerskap per Uppdrag, utan att för den skull knyta alla Partnerskap till områden för Uppdrag.</w:t>
            </w:r>
          </w:p>
          <w:p w:rsidR="00A7175F" w:rsidRPr="00A7175F" w:rsidRDefault="00A7175F" w:rsidP="00A7175F">
            <w:pPr>
              <w:tabs>
                <w:tab w:val="left" w:pos="1701"/>
              </w:tabs>
              <w:rPr>
                <w:snapToGrid w:val="0"/>
              </w:rPr>
            </w:pPr>
          </w:p>
          <w:p w:rsidR="00A7175F" w:rsidRPr="00A7175F" w:rsidRDefault="00A7175F" w:rsidP="00A7175F">
            <w:pPr>
              <w:tabs>
                <w:tab w:val="left" w:pos="1701"/>
              </w:tabs>
              <w:rPr>
                <w:i/>
                <w:snapToGrid w:val="0"/>
              </w:rPr>
            </w:pPr>
            <w:r w:rsidRPr="00A7175F">
              <w:rPr>
                <w:i/>
                <w:snapToGrid w:val="0"/>
              </w:rPr>
              <w:t>Utskottet</w:t>
            </w:r>
          </w:p>
          <w:p w:rsidR="00A7175F" w:rsidRDefault="00A7175F" w:rsidP="00A7175F">
            <w:pPr>
              <w:tabs>
                <w:tab w:val="left" w:pos="1701"/>
              </w:tabs>
              <w:rPr>
                <w:snapToGrid w:val="0"/>
              </w:rPr>
            </w:pPr>
            <w:r w:rsidRPr="00A7175F">
              <w:rPr>
                <w:snapToGrid w:val="0"/>
              </w:rPr>
              <w:t xml:space="preserve">Ordföranden konstaterade att det </w:t>
            </w:r>
            <w:r>
              <w:rPr>
                <w:snapToGrid w:val="0"/>
              </w:rPr>
              <w:t>finns stöd</w:t>
            </w:r>
            <w:r w:rsidRPr="00A7175F">
              <w:rPr>
                <w:snapToGrid w:val="0"/>
              </w:rPr>
              <w:t xml:space="preserve"> i utskottet för regeringens ståndpunkt då det inte fanns något ytterligare att tillägga till ståndpunkten.</w:t>
            </w:r>
          </w:p>
          <w:p w:rsidR="00A7175F" w:rsidRDefault="00A7175F" w:rsidP="00A7175F">
            <w:pPr>
              <w:tabs>
                <w:tab w:val="left" w:pos="1701"/>
              </w:tabs>
              <w:rPr>
                <w:snapToGrid w:val="0"/>
              </w:rPr>
            </w:pPr>
          </w:p>
          <w:p w:rsidR="003C11CF" w:rsidRDefault="00A7175F" w:rsidP="00A7175F">
            <w:pPr>
              <w:tabs>
                <w:tab w:val="left" w:pos="1701"/>
              </w:tabs>
              <w:rPr>
                <w:snapToGrid w:val="0"/>
              </w:rPr>
            </w:pPr>
            <w:r>
              <w:rPr>
                <w:snapToGrid w:val="0"/>
              </w:rPr>
              <w:t>Sverigedemokraterna anmälde följand</w:t>
            </w:r>
            <w:r w:rsidR="003C11CF">
              <w:rPr>
                <w:snapToGrid w:val="0"/>
              </w:rPr>
              <w:t xml:space="preserve">e avvikande mening: Många av förslagen </w:t>
            </w:r>
            <w:r>
              <w:rPr>
                <w:snapToGrid w:val="0"/>
              </w:rPr>
              <w:t>i programmet Horisont Eu</w:t>
            </w:r>
            <w:r w:rsidR="003C11CF">
              <w:rPr>
                <w:snapToGrid w:val="0"/>
              </w:rPr>
              <w:t>ropa är bra och SD anser att de</w:t>
            </w:r>
            <w:r>
              <w:rPr>
                <w:snapToGrid w:val="0"/>
              </w:rPr>
              <w:t xml:space="preserve"> är värdefulla insatser för hela Europa. T. ex. insatser för att rensa haven på plast och annat skräp. Vi anser att regeringens ställningstagande också är rimligt i många avseenden. Ett exempel på detta är följande: ”Regeringen anser att medlemsstaterna bör ha insyn i styrelsernas arbete och att styrelsernas sammansättning ska vara balanserade med avseende på jämställdhet”. Dock anser vi att programmet är för omfattande, vilket gör att budgeten kommer att svälla ytterligare. Ingen hänsyn tas till </w:t>
            </w:r>
            <w:proofErr w:type="spellStart"/>
            <w:r>
              <w:rPr>
                <w:snapToGrid w:val="0"/>
              </w:rPr>
              <w:t>Brexit</w:t>
            </w:r>
            <w:proofErr w:type="spellEnd"/>
            <w:r>
              <w:rPr>
                <w:snapToGrid w:val="0"/>
              </w:rPr>
              <w:t xml:space="preserve">, vilket kommer innebära ett bortfall av medel till EU:s budget. </w:t>
            </w:r>
          </w:p>
          <w:p w:rsidR="003C11CF" w:rsidRDefault="003C11CF" w:rsidP="00A7175F">
            <w:pPr>
              <w:tabs>
                <w:tab w:val="left" w:pos="1701"/>
              </w:tabs>
              <w:rPr>
                <w:snapToGrid w:val="0"/>
              </w:rPr>
            </w:pPr>
          </w:p>
          <w:p w:rsidR="00A7175F" w:rsidRDefault="00A7175F" w:rsidP="00A7175F">
            <w:pPr>
              <w:tabs>
                <w:tab w:val="left" w:pos="1701"/>
              </w:tabs>
              <w:rPr>
                <w:snapToGrid w:val="0"/>
              </w:rPr>
            </w:pPr>
            <w:r>
              <w:rPr>
                <w:snapToGrid w:val="0"/>
              </w:rPr>
              <w:t xml:space="preserve">Vi anser att regeringen bör framföra </w:t>
            </w:r>
            <w:r w:rsidR="003C11CF">
              <w:rPr>
                <w:snapToGrid w:val="0"/>
              </w:rPr>
              <w:t xml:space="preserve">det </w:t>
            </w:r>
            <w:r>
              <w:rPr>
                <w:snapToGrid w:val="0"/>
              </w:rPr>
              <w:t xml:space="preserve">till förhandlingarna om en restriktiv budget. Ingen budgethöjning bör ske inom ramen för detta program. </w:t>
            </w:r>
          </w:p>
          <w:p w:rsidR="00A7175F" w:rsidRPr="00A7175F" w:rsidRDefault="00A7175F" w:rsidP="00A7175F">
            <w:pPr>
              <w:tabs>
                <w:tab w:val="left" w:pos="1701"/>
              </w:tabs>
              <w:rPr>
                <w:snapToGrid w:val="0"/>
              </w:rPr>
            </w:pPr>
          </w:p>
          <w:p w:rsidR="00A7175F" w:rsidRDefault="00A7175F" w:rsidP="00A7175F">
            <w:pPr>
              <w:tabs>
                <w:tab w:val="left" w:pos="1701"/>
              </w:tabs>
              <w:rPr>
                <w:snapToGrid w:val="0"/>
              </w:rPr>
            </w:pPr>
            <w:r w:rsidRPr="00A7175F">
              <w:rPr>
                <w:snapToGrid w:val="0"/>
              </w:rPr>
              <w:t>Denna paragraf förklarades omedelbart justerad.</w:t>
            </w:r>
          </w:p>
          <w:p w:rsidR="003C11CF" w:rsidRPr="00A7175F" w:rsidRDefault="003C11CF" w:rsidP="00A7175F">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47610A">
            <w:pPr>
              <w:tabs>
                <w:tab w:val="left" w:pos="1701"/>
              </w:tabs>
              <w:rPr>
                <w:snapToGrid w:val="0"/>
              </w:rPr>
            </w:pPr>
            <w:r>
              <w:rPr>
                <w:szCs w:val="24"/>
              </w:rPr>
              <w:t xml:space="preserve">Nästa sammanträde </w:t>
            </w:r>
            <w:r w:rsidR="007765ED">
              <w:rPr>
                <w:szCs w:val="24"/>
              </w:rPr>
              <w:t>äger</w:t>
            </w:r>
            <w:r w:rsidR="0047610A">
              <w:rPr>
                <w:szCs w:val="24"/>
              </w:rPr>
              <w:t xml:space="preserve"> rum tis</w:t>
            </w:r>
            <w:r w:rsidR="00BB7028">
              <w:rPr>
                <w:szCs w:val="24"/>
              </w:rPr>
              <w:t xml:space="preserve">dagen den </w:t>
            </w:r>
            <w:r w:rsidR="0047610A">
              <w:rPr>
                <w:szCs w:val="24"/>
              </w:rPr>
              <w:t>6 november</w:t>
            </w:r>
            <w:r w:rsidR="00BB7028">
              <w:rPr>
                <w:szCs w:val="24"/>
              </w:rPr>
              <w:t xml:space="preserve"> 201</w:t>
            </w:r>
            <w:r w:rsidR="00F816D5">
              <w:rPr>
                <w:szCs w:val="24"/>
              </w:rPr>
              <w:t>8</w:t>
            </w:r>
            <w:r>
              <w:rPr>
                <w:szCs w:val="24"/>
              </w:rPr>
              <w:t xml:space="preserve"> kl. </w:t>
            </w:r>
            <w:r w:rsidR="0047610A">
              <w:rPr>
                <w:szCs w:val="24"/>
              </w:rPr>
              <w:t>11</w:t>
            </w:r>
            <w:r>
              <w:rPr>
                <w:szCs w:val="24"/>
              </w:rPr>
              <w:t>.00.</w:t>
            </w: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AD2979" w:rsidRDefault="00AD2979"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AD2979" w:rsidRDefault="00AD2979" w:rsidP="00D817DA">
            <w:pPr>
              <w:tabs>
                <w:tab w:val="left" w:pos="1701"/>
              </w:tabs>
            </w:pPr>
          </w:p>
          <w:p w:rsidR="00AD2979" w:rsidRDefault="00AD2979" w:rsidP="00D817DA">
            <w:pPr>
              <w:tabs>
                <w:tab w:val="left" w:pos="1701"/>
              </w:tabs>
            </w:pPr>
          </w:p>
          <w:p w:rsidR="00D817DA" w:rsidRDefault="00AD2979" w:rsidP="00D817DA">
            <w:pPr>
              <w:tabs>
                <w:tab w:val="left" w:pos="1701"/>
              </w:tabs>
            </w:pPr>
            <w:r>
              <w:t>Jonas Brynhildsen</w:t>
            </w:r>
          </w:p>
          <w:p w:rsidR="00AD2979" w:rsidRDefault="00AD2979" w:rsidP="00D817DA">
            <w:pPr>
              <w:tabs>
                <w:tab w:val="left" w:pos="1701"/>
              </w:tabs>
            </w:pPr>
          </w:p>
          <w:p w:rsidR="00FF4AD8" w:rsidRDefault="00FF4AD8" w:rsidP="00D817DA">
            <w:pPr>
              <w:tabs>
                <w:tab w:val="left" w:pos="1701"/>
              </w:tabs>
            </w:pPr>
          </w:p>
          <w:p w:rsidR="00D817DA" w:rsidRDefault="0047610A" w:rsidP="00D817DA">
            <w:pPr>
              <w:tabs>
                <w:tab w:val="left" w:pos="1701"/>
              </w:tabs>
            </w:pPr>
            <w:r>
              <w:t>Justeras tis</w:t>
            </w:r>
            <w:r w:rsidR="00D817DA" w:rsidRPr="00C56172">
              <w:t xml:space="preserve">dagen </w:t>
            </w:r>
            <w:r>
              <w:t>den 6 november</w:t>
            </w:r>
            <w:r w:rsidR="00BB7028">
              <w:t xml:space="preserve"> 201</w:t>
            </w:r>
            <w:r w:rsidR="00F816D5">
              <w:t>8</w:t>
            </w:r>
          </w:p>
          <w:p w:rsidR="00AD2979" w:rsidRDefault="00AD2979" w:rsidP="00D817DA">
            <w:pPr>
              <w:tabs>
                <w:tab w:val="left" w:pos="1701"/>
              </w:tabs>
            </w:pPr>
          </w:p>
          <w:p w:rsidR="00D817DA" w:rsidRDefault="00D817DA" w:rsidP="00D817DA">
            <w:pPr>
              <w:tabs>
                <w:tab w:val="left" w:pos="1701"/>
              </w:tabs>
            </w:pPr>
          </w:p>
          <w:p w:rsidR="00AD2979" w:rsidRDefault="00AD2979" w:rsidP="00D817DA">
            <w:pPr>
              <w:tabs>
                <w:tab w:val="left" w:pos="1701"/>
              </w:tabs>
            </w:pPr>
          </w:p>
          <w:p w:rsidR="00D817DA" w:rsidRDefault="0034218D" w:rsidP="00937120">
            <w:pPr>
              <w:tabs>
                <w:tab w:val="left" w:pos="1701"/>
              </w:tabs>
              <w:rPr>
                <w:b/>
              </w:rPr>
            </w:pPr>
            <w:r>
              <w:t>Matilda Ernkrans</w:t>
            </w:r>
          </w:p>
        </w:tc>
      </w:tr>
    </w:tbl>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47610A">
            <w:pPr>
              <w:tabs>
                <w:tab w:val="left" w:pos="1701"/>
              </w:tabs>
            </w:pPr>
            <w:r>
              <w:t>201</w:t>
            </w:r>
            <w:r w:rsidR="003F0380">
              <w:t>8</w:t>
            </w:r>
            <w:r w:rsidR="00876835">
              <w:t>/1</w:t>
            </w:r>
            <w:r w:rsidR="003F0380">
              <w:t>9</w:t>
            </w:r>
            <w:r>
              <w:t>:</w:t>
            </w:r>
            <w:r w:rsidR="0047610A">
              <w:t>04</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AD2979"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BB7028">
              <w:rPr>
                <w:sz w:val="22"/>
              </w:rPr>
              <w:t xml:space="preserve">§ </w:t>
            </w:r>
            <w:r>
              <w:rPr>
                <w:sz w:val="22"/>
              </w:rPr>
              <w:t>1-5</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AD297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 6</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7A135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Matilda Ernkrans</w:t>
            </w:r>
            <w:r w:rsidR="00BB7028">
              <w:rPr>
                <w:sz w:val="22"/>
                <w:szCs w:val="22"/>
                <w:lang w:val="en-US"/>
              </w:rPr>
              <w:t xml:space="preserve"> (S)</w:t>
            </w:r>
            <w:r w:rsidR="00BB7028" w:rsidRPr="003D41A2">
              <w:rPr>
                <w:sz w:val="22"/>
                <w:szCs w:val="22"/>
              </w:rPr>
              <w:t>,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Pr="006110B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Roger Haddad (L), vice ordförande</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r>
              <w:t>X</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r>
              <w:t>X</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Pr="003D41A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Erik Bengtzboe (M)</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tc>
        <w:tc>
          <w:tcPr>
            <w:tcW w:w="356" w:type="dxa"/>
            <w:tcBorders>
              <w:top w:val="single" w:sz="6" w:space="0" w:color="auto"/>
              <w:left w:val="single" w:sz="6" w:space="0" w:color="auto"/>
              <w:bottom w:val="single" w:sz="6" w:space="0" w:color="auto"/>
              <w:right w:val="single" w:sz="6" w:space="0" w:color="auto"/>
            </w:tcBorders>
          </w:tcPr>
          <w:p w:rsidR="00AD2979" w:rsidRPr="0000117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tc>
        <w:tc>
          <w:tcPr>
            <w:tcW w:w="356" w:type="dxa"/>
            <w:tcBorders>
              <w:top w:val="single" w:sz="6" w:space="0" w:color="auto"/>
              <w:left w:val="single" w:sz="6" w:space="0" w:color="auto"/>
              <w:bottom w:val="single" w:sz="6" w:space="0" w:color="auto"/>
              <w:right w:val="single" w:sz="6" w:space="0" w:color="auto"/>
            </w:tcBorders>
          </w:tcPr>
          <w:p w:rsidR="00AD2979" w:rsidRPr="0000117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tc>
        <w:tc>
          <w:tcPr>
            <w:tcW w:w="356" w:type="dxa"/>
            <w:tcBorders>
              <w:top w:val="single" w:sz="6" w:space="0" w:color="auto"/>
              <w:left w:val="single" w:sz="6" w:space="0" w:color="auto"/>
              <w:bottom w:val="single" w:sz="6" w:space="0" w:color="auto"/>
              <w:right w:val="single" w:sz="6" w:space="0" w:color="auto"/>
            </w:tcBorders>
          </w:tcPr>
          <w:p w:rsidR="00AD2979" w:rsidRPr="0000117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00117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00117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00117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Pr="0000117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00117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00117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00117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00117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r>
              <w:t>X</w:t>
            </w:r>
          </w:p>
        </w:tc>
        <w:tc>
          <w:tcPr>
            <w:tcW w:w="356" w:type="dxa"/>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r>
              <w:t>X</w:t>
            </w:r>
          </w:p>
        </w:tc>
        <w:tc>
          <w:tcPr>
            <w:tcW w:w="356" w:type="dxa"/>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tc>
        <w:tc>
          <w:tcPr>
            <w:tcW w:w="356" w:type="dxa"/>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Stockhaus (M)</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r>
              <w:t>X</w:t>
            </w:r>
          </w:p>
        </w:tc>
        <w:tc>
          <w:tcPr>
            <w:tcW w:w="356" w:type="dxa"/>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tc>
        <w:tc>
          <w:tcPr>
            <w:tcW w:w="356" w:type="dxa"/>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tc>
        <w:tc>
          <w:tcPr>
            <w:tcW w:w="356" w:type="dxa"/>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r>
              <w:t>X</w:t>
            </w:r>
          </w:p>
        </w:tc>
        <w:tc>
          <w:tcPr>
            <w:tcW w:w="356" w:type="dxa"/>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r>
              <w:t>X</w:t>
            </w:r>
          </w:p>
        </w:tc>
        <w:tc>
          <w:tcPr>
            <w:tcW w:w="356" w:type="dxa"/>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tc>
        <w:tc>
          <w:tcPr>
            <w:tcW w:w="356" w:type="dxa"/>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EC27A5"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Pr="003D41A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r>
              <w:t>X</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r>
              <w:t>X</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Pr="003D41A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r>
              <w:t>X</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r>
              <w:t>X</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Pr="003D41A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r>
              <w:t>O</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r>
              <w:t>O</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Pr="003D41A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Marie-Louise </w:t>
            </w:r>
            <w:proofErr w:type="spellStart"/>
            <w:r>
              <w:rPr>
                <w:sz w:val="22"/>
                <w:szCs w:val="22"/>
              </w:rPr>
              <w:t>Hänel</w:t>
            </w:r>
            <w:proofErr w:type="spellEnd"/>
            <w:r>
              <w:rPr>
                <w:sz w:val="22"/>
                <w:szCs w:val="22"/>
              </w:rPr>
              <w:t xml:space="preserve"> Sandström (M)</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r>
              <w:t>X</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r>
              <w:t>X</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Pr="003D41A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r>
              <w:t>X</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RPr="004214D1"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Pr="003D41A2" w:rsidRDefault="00AD2979" w:rsidP="00AD2979">
            <w:pPr>
              <w:rPr>
                <w:sz w:val="22"/>
                <w:szCs w:val="22"/>
              </w:rPr>
            </w:pPr>
            <w:r>
              <w:rPr>
                <w:sz w:val="22"/>
                <w:szCs w:val="22"/>
              </w:rPr>
              <w:t>Gunilla Svantorp (S)</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r>
              <w:t>X</w:t>
            </w:r>
          </w:p>
        </w:tc>
        <w:tc>
          <w:tcPr>
            <w:tcW w:w="356" w:type="dxa"/>
            <w:tcBorders>
              <w:top w:val="single" w:sz="6" w:space="0" w:color="auto"/>
              <w:left w:val="single" w:sz="6" w:space="0" w:color="auto"/>
              <w:bottom w:val="single" w:sz="6" w:space="0" w:color="auto"/>
              <w:right w:val="single" w:sz="6" w:space="0" w:color="auto"/>
            </w:tcBorders>
          </w:tcPr>
          <w:p w:rsidR="00AD2979" w:rsidRPr="004214D1"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tc>
        <w:tc>
          <w:tcPr>
            <w:tcW w:w="356" w:type="dxa"/>
            <w:tcBorders>
              <w:top w:val="single" w:sz="6" w:space="0" w:color="auto"/>
              <w:left w:val="single" w:sz="6" w:space="0" w:color="auto"/>
              <w:bottom w:val="single" w:sz="6" w:space="0" w:color="auto"/>
              <w:right w:val="single" w:sz="6" w:space="0" w:color="auto"/>
            </w:tcBorders>
          </w:tcPr>
          <w:p w:rsidR="00AD2979" w:rsidRPr="004214D1"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tc>
        <w:tc>
          <w:tcPr>
            <w:tcW w:w="356" w:type="dxa"/>
            <w:tcBorders>
              <w:top w:val="single" w:sz="6" w:space="0" w:color="auto"/>
              <w:left w:val="single" w:sz="6" w:space="0" w:color="auto"/>
              <w:bottom w:val="single" w:sz="6" w:space="0" w:color="auto"/>
              <w:right w:val="single" w:sz="6" w:space="0" w:color="auto"/>
            </w:tcBorders>
          </w:tcPr>
          <w:p w:rsidR="00AD2979" w:rsidRPr="004214D1"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4214D1"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4214D1"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4214D1"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Pr="004214D1"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4214D1"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4214D1"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4214D1"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Pr="004214D1"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Pr="003D41A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Jimmy Loord (KD)</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r>
              <w:t>X</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r>
              <w:t>X</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Pr="003D41A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Tomas </w:t>
            </w:r>
            <w:proofErr w:type="spellStart"/>
            <w:r>
              <w:rPr>
                <w:sz w:val="22"/>
                <w:szCs w:val="22"/>
              </w:rPr>
              <w:t>Kronståhl</w:t>
            </w:r>
            <w:proofErr w:type="spellEnd"/>
            <w:r>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r>
              <w:t>X</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r>
              <w:t>X</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Pr="003D41A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Michael </w:t>
            </w:r>
            <w:proofErr w:type="spellStart"/>
            <w:r>
              <w:rPr>
                <w:sz w:val="22"/>
                <w:szCs w:val="22"/>
              </w:rPr>
              <w:t>Rubbestad</w:t>
            </w:r>
            <w:proofErr w:type="spellEnd"/>
            <w:r>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r>
              <w:t>X</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r>
              <w:t>X</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Pr="003D41A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Falk (MP)</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r>
              <w:t>X</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r>
              <w:t>X</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Pr="003D41A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Juno Blom (L)</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r>
              <w:t>X</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r>
              <w:t>X</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Pr="003D41A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Pr="003D41A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 xml:space="preserve">Linus </w:t>
            </w:r>
            <w:proofErr w:type="spellStart"/>
            <w:r>
              <w:rPr>
                <w:sz w:val="22"/>
                <w:szCs w:val="22"/>
                <w:lang w:val="en-US"/>
              </w:rPr>
              <w:t>Sköld</w:t>
            </w:r>
            <w:proofErr w:type="spellEnd"/>
            <w:r>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D2979"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Pr="003D41A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roofErr w:type="spellStart"/>
            <w:r>
              <w:rPr>
                <w:sz w:val="22"/>
                <w:szCs w:val="22"/>
                <w:lang w:val="en-US"/>
              </w:rPr>
              <w:t>Noria</w:t>
            </w:r>
            <w:proofErr w:type="spellEnd"/>
            <w:r>
              <w:rPr>
                <w:sz w:val="22"/>
                <w:szCs w:val="22"/>
                <w:lang w:val="en-US"/>
              </w:rPr>
              <w:t xml:space="preserve"> </w:t>
            </w:r>
            <w:proofErr w:type="spellStart"/>
            <w:r>
              <w:rPr>
                <w:sz w:val="22"/>
                <w:szCs w:val="22"/>
                <w:lang w:val="en-US"/>
              </w:rPr>
              <w:t>Manouchi</w:t>
            </w:r>
            <w:proofErr w:type="spellEnd"/>
            <w:r>
              <w:rPr>
                <w:sz w:val="22"/>
                <w:szCs w:val="22"/>
                <w:lang w:val="en-US"/>
              </w:rPr>
              <w:t xml:space="preserve"> (M)</w:t>
            </w: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D2979"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Pr="003D41A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Johan Andersson (S)</w:t>
            </w: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9E1FCA"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D2979"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Pr="003D41A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Jan Ericson (M)</w:t>
            </w:r>
          </w:p>
        </w:tc>
        <w:tc>
          <w:tcPr>
            <w:tcW w:w="356" w:type="dxa"/>
            <w:tcBorders>
              <w:top w:val="single" w:sz="6" w:space="0" w:color="auto"/>
              <w:left w:val="single" w:sz="6" w:space="0" w:color="auto"/>
              <w:bottom w:val="single" w:sz="6" w:space="0" w:color="auto"/>
              <w:right w:val="single" w:sz="6" w:space="0" w:color="auto"/>
            </w:tcBorders>
          </w:tcPr>
          <w:p w:rsidR="00AD2979" w:rsidRPr="00402D5D"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402D5D"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402D5D"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402D5D"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402D5D"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402D5D"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402D5D"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402D5D"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402D5D"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Pr="00402D5D"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402D5D"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402D5D"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402D5D"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402D5D"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D2979"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roofErr w:type="spellStart"/>
            <w:r>
              <w:rPr>
                <w:sz w:val="22"/>
                <w:szCs w:val="22"/>
                <w:lang w:val="en-US"/>
              </w:rPr>
              <w:t>Jörgen</w:t>
            </w:r>
            <w:proofErr w:type="spellEnd"/>
            <w:r>
              <w:rPr>
                <w:sz w:val="22"/>
                <w:szCs w:val="22"/>
                <w:lang w:val="en-US"/>
              </w:rPr>
              <w:t xml:space="preserve"> Grubb (SD)</w:t>
            </w:r>
          </w:p>
        </w:tc>
        <w:tc>
          <w:tcPr>
            <w:tcW w:w="356" w:type="dxa"/>
            <w:tcBorders>
              <w:top w:val="single" w:sz="6" w:space="0" w:color="auto"/>
              <w:left w:val="single" w:sz="6" w:space="0" w:color="auto"/>
              <w:bottom w:val="single" w:sz="6" w:space="0" w:color="auto"/>
              <w:right w:val="single" w:sz="6" w:space="0" w:color="auto"/>
            </w:tcBorders>
          </w:tcPr>
          <w:p w:rsidR="00AD2979" w:rsidRPr="00402D5D"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D2979" w:rsidRPr="00402D5D"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402D5D"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402D5D"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402D5D"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402D5D"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402D5D"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402D5D"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402D5D"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Pr="00402D5D"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402D5D"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402D5D"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402D5D"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D2979" w:rsidRPr="00402D5D"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Pr="003D41A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Ulrika </w:t>
            </w:r>
            <w:proofErr w:type="spellStart"/>
            <w:r>
              <w:rPr>
                <w:sz w:val="22"/>
                <w:szCs w:val="22"/>
              </w:rPr>
              <w:t>Heie</w:t>
            </w:r>
            <w:proofErr w:type="spellEnd"/>
            <w:r>
              <w:rPr>
                <w:sz w:val="22"/>
                <w:szCs w:val="22"/>
              </w:rPr>
              <w:t xml:space="preserve"> (C)</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Pr="003D41A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Ilona </w:t>
            </w:r>
            <w:proofErr w:type="spellStart"/>
            <w:r>
              <w:rPr>
                <w:sz w:val="22"/>
                <w:szCs w:val="22"/>
              </w:rPr>
              <w:t>Szatmari</w:t>
            </w:r>
            <w:proofErr w:type="spellEnd"/>
            <w:r>
              <w:rPr>
                <w:sz w:val="22"/>
                <w:szCs w:val="22"/>
              </w:rPr>
              <w:t xml:space="preserve"> Waldau (V)</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Pr="003D41A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Hans Rothenberg (M)</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Pr="003D41A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Pr="003D41A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Anna </w:t>
            </w:r>
            <w:proofErr w:type="spellStart"/>
            <w:r>
              <w:rPr>
                <w:sz w:val="22"/>
                <w:szCs w:val="22"/>
              </w:rPr>
              <w:t>Wallentheim</w:t>
            </w:r>
            <w:proofErr w:type="spellEnd"/>
            <w:r>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Pr="003D41A2" w:rsidRDefault="00AD2979" w:rsidP="00AD2979">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Pr="003D41A2" w:rsidRDefault="00AD2979" w:rsidP="00AD2979">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Pr="003D41A2" w:rsidRDefault="00AD2979" w:rsidP="00AD2979">
            <w:pPr>
              <w:rPr>
                <w:sz w:val="22"/>
                <w:szCs w:val="22"/>
              </w:rPr>
            </w:pPr>
            <w:r>
              <w:rPr>
                <w:sz w:val="22"/>
                <w:szCs w:val="22"/>
              </w:rPr>
              <w:t xml:space="preserve">Clara </w:t>
            </w:r>
            <w:proofErr w:type="spellStart"/>
            <w:r>
              <w:rPr>
                <w:sz w:val="22"/>
                <w:szCs w:val="22"/>
              </w:rPr>
              <w:t>Aranda</w:t>
            </w:r>
            <w:proofErr w:type="spellEnd"/>
            <w:r>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Default="00AD2979" w:rsidP="00AD2979">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Pr="003D41A2" w:rsidRDefault="00AD2979" w:rsidP="00AD2979">
            <w:pPr>
              <w:rPr>
                <w:sz w:val="22"/>
                <w:szCs w:val="22"/>
              </w:rPr>
            </w:pPr>
            <w:r>
              <w:rPr>
                <w:sz w:val="22"/>
                <w:szCs w:val="22"/>
              </w:rPr>
              <w:t>Saila Quicklund (M)</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Default="00AD2979" w:rsidP="00AD2979">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Default="00AD2979" w:rsidP="00AD2979">
            <w:pPr>
              <w:rPr>
                <w:sz w:val="22"/>
                <w:szCs w:val="22"/>
              </w:rPr>
            </w:pPr>
            <w:r>
              <w:rPr>
                <w:sz w:val="22"/>
                <w:szCs w:val="22"/>
              </w:rPr>
              <w:t xml:space="preserve">Richard </w:t>
            </w:r>
            <w:proofErr w:type="spellStart"/>
            <w:r>
              <w:rPr>
                <w:sz w:val="22"/>
                <w:szCs w:val="22"/>
              </w:rPr>
              <w:t>Jomshof</w:t>
            </w:r>
            <w:proofErr w:type="spellEnd"/>
            <w:r>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Default="00AD2979" w:rsidP="00AD2979">
            <w:pPr>
              <w:rPr>
                <w:sz w:val="22"/>
                <w:szCs w:val="22"/>
              </w:rPr>
            </w:pPr>
            <w:r>
              <w:rPr>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Default="00AD2979" w:rsidP="00AD2979">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Default="00AD2979" w:rsidP="00AD2979">
            <w:pPr>
              <w:rPr>
                <w:sz w:val="22"/>
                <w:szCs w:val="22"/>
              </w:rPr>
            </w:pPr>
            <w:r>
              <w:rPr>
                <w:sz w:val="22"/>
                <w:szCs w:val="22"/>
              </w:rPr>
              <w:t>Åsa Lindhagen (MP)</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Default="00AD2979" w:rsidP="00AD2979">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Default="00AD2979" w:rsidP="00AD2979">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Default="00AD2979" w:rsidP="00AD2979">
            <w:pPr>
              <w:rPr>
                <w:sz w:val="22"/>
                <w:szCs w:val="22"/>
              </w:rPr>
            </w:pPr>
            <w:r>
              <w:rPr>
                <w:sz w:val="22"/>
                <w:szCs w:val="22"/>
              </w:rPr>
              <w:t>Pia Steensland (KD)</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Default="00AD2979" w:rsidP="00AD2979">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D2979" w:rsidRDefault="00AD2979" w:rsidP="00AD2979">
            <w:pPr>
              <w:rPr>
                <w:sz w:val="22"/>
                <w:szCs w:val="22"/>
              </w:rPr>
            </w:pPr>
            <w:r>
              <w:rPr>
                <w:sz w:val="22"/>
                <w:szCs w:val="22"/>
              </w:rPr>
              <w:t>Marie Axelsson (S)</w:t>
            </w: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AD2979" w:rsidRPr="003D41A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lastRenderedPageBreak/>
              <w:t>N = Närvarande</w:t>
            </w:r>
          </w:p>
        </w:tc>
        <w:tc>
          <w:tcPr>
            <w:tcW w:w="5029" w:type="dxa"/>
            <w:gridSpan w:val="16"/>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AD29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AD2979" w:rsidRPr="003D41A2"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AD2979" w:rsidRDefault="00AD2979" w:rsidP="00AD29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Pr="00FF4AD8" w:rsidRDefault="00AB2E46" w:rsidP="009F430A">
      <w:pPr>
        <w:tabs>
          <w:tab w:val="left" w:pos="1276"/>
        </w:tabs>
        <w:ind w:left="-1134" w:firstLine="1134"/>
      </w:pPr>
      <w:bookmarkStart w:id="0" w:name="_GoBack"/>
      <w:bookmarkEnd w:id="0"/>
    </w:p>
    <w:sectPr w:rsidR="00AB2E46" w:rsidRPr="00FF4AD8">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26D"/>
    <w:rsid w:val="00001172"/>
    <w:rsid w:val="0001177E"/>
    <w:rsid w:val="00013FF4"/>
    <w:rsid w:val="0001407C"/>
    <w:rsid w:val="00022A7C"/>
    <w:rsid w:val="00026856"/>
    <w:rsid w:val="00033465"/>
    <w:rsid w:val="00073768"/>
    <w:rsid w:val="0009467D"/>
    <w:rsid w:val="00097DF0"/>
    <w:rsid w:val="000A2204"/>
    <w:rsid w:val="000B5D40"/>
    <w:rsid w:val="000C0C72"/>
    <w:rsid w:val="000C5953"/>
    <w:rsid w:val="000D534A"/>
    <w:rsid w:val="000E5FA0"/>
    <w:rsid w:val="000E611E"/>
    <w:rsid w:val="000F3EEE"/>
    <w:rsid w:val="000F4556"/>
    <w:rsid w:val="00100A34"/>
    <w:rsid w:val="00126727"/>
    <w:rsid w:val="00127778"/>
    <w:rsid w:val="00135412"/>
    <w:rsid w:val="00143656"/>
    <w:rsid w:val="00161A87"/>
    <w:rsid w:val="001634B9"/>
    <w:rsid w:val="001671DE"/>
    <w:rsid w:val="00186651"/>
    <w:rsid w:val="001A287E"/>
    <w:rsid w:val="001D5522"/>
    <w:rsid w:val="001F5AC6"/>
    <w:rsid w:val="002059AD"/>
    <w:rsid w:val="00207D45"/>
    <w:rsid w:val="0022226E"/>
    <w:rsid w:val="002462FF"/>
    <w:rsid w:val="00253162"/>
    <w:rsid w:val="002608E3"/>
    <w:rsid w:val="00267FC1"/>
    <w:rsid w:val="002871AD"/>
    <w:rsid w:val="002D5CD8"/>
    <w:rsid w:val="002E7435"/>
    <w:rsid w:val="002E7751"/>
    <w:rsid w:val="002F31F6"/>
    <w:rsid w:val="00303E1D"/>
    <w:rsid w:val="003125C1"/>
    <w:rsid w:val="00330C61"/>
    <w:rsid w:val="00335FB0"/>
    <w:rsid w:val="003372A6"/>
    <w:rsid w:val="0034218D"/>
    <w:rsid w:val="00355251"/>
    <w:rsid w:val="00360AE7"/>
    <w:rsid w:val="00361E18"/>
    <w:rsid w:val="00370F89"/>
    <w:rsid w:val="003806C2"/>
    <w:rsid w:val="0038157D"/>
    <w:rsid w:val="00387EC2"/>
    <w:rsid w:val="003A0CB8"/>
    <w:rsid w:val="003A5FC9"/>
    <w:rsid w:val="003B4DE8"/>
    <w:rsid w:val="003C11CF"/>
    <w:rsid w:val="003D41A2"/>
    <w:rsid w:val="003F0380"/>
    <w:rsid w:val="003F4AD8"/>
    <w:rsid w:val="00402D5D"/>
    <w:rsid w:val="0040376B"/>
    <w:rsid w:val="004214D1"/>
    <w:rsid w:val="00424C64"/>
    <w:rsid w:val="00447E69"/>
    <w:rsid w:val="004514FD"/>
    <w:rsid w:val="00453542"/>
    <w:rsid w:val="0045482B"/>
    <w:rsid w:val="004674B5"/>
    <w:rsid w:val="0047610A"/>
    <w:rsid w:val="00483EB5"/>
    <w:rsid w:val="004875DF"/>
    <w:rsid w:val="004C4C01"/>
    <w:rsid w:val="004E024A"/>
    <w:rsid w:val="004F77CA"/>
    <w:rsid w:val="00501D18"/>
    <w:rsid w:val="00520D71"/>
    <w:rsid w:val="005331E3"/>
    <w:rsid w:val="005349AA"/>
    <w:rsid w:val="005739C0"/>
    <w:rsid w:val="00576AFA"/>
    <w:rsid w:val="00587BBF"/>
    <w:rsid w:val="005A3941"/>
    <w:rsid w:val="005A4EAC"/>
    <w:rsid w:val="005A63E8"/>
    <w:rsid w:val="005D0198"/>
    <w:rsid w:val="005D63F2"/>
    <w:rsid w:val="005E36F0"/>
    <w:rsid w:val="005F5155"/>
    <w:rsid w:val="00601C28"/>
    <w:rsid w:val="00602725"/>
    <w:rsid w:val="0060305B"/>
    <w:rsid w:val="006110B5"/>
    <w:rsid w:val="00622525"/>
    <w:rsid w:val="00637376"/>
    <w:rsid w:val="00650ADB"/>
    <w:rsid w:val="00656ECC"/>
    <w:rsid w:val="00666846"/>
    <w:rsid w:val="00667E8B"/>
    <w:rsid w:val="00680665"/>
    <w:rsid w:val="006965E4"/>
    <w:rsid w:val="006A2991"/>
    <w:rsid w:val="006B026C"/>
    <w:rsid w:val="006B1BCF"/>
    <w:rsid w:val="006B1D76"/>
    <w:rsid w:val="006B4C5A"/>
    <w:rsid w:val="006B65A5"/>
    <w:rsid w:val="006B7A08"/>
    <w:rsid w:val="006E0945"/>
    <w:rsid w:val="006E6B54"/>
    <w:rsid w:val="006F5FBE"/>
    <w:rsid w:val="00711344"/>
    <w:rsid w:val="00721260"/>
    <w:rsid w:val="00740F7D"/>
    <w:rsid w:val="00766B40"/>
    <w:rsid w:val="0076736F"/>
    <w:rsid w:val="00775DBD"/>
    <w:rsid w:val="007765ED"/>
    <w:rsid w:val="00776CA2"/>
    <w:rsid w:val="007801D9"/>
    <w:rsid w:val="00786FC6"/>
    <w:rsid w:val="007A1350"/>
    <w:rsid w:val="007A2471"/>
    <w:rsid w:val="007B32E2"/>
    <w:rsid w:val="007B38F0"/>
    <w:rsid w:val="007B6F35"/>
    <w:rsid w:val="007D23C1"/>
    <w:rsid w:val="007D3639"/>
    <w:rsid w:val="007D47AC"/>
    <w:rsid w:val="007D76A1"/>
    <w:rsid w:val="007E5066"/>
    <w:rsid w:val="007E738E"/>
    <w:rsid w:val="007F73E1"/>
    <w:rsid w:val="00823C8C"/>
    <w:rsid w:val="00827DBD"/>
    <w:rsid w:val="00832BA8"/>
    <w:rsid w:val="0083501D"/>
    <w:rsid w:val="00841B9D"/>
    <w:rsid w:val="00872753"/>
    <w:rsid w:val="00876835"/>
    <w:rsid w:val="00886BA6"/>
    <w:rsid w:val="008B080B"/>
    <w:rsid w:val="008B4A0D"/>
    <w:rsid w:val="008C35C4"/>
    <w:rsid w:val="008F6C98"/>
    <w:rsid w:val="008F7983"/>
    <w:rsid w:val="009171C9"/>
    <w:rsid w:val="00923EFE"/>
    <w:rsid w:val="00925ABE"/>
    <w:rsid w:val="00937120"/>
    <w:rsid w:val="0094358D"/>
    <w:rsid w:val="00960E59"/>
    <w:rsid w:val="00985715"/>
    <w:rsid w:val="009A1313"/>
    <w:rsid w:val="009A164A"/>
    <w:rsid w:val="009A1CEC"/>
    <w:rsid w:val="009B52FA"/>
    <w:rsid w:val="009D5E29"/>
    <w:rsid w:val="009E1FCA"/>
    <w:rsid w:val="009E7A20"/>
    <w:rsid w:val="009F430A"/>
    <w:rsid w:val="00A03D80"/>
    <w:rsid w:val="00A102DB"/>
    <w:rsid w:val="00A2367D"/>
    <w:rsid w:val="00A370F4"/>
    <w:rsid w:val="00A47DB2"/>
    <w:rsid w:val="00A65178"/>
    <w:rsid w:val="00A66B33"/>
    <w:rsid w:val="00A7175F"/>
    <w:rsid w:val="00A84772"/>
    <w:rsid w:val="00A956F9"/>
    <w:rsid w:val="00AB2E46"/>
    <w:rsid w:val="00AB3B80"/>
    <w:rsid w:val="00AB5776"/>
    <w:rsid w:val="00AD2979"/>
    <w:rsid w:val="00AD44A0"/>
    <w:rsid w:val="00AF4D2B"/>
    <w:rsid w:val="00AF62C3"/>
    <w:rsid w:val="00B1265F"/>
    <w:rsid w:val="00B2693D"/>
    <w:rsid w:val="00B40576"/>
    <w:rsid w:val="00B432F2"/>
    <w:rsid w:val="00B529AF"/>
    <w:rsid w:val="00B6136A"/>
    <w:rsid w:val="00B63606"/>
    <w:rsid w:val="00B734EF"/>
    <w:rsid w:val="00BA1F9C"/>
    <w:rsid w:val="00BA404C"/>
    <w:rsid w:val="00BB4FC6"/>
    <w:rsid w:val="00BB6E1B"/>
    <w:rsid w:val="00BB7028"/>
    <w:rsid w:val="00BF1E92"/>
    <w:rsid w:val="00BF5F58"/>
    <w:rsid w:val="00C04265"/>
    <w:rsid w:val="00C1169B"/>
    <w:rsid w:val="00C150F8"/>
    <w:rsid w:val="00C21DC4"/>
    <w:rsid w:val="00C318F6"/>
    <w:rsid w:val="00C422E7"/>
    <w:rsid w:val="00C616C4"/>
    <w:rsid w:val="00C62BD3"/>
    <w:rsid w:val="00C6692B"/>
    <w:rsid w:val="00C66AC4"/>
    <w:rsid w:val="00C76BCC"/>
    <w:rsid w:val="00C77DBB"/>
    <w:rsid w:val="00C866DE"/>
    <w:rsid w:val="00C87373"/>
    <w:rsid w:val="00CA2266"/>
    <w:rsid w:val="00CB1192"/>
    <w:rsid w:val="00CC15D0"/>
    <w:rsid w:val="00CD10D8"/>
    <w:rsid w:val="00CD4DBD"/>
    <w:rsid w:val="00CF376E"/>
    <w:rsid w:val="00CF6815"/>
    <w:rsid w:val="00CF7C43"/>
    <w:rsid w:val="00D16550"/>
    <w:rsid w:val="00D21331"/>
    <w:rsid w:val="00D35718"/>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12E8A"/>
    <w:rsid w:val="00E13501"/>
    <w:rsid w:val="00E15FBD"/>
    <w:rsid w:val="00E1627A"/>
    <w:rsid w:val="00E23AB7"/>
    <w:rsid w:val="00E2514D"/>
    <w:rsid w:val="00E45BEC"/>
    <w:rsid w:val="00E776AC"/>
    <w:rsid w:val="00E810DC"/>
    <w:rsid w:val="00EB577E"/>
    <w:rsid w:val="00EC27A5"/>
    <w:rsid w:val="00EC418A"/>
    <w:rsid w:val="00EE4C8A"/>
    <w:rsid w:val="00F12574"/>
    <w:rsid w:val="00F23954"/>
    <w:rsid w:val="00F33EF9"/>
    <w:rsid w:val="00F7021F"/>
    <w:rsid w:val="00F70C44"/>
    <w:rsid w:val="00F72877"/>
    <w:rsid w:val="00F816D5"/>
    <w:rsid w:val="00F8533C"/>
    <w:rsid w:val="00FA12EF"/>
    <w:rsid w:val="00FA543D"/>
    <w:rsid w:val="00FE4E01"/>
    <w:rsid w:val="00FE7204"/>
    <w:rsid w:val="00FF4AD8"/>
    <w:rsid w:val="00FF72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545300-3BEC-400E-86D3-2A3DBC15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styleId="Ballongtext">
    <w:name w:val="Balloon Text"/>
    <w:basedOn w:val="Normal"/>
    <w:link w:val="BallongtextChar"/>
    <w:rsid w:val="00937120"/>
    <w:rPr>
      <w:rFonts w:ascii="Segoe UI" w:hAnsi="Segoe UI" w:cs="Segoe UI"/>
      <w:sz w:val="18"/>
      <w:szCs w:val="18"/>
    </w:rPr>
  </w:style>
  <w:style w:type="character" w:customStyle="1" w:styleId="BallongtextChar">
    <w:name w:val="Ballongtext Char"/>
    <w:basedOn w:val="Standardstycketeckensnitt"/>
    <w:link w:val="Ballongtext"/>
    <w:rsid w:val="00937120"/>
    <w:rPr>
      <w:rFonts w:ascii="Segoe UI" w:hAnsi="Segoe UI" w:cs="Segoe UI"/>
      <w:sz w:val="18"/>
      <w:szCs w:val="18"/>
    </w:rPr>
  </w:style>
  <w:style w:type="character" w:styleId="Hyperlnk">
    <w:name w:val="Hyperlink"/>
    <w:basedOn w:val="Standardstycketeckensnitt"/>
    <w:uiPriority w:val="99"/>
    <w:unhideWhenUsed/>
    <w:rsid w:val="00FF4A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Mallar\Protokollsmall-2018-2019.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Protokollsmall-2018-2019</Template>
  <TotalTime>2</TotalTime>
  <Pages>6</Pages>
  <Words>1368</Words>
  <Characters>8816</Characters>
  <Application>Microsoft Office Word</Application>
  <DocSecurity>0</DocSecurity>
  <Lines>979</Lines>
  <Paragraphs>199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Charlotta Lann</cp:lastModifiedBy>
  <cp:revision>3</cp:revision>
  <cp:lastPrinted>2018-10-22T09:27:00Z</cp:lastPrinted>
  <dcterms:created xsi:type="dcterms:W3CDTF">2018-11-06T12:29:00Z</dcterms:created>
  <dcterms:modified xsi:type="dcterms:W3CDTF">2018-11-06T12:30:00Z</dcterms:modified>
</cp:coreProperties>
</file>