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C1576-9692-4E6F-8AB3-E78669FE9895}"/>
</file>

<file path=customXml/itemProps2.xml><?xml version="1.0" encoding="utf-8"?>
<ds:datastoreItem xmlns:ds="http://schemas.openxmlformats.org/officeDocument/2006/customXml" ds:itemID="{C428555F-28E0-40B8-9A80-772D8CABF3A4}"/>
</file>

<file path=customXml/itemProps3.xml><?xml version="1.0" encoding="utf-8"?>
<ds:datastoreItem xmlns:ds="http://schemas.openxmlformats.org/officeDocument/2006/customXml" ds:itemID="{C4BBB4A7-0888-440F-8CCC-3A8CB9EDBB7E}"/>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